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A4EFEEB-0119-4916-8C46-776EEB917EE3" style="width:455.25pt;height:416.2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bookmarkStart w:id="0" w:name="_Toc8169B88CE71B46189E42F1F987FBA5C9"/>
      <w:r>
        <w:rPr>
          <w:noProof/>
        </w:rPr>
        <w:lastRenderedPageBreak/>
        <w:t>EXPUNERE DE MOTIVE</w:t>
      </w:r>
      <w:bookmarkEnd w:id="0"/>
    </w:p>
    <w:p>
      <w:pPr>
        <w:pStyle w:val="ManualHeading1"/>
        <w:rPr>
          <w:noProof/>
        </w:rPr>
      </w:pPr>
      <w:bookmarkStart w:id="1" w:name="_Toc601AF54626EA485C90DF36C82565EA1C"/>
      <w:r>
        <w:rPr>
          <w:noProof/>
        </w:rPr>
        <w:t>1.</w:t>
      </w:r>
      <w:r>
        <w:rPr>
          <w:noProof/>
        </w:rPr>
        <w:tab/>
        <w:t>CONTEXTUL PROPUNERII</w:t>
      </w:r>
      <w:bookmarkEnd w:id="1"/>
    </w:p>
    <w:p>
      <w:pPr>
        <w:pStyle w:val="ManualHeading2"/>
        <w:rPr>
          <w:rFonts w:eastAsia="Arial Unicode MS"/>
          <w:noProof/>
        </w:rPr>
      </w:pPr>
      <w:bookmarkStart w:id="2" w:name="_Toc005D087D74664E5C8210165B0C442879"/>
      <w:r>
        <w:rPr>
          <w:noProof/>
          <w:color w:val="000000"/>
          <w:u w:color="000000"/>
          <w:bdr w:val="nil"/>
        </w:rPr>
        <w:t>•</w:t>
      </w:r>
      <w:r>
        <w:rPr>
          <w:noProof/>
        </w:rPr>
        <w:tab/>
        <w:t>Temeiurile și obiectivele propunerii</w:t>
      </w:r>
      <w:bookmarkEnd w:id="2"/>
    </w:p>
    <w:p>
      <w:pPr>
        <w:spacing w:after="240" w:line="276" w:lineRule="auto"/>
        <w:rPr>
          <w:rFonts w:eastAsia="Times New Roman"/>
          <w:noProof/>
          <w:color w:val="000000"/>
          <w:bdr w:val="nil"/>
        </w:rPr>
      </w:pPr>
      <w:r>
        <w:rPr>
          <w:b/>
          <w:noProof/>
          <w:color w:val="000000"/>
          <w:bdr w:val="nil"/>
        </w:rPr>
        <w:t>Libera circulație a persoanelor</w:t>
      </w:r>
      <w:r>
        <w:rPr>
          <w:noProof/>
          <w:color w:val="000000"/>
          <w:bdr w:val="nil"/>
        </w:rPr>
        <w:t xml:space="preserve"> este una dintre cele patru libertăți fundamentale aflate </w:t>
      </w:r>
      <w:r>
        <w:rPr>
          <w:b/>
          <w:noProof/>
          <w:color w:val="000000"/>
          <w:bdr w:val="nil"/>
        </w:rPr>
        <w:t>în centrul pieței unice a UE</w:t>
      </w:r>
      <w:r>
        <w:rPr>
          <w:noProof/>
          <w:color w:val="000000"/>
          <w:bdr w:val="nil"/>
        </w:rPr>
        <w:t xml:space="preserve"> și o </w:t>
      </w:r>
      <w:r>
        <w:rPr>
          <w:b/>
          <w:noProof/>
          <w:color w:val="000000"/>
          <w:bdr w:val="nil"/>
        </w:rPr>
        <w:t>realizare majoră a integrării europene</w:t>
      </w:r>
      <w:r>
        <w:rPr>
          <w:noProof/>
          <w:color w:val="000000"/>
          <w:bdr w:val="nil"/>
        </w:rPr>
        <w:t>. Prin facilitarea mobilității forței de muncă, aceasta contribuie la soluționarea deficitelor de forță de muncă și de competențe și sprijină creșterea economică și competitivitatea în toate statele membre. Pe lângă beneficiile sale pentru economia Europei, libera circulație a persoanelor sporește oportunitățile profesionale și personale ale persoanelor, încurajează schimburile culturale și sentimentul comun de apartenență la o comunitate, contribuind astfel la aprofundarea integrării Uniunii Europene.</w:t>
      </w:r>
    </w:p>
    <w:p>
      <w:pPr>
        <w:spacing w:after="240" w:line="276" w:lineRule="auto"/>
        <w:rPr>
          <w:rFonts w:eastAsia="Times New Roman"/>
          <w:i/>
          <w:iCs/>
          <w:noProof/>
          <w:color w:val="000000"/>
          <w:bdr w:val="nil"/>
        </w:rPr>
      </w:pPr>
      <w:r>
        <w:rPr>
          <w:noProof/>
          <w:color w:val="000000"/>
          <w:bdr w:val="nil"/>
        </w:rPr>
        <w:t xml:space="preserve">Exercitarea efectivă a acestei libertăți necesită norme clare, mecanisme solide de asigurare a respectării acestora și politici coordonate între statele membre pentru a sprijini mobilitatea, garantând în același timp echitatea, securitatea juridică și protecția drepturilor. Un pilon esențial în acest sens este </w:t>
      </w:r>
      <w:r>
        <w:rPr>
          <w:b/>
          <w:noProof/>
          <w:color w:val="000000"/>
          <w:bdr w:val="nil"/>
        </w:rPr>
        <w:t>cadrul UE de coordonare a securității sociale</w:t>
      </w:r>
      <w:r>
        <w:rPr>
          <w:rStyle w:val="FootnoteReference"/>
          <w:noProof/>
          <w:color w:val="000000"/>
          <w:bdr w:val="nil"/>
        </w:rPr>
        <w:footnoteReference w:id="1"/>
      </w:r>
      <w:r>
        <w:rPr>
          <w:noProof/>
        </w:rPr>
        <w:t>.</w:t>
      </w:r>
      <w:r>
        <w:rPr>
          <w:noProof/>
          <w:color w:val="000000"/>
          <w:bdr w:val="nil"/>
        </w:rPr>
        <w:t xml:space="preserve"> </w:t>
      </w:r>
      <w:r>
        <w:rPr>
          <w:noProof/>
        </w:rPr>
        <w:t xml:space="preserve">Acesta </w:t>
      </w:r>
      <w:r>
        <w:rPr>
          <w:noProof/>
          <w:color w:val="000000"/>
          <w:bdr w:val="nil"/>
        </w:rPr>
        <w:t xml:space="preserve">garantează că </w:t>
      </w:r>
      <w:r>
        <w:rPr>
          <w:b/>
          <w:noProof/>
          <w:color w:val="000000"/>
          <w:bdr w:val="nil"/>
        </w:rPr>
        <w:t xml:space="preserve">persoanele continuă să primească prestațiile cuvenite </w:t>
      </w:r>
      <w:r>
        <w:rPr>
          <w:noProof/>
          <w:color w:val="000000" w:themeColor="text1"/>
        </w:rPr>
        <w:t>–</w:t>
      </w:r>
      <w:r>
        <w:rPr>
          <w:noProof/>
          <w:color w:val="000000"/>
          <w:bdr w:val="nil"/>
        </w:rPr>
        <w:t xml:space="preserve"> cum ar fi pensiile, prestațiile de șomaj și prestațiile familiale –</w:t>
      </w:r>
      <w:r>
        <w:rPr>
          <w:b/>
          <w:noProof/>
          <w:color w:val="000000"/>
          <w:bdr w:val="nil"/>
        </w:rPr>
        <w:t xml:space="preserve"> și beneficiază de asistență medicală atunci când se mută, se află temporar sau călătoresc în alte state membre.</w:t>
      </w:r>
      <w:r>
        <w:rPr>
          <w:noProof/>
          <w:color w:val="000000"/>
          <w:bdr w:val="nil"/>
        </w:rPr>
        <w:t xml:space="preserve"> Parlamentul European și Consiliul au ajuns recent la un </w:t>
      </w:r>
      <w:r>
        <w:rPr>
          <w:noProof/>
        </w:rPr>
        <w:t xml:space="preserve">acord </w:t>
      </w:r>
      <w:r>
        <w:rPr>
          <w:noProof/>
          <w:color w:val="000000"/>
          <w:bdr w:val="nil"/>
        </w:rPr>
        <w:t xml:space="preserve">provizoriu </w:t>
      </w:r>
      <w:r>
        <w:rPr>
          <w:noProof/>
        </w:rPr>
        <w:t>cu privire la o revizuire menită să modernizeze acest cadru</w:t>
      </w:r>
      <w:r>
        <w:rPr>
          <w:rStyle w:val="FootnoteReference"/>
          <w:noProof/>
          <w:bdr w:val="nil"/>
        </w:rPr>
        <w:footnoteReference w:id="2"/>
      </w:r>
      <w:r>
        <w:rPr>
          <w:noProof/>
          <w:color w:val="000000" w:themeColor="text1"/>
        </w:rPr>
        <w:t>.</w:t>
      </w:r>
      <w:r>
        <w:rPr>
          <w:noProof/>
          <w:color w:val="000000"/>
          <w:bdr w:val="nil"/>
        </w:rPr>
        <w:t xml:space="preserve"> Odată adoptat, </w:t>
      </w:r>
      <w:r>
        <w:rPr>
          <w:noProof/>
        </w:rPr>
        <w:t xml:space="preserve">cadrul revizuit </w:t>
      </w:r>
      <w:r>
        <w:rPr>
          <w:noProof/>
          <w:color w:val="000000"/>
          <w:bdr w:val="nil"/>
        </w:rPr>
        <w:t xml:space="preserve">va facilita exercitarea drepturilor cetățenilor, va asigura o mai mare claritate juridică și va înlesni asigurarea respectării normelor, precum și desfășurarea de către întreprinderi și lucrători a unor activități transfrontaliere pe termen scurt și a unor călătorii de afaceri. </w:t>
      </w:r>
    </w:p>
    <w:p>
      <w:pPr>
        <w:spacing w:after="240" w:line="276" w:lineRule="auto"/>
        <w:rPr>
          <w:rFonts w:eastAsia="Times New Roman"/>
          <w:noProof/>
          <w:color w:val="000000"/>
          <w:bdr w:val="nil"/>
        </w:rPr>
      </w:pPr>
      <w:r>
        <w:rPr>
          <w:noProof/>
          <w:color w:val="000000"/>
          <w:bdr w:val="nil"/>
        </w:rPr>
        <w:t xml:space="preserve">În același timp, există încă un potențial considerabil de simplificare a aplicării normelor UE de coordonare a securității sociale. Acest lucru poate fi realizat printr-o </w:t>
      </w:r>
      <w:r>
        <w:rPr>
          <w:b/>
          <w:noProof/>
          <w:color w:val="000000"/>
          <w:bdr w:val="nil"/>
        </w:rPr>
        <w:t>utilizare sporită și mai eficientă a tehnologiilor digitale</w:t>
      </w:r>
      <w:r>
        <w:rPr>
          <w:noProof/>
          <w:color w:val="000000"/>
          <w:bdr w:val="nil"/>
        </w:rPr>
        <w:t xml:space="preserve"> în acest domeniu, în cadrul eforturilor mai ample ale UE de a: (i) simplifica procedurile; (ii) reduce sarcinile care le revin persoanelor fizice, întreprinderilor și autorităților naționale, regionale și locale; și (iii) sprijini competitivitatea pe piața unică a UE. </w:t>
      </w:r>
    </w:p>
    <w:p>
      <w:pPr>
        <w:spacing w:after="240" w:line="276" w:lineRule="auto"/>
        <w:rPr>
          <w:rFonts w:eastAsia="Times New Roman"/>
          <w:noProof/>
          <w:color w:val="000000"/>
          <w:bdr w:val="nil"/>
        </w:rPr>
      </w:pPr>
      <w:r>
        <w:rPr>
          <w:b/>
          <w:noProof/>
          <w:color w:val="000000"/>
          <w:bdr w:val="nil"/>
        </w:rPr>
        <w:t>Transformarea digitală</w:t>
      </w:r>
      <w:r>
        <w:rPr>
          <w:noProof/>
          <w:color w:val="000000"/>
          <w:bdr w:val="nil"/>
        </w:rPr>
        <w:t xml:space="preserve"> ocupă un </w:t>
      </w:r>
      <w:r>
        <w:rPr>
          <w:b/>
          <w:noProof/>
          <w:color w:val="000000"/>
          <w:bdr w:val="nil"/>
        </w:rPr>
        <w:t>loc central în prioritățile strategice ale UE</w:t>
      </w:r>
      <w:r>
        <w:rPr>
          <w:noProof/>
          <w:color w:val="000000"/>
          <w:bdr w:val="nil"/>
        </w:rPr>
        <w:t>, fiind un</w:t>
      </w:r>
      <w:r>
        <w:rPr>
          <w:b/>
          <w:noProof/>
          <w:color w:val="000000"/>
          <w:bdr w:val="nil"/>
        </w:rPr>
        <w:t xml:space="preserve"> factor-cheie al inovării și competitivității</w:t>
      </w:r>
      <w:r>
        <w:rPr>
          <w:noProof/>
          <w:color w:val="000000"/>
          <w:bdr w:val="nil"/>
        </w:rPr>
        <w:t>. În conformitate cu programul de politică pentru 2030 privind deceniul digital și cu Declarația europeană privind drepturile și principiile digitale, Uniunea promovează dezvoltarea unor servicii publice digitale fără sincope și centrate pe factorul uman în întreaga Europă.</w:t>
      </w:r>
    </w:p>
    <w:p>
      <w:pPr>
        <w:spacing w:after="240" w:line="276" w:lineRule="auto"/>
        <w:rPr>
          <w:rFonts w:eastAsia="Times New Roman"/>
          <w:noProof/>
          <w:color w:val="000000"/>
          <w:bdr w:val="nil"/>
        </w:rPr>
      </w:pPr>
      <w:r>
        <w:rPr>
          <w:b/>
          <w:bCs/>
          <w:noProof/>
          <w:color w:val="000000"/>
          <w:bdr w:val="nil"/>
        </w:rPr>
        <w:t>Rapoartele</w:t>
      </w:r>
      <w:r>
        <w:rPr>
          <w:noProof/>
          <w:color w:val="000000"/>
          <w:bdr w:val="nil"/>
        </w:rPr>
        <w:t xml:space="preserve"> recente ale lui</w:t>
      </w:r>
      <w:r>
        <w:rPr>
          <w:b/>
          <w:noProof/>
          <w:color w:val="000000"/>
          <w:bdr w:val="nil"/>
        </w:rPr>
        <w:t xml:space="preserve"> </w:t>
      </w:r>
      <w:hyperlink r:id="rId14" w:history="1">
        <w:r>
          <w:rPr>
            <w:rStyle w:val="Hyperlink"/>
            <w:b/>
            <w:noProof/>
          </w:rPr>
          <w:t>Enrico Letta</w:t>
        </w:r>
      </w:hyperlink>
      <w:r>
        <w:rPr>
          <w:b/>
          <w:noProof/>
          <w:color w:val="000000"/>
          <w:bdr w:val="nil"/>
        </w:rPr>
        <w:t xml:space="preserve"> și </w:t>
      </w:r>
      <w:hyperlink r:id="rId15" w:history="1">
        <w:r>
          <w:rPr>
            <w:rStyle w:val="Hyperlink"/>
            <w:b/>
            <w:noProof/>
          </w:rPr>
          <w:t>Mario Draghi</w:t>
        </w:r>
      </w:hyperlink>
      <w:r>
        <w:rPr>
          <w:b/>
          <w:noProof/>
          <w:color w:val="000000"/>
          <w:bdr w:val="nil"/>
        </w:rPr>
        <w:t xml:space="preserve"> </w:t>
      </w:r>
      <w:r>
        <w:rPr>
          <w:noProof/>
          <w:color w:val="000000"/>
          <w:bdr w:val="nil"/>
        </w:rPr>
        <w:t xml:space="preserve">privind viitorul pieței unice și competitivitatea Europei subliniază urgența accelerării acestei transformări digitale și a </w:t>
      </w:r>
      <w:r>
        <w:rPr>
          <w:noProof/>
          <w:color w:val="000000"/>
          <w:bdr w:val="nil"/>
        </w:rPr>
        <w:lastRenderedPageBreak/>
        <w:t xml:space="preserve">eliminării barierelor care subminează dinamismul pieței unice. În mod similar, </w:t>
      </w:r>
      <w:hyperlink r:id="rId16" w:history="1">
        <w:r>
          <w:rPr>
            <w:rStyle w:val="Hyperlink"/>
            <w:noProof/>
            <w:bdr w:val="nil"/>
          </w:rPr>
          <w:t>Raportul anual pentru 2026 privind piața unică și competitivitatea</w:t>
        </w:r>
      </w:hyperlink>
      <w:r>
        <w:rPr>
          <w:noProof/>
          <w:color w:val="000000"/>
          <w:bdr w:val="nil"/>
        </w:rPr>
        <w:t xml:space="preserve"> identifică lacunele persistente în ceea ce privește serviciile digitale transfrontaliere și provocările legate de mobilitate drept obstacole semnificative – în special pentru </w:t>
      </w:r>
      <w:r>
        <w:rPr>
          <w:noProof/>
          <w:color w:val="000000" w:themeColor="text1"/>
        </w:rPr>
        <w:t>întreprinderile</w:t>
      </w:r>
      <w:r>
        <w:rPr>
          <w:noProof/>
        </w:rPr>
        <w:t xml:space="preserve"> </w:t>
      </w:r>
      <w:r>
        <w:rPr>
          <w:noProof/>
          <w:color w:val="000000"/>
          <w:bdr w:val="nil"/>
        </w:rPr>
        <w:t>mici și mijlocii (IMM-uri)</w:t>
      </w:r>
      <w:r>
        <w:rPr>
          <w:rStyle w:val="FootnoteReference"/>
          <w:noProof/>
        </w:rPr>
        <w:footnoteReference w:id="3"/>
      </w:r>
      <w:r>
        <w:rPr>
          <w:noProof/>
          <w:color w:val="000000"/>
          <w:bdr w:val="nil"/>
        </w:rPr>
        <w:t xml:space="preserve"> </w:t>
      </w:r>
      <w:r>
        <w:rPr>
          <w:noProof/>
        </w:rPr>
        <w:t xml:space="preserve">– </w:t>
      </w:r>
      <w:r>
        <w:rPr>
          <w:noProof/>
          <w:color w:val="000000"/>
          <w:bdr w:val="nil"/>
        </w:rPr>
        <w:t>care împiedică expansiunea economică a Europei și buna funcționare a pieței unice digitale.</w:t>
      </w:r>
      <w:r>
        <w:rPr>
          <w:noProof/>
          <w:color w:val="000000" w:themeColor="text1"/>
        </w:rPr>
        <w:t xml:space="preserve"> În plus, </w:t>
      </w:r>
      <w:hyperlink r:id="rId17" w:history="1">
        <w:r>
          <w:rPr>
            <w:rStyle w:val="Hyperlink"/>
            <w:noProof/>
          </w:rPr>
          <w:t>Strategia UE din 2025 privind start-upurile și întreprinderile în fază de extindere</w:t>
        </w:r>
      </w:hyperlink>
      <w:r>
        <w:rPr>
          <w:noProof/>
          <w:color w:val="000000" w:themeColor="text1"/>
        </w:rPr>
        <w:t xml:space="preserve"> subliniază impactul negativ al fragmentării reglementărilor asupra capacității start-upurilor și a întreprinderilor în fază de extindere de a funcționa eficient în cadrul pieței unice și de a atrage talente.</w:t>
      </w:r>
    </w:p>
    <w:p>
      <w:pPr>
        <w:spacing w:after="240" w:line="276" w:lineRule="auto"/>
        <w:rPr>
          <w:rFonts w:eastAsia="Times New Roman"/>
          <w:noProof/>
          <w:color w:val="000000"/>
          <w:bdr w:val="nil"/>
        </w:rPr>
      </w:pPr>
      <w:r>
        <w:rPr>
          <w:noProof/>
          <w:color w:val="000000"/>
          <w:bdr w:val="nil"/>
        </w:rPr>
        <w:t xml:space="preserve">Deși Comisia și statele membre au luat deja măsuri </w:t>
      </w:r>
      <w:r>
        <w:rPr>
          <w:noProof/>
        </w:rPr>
        <w:t xml:space="preserve">în temeiul cadrului actual </w:t>
      </w:r>
      <w:r>
        <w:rPr>
          <w:noProof/>
          <w:color w:val="000000"/>
          <w:bdr w:val="nil"/>
        </w:rPr>
        <w:t xml:space="preserve">pentru a digitaliza procedurile, serviciile și schimburile de date transfrontaliere în domeniul coordonării securității sociale, sunt necesare acțiuni suplimentare la nivelul UE. Acest lucru este în concordanță cu solicitările formulate în mod repetat de Parlamentul European, inclusiv în </w:t>
      </w:r>
      <w:hyperlink r:id="rId18" w:history="1">
        <w:r>
          <w:rPr>
            <w:rStyle w:val="Hyperlink"/>
            <w:noProof/>
            <w:bdr w:val="nil"/>
          </w:rPr>
          <w:t>Rezoluția sa din 2021</w:t>
        </w:r>
      </w:hyperlink>
      <w:r>
        <w:rPr>
          <w:noProof/>
          <w:color w:val="000000"/>
          <w:bdr w:val="nil"/>
        </w:rPr>
        <w:t xml:space="preserve"> referitoare la introducerea unui Pașaport european de securitate socială, solicitări reiterate în </w:t>
      </w:r>
      <w:hyperlink r:id="rId19" w:history="1">
        <w:r>
          <w:rPr>
            <w:rStyle w:val="Hyperlink"/>
            <w:noProof/>
            <w:bdr w:val="nil"/>
          </w:rPr>
          <w:t>Comunicarea Comisiei privind digitalizarea coordonării sistemelor de securitate socială</w:t>
        </w:r>
      </w:hyperlink>
      <w:r>
        <w:rPr>
          <w:noProof/>
          <w:color w:val="000000"/>
          <w:bdr w:val="nil"/>
        </w:rPr>
        <w:t xml:space="preserve">, în </w:t>
      </w:r>
      <w:hyperlink r:id="rId20" w:history="1">
        <w:r>
          <w:rPr>
            <w:rStyle w:val="Hyperlink"/>
            <w:noProof/>
            <w:bdr w:val="nil"/>
          </w:rPr>
          <w:t>concluziile Consiliului din noiembrie 2023</w:t>
        </w:r>
      </w:hyperlink>
      <w:r>
        <w:rPr>
          <w:noProof/>
          <w:color w:val="000000"/>
          <w:bdr w:val="nil"/>
        </w:rPr>
        <w:t xml:space="preserve"> și în raportul Letta menționat anterior. Propunerea răspunde, totodată, solicitărilor partenerilor sociali europeni</w:t>
      </w:r>
      <w:r>
        <w:rPr>
          <w:rStyle w:val="FootnoteReference"/>
          <w:noProof/>
          <w:color w:val="000000"/>
          <w:bdr w:val="nil"/>
        </w:rPr>
        <w:footnoteReference w:id="4"/>
      </w:r>
      <w:r>
        <w:rPr>
          <w:noProof/>
          <w:color w:val="000000"/>
          <w:bdr w:val="nil"/>
        </w:rPr>
        <w:t xml:space="preserve"> și ale organizațiilor societății civile de a consolida protecția drepturilor în materie de securitate socială ale lucrătorilor, de a îmbunătăți asigurarea respectării normelor și de a facilita mobilitatea forței de muncă, reducând în același timp sarcinile administrative. </w:t>
      </w:r>
    </w:p>
    <w:p>
      <w:pPr>
        <w:spacing w:after="240" w:line="276" w:lineRule="auto"/>
        <w:rPr>
          <w:noProof/>
          <w:color w:val="000000"/>
          <w:bdr w:val="nil"/>
        </w:rPr>
      </w:pPr>
      <w:r>
        <w:rPr>
          <w:b/>
          <w:noProof/>
          <w:color w:val="000000"/>
          <w:bdr w:val="nil"/>
        </w:rPr>
        <w:t>Sistemul de schimb electronic de informații privind securitatea socială (EESSI)</w:t>
      </w:r>
      <w:r>
        <w:rPr>
          <w:rStyle w:val="FootnoteReference"/>
          <w:b/>
          <w:noProof/>
          <w:color w:val="000000"/>
          <w:bdr w:val="nil"/>
        </w:rPr>
        <w:footnoteReference w:id="5"/>
      </w:r>
      <w:r>
        <w:rPr>
          <w:noProof/>
          <w:color w:val="000000"/>
          <w:bdr w:val="nil"/>
        </w:rPr>
        <w:t xml:space="preserve"> a îmbunătățit în mod semnificativ prelucrarea cazurilor în temeiul normelor UE de coordonare a securității sociale. EESSI, care acoperă domenii precum boala, accidentele de muncă, pensiile, șomajul și prestațiile familiale, permite unui număr de peste 3</w:t>
      </w:r>
      <w:r>
        <w:rPr>
          <w:noProof/>
        </w:rPr>
        <w:t xml:space="preserve"> 100 </w:t>
      </w:r>
      <w:r>
        <w:rPr>
          <w:noProof/>
          <w:color w:val="000000"/>
          <w:bdr w:val="nil"/>
        </w:rPr>
        <w:t xml:space="preserve">de organisme de securitate socială din cele 32 de țări participante (cele 27 de state membre, </w:t>
      </w:r>
      <w:r>
        <w:rPr>
          <w:noProof/>
        </w:rPr>
        <w:t>precum și</w:t>
      </w:r>
      <w:r>
        <w:rPr>
          <w:noProof/>
          <w:color w:val="000000"/>
          <w:bdr w:val="nil"/>
        </w:rPr>
        <w:t xml:space="preserve"> Islanda, Liechtenstein, Norvegia, Elveția și Regatul Unit) să facă schimb de informații pe cale electronică și în condiții de siguranță, înlocuind comunicarea pe suport de hârtie. De la punerea sa în aplicare, au fost prelucrate peste </w:t>
      </w:r>
      <w:r>
        <w:rPr>
          <w:noProof/>
        </w:rPr>
        <w:t xml:space="preserve">42 </w:t>
      </w:r>
      <w:r>
        <w:rPr>
          <w:noProof/>
          <w:color w:val="000000"/>
          <w:bdr w:val="nil"/>
        </w:rPr>
        <w:t xml:space="preserve">de milioane de cazuri, ceea ce a adus beneficii concrete milioanelor de persoane ale căror cereri privind securitatea socială sunt în prezent prelucrate mai eficient. </w:t>
      </w:r>
    </w:p>
    <w:p>
      <w:pPr>
        <w:spacing w:after="240" w:line="276" w:lineRule="auto"/>
        <w:rPr>
          <w:rFonts w:eastAsia="Times New Roman"/>
          <w:noProof/>
          <w:color w:val="000000"/>
          <w:bdr w:val="nil"/>
        </w:rPr>
      </w:pPr>
      <w:r>
        <w:rPr>
          <w:noProof/>
          <w:color w:val="000000"/>
          <w:bdr w:val="nil"/>
        </w:rPr>
        <w:t xml:space="preserve">În pofida acestor progrese, persistă unele </w:t>
      </w:r>
      <w:r>
        <w:rPr>
          <w:noProof/>
        </w:rPr>
        <w:t>obstacole</w:t>
      </w:r>
      <w:r>
        <w:rPr>
          <w:noProof/>
          <w:color w:val="000000"/>
          <w:bdr w:val="nil"/>
        </w:rPr>
        <w:t xml:space="preserve"> în calea </w:t>
      </w:r>
      <w:r>
        <w:rPr>
          <w:noProof/>
        </w:rPr>
        <w:t>valorificării</w:t>
      </w:r>
      <w:r>
        <w:rPr>
          <w:noProof/>
          <w:color w:val="000000"/>
          <w:bdr w:val="nil"/>
        </w:rPr>
        <w:t xml:space="preserve"> depline a beneficiilor</w:t>
      </w:r>
      <w:r>
        <w:rPr>
          <w:noProof/>
        </w:rPr>
        <w:t xml:space="preserve"> sistemului.</w:t>
      </w:r>
      <w:r>
        <w:rPr>
          <w:noProof/>
          <w:color w:val="000000" w:themeColor="text1"/>
        </w:rPr>
        <w:t xml:space="preserve"> </w:t>
      </w:r>
      <w:r>
        <w:rPr>
          <w:noProof/>
        </w:rPr>
        <w:t>Printre acestea se numără</w:t>
      </w:r>
      <w:r>
        <w:rPr>
          <w:noProof/>
          <w:color w:val="000000"/>
          <w:bdr w:val="nil"/>
        </w:rPr>
        <w:t xml:space="preserve"> întârzierile în tratarea cazurilor transfrontaliere privind pensiile</w:t>
      </w:r>
      <w:r>
        <w:rPr>
          <w:noProof/>
        </w:rPr>
        <w:t>, care</w:t>
      </w:r>
      <w:r>
        <w:rPr>
          <w:noProof/>
          <w:color w:val="000000"/>
          <w:bdr w:val="nil"/>
        </w:rPr>
        <w:t xml:space="preserve"> riscă </w:t>
      </w:r>
      <w:r>
        <w:rPr>
          <w:noProof/>
        </w:rPr>
        <w:t>să lase persoanele fizice fără acces în timp util la drepturile lor, subminând astfel încrederea cetățenilor în cadrul UE de coordonare a securității sociale.</w:t>
      </w:r>
      <w:r>
        <w:rPr>
          <w:noProof/>
          <w:color w:val="000000" w:themeColor="text1"/>
        </w:rPr>
        <w:t xml:space="preserve"> Experiența punerii în aplicare a EESSI a evidențiat, de asemenea, provocările de natură tehnică, procedurală și de coordonare pe care le implică digitalizarea procedurilor transfrontaliere de securitate socială. Având în vedere implicarea a mii de organisme și acoperirea tuturor ramurilor securității sociale, sunt necesare o cooperare mai agilă și un proces decizional simplificat.</w:t>
      </w:r>
    </w:p>
    <w:p>
      <w:pPr>
        <w:spacing w:after="240" w:line="276" w:lineRule="auto"/>
        <w:rPr>
          <w:noProof/>
          <w:color w:val="000000"/>
          <w:bdr w:val="nil"/>
        </w:rPr>
      </w:pPr>
      <w:r>
        <w:rPr>
          <w:noProof/>
          <w:color w:val="000000"/>
          <w:bdr w:val="nil"/>
        </w:rPr>
        <w:t xml:space="preserve">Deși îmbunătățirea schimbului de informații între organismele de securitate socială prin intermediul EESSI este de o importanță capitală, aceasta reprezintă doar primul pas. Este necesară continuarea digitalizării pentru: </w:t>
      </w:r>
    </w:p>
    <w:p>
      <w:pPr>
        <w:pStyle w:val="Bullet0"/>
        <w:numPr>
          <w:ilvl w:val="0"/>
          <w:numId w:val="21"/>
        </w:numPr>
        <w:rPr>
          <w:noProof/>
        </w:rPr>
      </w:pPr>
      <w:r>
        <w:rPr>
          <w:noProof/>
        </w:rPr>
        <w:t>consolidarea protecției persoanelor și a lucrătorilor prin facilitarea unui acces mai eficient la drepturile în materie de securitate socială în întreaga Europă;</w:t>
      </w:r>
    </w:p>
    <w:p>
      <w:pPr>
        <w:pStyle w:val="Bullet0"/>
        <w:numPr>
          <w:ilvl w:val="0"/>
          <w:numId w:val="21"/>
        </w:numPr>
        <w:rPr>
          <w:noProof/>
        </w:rPr>
      </w:pPr>
      <w:r>
        <w:rPr>
          <w:noProof/>
        </w:rPr>
        <w:t xml:space="preserve">reducerea obstacolelor administrative și a costurilor pentru persoanele care solicită acces la prestații de securitate socială în alte state membre și pentru întreprinderile care își desfășoară activitatea la nivel transfrontalier; </w:t>
      </w:r>
    </w:p>
    <w:p>
      <w:pPr>
        <w:pStyle w:val="Bullet0"/>
        <w:rPr>
          <w:noProof/>
          <w:bdr w:val="nil"/>
        </w:rPr>
      </w:pPr>
      <w:r>
        <w:rPr>
          <w:noProof/>
          <w:bdr w:val="nil"/>
        </w:rPr>
        <w:t xml:space="preserve">creșterea calității serviciilor publice transfrontaliere; </w:t>
      </w:r>
    </w:p>
    <w:p>
      <w:pPr>
        <w:pStyle w:val="Bullet0"/>
        <w:rPr>
          <w:noProof/>
          <w:bdr w:val="nil"/>
        </w:rPr>
      </w:pPr>
      <w:r>
        <w:rPr>
          <w:noProof/>
          <w:bdr w:val="nil"/>
        </w:rPr>
        <w:t>punerea la dispoziția statelor membre a unor instrumente mai eficace pentru combaterea fraudei, consolidând astfel protecția drepturilor și mobilitatea echitabilă.</w:t>
      </w:r>
    </w:p>
    <w:p>
      <w:pPr>
        <w:spacing w:before="240" w:line="276" w:lineRule="auto"/>
        <w:rPr>
          <w:rFonts w:eastAsia="Times New Roman"/>
          <w:noProof/>
          <w:color w:val="000000" w:themeColor="text1"/>
        </w:rPr>
      </w:pPr>
      <w:r>
        <w:rPr>
          <w:noProof/>
        </w:rPr>
        <w:t xml:space="preserve">Există în continuare </w:t>
      </w:r>
      <w:r>
        <w:rPr>
          <w:noProof/>
          <w:color w:val="000000"/>
          <w:bdr w:val="nil"/>
        </w:rPr>
        <w:t xml:space="preserve">provocări în ceea ce privește schimbul de informații între persoane fizice, </w:t>
      </w:r>
      <w:r>
        <w:rPr>
          <w:noProof/>
        </w:rPr>
        <w:t>întreprinderi și autoritățile naționale în situații transfrontaliere în domeniul securității sociale.</w:t>
      </w:r>
      <w:r>
        <w:rPr>
          <w:noProof/>
          <w:color w:val="000000" w:themeColor="text1"/>
        </w:rPr>
        <w:t xml:space="preserve"> </w:t>
      </w:r>
      <w:r>
        <w:rPr>
          <w:noProof/>
        </w:rPr>
        <w:t xml:space="preserve">Adesea, persoanele fizice se confruntă cu dificultăți în a-și </w:t>
      </w:r>
      <w:r>
        <w:rPr>
          <w:noProof/>
          <w:color w:val="000000"/>
          <w:bdr w:val="nil"/>
        </w:rPr>
        <w:t xml:space="preserve">dovedi </w:t>
      </w:r>
      <w:r>
        <w:rPr>
          <w:noProof/>
        </w:rPr>
        <w:t xml:space="preserve">cu promptitudine </w:t>
      </w:r>
      <w:r>
        <w:rPr>
          <w:noProof/>
          <w:color w:val="000000"/>
          <w:bdr w:val="nil"/>
        </w:rPr>
        <w:t xml:space="preserve">drepturile în materie de securitate socială atunci când se mută, </w:t>
      </w:r>
      <w:r>
        <w:rPr>
          <w:noProof/>
        </w:rPr>
        <w:t>călătoresc sau lucrează în alte țări.</w:t>
      </w:r>
      <w:r>
        <w:rPr>
          <w:noProof/>
          <w:color w:val="000000" w:themeColor="text1"/>
        </w:rPr>
        <w:t xml:space="preserve"> </w:t>
      </w:r>
      <w:r>
        <w:rPr>
          <w:noProof/>
        </w:rPr>
        <w:t>În același timp,</w:t>
      </w:r>
      <w:r>
        <w:rPr>
          <w:noProof/>
          <w:color w:val="000000"/>
          <w:bdr w:val="nil"/>
        </w:rPr>
        <w:t xml:space="preserve"> organismele de securitate socială, inspectoratele de muncă și furnizorii de servicii medicale nu dispun de modalități eficiente și sigure de confirmare a acestor informații </w:t>
      </w:r>
      <w:r>
        <w:rPr>
          <w:noProof/>
        </w:rPr>
        <w:t>între statele membre</w:t>
      </w:r>
      <w:r>
        <w:rPr>
          <w:noProof/>
          <w:color w:val="000000" w:themeColor="text1"/>
        </w:rPr>
        <w:t>.</w:t>
      </w:r>
      <w:r>
        <w:rPr>
          <w:noProof/>
          <w:color w:val="000000"/>
          <w:bdr w:val="nil"/>
        </w:rPr>
        <w:t xml:space="preserve"> Între timp, întreprinderile </w:t>
      </w:r>
      <w:r>
        <w:rPr>
          <w:noProof/>
          <w:color w:val="000000" w:themeColor="text1"/>
        </w:rPr>
        <w:t>–</w:t>
      </w:r>
      <w:r>
        <w:rPr>
          <w:noProof/>
          <w:color w:val="000000"/>
          <w:bdr w:val="nil"/>
        </w:rPr>
        <w:t xml:space="preserve"> în special întreprinderile </w:t>
      </w:r>
      <w:r>
        <w:rPr>
          <w:noProof/>
          <w:color w:val="000000" w:themeColor="text1"/>
        </w:rPr>
        <w:t xml:space="preserve">mici </w:t>
      </w:r>
      <w:r>
        <w:rPr>
          <w:noProof/>
        </w:rPr>
        <w:t>și mijlocii (</w:t>
      </w:r>
      <w:r>
        <w:rPr>
          <w:noProof/>
          <w:color w:val="000000" w:themeColor="text1"/>
        </w:rPr>
        <w:t>IMM-uri) – întâmpină în continuare dificultăți în respectarea fără sincope a cerințelor atunci când trimit lucrători să lucreze temporar în străinătate</w:t>
      </w:r>
      <w:r>
        <w:rPr>
          <w:rStyle w:val="FootnoteReference"/>
          <w:noProof/>
          <w:color w:val="000000" w:themeColor="text1"/>
        </w:rPr>
        <w:footnoteReference w:id="6"/>
      </w:r>
      <w:r>
        <w:rPr>
          <w:noProof/>
          <w:color w:val="000000" w:themeColor="text1"/>
        </w:rPr>
        <w:t xml:space="preserve">. </w:t>
      </w:r>
    </w:p>
    <w:p>
      <w:pPr>
        <w:spacing w:after="240" w:line="276" w:lineRule="auto"/>
        <w:rPr>
          <w:rFonts w:eastAsia="Times New Roman"/>
          <w:noProof/>
          <w:color w:val="000000" w:themeColor="text1"/>
        </w:rPr>
      </w:pPr>
      <w:r>
        <w:rPr>
          <w:noProof/>
          <w:color w:val="000000"/>
          <w:bdr w:val="nil"/>
        </w:rPr>
        <w:t>Problema este cauzat</w:t>
      </w:r>
      <w:r>
        <w:rPr>
          <w:noProof/>
        </w:rPr>
        <w:t>ă de:</w:t>
      </w:r>
      <w:r>
        <w:rPr>
          <w:noProof/>
          <w:color w:val="000000" w:themeColor="text1"/>
        </w:rPr>
        <w:t xml:space="preserve"> </w:t>
      </w:r>
    </w:p>
    <w:p>
      <w:pPr>
        <w:pStyle w:val="Bullet0"/>
        <w:rPr>
          <w:noProof/>
        </w:rPr>
      </w:pPr>
      <w:r>
        <w:rPr>
          <w:noProof/>
        </w:rPr>
        <w:t xml:space="preserve">procedurile existente pentru solicitarea, eliberarea și verificarea documentelor de securitate socială, inclusiv a cardului european de asigurări sociale de sănătate (CEASS), bazate încă în mare parte pe documente pe suport de hârtie; </w:t>
      </w:r>
    </w:p>
    <w:p>
      <w:pPr>
        <w:pStyle w:val="Bullet0"/>
        <w:rPr>
          <w:noProof/>
        </w:rPr>
      </w:pPr>
      <w:r>
        <w:rPr>
          <w:noProof/>
        </w:rPr>
        <w:t xml:space="preserve">interoperabilitatea transfrontalieră limitată și gradul redus de standardizare în ceea ce privește formatul documentelor și metodele de verificare; </w:t>
      </w:r>
    </w:p>
    <w:p>
      <w:pPr>
        <w:pStyle w:val="Bullet0"/>
        <w:rPr>
          <w:noProof/>
        </w:rPr>
      </w:pPr>
      <w:r>
        <w:rPr>
          <w:noProof/>
        </w:rPr>
        <w:t xml:space="preserve">procesele care nu răspund suficient nevoilor persoanelor fizice și ale întreprinderilor. </w:t>
      </w:r>
    </w:p>
    <w:p>
      <w:pPr>
        <w:spacing w:after="240" w:line="276" w:lineRule="auto"/>
        <w:rPr>
          <w:rFonts w:eastAsia="Times New Roman"/>
          <w:noProof/>
          <w:color w:val="000000"/>
          <w:bdr w:val="nil"/>
        </w:rPr>
      </w:pPr>
      <w:r>
        <w:rPr>
          <w:noProof/>
          <w:color w:val="000000" w:themeColor="text1"/>
        </w:rPr>
        <w:t>Această situație duce la ineficiențe, complexitate procedurală inutilă, costuri sporite, pierderi de timp, erori și fraudă. În consecință, accesul la prestațiile de securitate socială în alte state membre poate deveni mai dificil, creând astfel bariere concrete în calea mobilității în interiorul UE</w:t>
      </w:r>
      <w:r>
        <w:rPr>
          <w:rStyle w:val="FootnoteReference"/>
          <w:rFonts w:eastAsia="Times New Roman"/>
          <w:noProof/>
          <w:color w:val="000000" w:themeColor="text1"/>
        </w:rPr>
        <w:footnoteReference w:id="7"/>
      </w:r>
      <w:r>
        <w:rPr>
          <w:noProof/>
          <w:color w:val="000000" w:themeColor="text1"/>
        </w:rPr>
        <w:t>, a libertății de stabilire și a prestării transfrontaliere de servicii.</w:t>
      </w:r>
    </w:p>
    <w:p>
      <w:pPr>
        <w:spacing w:after="240" w:line="276" w:lineRule="auto"/>
        <w:rPr>
          <w:rFonts w:eastAsia="Times New Roman"/>
          <w:noProof/>
          <w:color w:val="000000"/>
          <w:bdr w:val="nil"/>
        </w:rPr>
      </w:pPr>
      <w:r>
        <w:rPr>
          <w:noProof/>
          <w:color w:val="000000"/>
          <w:bdr w:val="nil"/>
        </w:rPr>
        <w:t xml:space="preserve">În acest scop, a fost lansat proiectul-pilot privind </w:t>
      </w:r>
      <w:r>
        <w:rPr>
          <w:b/>
          <w:noProof/>
          <w:color w:val="000000"/>
          <w:bdr w:val="nil"/>
        </w:rPr>
        <w:t>Pașaportul european de securitate socială (ESSPASS)</w:t>
      </w:r>
      <w:r>
        <w:rPr>
          <w:noProof/>
          <w:color w:val="000000"/>
          <w:bdr w:val="nil"/>
        </w:rPr>
        <w:t>, în cadrul Planului de acțiune privind Pilonul european al drepturilor sociale. Scopul proiectului a fost de a explora o soluție digitală pentru eliberarea și verificarea transfrontalieră a documentelor de securitate socială. Între 2021 și 2025, au fost testate soluții digitale pentru procedurile legate de documentul portabil A1</w:t>
      </w:r>
      <w:r>
        <w:rPr>
          <w:rStyle w:val="FootnoteReference"/>
          <w:rFonts w:eastAsia="Times New Roman"/>
          <w:noProof/>
          <w:color w:val="000000"/>
          <w:bdr w:val="nil"/>
        </w:rPr>
        <w:footnoteReference w:id="8"/>
      </w:r>
      <w:r>
        <w:rPr>
          <w:noProof/>
          <w:color w:val="000000"/>
          <w:bdr w:val="nil"/>
        </w:rPr>
        <w:t xml:space="preserve"> și de CEASS, cu participarea unui număr semnificativ de state membre</w:t>
      </w:r>
      <w:r>
        <w:rPr>
          <w:rStyle w:val="FootnoteReference"/>
          <w:noProof/>
          <w:color w:val="000000"/>
          <w:bdr w:val="nil"/>
        </w:rPr>
        <w:footnoteReference w:id="9"/>
      </w:r>
      <w:r>
        <w:rPr>
          <w:noProof/>
          <w:color w:val="000000"/>
          <w:bdr w:val="nil"/>
        </w:rPr>
        <w:t xml:space="preserve">. </w:t>
      </w:r>
    </w:p>
    <w:p>
      <w:pPr>
        <w:spacing w:after="240" w:line="276" w:lineRule="auto"/>
        <w:rPr>
          <w:rFonts w:eastAsia="Times New Roman"/>
          <w:noProof/>
          <w:color w:val="000000"/>
          <w:bdr w:val="nil"/>
        </w:rPr>
      </w:pPr>
      <w:r>
        <w:rPr>
          <w:noProof/>
          <w:color w:val="000000"/>
          <w:bdr w:val="nil"/>
        </w:rPr>
        <w:t xml:space="preserve">Succesul proiectului-pilot a demonstrat </w:t>
      </w:r>
      <w:r>
        <w:rPr>
          <w:noProof/>
        </w:rPr>
        <w:t>clar că ESSPASS poate:</w:t>
      </w:r>
      <w:r>
        <w:rPr>
          <w:noProof/>
          <w:color w:val="000000" w:themeColor="text1"/>
        </w:rPr>
        <w:t xml:space="preserve"> </w:t>
      </w:r>
    </w:p>
    <w:p>
      <w:pPr>
        <w:pStyle w:val="Bullet0"/>
        <w:rPr>
          <w:noProof/>
          <w:bdr w:val="nil"/>
        </w:rPr>
      </w:pPr>
      <w:r>
        <w:rPr>
          <w:noProof/>
          <w:bdr w:val="nil"/>
        </w:rPr>
        <w:t xml:space="preserve">să le permită persoanelor fizice să își dovedească și să își exercite drepturile mai ușor și mai sigur la nivel transfrontalier; </w:t>
      </w:r>
    </w:p>
    <w:p>
      <w:pPr>
        <w:pStyle w:val="Bullet0"/>
        <w:rPr>
          <w:noProof/>
          <w:bdr w:val="nil"/>
        </w:rPr>
      </w:pPr>
      <w:r>
        <w:rPr>
          <w:noProof/>
          <w:bdr w:val="nil"/>
        </w:rPr>
        <w:t xml:space="preserve">să reducă sarcinile administrative pentru întreprinderi; </w:t>
      </w:r>
    </w:p>
    <w:p>
      <w:pPr>
        <w:pStyle w:val="Bullet0"/>
        <w:rPr>
          <w:noProof/>
          <w:bdr w:val="nil"/>
        </w:rPr>
      </w:pPr>
      <w:r>
        <w:rPr>
          <w:noProof/>
          <w:bdr w:val="nil"/>
        </w:rPr>
        <w:t xml:space="preserve">să consolideze prevenirea fraudei prin verificarea în timp real a documentelor digitale standardizate; </w:t>
      </w:r>
    </w:p>
    <w:p>
      <w:pPr>
        <w:pStyle w:val="Bullet0"/>
        <w:rPr>
          <w:noProof/>
          <w:bdr w:val="nil"/>
        </w:rPr>
      </w:pPr>
      <w:r>
        <w:rPr>
          <w:noProof/>
          <w:bdr w:val="nil"/>
        </w:rPr>
        <w:t xml:space="preserve">să sporească eficiența autorităților naționale prin reducerea dependenței de procesele bazate pe documente pe suport de hârtie. </w:t>
      </w:r>
    </w:p>
    <w:p>
      <w:pPr>
        <w:spacing w:after="240" w:line="276" w:lineRule="auto"/>
        <w:rPr>
          <w:rFonts w:eastAsia="Times New Roman"/>
          <w:noProof/>
          <w:color w:val="000000" w:themeColor="text1"/>
        </w:rPr>
      </w:pPr>
      <w:r>
        <w:rPr>
          <w:noProof/>
          <w:color w:val="000000"/>
          <w:bdr w:val="nil"/>
        </w:rPr>
        <w:t>Având în vedere</w:t>
      </w:r>
      <w:r>
        <w:rPr>
          <w:noProof/>
          <w:color w:val="000000" w:themeColor="text1"/>
        </w:rPr>
        <w:t xml:space="preserve"> aceste beneficii dovedite, Comisia a anunțat, </w:t>
      </w:r>
      <w:r>
        <w:rPr>
          <w:noProof/>
          <w:color w:val="000000"/>
          <w:bdr w:val="nil"/>
        </w:rPr>
        <w:t xml:space="preserve">în Strategia privind piața unică </w:t>
      </w:r>
      <w:r>
        <w:rPr>
          <w:noProof/>
          <w:color w:val="000000" w:themeColor="text1"/>
        </w:rPr>
        <w:t xml:space="preserve">și în programul său de lucru pentru 2026, </w:t>
      </w:r>
      <w:hyperlink r:id="rId21" w:history="1">
        <w:r>
          <w:rPr>
            <w:rStyle w:val="Hyperlink"/>
            <w:noProof/>
          </w:rPr>
          <w:t>un cadru legislativ</w:t>
        </w:r>
      </w:hyperlink>
      <w:r>
        <w:rPr>
          <w:noProof/>
        </w:rPr>
        <w:t xml:space="preserve"> care să </w:t>
      </w:r>
      <w:r>
        <w:rPr>
          <w:noProof/>
          <w:color w:val="000000" w:themeColor="text1"/>
        </w:rPr>
        <w:t xml:space="preserve">reglementeze </w:t>
      </w:r>
      <w:hyperlink r:id="rId22" w:history="1">
        <w:r>
          <w:rPr>
            <w:rStyle w:val="Hyperlink"/>
            <w:noProof/>
          </w:rPr>
          <w:t>ESSPASS</w:t>
        </w:r>
      </w:hyperlink>
      <w:r>
        <w:rPr>
          <w:noProof/>
          <w:color w:val="000000" w:themeColor="text1"/>
        </w:rPr>
        <w:t xml:space="preserve">, ca o componentă-cheie a Pachetului privind mobilitatea echitabilă a forței de muncă. </w:t>
      </w:r>
      <w:r>
        <w:rPr>
          <w:b/>
          <w:noProof/>
          <w:color w:val="000000" w:themeColor="text1"/>
        </w:rPr>
        <w:t>Regulamentul propus stabilește norme pentru implementarea rapidă a ESSPASS în toate statele membre. Acesta instituie un instrument juridic specific care vizează schimburile transfrontaliere de date în format digital și procedurile, inclusiv cele facilitate prin intermediul sistemului EESSI, necesare pentru a asigura punerea în aplicare efectivă a normelor UE de coordonare a securității sociale și respectarea acestora</w:t>
      </w:r>
      <w:r>
        <w:rPr>
          <w:noProof/>
          <w:color w:val="000000" w:themeColor="text1"/>
        </w:rPr>
        <w:t xml:space="preserve">. </w:t>
      </w:r>
    </w:p>
    <w:p>
      <w:pPr>
        <w:spacing w:after="240" w:line="276" w:lineRule="auto"/>
        <w:rPr>
          <w:rFonts w:eastAsia="Times New Roman"/>
          <w:noProof/>
          <w:color w:val="000000" w:themeColor="text1"/>
        </w:rPr>
      </w:pPr>
      <w:r>
        <w:rPr>
          <w:noProof/>
          <w:color w:val="000000" w:themeColor="text1"/>
        </w:rPr>
        <w:t>Este necesar un regulament de sine stătător care să abordeze toate aspectele digitale ale coordonării securității sociale, pentru a asigura claritatea juridică, coerența, forța executorie și flexibilitatea. Aceste obiective nu pot fi realizate pe deplin prin dispoziții fragmentate în cadrul existent de coordonare a securității sociale. Un instrument juridic specific ar stabili cerințele juridice, specificațiile și standardele tehnice necesare, cerințele de interoperabilitate, mecanismele de guvernanță și garanțiile solide în materie de securitate și de protecție a datelor. Acesta ar garanta, de asemenea, că măsurile obligatorii de punere în aplicare corespunzătoare sunt aplicate în mod uniform și eficace în toate statele membre. Totodată, o astfel de abordare ar oferi o mai mare flexibilitate pentru a ține seama de evoluțiile tehnologice viitoare. Prin separarea aspectelor digitale de cadrul de bază al UE de coordonare a securității sociale, regulamentul propus ar permite actualizări în timp util ale cerințelor tehnice, fără a fi necesare modificări ale cadrului respectiv. Acesta s-ar concentra exclusiv pe digitalizarea coordonării securității sociale, completând astfel cadrul juridic existent.</w:t>
      </w:r>
    </w:p>
    <w:p>
      <w:pPr>
        <w:spacing w:after="240" w:line="276" w:lineRule="auto"/>
        <w:rPr>
          <w:rFonts w:eastAsia="Times New Roman"/>
          <w:noProof/>
          <w:color w:val="000000"/>
          <w:bdr w:val="nil"/>
        </w:rPr>
      </w:pPr>
      <w:r>
        <w:rPr>
          <w:noProof/>
          <w:color w:val="000000"/>
          <w:bdr w:val="nil"/>
        </w:rPr>
        <w:t>Regulamentul propus va sprijini o tranziție lină de la etapa-pilot a ESSPASS la punerea în aplicare pe scară largă. Acesta se va aplica documentului portabil A1 la un an de la intrarea în vigoare, iar cardului european de asigurări sociale de sănătate după trei ani. După trei ani, acesta se va aplica, de asemenea, tuturor celorlalte documente de securitate socială, cu excepția celor pentru care o evaluare arată că digitalizarea în cadrul ESSPASS nu ar aduce valoare adăugată.</w:t>
      </w:r>
    </w:p>
    <w:p>
      <w:pPr>
        <w:spacing w:after="240" w:line="276" w:lineRule="auto"/>
        <w:rPr>
          <w:rFonts w:eastAsia="Times New Roman"/>
          <w:noProof/>
          <w:color w:val="000000" w:themeColor="text1"/>
        </w:rPr>
      </w:pPr>
      <w:r>
        <w:rPr>
          <w:noProof/>
          <w:color w:val="000000"/>
          <w:bdr w:val="nil"/>
        </w:rPr>
        <w:t xml:space="preserve">Pe baza cadrului european pentru identitatea digitală (EUDI) și a cadrului privind portalul digital unic, regulamentul propus va conferi persoanelor fizice acces direct și securizat la documentele lor de securitate socială prin intermediul portofelelor europene pentru identitatea digitală, în timp ce autoritățile naționale vor beneficia de posibilități de verificare instantanee și de modalități mai bune de detectare a fraudei. Introducerea unor termene obligatorii pentru eliberarea documentelor va asigura un grad mai mare de predictibilitate pentru persoanele fizice și întreprinderi, inclusiv pentru persoanele care desfășoară o activitate independentă, prin reducerea </w:t>
      </w:r>
      <w:r>
        <w:rPr>
          <w:noProof/>
        </w:rPr>
        <w:t>întârzierilor inutile.</w:t>
      </w:r>
      <w:r>
        <w:rPr>
          <w:noProof/>
          <w:color w:val="000000" w:themeColor="text1"/>
        </w:rPr>
        <w:t xml:space="preserve"> Astfel, se va contribui la exercitarea efectivă și în timp util a drepturilor în temeiul cadrului UE de coordonare a securității sociale. Totodată, se vor facilita operațiunile transfrontaliere ale întreprinderilor, acestea putând astfel să își planifice activitatea cu mai multă certitudine și să evite blocajele administrative generate de duratele variabile de prelucrare. </w:t>
      </w:r>
      <w:r>
        <w:rPr>
          <w:noProof/>
          <w:color w:val="000000"/>
          <w:bdr w:val="nil"/>
        </w:rPr>
        <w:t>O mai mare transparență și accesul direct la documentele care atestă drepturile vor permite lucrătorilor și persoanelor care desfășoară o activitate independentă să își dovedească mai ușor acoperirea atunci când lucrează la nivel transfrontalier, vor reduce obstacolele administrative legate de procedurile bazate pe documente pe suport de hârtie și vor contribui la prevenirea fraudei și a abuzurilor care le pot submina drepturile. Pentru întreprinderi, în special pentru IMM-uri, respectarea cerințelor privind detașarea va fi simplificată prin alinierea cerințelor în materie de informații aplicabile cererilor privind documentul portabil A1 și prin reducerea transmiterii repetate a acelorași date, în conformitate cu principiul „doar o singură dată”.</w:t>
      </w:r>
      <w:r>
        <w:rPr>
          <w:noProof/>
        </w:rPr>
        <w:t xml:space="preserve"> </w:t>
      </w:r>
      <w:r>
        <w:rPr>
          <w:noProof/>
          <w:color w:val="000000"/>
          <w:bdr w:val="nil"/>
        </w:rPr>
        <w:t xml:space="preserve">Astfel, se vor reduce costurile administrative, va spori securitatea juridică atunci când sunt trimiși lucrători în străinătate și se va facilita accesul mai rapid și mai fiabil la documentele necesare. </w:t>
      </w:r>
      <w:r>
        <w:rPr>
          <w:noProof/>
          <w:color w:val="000000" w:themeColor="text1"/>
        </w:rPr>
        <w:t xml:space="preserve">Totodată, guvernanța va fi consolidată și simplificată prin înlocuirea mecanismelor actuale cu o abordare mai agilă și mai structurată. Va fi creat un grup dedicat digitalizării coordonării securității sociale, alcătuit din reprezentanți ai statelor membre, pentru a contribui la elaborarea specificațiilor tehnice, la monitorizarea progreselor și la schimbul de experiență. Acest grup va </w:t>
      </w:r>
      <w:r>
        <w:rPr>
          <w:noProof/>
        </w:rPr>
        <w:t>continua activitatea desfășurată anterior de Comisia tehnică pentru prelucrarea datelor, instituită în temeiul articolului 73 din Regulamentul (CE) nr. 883/2004 al Parlamentului European și al Consiliului</w:t>
      </w:r>
      <w:r>
        <w:rPr>
          <w:rStyle w:val="FootnoteReference"/>
          <w:noProof/>
          <w:lang w:eastAsia="en-IE"/>
        </w:rPr>
        <w:footnoteReference w:id="10"/>
      </w:r>
      <w:r>
        <w:rPr>
          <w:noProof/>
        </w:rPr>
        <w:t xml:space="preserve">, și de grupul ad-hoc privind ESSPASS al Comisiei administrative pentru coordonarea sistemelor de securitate socială. În plus, </w:t>
      </w:r>
      <w:r>
        <w:rPr>
          <w:noProof/>
          <w:color w:val="000000" w:themeColor="text1"/>
        </w:rPr>
        <w:t>un comitet compus din reprezentanți ai statelor membre va sprijini Comisia în adoptarea actelor de punere în aplicare în conformitate cu procedura de examinare prevăzută la articolul 5 din Regulamentul (UE) nr. 182/2011 al Parlamentului European și al Consiliului</w:t>
      </w:r>
      <w:r>
        <w:rPr>
          <w:rStyle w:val="FootnoteReference"/>
          <w:rFonts w:eastAsia="Times New Roman"/>
          <w:noProof/>
          <w:color w:val="000000" w:themeColor="text1"/>
        </w:rPr>
        <w:footnoteReference w:id="11"/>
      </w:r>
      <w:r>
        <w:rPr>
          <w:noProof/>
          <w:color w:val="000000" w:themeColor="text1"/>
        </w:rPr>
        <w:t xml:space="preserve"> („comitetul de comitologie”). Astfel se va asigura că normele rămân flexibile și adaptate exigențelor viitorului, menținându-și în același timp caracterul obligatoriu. </w:t>
      </w:r>
    </w:p>
    <w:p>
      <w:pPr>
        <w:spacing w:after="240" w:line="276" w:lineRule="auto"/>
        <w:rPr>
          <w:noProof/>
          <w:color w:val="000000"/>
          <w:bdr w:val="nil"/>
        </w:rPr>
      </w:pPr>
      <w:r>
        <w:rPr>
          <w:noProof/>
          <w:color w:val="000000"/>
          <w:bdr w:val="nil"/>
        </w:rPr>
        <w:t>Regulamentul propus se referă la persoanele care intră sub incidența normelor UE privind coordonarea sistemelor de securitate socială, astfel cum sunt definite la articolul 2 din Regulamentul (CE) nr. 883/2004, printre acestea numărându-se lucrătorii salariați, persoanele care desfășoară activități independente, pensionarii, șomerii și persoanele asigurate inactive din punct de vedere economic, precum și membrii familiilor acestora. Aceste norme se aplică, de asemenea, în temeiul Regulamentului (UE) nr. 1231/2010</w:t>
      </w:r>
      <w:r>
        <w:rPr>
          <w:rStyle w:val="FootnoteReference"/>
          <w:noProof/>
        </w:rPr>
        <w:footnoteReference w:id="12"/>
      </w:r>
      <w:r>
        <w:rPr>
          <w:noProof/>
          <w:color w:val="000000"/>
          <w:bdr w:val="nil"/>
        </w:rPr>
        <w:t>, resortisanților țărilor terțe care își au reședința în mod legal într-un stat membru și care se află într-o situație transfrontalieră. Prin urmare, Regulamentul (UE) nr. 1231/2010 va trebui modificat pentru a se asigura că măsurile introduse prin prezenta propunere se aplică și acestor resortisanți ai țărilor terțe.</w:t>
      </w:r>
    </w:p>
    <w:p>
      <w:pPr>
        <w:spacing w:after="240" w:line="276" w:lineRule="auto"/>
        <w:rPr>
          <w:noProof/>
          <w:color w:val="000000"/>
          <w:bdr w:val="nil"/>
        </w:rPr>
      </w:pPr>
      <w:r>
        <w:rPr>
          <w:noProof/>
          <w:color w:val="000000"/>
          <w:bdr w:val="nil"/>
        </w:rPr>
        <w:t xml:space="preserve">În ceea ce privește acoperirea teritorială, regulamentul propus va cuprinde toate statele membre și va fi relevant și pentru țările SEE, Elveția și Regatul Unit, sub rezerva dispozițiilor juridice aplicabile. </w:t>
      </w:r>
    </w:p>
    <w:p>
      <w:pPr>
        <w:spacing w:after="240" w:line="276" w:lineRule="auto"/>
        <w:rPr>
          <w:b/>
          <w:noProof/>
          <w:color w:val="000000" w:themeColor="text1"/>
        </w:rPr>
      </w:pPr>
      <w:r>
        <w:rPr>
          <w:b/>
          <w:noProof/>
          <w:color w:val="000000" w:themeColor="text1"/>
        </w:rPr>
        <w:t>•</w:t>
      </w:r>
      <w:r>
        <w:rPr>
          <w:noProof/>
        </w:rPr>
        <w:tab/>
      </w:r>
      <w:r>
        <w:rPr>
          <w:b/>
          <w:noProof/>
          <w:color w:val="000000" w:themeColor="text1"/>
        </w:rPr>
        <w:t>Coerența cu dispozițiile existente în domeniul de politică vizat</w:t>
      </w:r>
    </w:p>
    <w:p>
      <w:pPr>
        <w:spacing w:after="240" w:line="276" w:lineRule="auto"/>
        <w:rPr>
          <w:rFonts w:eastAsia="Times New Roman"/>
          <w:noProof/>
          <w:color w:val="000000" w:themeColor="text1"/>
        </w:rPr>
      </w:pPr>
      <w:r>
        <w:rPr>
          <w:noProof/>
          <w:color w:val="000000" w:themeColor="text1"/>
        </w:rPr>
        <w:t xml:space="preserve">Regulamentul propus sprijină obiectivele Pilonului european al drepturilor sociale și este în concordanță cu legislația conexă existentă a Uniunii, în special cu normele UE de coordonare a securității sociale. </w:t>
      </w:r>
      <w:r>
        <w:rPr>
          <w:noProof/>
        </w:rPr>
        <w:t>Acesta completează aceste norme prin instituirea unui</w:t>
      </w:r>
      <w:r>
        <w:rPr>
          <w:noProof/>
          <w:color w:val="000000"/>
          <w:bdr w:val="nil"/>
        </w:rPr>
        <w:t xml:space="preserve"> instrument juridic specific care reglementează toate procedurile digitale transfrontaliere și schimburile de date necesare pentru a </w:t>
      </w:r>
      <w:r>
        <w:rPr>
          <w:noProof/>
        </w:rPr>
        <w:t>facilita punerea în aplicare efectivă a acestora și asigurarea respectării lor.</w:t>
      </w:r>
      <w:r>
        <w:rPr>
          <w:noProof/>
          <w:color w:val="000000" w:themeColor="text1"/>
        </w:rPr>
        <w:t xml:space="preserve"> Propunerea nu modifică drepturile și obligațiile existente prevăzute de cadrul de coordonare a securității sociale și nu afectează nivelul de protecție individuală asigurat de acesta. Recenta revizuire a modernizat și simplificat acest cadru. Propunerea este în concordanță cu această abordare, deoarece continuă procesul de modernizare și simplificare a aplicării cadrului prin digitalizare. Prin promovarea utilizării tehnologiilor digitale în toate statele membre, propunerea consolidează protecția existentă prin simplificarea accesului la drepturile și serviciile de securitate socială la nivel transfrontalier. </w:t>
      </w:r>
    </w:p>
    <w:p>
      <w:pPr>
        <w:spacing w:after="240" w:line="276" w:lineRule="auto"/>
        <w:rPr>
          <w:rFonts w:eastAsia="Times New Roman"/>
          <w:noProof/>
          <w:color w:val="000000" w:themeColor="text1"/>
        </w:rPr>
      </w:pPr>
      <w:r>
        <w:rPr>
          <w:noProof/>
          <w:color w:val="000000" w:themeColor="text1"/>
        </w:rPr>
        <w:t>Propunerea este în concordanță cu Regulamentul privind portalul digital unic (SDGR)</w:t>
      </w:r>
      <w:r>
        <w:rPr>
          <w:rStyle w:val="FootnoteReference"/>
          <w:rFonts w:eastAsia="Times New Roman"/>
          <w:noProof/>
          <w:color w:val="000000" w:themeColor="text1"/>
        </w:rPr>
        <w:footnoteReference w:id="13"/>
      </w:r>
      <w:r>
        <w:rPr>
          <w:noProof/>
          <w:color w:val="000000" w:themeColor="text1"/>
        </w:rPr>
        <w:t>. SDGR impune statelor membre să se asigure că persoanele fizice și întreprinderile pot accesa și finaliza integral online proceduri administrative, inclusiv: (i) cererile de stabilire a legislației în materie de securitate socială aplicabile titularului – al căror rezultat este eliberarea documentului portabil A1; (ii) cererile pentru CEASS; și (iii) cererile de pensie. Pentru a se asigura că persoanele fizice își pot exercita pe deplin drepturile la liberă circulație fără obstacole administrative, propunerea extinde domeniul de aplicare al SDGR pentru a permite depunerea integral online a cererilor pentru documente suplimentare de securitate socială.</w:t>
      </w:r>
    </w:p>
    <w:p>
      <w:pPr>
        <w:spacing w:after="240" w:line="276" w:lineRule="auto"/>
        <w:rPr>
          <w:rFonts w:eastAsia="Times New Roman"/>
          <w:noProof/>
          <w:color w:val="000000" w:themeColor="text1"/>
        </w:rPr>
      </w:pPr>
      <w:r>
        <w:rPr>
          <w:noProof/>
          <w:color w:val="000000" w:themeColor="text1"/>
        </w:rPr>
        <w:t xml:space="preserve">Propunerea face parte din Pachetul privind mobilitatea echitabilă a forței de muncă. Pachetul include măsuri menite să modernizeze și să simplifice aplicarea și asigurarea respectării normelor privind mobilitatea forței de muncă și coordonarea securității sociale. Scopul este de a se asigura că mobilitatea în interiorul UE este echitabilă și protejează lucrătorii împotriva exploatării sau a dezavantajelor legate de mobilitate, promovând totodată un mediu de afaceri competitiv și dinamic, bazat pe competențe și inovare. </w:t>
      </w:r>
    </w:p>
    <w:p>
      <w:pPr>
        <w:spacing w:after="240" w:line="276" w:lineRule="auto"/>
        <w:rPr>
          <w:b/>
          <w:noProof/>
          <w:color w:val="000000" w:themeColor="text1"/>
        </w:rPr>
      </w:pPr>
      <w:r>
        <w:rPr>
          <w:noProof/>
          <w:color w:val="000000" w:themeColor="text1"/>
        </w:rPr>
        <w:t xml:space="preserve"> </w:t>
      </w:r>
      <w:r>
        <w:rPr>
          <w:b/>
          <w:noProof/>
          <w:color w:val="000000" w:themeColor="text1"/>
        </w:rPr>
        <w:t>•</w:t>
      </w:r>
      <w:r>
        <w:rPr>
          <w:noProof/>
        </w:rPr>
        <w:tab/>
      </w:r>
      <w:r>
        <w:rPr>
          <w:b/>
          <w:noProof/>
          <w:color w:val="000000" w:themeColor="text1"/>
        </w:rPr>
        <w:t>Coerența cu alte politici ale Uniunii</w:t>
      </w:r>
    </w:p>
    <w:p>
      <w:pPr>
        <w:spacing w:after="240" w:line="276" w:lineRule="auto"/>
        <w:rPr>
          <w:rFonts w:eastAsia="Times New Roman"/>
          <w:noProof/>
          <w:color w:val="000000"/>
          <w:bdr w:val="nil"/>
        </w:rPr>
      </w:pPr>
      <w:r>
        <w:rPr>
          <w:noProof/>
          <w:color w:val="000000"/>
          <w:bdr w:val="nil"/>
        </w:rPr>
        <w:t>Propunerea</w:t>
      </w:r>
      <w:r>
        <w:rPr>
          <w:noProof/>
        </w:rPr>
        <w:t xml:space="preserve"> </w:t>
      </w:r>
      <w:r>
        <w:rPr>
          <w:noProof/>
          <w:color w:val="000000"/>
          <w:bdr w:val="nil"/>
        </w:rPr>
        <w:t xml:space="preserve">sprijină obiectivele europene de simplificare a procedurilor administrative pentru persoanele fizice, întreprinderile și autoritățile naționale, regionale și locale: mai puțină birocrație, mai multă încredere, o mai bună asigurare a respectării normelor. Astfel, se contribuie la relansarea competitivității UE, în conformitate cu raportul Draghi și cu Busola pentru competitivitatea UE. Propunerea completează, de asemenea, cel de al 28-lea regim, contribuind astfel la sprijinirea întreprinderilor (în special a start-upurilor și a întreprinderilor în fază de extindere) în depășirea barierelor din calea desfășurării activității în întreaga Europă și la promovarea creșterii economice, a inovării și a concurenței la nivel mondial. </w:t>
      </w:r>
    </w:p>
    <w:p>
      <w:pPr>
        <w:spacing w:after="240" w:line="276" w:lineRule="auto"/>
        <w:rPr>
          <w:rFonts w:eastAsia="Times New Roman"/>
          <w:noProof/>
          <w:color w:val="000000"/>
          <w:bdr w:val="nil"/>
        </w:rPr>
      </w:pPr>
      <w:r>
        <w:rPr>
          <w:noProof/>
          <w:color w:val="000000"/>
          <w:bdr w:val="nil"/>
        </w:rPr>
        <w:t>Propunerea se bazează pe eforturile în curs la nivelul UE de a promova participarea digitală incluzivă a tuturor persoanelor din Europa</w:t>
      </w:r>
      <w:r>
        <w:rPr>
          <w:rStyle w:val="FootnoteReference"/>
          <w:noProof/>
          <w:color w:val="000000"/>
          <w:bdr w:val="nil"/>
        </w:rPr>
        <w:footnoteReference w:id="14"/>
      </w:r>
      <w:r>
        <w:rPr>
          <w:noProof/>
          <w:color w:val="000000"/>
          <w:bdr w:val="nil"/>
        </w:rPr>
        <w:t xml:space="preserve"> și de a accelera digitalizarea serviciilor publice transfrontaliere. Acest lucru</w:t>
      </w:r>
      <w:r>
        <w:rPr>
          <w:noProof/>
        </w:rPr>
        <w:t xml:space="preserve"> </w:t>
      </w:r>
      <w:r>
        <w:rPr>
          <w:noProof/>
          <w:color w:val="000000"/>
          <w:bdr w:val="nil"/>
        </w:rPr>
        <w:t xml:space="preserve">este în concordanță cu obiectivele programului de politică pentru 2030 privind deceniul digital referitoare la furnizarea online în proporție de 100 % a serviciilor esențiale și la accesul persoanelor fizice la soluții securizate de identificare electronică până în 2030. Propunerea se bazează, de asemenea, pe inițiativele transsectoriale existente, cum ar fi SDGR și sistemul tehnic „doar o singură dată”, cadrul european pentru identitatea digitală și, eventual, viitoarele portofele europene pentru întreprinderi, Sistemul de informare al pieței interne și Regulamentul privind Europa interoperabilă. </w:t>
      </w:r>
    </w:p>
    <w:p>
      <w:pPr>
        <w:spacing w:after="240" w:line="276" w:lineRule="auto"/>
        <w:rPr>
          <w:rFonts w:eastAsia="Times New Roman"/>
          <w:noProof/>
          <w:color w:val="000000"/>
          <w:bdr w:val="nil"/>
        </w:rPr>
      </w:pPr>
      <w:r>
        <w:rPr>
          <w:noProof/>
          <w:color w:val="000000"/>
          <w:bdr w:val="nil"/>
        </w:rPr>
        <w:t>Propunerea completează alte</w:t>
      </w:r>
      <w:r>
        <w:rPr>
          <w:noProof/>
        </w:rPr>
        <w:t xml:space="preserve"> acte legislative, </w:t>
      </w:r>
      <w:r>
        <w:rPr>
          <w:noProof/>
          <w:color w:val="000000"/>
          <w:bdr w:val="nil"/>
        </w:rPr>
        <w:t>sisteme și instrumente care sprijină mobilitatea forței de muncă</w:t>
      </w:r>
      <w:r>
        <w:rPr>
          <w:noProof/>
        </w:rPr>
        <w:t xml:space="preserve">, prestarea transfrontalieră de servicii, </w:t>
      </w:r>
      <w:r>
        <w:rPr>
          <w:noProof/>
          <w:color w:val="000000"/>
          <w:bdr w:val="nil"/>
        </w:rPr>
        <w:t>protecția socială</w:t>
      </w:r>
      <w:r>
        <w:rPr>
          <w:noProof/>
        </w:rPr>
        <w:t>, asistența medicală transfrontalieră și asigurarea respectării dreptului muncii, menite să faciliteze și mai mult mobilitatea persoanelor fizice și a lucrătorilor în UE, să simplifice procedurile administrative pentru persoanele fizice, întreprinderile și autoritățile naționale și să garanteze respectarea drepturilor lucrătorilor.</w:t>
      </w:r>
      <w:r>
        <w:rPr>
          <w:noProof/>
          <w:color w:val="000000" w:themeColor="text1"/>
        </w:rPr>
        <w:t xml:space="preserve"> Astfel de sisteme și instrumente includ: </w:t>
      </w:r>
    </w:p>
    <w:p>
      <w:pPr>
        <w:pStyle w:val="Bullet0"/>
        <w:rPr>
          <w:noProof/>
          <w:bdr w:val="nil"/>
        </w:rPr>
      </w:pPr>
      <w:r>
        <w:rPr>
          <w:noProof/>
          <w:bdr w:val="nil"/>
        </w:rPr>
        <w:t xml:space="preserve">Serviciul european de urmărire a pensiilor; </w:t>
      </w:r>
    </w:p>
    <w:p>
      <w:pPr>
        <w:pStyle w:val="Bullet0"/>
        <w:rPr>
          <w:noProof/>
          <w:color w:val="000000"/>
          <w:bdr w:val="nil"/>
        </w:rPr>
      </w:pPr>
      <w:r>
        <w:rPr>
          <w:noProof/>
          <w:color w:val="000000"/>
          <w:bdr w:val="nil"/>
        </w:rPr>
        <w:t>propunerea privind o</w:t>
      </w:r>
      <w:r>
        <w:rPr>
          <w:noProof/>
        </w:rPr>
        <w:t xml:space="preserve"> declarație electronică pentru detașarea lucrătorilor, asupra căreia Parlamentul European și Consiliul au ajuns la un acord provizoriu, și portalul pentru declarațiile de detașare în sectorul transportului rutier</w:t>
      </w:r>
      <w:r>
        <w:rPr>
          <w:rStyle w:val="FootnoteReference"/>
          <w:noProof/>
        </w:rPr>
        <w:footnoteReference w:id="15"/>
      </w:r>
      <w:r>
        <w:rPr>
          <w:noProof/>
          <w:color w:val="000000"/>
          <w:bdr w:val="nil"/>
        </w:rPr>
        <w:t>;</w:t>
      </w:r>
    </w:p>
    <w:p>
      <w:pPr>
        <w:pStyle w:val="Bullet0"/>
        <w:rPr>
          <w:noProof/>
          <w:color w:val="000000"/>
          <w:bdr w:val="nil"/>
        </w:rPr>
      </w:pPr>
      <w:r>
        <w:rPr>
          <w:noProof/>
          <w:color w:val="000000"/>
          <w:bdr w:val="nil"/>
        </w:rPr>
        <w:t>spațiul european al datelor privind sănătatea, inclusiv infrastructura MyHealth@EU, prevăzut în Regulamentul (UE) 2025/327 al Parlamentului European și al Consiliului</w:t>
      </w:r>
      <w:r>
        <w:rPr>
          <w:rStyle w:val="FootnoteReference"/>
          <w:rFonts w:eastAsia="Times New Roman"/>
          <w:noProof/>
          <w:color w:val="000000" w:themeColor="text1"/>
        </w:rPr>
        <w:footnoteReference w:id="16"/>
      </w:r>
      <w:r>
        <w:rPr>
          <w:noProof/>
          <w:color w:val="000000"/>
          <w:bdr w:val="nil"/>
        </w:rPr>
        <w:t xml:space="preserve">; </w:t>
      </w:r>
    </w:p>
    <w:p>
      <w:pPr>
        <w:pStyle w:val="Bullet0"/>
        <w:rPr>
          <w:noProof/>
          <w:color w:val="000000"/>
          <w:bdr w:val="nil"/>
        </w:rPr>
      </w:pPr>
      <w:r>
        <w:rPr>
          <w:noProof/>
          <w:color w:val="000000"/>
          <w:bdr w:val="nil"/>
        </w:rPr>
        <w:t>inițiative de explorare a potențialului de interoperabilitate între cărțile de identitate profesională și cărțile de identitate socială din diferite state membre.</w:t>
      </w:r>
    </w:p>
    <w:p>
      <w:pPr>
        <w:pBdr>
          <w:top w:val="nil"/>
          <w:left w:val="nil"/>
          <w:bottom w:val="nil"/>
          <w:right w:val="nil"/>
          <w:between w:val="nil"/>
          <w:bar w:val="nil"/>
        </w:pBdr>
        <w:spacing w:before="240" w:after="240" w:line="276" w:lineRule="auto"/>
        <w:rPr>
          <w:b/>
          <w:noProof/>
          <w:color w:val="000000"/>
          <w:bdr w:val="nil"/>
        </w:rPr>
      </w:pPr>
      <w:r>
        <w:rPr>
          <w:b/>
          <w:noProof/>
          <w:color w:val="000000"/>
          <w:bdr w:val="nil"/>
        </w:rPr>
        <w:t>2.</w:t>
      </w:r>
      <w:r>
        <w:rPr>
          <w:noProof/>
        </w:rPr>
        <w:tab/>
      </w:r>
      <w:r>
        <w:rPr>
          <w:b/>
          <w:noProof/>
          <w:color w:val="000000"/>
          <w:bdr w:val="nil"/>
        </w:rPr>
        <w:t>TEMEI JURIDIC, SUBSIDIARITATE ȘI PROPORȚIONALITATE</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Temeiul juridic</w:t>
      </w:r>
    </w:p>
    <w:p>
      <w:pPr>
        <w:pBdr>
          <w:top w:val="nil"/>
          <w:left w:val="nil"/>
          <w:bottom w:val="nil"/>
          <w:right w:val="nil"/>
          <w:between w:val="nil"/>
          <w:bar w:val="nil"/>
        </w:pBdr>
        <w:spacing w:after="240" w:line="276" w:lineRule="auto"/>
        <w:rPr>
          <w:noProof/>
          <w:color w:val="000000" w:themeColor="text1"/>
        </w:rPr>
      </w:pPr>
      <w:r>
        <w:rPr>
          <w:noProof/>
          <w:color w:val="000000"/>
          <w:bdr w:val="nil"/>
        </w:rPr>
        <w:t>Propunerea este întemeiată pe articolul</w:t>
      </w:r>
      <w:r>
        <w:rPr>
          <w:noProof/>
        </w:rPr>
        <w:t> </w:t>
      </w:r>
      <w:r>
        <w:rPr>
          <w:noProof/>
          <w:color w:val="000000"/>
          <w:bdr w:val="nil"/>
        </w:rPr>
        <w:t>48 din Tratatul privind funcționarea Uniunii Europene (TFUE</w:t>
      </w:r>
      <w:r>
        <w:rPr>
          <w:noProof/>
        </w:rPr>
        <w:t>).</w:t>
      </w:r>
      <w:r>
        <w:rPr>
          <w:noProof/>
          <w:color w:val="000000" w:themeColor="text1"/>
        </w:rPr>
        <w:t xml:space="preserve"> </w:t>
      </w:r>
      <w:r>
        <w:rPr>
          <w:noProof/>
        </w:rPr>
        <w:t>Acest articol</w:t>
      </w:r>
      <w:r>
        <w:rPr>
          <w:noProof/>
          <w:color w:val="000000" w:themeColor="text1"/>
        </w:rPr>
        <w:t xml:space="preserve"> </w:t>
      </w:r>
      <w:r>
        <w:rPr>
          <w:noProof/>
        </w:rPr>
        <w:t>conferă</w:t>
      </w:r>
      <w:r>
        <w:rPr>
          <w:noProof/>
          <w:color w:val="000000"/>
          <w:bdr w:val="nil"/>
        </w:rPr>
        <w:t xml:space="preserve"> Uniunii </w:t>
      </w:r>
      <w:r>
        <w:rPr>
          <w:noProof/>
        </w:rPr>
        <w:t xml:space="preserve">competența </w:t>
      </w:r>
      <w:r>
        <w:rPr>
          <w:noProof/>
          <w:color w:val="000000"/>
          <w:bdr w:val="nil"/>
        </w:rPr>
        <w:t xml:space="preserve">de a adopta măsuri de coordonare a sistemelor de securitate socială ale statelor membre </w:t>
      </w:r>
      <w:r>
        <w:rPr>
          <w:noProof/>
        </w:rPr>
        <w:t>pentru a facilita libera circulație a lucrătorilor și</w:t>
      </w:r>
      <w:r>
        <w:rPr>
          <w:noProof/>
          <w:color w:val="000000"/>
          <w:bdr w:val="nil"/>
        </w:rPr>
        <w:t xml:space="preserve"> protecția drepturilor lor în materie de securitate socială în întreaga Uniune. În timp ce articolul</w:t>
      </w:r>
      <w:r>
        <w:rPr>
          <w:noProof/>
        </w:rPr>
        <w:t> </w:t>
      </w:r>
      <w:r>
        <w:rPr>
          <w:noProof/>
          <w:color w:val="000000"/>
          <w:bdr w:val="nil"/>
        </w:rPr>
        <w:t>48 din TFUE se aplică lucrătorilor migranți salariați sau care desfășoară o activitate independentă și „persoanelor aflate în întreținerea acestora</w:t>
      </w:r>
      <w:r>
        <w:rPr>
          <w:noProof/>
        </w:rPr>
        <w:t>”, Regulamentul (CE) nr. </w:t>
      </w:r>
      <w:r>
        <w:rPr>
          <w:noProof/>
          <w:color w:val="000000"/>
          <w:bdr w:val="nil"/>
        </w:rPr>
        <w:t xml:space="preserve">883/2004, bazat pe actualele articole 48 și 352 din TFUE, extinde coordonarea securității sociale la </w:t>
      </w:r>
      <w:r>
        <w:rPr>
          <w:noProof/>
        </w:rPr>
        <w:t>persoanele</w:t>
      </w:r>
      <w:r>
        <w:rPr>
          <w:noProof/>
          <w:color w:val="000000"/>
          <w:bdr w:val="nil"/>
        </w:rPr>
        <w:t xml:space="preserve"> care se deplasează în interiorul Uniunii și care</w:t>
      </w:r>
      <w:r>
        <w:rPr>
          <w:noProof/>
        </w:rPr>
        <w:t xml:space="preserve"> nu desfășoară o activitate economică.</w:t>
      </w:r>
      <w:r>
        <w:rPr>
          <w:noProof/>
          <w:color w:val="000000" w:themeColor="text1"/>
        </w:rPr>
        <w:t xml:space="preserve"> </w:t>
      </w:r>
      <w:r>
        <w:rPr>
          <w:noProof/>
          <w:color w:val="000000"/>
          <w:bdr w:val="nil"/>
        </w:rPr>
        <w:t>Articolul </w:t>
      </w:r>
      <w:r>
        <w:rPr>
          <w:noProof/>
        </w:rPr>
        <w:t>48 din TFUE oferă un temei juridic solid pentru adoptarea de măsuri complementare cadrului existent de coordonare a securității sociale, pentru a digitaliza procedurile transfrontaliere de securitate socială și pentru a facilita accesul la prestațiile de securitate socială și mobilitatea echitabilă în cadrul UE.</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 xml:space="preserve">Subsidiaritatea (în cazul competențelor neexclusive) </w:t>
      </w:r>
    </w:p>
    <w:p>
      <w:pPr>
        <w:pBdr>
          <w:top w:val="nil"/>
          <w:left w:val="nil"/>
          <w:bottom w:val="nil"/>
          <w:right w:val="nil"/>
          <w:between w:val="nil"/>
          <w:bar w:val="nil"/>
        </w:pBdr>
        <w:spacing w:after="240" w:line="276" w:lineRule="auto"/>
        <w:rPr>
          <w:noProof/>
          <w:color w:val="000000"/>
          <w:bdr w:val="nil"/>
        </w:rPr>
      </w:pPr>
      <w:r>
        <w:rPr>
          <w:noProof/>
          <w:color w:val="000000"/>
          <w:bdr w:val="nil"/>
        </w:rPr>
        <w:t xml:space="preserve">Libera circulație a </w:t>
      </w:r>
      <w:r>
        <w:rPr>
          <w:noProof/>
        </w:rPr>
        <w:t>persoanelor</w:t>
      </w:r>
      <w:r>
        <w:rPr>
          <w:noProof/>
          <w:color w:val="000000"/>
          <w:bdr w:val="nil"/>
        </w:rPr>
        <w:t xml:space="preserve"> și libera prestare a serviciilor sunt libertăți fundamentale ale Uniunii Europene. Pentru a beneficia pe deplin de aceste libertăți, persoanele fizice și întreprinderile trebuie să se bazeze pe servicii publice eficiente, inclusiv atunci când accesează prestațiile de securitate socială sau când trimit lucrători să lucreze în străinătate. Barierele din calea dovedirii fără dificultăți și a verificării transfrontaliere a drepturilor în materie de securitate socială și a statutului de asigurat nu pot fi abordate în mod eficace de către statele membre pe cont propriu. Soluțiile digitale puse în aplicare de un singur stat membru nu vor asigura interoperabilitatea transfrontalieră și recunoașterea și verificarea documentelor de securitate socială.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Acțiunea la nivelul UE va îmbunătăți modalitățile de dovedire și verificare a drepturilor în materie de securitate socială și a statutului de asigurat. La rândul său, această măsură va îmbunătăți accesul la prestații și la asistență medicală, creând astfel un mediu mai favorabil pentru lucrătorii care se mută sau intenționează să se mute în interiorul UE ori care se află în situații transfrontaliere. Având în vedere caracterul transfrontalier al problemelor existente, soluțiile eficace pot fi găsite mai degrabă la nivelul UE decât prin eforturi individuale ale statelor membre. Acțiunea la nivelul UE va aduce beneficii persoanelor fizice mobile, sporind transparența și accesibilitatea drepturilor lor în materie de securitate socială, reducând în același timp practicile frauduloase și de exploatare. Prin reducerea dificultăților administrative inutile și a complexității, acțiunea UE va sprijini întreprinderile care își desfășoară activitatea la nivel transfrontalier, precum și autoritățile naționale, regionale și locale prin simplificarea proceselor și consolidarea cooperării transfrontaliere. Aceasta va contribui la o mai bună înțelegere și punere în aplicare a normelor și va facilita asigurarea respectării acestora, consolidând în același timp încrederea în cadrul UE de coordonare a securității sociale și în piața unică a Europei.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Acțiunea UE va maximiza, de asemenea, impactul investițiilor anterioare ale UE, completând principalele inițiative digitale ale UE, cum ar fi SDGR și sistemul tehnic „doar o singură dată” (OOTS), cadrul EUDI, portofelele europene pentru întreprinderi, Regulamentul privind Europa interoperabilă și Spațiul european al datelor privind sănătatea. Astfel, acțiunea UE va face parte dintr-un peisaj digital al UE coerent și unitar, care servește intereselor UE și ale statelor sale membre. În lipsa unei acțiuni imediate la nivelul UE, măsurile adoptate de statele membre ar conduce probabil la soluții fragmentate, necoordonate și incompatibile, care nu s-ar integra în inițiativele existente ale UE. O asemenea situație ar putea genera rezultate suboptime, a căror remediere ulterioară ar fi mai costisitoare. </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Proporționalitatea</w:t>
      </w:r>
    </w:p>
    <w:p>
      <w:pPr>
        <w:pBdr>
          <w:top w:val="nil"/>
          <w:left w:val="nil"/>
          <w:bottom w:val="nil"/>
          <w:right w:val="nil"/>
          <w:between w:val="nil"/>
          <w:bar w:val="nil"/>
        </w:pBdr>
        <w:spacing w:after="240" w:line="276" w:lineRule="auto"/>
        <w:rPr>
          <w:rFonts w:eastAsia="Times New Roman"/>
          <w:noProof/>
          <w:color w:val="000000" w:themeColor="text1"/>
        </w:rPr>
      </w:pPr>
      <w:r>
        <w:rPr>
          <w:noProof/>
          <w:color w:val="000000"/>
          <w:bdr w:val="nil"/>
        </w:rPr>
        <w:t xml:space="preserve">Propunerea respectă principiul proporționalității, deoarece nu depășește ceea ce este necesar și </w:t>
      </w:r>
      <w:r>
        <w:rPr>
          <w:noProof/>
        </w:rPr>
        <w:t xml:space="preserve">adecvat pentru </w:t>
      </w:r>
      <w:r>
        <w:rPr>
          <w:noProof/>
          <w:color w:val="000000"/>
          <w:bdr w:val="nil"/>
        </w:rPr>
        <w:t>acțiunea UE</w:t>
      </w:r>
      <w:r>
        <w:rPr>
          <w:noProof/>
        </w:rPr>
        <w:t>.</w:t>
      </w:r>
      <w:r>
        <w:rPr>
          <w:noProof/>
          <w:color w:val="000000"/>
          <w:bdr w:val="nil"/>
        </w:rPr>
        <w:t xml:space="preserve"> Aceasta </w:t>
      </w:r>
      <w:r>
        <w:rPr>
          <w:noProof/>
        </w:rPr>
        <w:t>instituie cadrul ESSPASS pentru solicitarea, eliberarea și verificarea transfrontalieră a documentelor de securitate socială create în temeiul normelor UE de coordonare a securității sociale.</w:t>
      </w:r>
      <w:r>
        <w:rPr>
          <w:noProof/>
          <w:color w:val="000000" w:themeColor="text1"/>
        </w:rPr>
        <w:t xml:space="preserve"> Cadrul astfel instituit asigură interoperabilitatea, schimbul digital și recunoașterea reciprocă a acestor documente, fără a aduce atingere sistemelor naționale de securitate socială. </w:t>
      </w:r>
      <w:r>
        <w:rPr>
          <w:noProof/>
        </w:rPr>
        <w:t xml:space="preserve">Prin faptul că se bazează pe </w:t>
      </w:r>
      <w:r>
        <w:rPr>
          <w:noProof/>
          <w:color w:val="000000"/>
          <w:bdr w:val="nil"/>
        </w:rPr>
        <w:t xml:space="preserve">cadrul existent al UE </w:t>
      </w:r>
      <w:r>
        <w:rPr>
          <w:noProof/>
        </w:rPr>
        <w:t xml:space="preserve">(în special pe </w:t>
      </w:r>
      <w:r>
        <w:rPr>
          <w:noProof/>
          <w:color w:val="000000"/>
          <w:bdr w:val="nil"/>
        </w:rPr>
        <w:t>cadrul EUDI</w:t>
      </w:r>
      <w:r>
        <w:rPr>
          <w:noProof/>
        </w:rPr>
        <w:t xml:space="preserve">), </w:t>
      </w:r>
      <w:r>
        <w:rPr>
          <w:noProof/>
          <w:color w:val="000000"/>
          <w:bdr w:val="nil"/>
        </w:rPr>
        <w:t xml:space="preserve">în loc să creeze o soluție complet nouă, </w:t>
      </w:r>
      <w:r>
        <w:rPr>
          <w:noProof/>
        </w:rPr>
        <w:t>ESSPASS respectă, de asemenea, principiul proporționalității, utilizând o strategie eficace din punctul de vedere al costurilor, care reduce la minimum costurile și optimizează utilizarea resurselor.</w:t>
      </w:r>
      <w:r>
        <w:rPr>
          <w:noProof/>
          <w:color w:val="000000" w:themeColor="text1"/>
        </w:rPr>
        <w:t xml:space="preserve">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Propunerea nu introduce cerințe noi de declarare, raportare sau documentare pentru angajatori sau pentru persoanele care desfășoară activități independente și nici nu aduce modificări criteriilor utilizate pentru stabilirea legislației în materie de securitate socială aplicabile unei persoane aflate într-o situație transfrontalieră. </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Alegerea instrumentului</w:t>
      </w:r>
    </w:p>
    <w:p>
      <w:pPr>
        <w:pBdr>
          <w:top w:val="nil"/>
          <w:left w:val="nil"/>
          <w:bottom w:val="nil"/>
          <w:right w:val="nil"/>
          <w:between w:val="nil"/>
          <w:bar w:val="nil"/>
        </w:pBdr>
        <w:spacing w:after="240" w:line="276" w:lineRule="auto"/>
        <w:rPr>
          <w:b/>
          <w:noProof/>
          <w:color w:val="000000"/>
          <w:bdr w:val="nil"/>
        </w:rPr>
      </w:pPr>
      <w:r>
        <w:rPr>
          <w:noProof/>
          <w:color w:val="000000"/>
          <w:bdr w:val="nil"/>
        </w:rPr>
        <w:t>Având în vedere caracterul transfrontalier al problemei și necesitatea de a preveni fragmentarea reglementărilor, un regulament este considerat instrumentul juridic cel mai adecvat, eficace și proporțional pentru atingerea obiectivelor de politică stabilite. Fiind un act direct aplicabil, acesta asigură aplicarea uniformă în toate statele membre, prevenind fragmentarea și asigurând securitatea juridică și eficacitatea. Această alegere este, de asemenea, în concordanță cu temeiul juridic</w:t>
      </w:r>
      <w:r>
        <w:rPr>
          <w:noProof/>
        </w:rPr>
        <w:t xml:space="preserve"> identificat și cu cadrul existent de coordonare a securității sociale, pe care îl completează</w:t>
      </w:r>
      <w:r>
        <w:rPr>
          <w:noProof/>
          <w:color w:val="000000" w:themeColor="text1"/>
        </w:rPr>
        <w:t>.</w:t>
      </w:r>
      <w:r>
        <w:rPr>
          <w:noProof/>
          <w:color w:val="000000"/>
          <w:bdr w:val="nil"/>
        </w:rPr>
        <w:t xml:space="preserve"> </w:t>
      </w:r>
    </w:p>
    <w:p>
      <w:pPr>
        <w:pBdr>
          <w:top w:val="nil"/>
          <w:left w:val="nil"/>
          <w:bottom w:val="nil"/>
          <w:right w:val="nil"/>
          <w:between w:val="nil"/>
          <w:bar w:val="nil"/>
        </w:pBdr>
        <w:spacing w:after="240" w:line="276" w:lineRule="auto"/>
        <w:ind w:left="720" w:hanging="720"/>
        <w:rPr>
          <w:b/>
          <w:noProof/>
          <w:color w:val="000000"/>
          <w:bdr w:val="nil"/>
        </w:rPr>
      </w:pPr>
      <w:r>
        <w:rPr>
          <w:b/>
          <w:noProof/>
          <w:color w:val="000000"/>
          <w:bdr w:val="nil"/>
        </w:rPr>
        <w:t>3.</w:t>
      </w:r>
      <w:r>
        <w:rPr>
          <w:noProof/>
        </w:rPr>
        <w:tab/>
      </w:r>
      <w:r>
        <w:rPr>
          <w:b/>
          <w:noProof/>
          <w:color w:val="000000"/>
          <w:bdr w:val="nil"/>
        </w:rPr>
        <w:t xml:space="preserve">REZULTATELE EVALUĂRILOR </w:t>
      </w:r>
      <w:r>
        <w:rPr>
          <w:b/>
          <w:i/>
          <w:noProof/>
          <w:color w:val="000000"/>
          <w:bdr w:val="nil"/>
        </w:rPr>
        <w:t>EX POST</w:t>
      </w:r>
      <w:r>
        <w:rPr>
          <w:b/>
          <w:noProof/>
          <w:color w:val="000000"/>
          <w:bdr w:val="nil"/>
        </w:rPr>
        <w:t>, ALE CONSULTĂRILOR CU PĂRȚILE INTERESATE ȘI ALE EVALUĂRILOR IMPACTULUI</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 xml:space="preserve">Evaluările </w:t>
      </w:r>
      <w:r>
        <w:rPr>
          <w:b/>
          <w:i/>
          <w:noProof/>
          <w:color w:val="000000"/>
          <w:bdr w:val="nil"/>
        </w:rPr>
        <w:t>ex post</w:t>
      </w:r>
      <w:r>
        <w:rPr>
          <w:b/>
          <w:noProof/>
          <w:color w:val="000000"/>
          <w:bdr w:val="nil"/>
        </w:rPr>
        <w:t>/verificarea adecvării legislației existente</w:t>
      </w:r>
    </w:p>
    <w:p>
      <w:pPr>
        <w:spacing w:line="276" w:lineRule="auto"/>
        <w:rPr>
          <w:rFonts w:eastAsia="Times New Roman"/>
          <w:noProof/>
        </w:rPr>
      </w:pPr>
    </w:p>
    <w:p>
      <w:pPr>
        <w:pBdr>
          <w:top w:val="nil"/>
          <w:left w:val="nil"/>
          <w:bottom w:val="nil"/>
          <w:right w:val="nil"/>
          <w:between w:val="nil"/>
        </w:pBdr>
        <w:spacing w:after="240" w:line="276" w:lineRule="auto"/>
        <w:rPr>
          <w:noProof/>
        </w:rPr>
      </w:pPr>
      <w:r>
        <w:rPr>
          <w:b/>
          <w:noProof/>
          <w:color w:val="000000" w:themeColor="text1"/>
        </w:rPr>
        <w:t>N/A</w:t>
      </w:r>
    </w:p>
    <w:p>
      <w:pPr>
        <w:pBdr>
          <w:top w:val="nil"/>
          <w:left w:val="nil"/>
          <w:bottom w:val="nil"/>
          <w:right w:val="nil"/>
          <w:between w:val="nil"/>
        </w:pBdr>
        <w:spacing w:after="240" w:line="276" w:lineRule="auto"/>
        <w:rPr>
          <w:b/>
          <w:noProof/>
          <w:color w:val="000000" w:themeColor="text1"/>
        </w:rPr>
      </w:pPr>
      <w:r>
        <w:rPr>
          <w:b/>
          <w:noProof/>
          <w:color w:val="000000" w:themeColor="text1"/>
        </w:rPr>
        <w:t>•</w:t>
      </w:r>
      <w:r>
        <w:rPr>
          <w:noProof/>
        </w:rPr>
        <w:tab/>
      </w:r>
      <w:r>
        <w:rPr>
          <w:b/>
          <w:noProof/>
          <w:color w:val="000000" w:themeColor="text1"/>
        </w:rPr>
        <w:t>Consultările cu părțile interesate</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Încă de la </w:t>
      </w:r>
      <w:r>
        <w:rPr>
          <w:noProof/>
        </w:rPr>
        <w:t>început</w:t>
      </w:r>
      <w:r>
        <w:rPr>
          <w:noProof/>
          <w:color w:val="000000"/>
          <w:bdr w:val="nil"/>
        </w:rPr>
        <w:t xml:space="preserve">, Comisia a plasat implicarea părților interesate în centrul planificării sale strategice, recunoscând rolul esențial al acesteia în elaborarea unor politici eficace. Comisia a lansat </w:t>
      </w:r>
      <w:r>
        <w:rPr>
          <w:noProof/>
        </w:rPr>
        <w:t>ESSPASS ca proiect-pilot pentru a implica în mod activ statele membre încă din primele etape de dezvoltare și pentru a încuraja asumarea responsabilității de către acestea.</w:t>
      </w:r>
      <w:r>
        <w:rPr>
          <w:noProof/>
          <w:color w:val="000000" w:themeColor="text1"/>
        </w:rPr>
        <w:t xml:space="preserve"> Astfel, s-a asigurat faptul că inițiativa este fezabilă și răspunde nevoilor și realităților celor cărora li se adresează. Activitățile-pilot nu numai că au demonstrat viabilitatea și beneficiile ESSPASS, ci au oferit și feedback valoros, expertiză tehnică și informații utile. Aceste contribuții au stat în mod direct la baza deciziilor privind dezvoltarea ulterioară a inițiativei.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În conformitate cu principiile unei mai bune legiferări, Comisia a desfășurat consultări ample pentru a se asigura că punctele de vedere și interesele tuturor părților interesate relevante au fost luate în considerare și integrate în procesul de elaborare a politicilor. În cadrul procesului de consultare a fost colectat feedback cu privire la amploarea și natura problemelor care trebuie abordate, la obiectivele inițiativei propuse, la opțiunile de politică avute în vedere și la impactul potențial al acestora – inclusiv costurile și oportunitățile de simplificare. Această amplă colectare de date și informații a inclus următoarele activități, dintre care unele s-au desfășurat în cadrul unui studiu de sprijin privind digitalizarea coordonării securității sociale:</w:t>
      </w:r>
    </w:p>
    <w:p>
      <w:pPr>
        <w:pStyle w:val="Tiret0"/>
        <w:numPr>
          <w:ilvl w:val="0"/>
          <w:numId w:val="22"/>
        </w:numPr>
        <w:rPr>
          <w:noProof/>
          <w:bdr w:val="nil"/>
        </w:rPr>
      </w:pPr>
      <w:r>
        <w:rPr>
          <w:noProof/>
          <w:bdr w:val="nil"/>
        </w:rPr>
        <w:t>două sondaje (martie-aprilie 2025) adresate organismelor de securitate socială, furnizorilor de servicii medicale și autorităților responsabile cu asigurarea respectării normelor, la care s-au primit 87 de răspunsuri din 32 de țări; </w:t>
      </w:r>
    </w:p>
    <w:p>
      <w:pPr>
        <w:pStyle w:val="Tiret0"/>
        <w:rPr>
          <w:noProof/>
          <w:bdr w:val="nil"/>
        </w:rPr>
      </w:pPr>
      <w:r>
        <w:rPr>
          <w:noProof/>
          <w:bdr w:val="nil"/>
        </w:rPr>
        <w:t>97 de interviuri cu părți interesate (2025) – autorități naționale, parteneri sociali și experți tehnici – pentru evaluarea costurilor, a beneficiilor și a fezabilității; </w:t>
      </w:r>
    </w:p>
    <w:p>
      <w:pPr>
        <w:pStyle w:val="Tiret0"/>
        <w:rPr>
          <w:noProof/>
          <w:bdr w:val="nil"/>
        </w:rPr>
      </w:pPr>
      <w:r>
        <w:rPr>
          <w:noProof/>
          <w:bdr w:val="nil"/>
        </w:rPr>
        <w:t>două ateliere (iunie 2025) cu 62 și, respectiv, 44 de participanți, pentru a valida definirea problemelor și opțiunile de politică; </w:t>
      </w:r>
    </w:p>
    <w:p>
      <w:pPr>
        <w:pStyle w:val="Tiret0"/>
        <w:rPr>
          <w:noProof/>
          <w:bdr w:val="nil"/>
        </w:rPr>
      </w:pPr>
      <w:r>
        <w:rPr>
          <w:noProof/>
          <w:bdr w:val="nil"/>
        </w:rPr>
        <w:t>reuniuni cu experți implicați în proiectele-pilot ESSPASS (2025-2026); </w:t>
      </w:r>
    </w:p>
    <w:p>
      <w:pPr>
        <w:pStyle w:val="Tiret0"/>
        <w:rPr>
          <w:noProof/>
          <w:bdr w:val="nil"/>
        </w:rPr>
      </w:pPr>
      <w:r>
        <w:rPr>
          <w:noProof/>
          <w:bdr w:val="nil"/>
        </w:rPr>
        <w:t>seminare și schimburi în cadrul coordonării securității sociale, inclusiv reuniuni dedicate ESSPASS și estimărilor impactului; </w:t>
      </w:r>
    </w:p>
    <w:p>
      <w:pPr>
        <w:pStyle w:val="Tiret0"/>
        <w:rPr>
          <w:noProof/>
          <w:bdr w:val="nil"/>
        </w:rPr>
      </w:pPr>
      <w:r>
        <w:rPr>
          <w:noProof/>
          <w:bdr w:val="nil"/>
        </w:rPr>
        <w:t>un dialog privind punerea în aplicare a mobilității echitabile a forței de muncă (16 septembrie 2025);</w:t>
      </w:r>
    </w:p>
    <w:p>
      <w:pPr>
        <w:pStyle w:val="Tiret0"/>
        <w:rPr>
          <w:noProof/>
          <w:bdr w:val="nil"/>
        </w:rPr>
      </w:pPr>
      <w:r>
        <w:rPr>
          <w:noProof/>
          <w:bdr w:val="nil"/>
        </w:rPr>
        <w:t>o reuniune la nivel înalt privind digitalizarea coordonării securității sociale cu reprezentanții statelor membre (30 septembrie 2025); </w:t>
      </w:r>
    </w:p>
    <w:p>
      <w:pPr>
        <w:pStyle w:val="Tiret0"/>
        <w:rPr>
          <w:noProof/>
          <w:bdr w:val="nil"/>
        </w:rPr>
      </w:pPr>
      <w:r>
        <w:rPr>
          <w:noProof/>
          <w:bdr w:val="nil"/>
        </w:rPr>
        <w:t>o audiere a partenerilor sociali din UE (6 noiembrie 2025), în cadrul căreia au fost colectate punctele de vedere ale organizațiilor lucrătorilor și ale angajatorilor;</w:t>
      </w:r>
    </w:p>
    <w:p>
      <w:pPr>
        <w:pStyle w:val="Tiret0"/>
        <w:rPr>
          <w:noProof/>
          <w:bdr w:val="nil"/>
        </w:rPr>
      </w:pPr>
      <w:r>
        <w:rPr>
          <w:noProof/>
          <w:bdr w:val="nil"/>
        </w:rPr>
        <w:t>o cerere de contribuții privind ESSPASS (14 ianuarie 2026-11 februarie 2026) și una referitoare la Pachetul privind mobilitatea echitabilă a forței de muncă; </w:t>
      </w:r>
    </w:p>
    <w:p>
      <w:pPr>
        <w:pStyle w:val="Tiret0"/>
        <w:rPr>
          <w:noProof/>
          <w:bdr w:val="nil"/>
        </w:rPr>
      </w:pPr>
      <w:r>
        <w:rPr>
          <w:noProof/>
          <w:bdr w:val="nil"/>
        </w:rPr>
        <w:t>o consultare publică (22 ianuarie-16 aprilie 2026).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Aceste consultări au evidențiat un sprijin larg pentru continuarea digitalizării coordonării securității sociale și </w:t>
      </w:r>
      <w:r>
        <w:rPr>
          <w:noProof/>
        </w:rPr>
        <w:t xml:space="preserve">pentru </w:t>
      </w:r>
      <w:r>
        <w:rPr>
          <w:noProof/>
          <w:color w:val="000000"/>
          <w:bdr w:val="nil"/>
        </w:rPr>
        <w:t xml:space="preserve">inițiativa ESSPASS ca mijloc de simplificare a procedurilor transfrontaliere de securitate socială, de facilitare a accesului la prestațiile de securitate socială la nivel transfrontalier, de </w:t>
      </w:r>
      <w:r>
        <w:rPr>
          <w:noProof/>
        </w:rPr>
        <w:t xml:space="preserve">reducere </w:t>
      </w:r>
      <w:r>
        <w:rPr>
          <w:noProof/>
          <w:color w:val="000000"/>
          <w:bdr w:val="nil"/>
        </w:rPr>
        <w:t xml:space="preserve">a fraudei și a sarcinilor administrative pentru persoane fizice, întreprinderi și autorități naționale. Părțile interesate </w:t>
      </w:r>
      <w:r>
        <w:rPr>
          <w:noProof/>
        </w:rPr>
        <w:t>–</w:t>
      </w:r>
      <w:r>
        <w:rPr>
          <w:noProof/>
          <w:color w:val="000000"/>
          <w:bdr w:val="nil"/>
        </w:rPr>
        <w:t xml:space="preserve"> inclusiv sindicatele, angajatorii și autoritățile publice </w:t>
      </w:r>
      <w:r>
        <w:rPr>
          <w:noProof/>
        </w:rPr>
        <w:t>–</w:t>
      </w:r>
      <w:r>
        <w:rPr>
          <w:noProof/>
          <w:color w:val="000000"/>
          <w:bdr w:val="nil"/>
        </w:rPr>
        <w:t xml:space="preserve"> au subliniat necesitatea unor mecanisme solide de asigurare a respectării normelor, a unor </w:t>
      </w:r>
      <w:r>
        <w:rPr>
          <w:noProof/>
        </w:rPr>
        <w:t xml:space="preserve">procese simplificate și a unor mecanisme de verificare în timp real pentru a spori </w:t>
      </w:r>
      <w:r>
        <w:rPr>
          <w:noProof/>
          <w:color w:val="000000"/>
          <w:bdr w:val="nil"/>
        </w:rPr>
        <w:t>eficacitatea</w:t>
      </w:r>
      <w:r>
        <w:rPr>
          <w:noProof/>
        </w:rPr>
        <w:t>.</w:t>
      </w:r>
      <w:r>
        <w:rPr>
          <w:noProof/>
          <w:color w:val="000000"/>
          <w:bdr w:val="nil"/>
        </w:rPr>
        <w:t xml:space="preserve"> A existat un consens larg cu privire la reutilizarea portofelelor </w:t>
      </w:r>
      <w:r>
        <w:rPr>
          <w:noProof/>
        </w:rPr>
        <w:t>EUDI ca soluție digitală principală.</w:t>
      </w:r>
      <w:r>
        <w:rPr>
          <w:noProof/>
          <w:color w:val="000000" w:themeColor="text1"/>
        </w:rPr>
        <w:t xml:space="preserve"> De asemenea, a existat un consens larg cu privire la asigurarea unei opțiuni de rezervă – cum ar fi documente în format fizic, sigure, verificabile și revocabile – pentru persoanele fizice care nu pot sau nu doresc să utilizeze instrumente digitale. Au fost exprimate unele preocupări cu privire la costurile punerii în aplicare și la securitatea datelor.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Consultarea publică și cererile de contribuții au confirmat aceste constatări, 93 % dintre respondenții la consultarea publică sprijinind o soluție standardizată pentru digitalizarea documentelor de securitate socială, a documentelor portabile și a CEASS. Întârzierile în eliberarea documentelor, dificultățile legate de verificarea transfrontalieră și riscurile de fraudă au fost menționate drept principalele probleme, în timp ce verificarea în timp real și interoperabilitatea </w:t>
      </w:r>
      <w:r>
        <w:rPr>
          <w:noProof/>
        </w:rPr>
        <w:t>s-au conturat drept priorități principale.</w:t>
      </w:r>
      <w:r>
        <w:rPr>
          <w:noProof/>
          <w:color w:val="000000" w:themeColor="text1"/>
        </w:rPr>
        <w:t xml:space="preserve"> În ansamblu, consultarea a subliniat potențialul ESSPASS de a stimula mobilitatea echitabilă a forței de muncă, de a combate frauda și de a moderniza coordonarea securității sociale, cu condiția ca ESSPASS să fie conceput într-un mod incluziv, să beneficieze de o guvernanță solidă și să fie integrat fără sincope în sistemele existente.</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 xml:space="preserve">Obținerea și utilizarea cunoștințelor de specialitate </w:t>
      </w:r>
    </w:p>
    <w:p>
      <w:pPr>
        <w:pBdr>
          <w:top w:val="nil"/>
          <w:left w:val="nil"/>
          <w:bottom w:val="nil"/>
          <w:right w:val="nil"/>
          <w:between w:val="nil"/>
          <w:bar w:val="nil"/>
        </w:pBdr>
        <w:spacing w:after="240" w:line="276" w:lineRule="auto"/>
        <w:rPr>
          <w:b/>
          <w:noProof/>
          <w:color w:val="000000"/>
          <w:bdr w:val="nil"/>
        </w:rPr>
      </w:pPr>
      <w:r>
        <w:rPr>
          <w:b/>
          <w:noProof/>
          <w:color w:val="000000"/>
          <w:bdr w:val="nil"/>
        </w:rPr>
        <w:t>N/A</w:t>
      </w:r>
    </w:p>
    <w:p>
      <w:pPr>
        <w:keepNext/>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Evaluarea impactului</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Propunerea de regulament este însoțită de un raport de evaluare a impactului</w:t>
      </w:r>
      <w:r>
        <w:rPr>
          <w:rStyle w:val="FootnoteReference"/>
          <w:noProof/>
          <w:color w:val="000000"/>
          <w:bdr w:val="nil"/>
        </w:rPr>
        <w:footnoteReference w:id="17"/>
      </w:r>
      <w:r>
        <w:rPr>
          <w:noProof/>
          <w:color w:val="000000"/>
          <w:bdr w:val="nil"/>
        </w:rPr>
        <w:t xml:space="preserve">, al cărui proiect a fost prezentat Comitetului de control normativ (CCN) la 29 aprilie 2026. CCN a emis un aviz pozitiv cu rezerve la 4 mai 2026, iar raportul de evaluare a impactului a fost revizuit în conformitate cu recomandările comitetului. De asemenea, s-a dat curs observațiilor tehnice mai detaliate ale CCN.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Evaluarea impactului a examinat o serie de opțiuni de politică. Opțiunile</w:t>
      </w:r>
      <w:r>
        <w:rPr>
          <w:noProof/>
        </w:rPr>
        <w:t xml:space="preserve"> selectate</w:t>
      </w:r>
      <w:r>
        <w:rPr>
          <w:noProof/>
          <w:color w:val="000000"/>
          <w:bdr w:val="nil"/>
        </w:rPr>
        <w:t xml:space="preserve"> se bazează pe constatările</w:t>
      </w:r>
      <w:r>
        <w:rPr>
          <w:noProof/>
        </w:rPr>
        <w:t xml:space="preserve"> activităților-pilot, pe contribuțiile părților interesate și pe alți factori</w:t>
      </w:r>
      <w:r>
        <w:rPr>
          <w:noProof/>
          <w:color w:val="000000"/>
          <w:bdr w:val="nil"/>
        </w:rPr>
        <w:t xml:space="preserve">, cum ar fi: </w:t>
      </w:r>
      <w:r>
        <w:rPr>
          <w:noProof/>
        </w:rPr>
        <w:t>(</w:t>
      </w:r>
      <w:r>
        <w:rPr>
          <w:noProof/>
          <w:color w:val="000000"/>
          <w:bdr w:val="nil"/>
        </w:rPr>
        <w:t xml:space="preserve">a) </w:t>
      </w:r>
      <w:r>
        <w:rPr>
          <w:noProof/>
        </w:rPr>
        <w:t>coerența</w:t>
      </w:r>
      <w:r>
        <w:rPr>
          <w:noProof/>
          <w:color w:val="000000"/>
          <w:bdr w:val="nil"/>
        </w:rPr>
        <w:t xml:space="preserve"> cu obiectivele UE, în special cu agenda UE privind simplificarea și digitalizarea</w:t>
      </w:r>
      <w:r>
        <w:rPr>
          <w:noProof/>
        </w:rPr>
        <w:t>;</w:t>
      </w:r>
      <w:r>
        <w:rPr>
          <w:noProof/>
          <w:color w:val="000000" w:themeColor="text1"/>
        </w:rPr>
        <w:t xml:space="preserve"> </w:t>
      </w:r>
      <w:r>
        <w:rPr>
          <w:noProof/>
        </w:rPr>
        <w:t>(</w:t>
      </w:r>
      <w:r>
        <w:rPr>
          <w:noProof/>
          <w:color w:val="000000"/>
          <w:bdr w:val="nil"/>
        </w:rPr>
        <w:t>b) utilizarea inițiativelor existente ale UE, cum ar fi SDGR și cadrul EUDI, pentru a reduce la minimum cheltuielile și a optimiza utilizarea resurselor</w:t>
      </w:r>
      <w:r>
        <w:rPr>
          <w:noProof/>
        </w:rPr>
        <w:t>;</w:t>
      </w:r>
      <w:r>
        <w:rPr>
          <w:noProof/>
          <w:color w:val="000000" w:themeColor="text1"/>
        </w:rPr>
        <w:t xml:space="preserve"> </w:t>
      </w:r>
      <w:r>
        <w:rPr>
          <w:noProof/>
          <w:color w:val="000000"/>
          <w:bdr w:val="nil"/>
        </w:rPr>
        <w:t xml:space="preserve">și </w:t>
      </w:r>
      <w:r>
        <w:rPr>
          <w:noProof/>
        </w:rPr>
        <w:t>(</w:t>
      </w:r>
      <w:r>
        <w:rPr>
          <w:noProof/>
          <w:color w:val="000000"/>
          <w:bdr w:val="nil"/>
        </w:rPr>
        <w:t xml:space="preserve">c) orientarea UE către utilizator și către luarea în considerare a vieții private începând cu momentul conceperii, precum și necesitatea </w:t>
      </w:r>
      <w:r>
        <w:rPr>
          <w:noProof/>
        </w:rPr>
        <w:t>de a găsi soluții pentru reducerea</w:t>
      </w:r>
      <w:r>
        <w:rPr>
          <w:noProof/>
          <w:color w:val="000000"/>
          <w:bdr w:val="nil"/>
        </w:rPr>
        <w:t xml:space="preserve"> decalajului digital.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Au fost evaluate trei opțiuni de politică: </w:t>
      </w:r>
    </w:p>
    <w:p>
      <w:pPr>
        <w:pStyle w:val="Tiret0"/>
        <w:rPr>
          <w:noProof/>
          <w:bdr w:val="nil"/>
        </w:rPr>
      </w:pPr>
      <w:r>
        <w:rPr>
          <w:noProof/>
          <w:bdr w:val="nil"/>
        </w:rPr>
        <w:t xml:space="preserve">Opțiunea de politică 1 – instituirea unei soluții care să îmbunătățească formatul existent al documentelor portabile și al CEASS și să permită verificarea acestora la nivel transfrontalier. Această opțiune presupune eliberarea documentelor într-un format standardizat, cu elemente de securitate digitală, care pot fi fie tipărite, fie stocate electronic. </w:t>
      </w:r>
    </w:p>
    <w:p>
      <w:pPr>
        <w:pStyle w:val="Tiret0"/>
        <w:rPr>
          <w:noProof/>
          <w:bdr w:val="nil"/>
        </w:rPr>
      </w:pPr>
      <w:r>
        <w:rPr>
          <w:noProof/>
          <w:bdr w:val="nil"/>
        </w:rPr>
        <w:t xml:space="preserve">Opțiunea de politică 2 – introducerea unei soluții pentru eliberarea și verificarea instantanee a documentelor portabile și a CEASS, bazată pe cadrul EUDI. Persoanele fizice și întreprinderile ar putea stoca în condiții de siguranță aceste documente în portofelele lor EUDI. Dacă nu pot sau preferă să nu utilizeze portofelele EUDI, documentele în format fizic neîmbunătățite ar rămâne disponibile. </w:t>
      </w:r>
    </w:p>
    <w:p>
      <w:pPr>
        <w:pStyle w:val="Tiret0"/>
        <w:rPr>
          <w:noProof/>
          <w:bdr w:val="nil"/>
        </w:rPr>
      </w:pPr>
      <w:r>
        <w:rPr>
          <w:noProof/>
          <w:bdr w:val="nil"/>
        </w:rPr>
        <w:t xml:space="preserve">Opțiunea de politică 3 – instituirea unei soluții care cuprinde principalele elemente prevăzute în opțiunea de politică 2. Cu toate acestea, persoanele fizice și întreprinderile care nu pot sau preferă să nu utilizeze portofelele EUDI ar primi documente în format fizic îmbunătățite, care pot fi verificate chiar și atunci când sunt tipărite (la fel ca în opțiunea de politică 1).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Următoarele măsuri au fost comune tuturor opțiunilor de politică pentru a asigura punerea lor în aplicare fără probleme și pentru a consolida impactul lor asupra competitivității UE și asupra simplificării:</w:t>
      </w:r>
    </w:p>
    <w:p>
      <w:pPr>
        <w:pStyle w:val="Tiret0"/>
        <w:rPr>
          <w:noProof/>
          <w:bdr w:val="nil"/>
        </w:rPr>
      </w:pPr>
      <w:r>
        <w:rPr>
          <w:noProof/>
          <w:bdr w:val="nil"/>
        </w:rPr>
        <w:t>posibilitatea ca persoanele fizice din toate statele membre să solicite și să primească documente portabile în format electronic, inclusiv pe cele care nu intră sub incidența SDGR;</w:t>
      </w:r>
    </w:p>
    <w:p>
      <w:pPr>
        <w:pStyle w:val="Tiret0"/>
        <w:rPr>
          <w:noProof/>
          <w:bdr w:val="nil"/>
        </w:rPr>
      </w:pPr>
      <w:r>
        <w:rPr>
          <w:noProof/>
          <w:bdr w:val="nil"/>
        </w:rPr>
        <w:t>introducerea unor termene obligatorii în care autoritățile naționale să elibereze documente de securitate socială, asigurând astfel disponibilitatea acestora în timp util pentru utilizare transfrontalieră, fără a compromite exactitatea;</w:t>
      </w:r>
    </w:p>
    <w:p>
      <w:pPr>
        <w:pStyle w:val="Tiret0"/>
        <w:rPr>
          <w:noProof/>
          <w:bdr w:val="nil"/>
        </w:rPr>
      </w:pPr>
      <w:r>
        <w:rPr>
          <w:noProof/>
          <w:bdr w:val="nil"/>
        </w:rPr>
        <w:t xml:space="preserve">alinierea cerințelor naționale în materie de informații aplicabile cererilor privind documentul portabil A1, precum și posibilitatea de a utiliza, odată instituită, interfața publică multilingvă pentru declararea lucrătorilor detașați (declarația electronică), în măsura în care cerințele privind informațiile s-ar suprapune cu cele aferente declarației electronice. Astfel, solicitanții ar putea transmite datele o singură dată, în conformitate cu principiul „doar o singură dată”, astfel cum au solicitat părțile interesate și mai multe state membre în cursul negocierilor privind declarația electronică. O asemenea abordare ar fi în conformitate cu obiectivul general al UE de a reduce obstacolele administrative pentru întreprinderile care își desfășoară activitatea la nivel transfrontalier. Alinierea cerințelor în materie de informații ar asigura, totodată, o mai bună aliniere a controalelor efectuate înainte de eliberarea documentului portabil A1.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În urma unei analize a alternativelor de politică, opțiunea de politică 3 a fost identificată drept opțiunea preferată. Această opțiune a fost considerată cea mai eficace în atingerea obiectivelor, cea mai eficientă din perspectiva costurilor și beneficiilor, precum și opțiunea care asigură cel mai înalt nivel de coerență cu alte politici ale UE.</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Evaluarea </w:t>
      </w:r>
      <w:r>
        <w:rPr>
          <w:noProof/>
        </w:rPr>
        <w:t xml:space="preserve">arată că este probabil ca opțiunea preferată să reducă în mod semnificativ dependența de procesele bazate pe documente pe suport de hârtie, prin introducerea unor proceduri digitale standardizate și simplificate pentru solicitarea, eliberarea și verificarea documentelor de securitate socială între </w:t>
      </w:r>
      <w:r>
        <w:rPr>
          <w:noProof/>
          <w:color w:val="000000"/>
          <w:bdr w:val="nil"/>
        </w:rPr>
        <w:t>statele membre</w:t>
      </w:r>
      <w:r>
        <w:rPr>
          <w:noProof/>
        </w:rPr>
        <w:t>.</w:t>
      </w:r>
      <w:r>
        <w:rPr>
          <w:noProof/>
          <w:color w:val="000000"/>
          <w:bdr w:val="nil"/>
        </w:rPr>
        <w:t xml:space="preserve"> Această abordare asigură recunoașterea fără sincope a documentelor în întreaga UE, oferind în același timp flexibilitate persoanelor fizice în ceea ce privește </w:t>
      </w:r>
      <w:r>
        <w:rPr>
          <w:noProof/>
        </w:rPr>
        <w:t xml:space="preserve">modul </w:t>
      </w:r>
      <w:r>
        <w:rPr>
          <w:noProof/>
          <w:color w:val="000000"/>
          <w:bdr w:val="nil"/>
        </w:rPr>
        <w:t xml:space="preserve">de stocare și prezentare a datelor. </w:t>
      </w:r>
      <w:r>
        <w:rPr>
          <w:noProof/>
        </w:rPr>
        <w:t>Se preconizează că punerea în aplicare</w:t>
      </w:r>
      <w:r>
        <w:rPr>
          <w:noProof/>
          <w:color w:val="000000"/>
          <w:bdr w:val="nil"/>
        </w:rPr>
        <w:t xml:space="preserve"> a acestei opțiuni de politică va aduce beneficii semnificative persoanelor fizice, autorităților naționale, inspectoratelor de muncă, furnizorilor de servicii medicale și întreprinderilor. Printre avantaje se numără reducerea timpului de verificare a documentelor la doar câteva secunde pentru documentele stocate în portofelele </w:t>
      </w:r>
      <w:r>
        <w:rPr>
          <w:noProof/>
        </w:rPr>
        <w:t>EUDI și la aproximativ un minut pentru documentele care nu sunt stocate în portofele.</w:t>
      </w:r>
      <w:r>
        <w:rPr>
          <w:noProof/>
          <w:color w:val="000000" w:themeColor="text1"/>
        </w:rPr>
        <w:t xml:space="preserve"> În prezent, verificarea durează între 5 și 16 minute pentru documentul portabil A1 și între 2 și 5 minute pentru CEASS. Pe o perioadă de 12 ani, se preconizează că această creștere a eficienței va genera economii cuprinse între 24 și 72 de milioane EUR pentru verificatori (de exemplu, inspectoratele de muncă) și între 21 și 64 de milioane EUR pentru întreprinderi (aspect deosebit de relevant pentru IMM-uri, care reprezintă 99 % din întreprinderile din UE), în ceea ce privește documentul portabil A1. Pentru verificările CEASS, economiile furnizorilor de servicii medicale sunt estimate între 23 și 69 de milioane EUR.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Securitatea sporită reprezintă un alt avantaj esențial. Documentele semnate digital și verificabile instantaneu vor face falsificarea aproape imposibilă, spre deosebire de situația actuală. Pe o perioadă de 12 ani, reducerea fraudei ar putea genera economii de costuri de până la 157 de milioane EUR pentru documentul portabil A1 și de până la 120 de milioane EUR pentru CEASS. În plus, reducerea utilizării plasticului – estimată la până la 1 482 de tone – ar putea genera economii de până la 161 de milioane EUR.</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Opțiunea preferată sprijină aplicarea normelor privind coordonarea sistemelor de securitate socială, facilitând accesul la prestații și la asistență medicală. De asemenea, aceasta promovează încrederea, echitatea și protecția datelor, oferind utilizatorilor control asupra propriilor date și asigurând prelucrarea datelor cu caracter personal în conformitate cu RGPD. Printre beneficiile sociale se numără o mai mare transparență și echitate: lucrătorii vor avea acces direct la documentele portabile A1 și vor înțelege mai bine situația și drepturile lor în materie de securitate socială atunci când sunt detașați în străinătate. Fiind pe deplin informați cu privire la regimul lor de securitate socială, lucrătorii vor deveni mai puțin vulnerabili la practici frauduloase și vor avea acces mai ușor la prestațiile la care ar putea avea dreptul în țara-gazdă.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Opțiunea preferată sprijină, totodată, competitivitatea prin simplificarea procedurilor pentru întreprinderile care își desfășoară activitatea la nivel transfrontalier și contribuie la progresele în domeniul digitalizării și al inovării.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Utilizarea portofelelor </w:t>
      </w:r>
      <w:r>
        <w:rPr>
          <w:noProof/>
        </w:rPr>
        <w:t>EUDI pentru stocarea și partajarea unor documente cu o largă circulație, cum ar fi CEASS, va accelera adoptarea portofelelor.</w:t>
      </w:r>
      <w:r>
        <w:rPr>
          <w:noProof/>
          <w:color w:val="000000" w:themeColor="text1"/>
        </w:rPr>
        <w:t xml:space="preserve"> Aceasta va pune bazele integrării viitoare a unor documente suplimentare privind mobilitatea forței de muncă prin intermediul legislației sectoriale.</w:t>
      </w:r>
    </w:p>
    <w:p>
      <w:pPr>
        <w:pBdr>
          <w:top w:val="nil"/>
          <w:left w:val="nil"/>
          <w:bottom w:val="nil"/>
          <w:right w:val="nil"/>
          <w:between w:val="nil"/>
          <w:bar w:val="nil"/>
        </w:pBdr>
        <w:spacing w:after="240" w:line="276" w:lineRule="auto"/>
        <w:rPr>
          <w:noProof/>
        </w:rPr>
      </w:pPr>
      <w:r>
        <w:rPr>
          <w:noProof/>
          <w:color w:val="000000"/>
          <w:bdr w:val="nil"/>
        </w:rPr>
        <w:t xml:space="preserve">Opțiunea </w:t>
      </w:r>
      <w:r>
        <w:rPr>
          <w:noProof/>
        </w:rPr>
        <w:t>preferată</w:t>
      </w:r>
      <w:r>
        <w:rPr>
          <w:noProof/>
          <w:color w:val="000000"/>
          <w:bdr w:val="nil"/>
        </w:rPr>
        <w:t xml:space="preserve"> include investiții inițiale și costuri anuale de întreținere</w:t>
      </w:r>
      <w:r>
        <w:rPr>
          <w:noProof/>
        </w:rPr>
        <w:t>.</w:t>
      </w:r>
      <w:r>
        <w:rPr>
          <w:noProof/>
          <w:color w:val="000000" w:themeColor="text1"/>
        </w:rPr>
        <w:t xml:space="preserve"> </w:t>
      </w:r>
      <w:r>
        <w:rPr>
          <w:noProof/>
        </w:rPr>
        <w:t xml:space="preserve">Acestea ar urma să fie suportate </w:t>
      </w:r>
      <w:r>
        <w:rPr>
          <w:noProof/>
          <w:color w:val="000000"/>
          <w:bdr w:val="nil"/>
        </w:rPr>
        <w:t xml:space="preserve">în primul rând de administrațiile publice naționale, </w:t>
      </w:r>
      <w:r>
        <w:rPr>
          <w:noProof/>
        </w:rPr>
        <w:t>inclusiv</w:t>
      </w:r>
      <w:r>
        <w:rPr>
          <w:noProof/>
          <w:color w:val="000000"/>
          <w:bdr w:val="nil"/>
        </w:rPr>
        <w:t xml:space="preserve"> de ministere, de organismele de securitate socială</w:t>
      </w:r>
      <w:r>
        <w:rPr>
          <w:noProof/>
        </w:rPr>
        <w:t xml:space="preserve"> și</w:t>
      </w:r>
      <w:r>
        <w:rPr>
          <w:noProof/>
          <w:color w:val="000000"/>
          <w:bdr w:val="nil"/>
        </w:rPr>
        <w:t xml:space="preserve"> de inspectorii de muncă, </w:t>
      </w:r>
      <w:r>
        <w:rPr>
          <w:noProof/>
        </w:rPr>
        <w:t xml:space="preserve">precum și </w:t>
      </w:r>
      <w:r>
        <w:rPr>
          <w:noProof/>
          <w:color w:val="000000"/>
          <w:bdr w:val="nil"/>
        </w:rPr>
        <w:t>de furnizorii de servicii medicale</w:t>
      </w:r>
      <w:r>
        <w:rPr>
          <w:noProof/>
        </w:rPr>
        <w:t>.</w:t>
      </w:r>
      <w:r>
        <w:rPr>
          <w:noProof/>
          <w:color w:val="000000"/>
          <w:bdr w:val="nil"/>
        </w:rPr>
        <w:t xml:space="preserve"> Se preconizează că persoanele fizice și întreprinderile vor suporta cheltuieli minime</w:t>
      </w:r>
      <w:r>
        <w:rPr>
          <w:noProof/>
        </w:rPr>
        <w:t>.</w:t>
      </w:r>
      <w:r>
        <w:rPr>
          <w:noProof/>
          <w:color w:val="000000" w:themeColor="text1"/>
        </w:rPr>
        <w:t xml:space="preserve"> </w:t>
      </w:r>
      <w:r>
        <w:rPr>
          <w:noProof/>
        </w:rPr>
        <w:t xml:space="preserve">Aceste cheltuieli ar </w:t>
      </w:r>
      <w:r>
        <w:rPr>
          <w:noProof/>
          <w:color w:val="000000"/>
          <w:bdr w:val="nil"/>
        </w:rPr>
        <w:t xml:space="preserve">fi </w:t>
      </w:r>
      <w:r>
        <w:rPr>
          <w:noProof/>
        </w:rPr>
        <w:t xml:space="preserve">legate în principal </w:t>
      </w:r>
      <w:r>
        <w:rPr>
          <w:noProof/>
          <w:color w:val="000000"/>
          <w:bdr w:val="nil"/>
        </w:rPr>
        <w:t>de utilizarea telefoanelor inteligente î</w:t>
      </w:r>
      <w:r>
        <w:rPr>
          <w:noProof/>
        </w:rPr>
        <w:t>n cazul în care</w:t>
      </w:r>
      <w:r>
        <w:rPr>
          <w:noProof/>
          <w:color w:val="000000"/>
          <w:bdr w:val="nil"/>
        </w:rPr>
        <w:t xml:space="preserve"> persoanele fizice și întreprinderile doresc să își stocheze documentele privind coordonarea securității sociale în</w:t>
      </w:r>
      <w:r>
        <w:rPr>
          <w:noProof/>
        </w:rPr>
        <w:t xml:space="preserve"> portofelele EUDI naționale.</w:t>
      </w:r>
      <w:r>
        <w:rPr>
          <w:noProof/>
          <w:color w:val="000000" w:themeColor="text1"/>
        </w:rPr>
        <w:t xml:space="preserve"> În ansamblu, costurile nerecurente totale la nivelul UE (pe o perioadă de trei ani) sunt estimate între 186 și 218 milioane EUR, costurile recurente cumulate ridicându-se la 278 de milioane EUR în următorii 12 ani (23,2 milioane EUR anual). Costurile reflectă infrastructura necesară și eforturile de integrare și sunt compensate de câștigurile de eficiență și economiile de costuri preconizate pe termen lung.</w:t>
      </w:r>
    </w:p>
    <w:p>
      <w:pPr>
        <w:spacing w:after="240" w:line="276" w:lineRule="auto"/>
        <w:rPr>
          <w:rFonts w:eastAsia="Times New Roman"/>
          <w:noProof/>
          <w:color w:val="000000" w:themeColor="text1"/>
        </w:rPr>
      </w:pPr>
      <w:r>
        <w:rPr>
          <w:noProof/>
        </w:rPr>
        <w:t>Pentru a sprijini această investiție, implementarea ar trebui să fie eligibilă pentru finanțare din partea UE, în special în cadrul instrumentului care va succeda Fondului social european Plus (digitalizarea serviciilor și a instituțiilor publice) și al Fondului european pentru competitivitate pentru perioada de programare de după 2027</w:t>
      </w:r>
      <w:r>
        <w:rPr>
          <w:noProof/>
          <w:color w:val="000000" w:themeColor="text1"/>
        </w:rPr>
        <w:t xml:space="preserve">. </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Adecvarea reglementărilor și simplificarea</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Se preconizează că inițiativa va avea un impact pozitiv asupra competitivității. </w:t>
      </w:r>
      <w:r>
        <w:rPr>
          <w:noProof/>
        </w:rPr>
        <w:t>Este probabil ca întreprinderile să suporte costuri mai mici c</w:t>
      </w:r>
      <w:r>
        <w:rPr>
          <w:noProof/>
          <w:color w:val="000000"/>
          <w:bdr w:val="nil"/>
        </w:rPr>
        <w:t>a urmare a reducerii obstacolelor administrative</w:t>
      </w:r>
      <w:r>
        <w:rPr>
          <w:noProof/>
        </w:rPr>
        <w:t xml:space="preserve"> și a timpului </w:t>
      </w:r>
      <w:r>
        <w:rPr>
          <w:noProof/>
          <w:color w:val="000000" w:themeColor="text1"/>
        </w:rPr>
        <w:t>necesar</w:t>
      </w:r>
      <w:r>
        <w:rPr>
          <w:noProof/>
        </w:rPr>
        <w:t xml:space="preserve"> pentru obținerea și verificarea </w:t>
      </w:r>
      <w:r>
        <w:rPr>
          <w:noProof/>
          <w:color w:val="000000"/>
          <w:bdr w:val="nil"/>
        </w:rPr>
        <w:t xml:space="preserve">documentului portabil A1 și pentru furnizarea de informații </w:t>
      </w:r>
      <w:r>
        <w:rPr>
          <w:noProof/>
        </w:rPr>
        <w:t>suplimentare în cazurile în care există îndoieli cu privire la valabilitatea acestuia.</w:t>
      </w:r>
      <w:r>
        <w:rPr>
          <w:noProof/>
          <w:color w:val="000000" w:themeColor="text1"/>
        </w:rPr>
        <w:t xml:space="preserve"> Se preconizează că IMM-urile, care reprezintă 99 % din întreprinderile din UE și care se confruntă, de regulă, cu provocări mai mari în ceea ce privește respectarea cerințelor de reglementare din cauza resurselor lor administrative limitate, vor beneficia mai mult decât întreprinderile mai mari. Această situație este întâlnită mai ales în sectoare precum construcțiile și serviciile, în care detașarea lucrătorilor și desfășurarea de activități în două sau mai multe state membre sunt mai frecvente. Facilitarea respectării cerințelor poate conduce la o alocare mai eficientă a resurselor către activitățile generatoare de valoare. O alocare mai eficientă a resurselor poate, la rândul său, spori productivitatea. Îmbunătățirea accesului la piețele transfrontaliere ale forței de muncă va permite întreprinderilor să profite de o rezervă mai largă de talente și să își optimizeze operațiunile, sporindu-le competitivitatea atât pe piețele locale, cât și pe cele internaționale. Inițiativa va promova, de asemenea, progresul tehnologic prin încurajarea digitalizării serviciilor publice și a accesului fără sincope la servicii pentru persoane fizice și întreprinderi. Prin adoptarea unor soluții inovatoare pentru dovedirea și verificarea transfrontalieră a drepturilor în materie de securitate socială și a statutului de asigurat, inițiativa consolidează capacitatea sectorului public de a dezvolta noi soluții inovatoare. În acest fel, inițiativa ar trebui să contribuie în continuare la expansiunea economică a UE și la competitivitatea întreprinderilor.</w:t>
      </w:r>
    </w:p>
    <w:p>
      <w:pPr>
        <w:spacing w:after="240" w:line="276" w:lineRule="auto"/>
        <w:rPr>
          <w:rFonts w:eastAsia="Times New Roman"/>
          <w:noProof/>
          <w:color w:val="000000"/>
          <w:bdr w:val="nil"/>
        </w:rPr>
      </w:pPr>
      <w:r>
        <w:rPr>
          <w:noProof/>
          <w:color w:val="000000"/>
          <w:bdr w:val="nil"/>
        </w:rPr>
        <w:t>Propunerea este în concordanță cu Verificarea digitală („</w:t>
      </w:r>
      <w:r>
        <w:rPr>
          <w:i/>
          <w:noProof/>
          <w:color w:val="000000"/>
          <w:bdr w:val="nil"/>
        </w:rPr>
        <w:t>Digital Check</w:t>
      </w:r>
      <w:r>
        <w:rPr>
          <w:noProof/>
          <w:color w:val="000000"/>
          <w:bdr w:val="nil"/>
        </w:rPr>
        <w:t xml:space="preserve">”). Aceasta respectă pe deplin principiile de bază ale guvernării electronice: </w:t>
      </w:r>
    </w:p>
    <w:p>
      <w:pPr>
        <w:pStyle w:val="Bullet0"/>
        <w:rPr>
          <w:noProof/>
          <w:bdr w:val="nil"/>
        </w:rPr>
      </w:pPr>
      <w:r>
        <w:rPr>
          <w:noProof/>
          <w:bdr w:val="nil"/>
        </w:rPr>
        <w:t xml:space="preserve">digital în mod implicit, promovând procedurile digitale ca opțiune preferată, oferind în același timp opțiuni alternative; </w:t>
      </w:r>
    </w:p>
    <w:p>
      <w:pPr>
        <w:pStyle w:val="Bullet0"/>
        <w:rPr>
          <w:noProof/>
          <w:bdr w:val="nil"/>
        </w:rPr>
      </w:pPr>
      <w:r>
        <w:rPr>
          <w:noProof/>
          <w:bdr w:val="nil"/>
        </w:rPr>
        <w:t xml:space="preserve">principiul „doar o singură dată”, reducând transmiterea redundantă a datelor; </w:t>
      </w:r>
    </w:p>
    <w:p>
      <w:pPr>
        <w:pStyle w:val="Bullet0"/>
        <w:rPr>
          <w:noProof/>
          <w:bdr w:val="nil"/>
        </w:rPr>
      </w:pPr>
      <w:r>
        <w:rPr>
          <w:noProof/>
          <w:bdr w:val="nil"/>
        </w:rPr>
        <w:t xml:space="preserve">interoperabilitate din faza de proiectare, facilitând recunoașterea și verificarea transfrontalieră a documentelor, precum și schimbul transfrontalier de date și reducând fragmentarea; </w:t>
      </w:r>
    </w:p>
    <w:p>
      <w:pPr>
        <w:pStyle w:val="Bullet0"/>
        <w:rPr>
          <w:noProof/>
          <w:bdr w:val="nil"/>
        </w:rPr>
      </w:pPr>
      <w:r>
        <w:rPr>
          <w:noProof/>
          <w:bdr w:val="nil"/>
        </w:rPr>
        <w:t xml:space="preserve">centrarea pe utilizator, plasând persoanele în centrul atenției și asigurând durate de prelucrare previzibile; </w:t>
      </w:r>
    </w:p>
    <w:p>
      <w:pPr>
        <w:pStyle w:val="Bullet0"/>
        <w:rPr>
          <w:noProof/>
          <w:bdr w:val="nil"/>
        </w:rPr>
      </w:pPr>
      <w:r>
        <w:rPr>
          <w:noProof/>
          <w:bdr w:val="nil"/>
        </w:rPr>
        <w:t xml:space="preserve">incluziune și accesibilitate, garantând tuturor accesul egal, în special persoanelor cu dizabilități, persoanelor în vârstă și persoanelor cu competențe digitale limitate, prin oferirea posibilității de a solicita documente în format fizic îmbunătățite; </w:t>
      </w:r>
    </w:p>
    <w:p>
      <w:pPr>
        <w:pStyle w:val="Bullet0"/>
        <w:rPr>
          <w:noProof/>
          <w:bdr w:val="nil"/>
        </w:rPr>
      </w:pPr>
      <w:r>
        <w:rPr>
          <w:noProof/>
          <w:bdr w:val="nil"/>
        </w:rPr>
        <w:t xml:space="preserve">fiabilitate și securitate, promovând protecția datelor cu caracter personal și standarde ridicate de securitate; </w:t>
      </w:r>
    </w:p>
    <w:p>
      <w:pPr>
        <w:pStyle w:val="Bullet0"/>
        <w:rPr>
          <w:noProof/>
          <w:bdr w:val="nil"/>
        </w:rPr>
      </w:pPr>
      <w:r>
        <w:rPr>
          <w:noProof/>
          <w:bdr w:val="nil"/>
        </w:rPr>
        <w:t>caracter transfrontalier implicit, instituind servicii disponibile la nivel transfrontalier și reducând obstacolele inutile din calea mobilității.</w:t>
      </w:r>
    </w:p>
    <w:p>
      <w:pPr>
        <w:pStyle w:val="Bullet0"/>
        <w:numPr>
          <w:ilvl w:val="0"/>
          <w:numId w:val="23"/>
        </w:numPr>
        <w:spacing w:before="240"/>
        <w:rPr>
          <w:b/>
          <w:noProof/>
          <w:color w:val="000000"/>
          <w:bdr w:val="nil"/>
        </w:rPr>
      </w:pPr>
      <w:r>
        <w:rPr>
          <w:b/>
          <w:noProof/>
          <w:color w:val="000000"/>
          <w:bdr w:val="nil"/>
        </w:rPr>
        <w:t>Drepturile fundamentale</w:t>
      </w:r>
    </w:p>
    <w:p>
      <w:pPr>
        <w:pBdr>
          <w:top w:val="nil"/>
          <w:left w:val="nil"/>
          <w:bottom w:val="nil"/>
          <w:right w:val="nil"/>
          <w:between w:val="nil"/>
          <w:bar w:val="nil"/>
        </w:pBdr>
        <w:spacing w:before="240" w:line="276" w:lineRule="auto"/>
        <w:rPr>
          <w:rFonts w:eastAsia="Times New Roman"/>
          <w:noProof/>
          <w:color w:val="000000"/>
          <w:bdr w:val="nil"/>
        </w:rPr>
      </w:pPr>
      <w:r>
        <w:rPr>
          <w:noProof/>
          <w:color w:val="000000"/>
          <w:bdr w:val="nil"/>
        </w:rPr>
        <w:t xml:space="preserve">Se preconizează că regulamentul propus va facilita coordonarea sistemelor de securitate socială prin înlesnirea accesului la prestații de securitate socială și la asistență medicală în întreaga Europă (articolele 34 și 35 din </w:t>
      </w:r>
      <w:r>
        <w:rPr>
          <w:noProof/>
        </w:rPr>
        <w:t>Carta drepturilor fundamentale a Uniunii Europene</w:t>
      </w:r>
      <w:r>
        <w:rPr>
          <w:noProof/>
          <w:color w:val="000000"/>
          <w:bdr w:val="nil"/>
        </w:rPr>
        <w:t>). Acest obiectiv este realizat prin îmbunătățirea modalităților de dovedire și verificare a drepturilor de securitate socială și a statutului de asigurat al persoanelor fizice care se deplasează în UE. Nu a fost identificată nicio reducere a nivelului de protecție de referință.</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Prin faptul că drepturile în materie de securitate socială și documentele de securitate socială pot fi transferate și verificate mai ușor, datorită procedurilor simplificate și reducerii duratelor de prelucrare administrativă, se preconizează că inițiativa va avea un impact pozitiv asupra: </w:t>
      </w:r>
    </w:p>
    <w:p>
      <w:pPr>
        <w:pStyle w:val="Bullet0"/>
        <w:rPr>
          <w:noProof/>
          <w:bdr w:val="nil"/>
        </w:rPr>
      </w:pPr>
      <w:r>
        <w:rPr>
          <w:noProof/>
          <w:bdr w:val="nil"/>
        </w:rPr>
        <w:t xml:space="preserve">liberei circulații a persoanelor și a lucrătorilor, astfel cum este prevăzută la articolul 45 din TFUE și la articolele 15 și 45 din Carta drepturilor fundamentale; </w:t>
      </w:r>
    </w:p>
    <w:p>
      <w:pPr>
        <w:pStyle w:val="Bullet0"/>
        <w:rPr>
          <w:noProof/>
          <w:bdr w:val="nil"/>
        </w:rPr>
      </w:pPr>
      <w:r>
        <w:rPr>
          <w:noProof/>
          <w:bdr w:val="nil"/>
        </w:rPr>
        <w:t xml:space="preserve">liberei prestări a serviciilor, astfel cum este consacrată la articolul 56 din TFUE și la articolul 16 din cartă.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Prin urmare, lucrătorii ar fi mai dispuși să profite de oportunitățile de angajare transfrontaliere, iar întreprinderile ar fi mai dispuse să își desfășoare activitatea la nivel transfrontalier. Regulamentul propus nu impune nicio restricție asupra acestor libertăți.</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De asemenea, este probabil ca propunerea să aibă un impact pozitiv asupra dreptului la bună administrare, astfel cum se prevede la articolul 41 din Carta drepturilor fundamentale. Prin simplificarea procedurilor și reducerea duratelor de prelucrare, se preconizează că cererile și operațiunile vor fi tratate într-un termen rezonabil, sporind astfel securitatea juridică pentru persoane fizice și întreprinderi.</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Regulamentul propus implică prelucrarea datelor cu caracter personal. Prin urmare, trebuie să se asigure că o astfel de prelucrare respectă cerințele </w:t>
      </w:r>
      <w:r>
        <w:rPr>
          <w:noProof/>
          <w:color w:val="000000" w:themeColor="text1"/>
        </w:rPr>
        <w:t>Regulamentului (UE) 2016/679</w:t>
      </w:r>
      <w:r>
        <w:rPr>
          <w:noProof/>
        </w:rPr>
        <w:t xml:space="preserve"> al Parlamentului European și al Consiliului („</w:t>
      </w:r>
      <w:r>
        <w:rPr>
          <w:noProof/>
          <w:color w:val="000000"/>
          <w:bdr w:val="nil"/>
        </w:rPr>
        <w:t xml:space="preserve">Regulamentul general privind protecția </w:t>
      </w:r>
      <w:r>
        <w:rPr>
          <w:noProof/>
        </w:rPr>
        <w:t>datelor”)</w:t>
      </w:r>
      <w:r>
        <w:rPr>
          <w:rStyle w:val="FootnoteReference"/>
          <w:noProof/>
          <w:bdr w:val="nil"/>
          <w:lang w:eastAsia="en-GB"/>
        </w:rPr>
        <w:footnoteReference w:id="18"/>
      </w:r>
      <w:r>
        <w:rPr>
          <w:noProof/>
          <w:color w:val="000000"/>
          <w:bdr w:val="nil"/>
        </w:rPr>
        <w:t xml:space="preserve"> și drepturile fundamentale garantate în Carta</w:t>
      </w:r>
      <w:r>
        <w:rPr>
          <w:noProof/>
        </w:rPr>
        <w:t xml:space="preserve"> drepturilor fundamentale</w:t>
      </w:r>
      <w:r>
        <w:rPr>
          <w:noProof/>
          <w:color w:val="000000"/>
          <w:bdr w:val="nil"/>
        </w:rPr>
        <w:t xml:space="preserve">, </w:t>
      </w:r>
      <w:r>
        <w:rPr>
          <w:noProof/>
        </w:rPr>
        <w:t xml:space="preserve">în special </w:t>
      </w:r>
      <w:r>
        <w:rPr>
          <w:noProof/>
          <w:color w:val="000000"/>
          <w:bdr w:val="nil"/>
        </w:rPr>
        <w:t xml:space="preserve">drepturile la respectarea vieții private și la protecția datelor cu caracter personal prevăzute </w:t>
      </w:r>
      <w:r>
        <w:rPr>
          <w:noProof/>
        </w:rPr>
        <w:t>la articolele </w:t>
      </w:r>
      <w:r>
        <w:rPr>
          <w:noProof/>
          <w:color w:val="000000"/>
          <w:bdr w:val="nil"/>
        </w:rPr>
        <w:t>7 și 8</w:t>
      </w:r>
      <w:r>
        <w:rPr>
          <w:noProof/>
        </w:rPr>
        <w:t xml:space="preserve"> din cartă</w:t>
      </w:r>
      <w:r>
        <w:rPr>
          <w:noProof/>
          <w:color w:val="000000"/>
          <w:bdr w:val="nil"/>
        </w:rPr>
        <w:t xml:space="preserve"> și în TFUE, în special la articolul</w:t>
      </w:r>
      <w:r>
        <w:rPr>
          <w:noProof/>
        </w:rPr>
        <w:t xml:space="preserve"> </w:t>
      </w:r>
      <w:r>
        <w:rPr>
          <w:noProof/>
          <w:color w:val="000000"/>
          <w:bdr w:val="nil"/>
        </w:rPr>
        <w:t>16 privind dreptul la protecția datelor cu caracter personal. Se preconizează că opțiunea preferată va asigura un nivel</w:t>
      </w:r>
      <w:r>
        <w:rPr>
          <w:noProof/>
        </w:rPr>
        <w:t xml:space="preserve"> </w:t>
      </w:r>
      <w:r>
        <w:rPr>
          <w:noProof/>
          <w:color w:val="000000"/>
          <w:bdr w:val="nil"/>
        </w:rPr>
        <w:t xml:space="preserve">ridicat de securitate și de protecție a datelor prin acordarea controlului utilizatorilor asupra propriilor date, </w:t>
      </w:r>
      <w:r>
        <w:rPr>
          <w:noProof/>
        </w:rPr>
        <w:t xml:space="preserve">prin </w:t>
      </w:r>
      <w:r>
        <w:rPr>
          <w:noProof/>
          <w:color w:val="000000"/>
          <w:bdr w:val="nil"/>
        </w:rPr>
        <w:t>reducerea la minimum a expunerii datelor,</w:t>
      </w:r>
      <w:r>
        <w:rPr>
          <w:noProof/>
        </w:rPr>
        <w:t xml:space="preserve"> prin garantarea</w:t>
      </w:r>
      <w:r>
        <w:rPr>
          <w:noProof/>
          <w:color w:val="000000"/>
          <w:bdr w:val="nil"/>
        </w:rPr>
        <w:t xml:space="preserve"> divulgării selective</w:t>
      </w:r>
      <w:r>
        <w:rPr>
          <w:noProof/>
        </w:rPr>
        <w:t>,</w:t>
      </w:r>
      <w:r>
        <w:rPr>
          <w:noProof/>
          <w:color w:val="000000"/>
          <w:bdr w:val="nil"/>
        </w:rPr>
        <w:t xml:space="preserve"> precum și</w:t>
      </w:r>
      <w:r>
        <w:rPr>
          <w:noProof/>
        </w:rPr>
        <w:t xml:space="preserve"> prin </w:t>
      </w:r>
      <w:r>
        <w:rPr>
          <w:noProof/>
          <w:color w:val="000000"/>
          <w:bdr w:val="nil"/>
        </w:rPr>
        <w:t xml:space="preserve">asigurarea unei prelucrări sigure și transparente a datelor cu caracter personal, în conformitate cu RGPD, atunci când se utilizează portofelele </w:t>
      </w:r>
      <w:r>
        <w:rPr>
          <w:noProof/>
        </w:rPr>
        <w:t>EUDI.</w:t>
      </w:r>
      <w:r>
        <w:rPr>
          <w:noProof/>
          <w:color w:val="000000" w:themeColor="text1"/>
        </w:rPr>
        <w:t xml:space="preserve"> În mod similar, utilizatorii vor beneficia de garanții juridice atunci când utilizează documente în format fizic îmbunătățite.</w:t>
      </w:r>
    </w:p>
    <w:p>
      <w:pPr>
        <w:pBdr>
          <w:top w:val="nil"/>
          <w:left w:val="nil"/>
          <w:bottom w:val="nil"/>
          <w:right w:val="nil"/>
          <w:between w:val="nil"/>
          <w:bar w:val="nil"/>
        </w:pBdr>
        <w:spacing w:after="240" w:line="276" w:lineRule="auto"/>
        <w:rPr>
          <w:b/>
          <w:noProof/>
          <w:color w:val="000000"/>
          <w:bdr w:val="nil"/>
        </w:rPr>
      </w:pPr>
      <w:r>
        <w:rPr>
          <w:b/>
          <w:noProof/>
          <w:color w:val="000000"/>
          <w:bdr w:val="nil"/>
        </w:rPr>
        <w:t>4.</w:t>
      </w:r>
      <w:r>
        <w:rPr>
          <w:noProof/>
        </w:rPr>
        <w:tab/>
      </w:r>
      <w:r>
        <w:rPr>
          <w:b/>
          <w:noProof/>
          <w:color w:val="000000"/>
          <w:bdr w:val="nil"/>
        </w:rPr>
        <w:t>IMPLICAȚIILE BUGETARE</w:t>
      </w:r>
    </w:p>
    <w:p>
      <w:pPr>
        <w:spacing w:line="276" w:lineRule="auto"/>
        <w:rPr>
          <w:rFonts w:eastAsia="Times New Roman"/>
          <w:noProof/>
        </w:rPr>
      </w:pPr>
      <w:r>
        <w:rPr>
          <w:noProof/>
        </w:rPr>
        <w:t>Prezenta propunere are implicații foarte reduse pentru bugetul UE. Singurele costuri operaționale vor fi generate de organizarea reuniunilor comitetului și ale grupului privind digitalizarea, precum și de sprijinirea statelor membre pentru punerea în aplicare a soluțiilor digitale instituite în temeiul propunerii. Aceste cheltuieli vor fi acoperite din liniile bugetare interne existente, prin realocarea resurselor existente.</w:t>
      </w:r>
    </w:p>
    <w:p>
      <w:pPr>
        <w:spacing w:line="276" w:lineRule="auto"/>
        <w:rPr>
          <w:b/>
          <w:noProof/>
          <w:color w:val="000000"/>
          <w:bdr w:val="nil"/>
        </w:rPr>
      </w:pPr>
      <w:r>
        <w:rPr>
          <w:b/>
          <w:noProof/>
        </w:rPr>
        <w:t>5.</w:t>
      </w:r>
      <w:r>
        <w:rPr>
          <w:b/>
          <w:noProof/>
        </w:rPr>
        <w:tab/>
      </w:r>
      <w:r>
        <w:rPr>
          <w:b/>
          <w:noProof/>
          <w:color w:val="000000"/>
          <w:bdr w:val="nil"/>
        </w:rPr>
        <w:t>ALTE ELEMENTE</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Strategia de punere în aplicare, planurile de punere în aplicare și măsurile de monitorizare, evaluare și raportare</w:t>
      </w:r>
    </w:p>
    <w:p>
      <w:pPr>
        <w:pBdr>
          <w:top w:val="nil"/>
          <w:left w:val="nil"/>
          <w:bottom w:val="nil"/>
          <w:right w:val="nil"/>
          <w:between w:val="nil"/>
          <w:bar w:val="nil"/>
        </w:pBdr>
        <w:spacing w:after="240" w:line="276" w:lineRule="auto"/>
        <w:rPr>
          <w:rFonts w:eastAsia="Times New Roman"/>
          <w:noProof/>
        </w:rPr>
      </w:pPr>
      <w:r>
        <w:rPr>
          <w:noProof/>
        </w:rPr>
        <w:t xml:space="preserve">A fost elaborat un proiect de cadru cuprinzător de monitorizare pentru urmărirea punerii în aplicare și evaluarea impactului inițiativei, astfel încât aceasta să rămână adecvată scopului și să își atingă obiectivele urmărite. Acest cadru va fi perfecționat în continuare în funcție de specificațiile juridice finale și de calendarul de punere în aplicare. Progresele vor fi monitorizate prin intermediul unui set de indicatori operaționali, de rezultat și de impact, corelați cu obiectivele specifice. Cadrul va contribui, de asemenea, la identificarea dificultăților legate de punerea în aplicare și la asigurarea, încă de la început și pe tot parcursul implementării inițiativei, a unui sprijin prompt și coerent în acest sens. Comisia, în strânsă cooperare cu statele membre, va colecta și va analiza periodic date, utilizând mecanismele de raportare existente. Datele vor fi utilizate pentru a identifica lacunele în materie de punere în aplicare și noile nevoi legate de punerea în aplicare, pentru a evalua eficiența măsurii și pentru a furniza baza factuală necesară pentru o evaluare viitoare. </w:t>
      </w:r>
    </w:p>
    <w:p>
      <w:pPr>
        <w:pBdr>
          <w:top w:val="nil"/>
          <w:left w:val="nil"/>
          <w:bottom w:val="nil"/>
          <w:right w:val="nil"/>
          <w:between w:val="nil"/>
          <w:bar w:val="nil"/>
        </w:pBdr>
        <w:spacing w:after="240" w:line="276" w:lineRule="auto"/>
        <w:rPr>
          <w:rFonts w:eastAsia="Times New Roman"/>
          <w:noProof/>
        </w:rPr>
      </w:pPr>
      <w:r>
        <w:rPr>
          <w:noProof/>
        </w:rPr>
        <w:t xml:space="preserve">Inițiativa ar putea fi evaluată cel mai devreme la șapte ani de la intrarea sa în vigoare, pentru a evalua impactul efectiv al propunerii. </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Documentele explicative (în cazul directivelor)</w:t>
      </w:r>
    </w:p>
    <w:p>
      <w:pPr>
        <w:pBdr>
          <w:top w:val="nil"/>
          <w:left w:val="nil"/>
          <w:bottom w:val="nil"/>
          <w:right w:val="nil"/>
          <w:between w:val="nil"/>
        </w:pBdr>
        <w:spacing w:after="240" w:line="276" w:lineRule="auto"/>
        <w:rPr>
          <w:noProof/>
        </w:rPr>
      </w:pPr>
      <w:r>
        <w:rPr>
          <w:b/>
          <w:noProof/>
          <w:color w:val="000000" w:themeColor="text1"/>
        </w:rPr>
        <w:t>N/A</w:t>
      </w:r>
    </w:p>
    <w:p>
      <w:pPr>
        <w:pBdr>
          <w:top w:val="nil"/>
          <w:left w:val="nil"/>
          <w:bottom w:val="nil"/>
          <w:right w:val="nil"/>
          <w:between w:val="nil"/>
        </w:pBdr>
        <w:spacing w:after="240" w:line="276" w:lineRule="auto"/>
        <w:rPr>
          <w:b/>
          <w:noProof/>
          <w:color w:val="000000" w:themeColor="text1"/>
        </w:rPr>
      </w:pPr>
      <w:r>
        <w:rPr>
          <w:b/>
          <w:noProof/>
          <w:color w:val="000000" w:themeColor="text1"/>
        </w:rPr>
        <w:t>•</w:t>
      </w:r>
      <w:r>
        <w:rPr>
          <w:noProof/>
        </w:rPr>
        <w:tab/>
      </w:r>
      <w:r>
        <w:rPr>
          <w:b/>
          <w:noProof/>
          <w:color w:val="000000" w:themeColor="text1"/>
        </w:rPr>
        <w:t>Explicații detaliate cu privire la dispozițiile specifice ale propunerii</w:t>
      </w:r>
    </w:p>
    <w:p>
      <w:pPr>
        <w:spacing w:line="276" w:lineRule="auto"/>
        <w:rPr>
          <w:rFonts w:eastAsia="Times New Roman"/>
          <w:noProof/>
          <w:color w:val="000000" w:themeColor="text1"/>
        </w:rPr>
      </w:pPr>
      <w:r>
        <w:rPr>
          <w:noProof/>
          <w:color w:val="000000" w:themeColor="text1"/>
        </w:rPr>
        <w:t xml:space="preserve">Articolul 1 definește obiectul, clarificând astfel obiectivele propunerii. </w:t>
      </w:r>
    </w:p>
    <w:p>
      <w:pPr>
        <w:spacing w:line="276" w:lineRule="auto"/>
        <w:rPr>
          <w:rFonts w:eastAsia="Times New Roman"/>
          <w:noProof/>
          <w:color w:val="000000" w:themeColor="text1"/>
        </w:rPr>
      </w:pPr>
      <w:r>
        <w:rPr>
          <w:noProof/>
          <w:color w:val="000000" w:themeColor="text1"/>
        </w:rPr>
        <w:t xml:space="preserve">Articolul 2 stabilește domeniul de aplicare material și personal al propunerii, specificând categoriile de persoane și ramurile de securitate socială cărora li se aplică propunerea. </w:t>
      </w:r>
    </w:p>
    <w:p>
      <w:pPr>
        <w:spacing w:line="276" w:lineRule="auto"/>
        <w:rPr>
          <w:rFonts w:eastAsia="Times New Roman"/>
          <w:noProof/>
          <w:color w:val="000000" w:themeColor="text1"/>
        </w:rPr>
      </w:pPr>
      <w:r>
        <w:rPr>
          <w:noProof/>
          <w:color w:val="000000" w:themeColor="text1"/>
        </w:rPr>
        <w:t xml:space="preserve">Articolul 3 stabilește definițiile principalelor concepte utilizate în regulamentul propus, pentru a facilita interpretarea și aplicarea uniformă. </w:t>
      </w:r>
    </w:p>
    <w:p>
      <w:pPr>
        <w:spacing w:line="276" w:lineRule="auto"/>
        <w:rPr>
          <w:rFonts w:eastAsia="Times New Roman"/>
          <w:noProof/>
          <w:color w:val="000000" w:themeColor="text1"/>
        </w:rPr>
      </w:pPr>
      <w:r>
        <w:rPr>
          <w:noProof/>
          <w:color w:val="000000" w:themeColor="text1"/>
        </w:rPr>
        <w:t xml:space="preserve">Articolul 4 stabilește cadrul soluției digitale ESSPASS pentru solicitarea, eliberarea, verificarea transfrontalieră și recunoașterea documentelor de securitate socială și prezintă principalele sale caracteristici. </w:t>
      </w:r>
    </w:p>
    <w:p>
      <w:pPr>
        <w:spacing w:line="276" w:lineRule="auto"/>
        <w:rPr>
          <w:rFonts w:eastAsia="Times New Roman"/>
          <w:noProof/>
          <w:color w:val="000000" w:themeColor="text1"/>
        </w:rPr>
      </w:pPr>
      <w:r>
        <w:rPr>
          <w:noProof/>
          <w:color w:val="000000" w:themeColor="text1"/>
        </w:rPr>
        <w:t>Articolul 5 stabilește data de la care capitolul I privind ESSPASS se va aplica documentelor de securitate socială. Amânarea datei de aplicare este menită să acorde statelor membre suficient timp pentru a se adapta la noile cerințe.</w:t>
      </w:r>
    </w:p>
    <w:p>
      <w:pPr>
        <w:spacing w:line="276" w:lineRule="auto"/>
        <w:rPr>
          <w:rFonts w:eastAsia="Times New Roman"/>
          <w:noProof/>
          <w:color w:val="000000" w:themeColor="text1"/>
        </w:rPr>
      </w:pPr>
      <w:r>
        <w:rPr>
          <w:noProof/>
          <w:color w:val="000000" w:themeColor="text1"/>
        </w:rPr>
        <w:t>Articolul 6 prevede obligația statelor membre de a oferi persoanelor fizice și întreprinderilor posibilitatea de a depune integral online cereri pentru documentele de securitate socială care fac obiectul propunerii, utilizând proceduri conforme cu Regulamentul (UE) 2018/1724</w:t>
      </w:r>
      <w:r>
        <w:rPr>
          <w:rStyle w:val="FootnoteReference"/>
          <w:rFonts w:eastAsia="Times New Roman"/>
          <w:noProof/>
          <w:color w:val="000000" w:themeColor="text1"/>
        </w:rPr>
        <w:footnoteReference w:id="19"/>
      </w:r>
      <w:r>
        <w:rPr>
          <w:noProof/>
          <w:color w:val="000000" w:themeColor="text1"/>
        </w:rPr>
        <w:t xml:space="preserve">. </w:t>
      </w:r>
    </w:p>
    <w:p>
      <w:pPr>
        <w:spacing w:line="276" w:lineRule="auto"/>
        <w:rPr>
          <w:rFonts w:eastAsia="Times New Roman"/>
          <w:noProof/>
          <w:color w:val="000000" w:themeColor="text1"/>
        </w:rPr>
      </w:pPr>
      <w:r>
        <w:rPr>
          <w:noProof/>
          <w:color w:val="000000" w:themeColor="text1"/>
        </w:rPr>
        <w:t>Articolul 7 stabilește normele care reglementează eliberarea, valabilitatea și verificarea documentelor de securitate socială. Acesta impune utilizarea, în mod implicit, a unui format digital pentru aceste documente – destinat utilizării în portofelele EUDI –, permițând în același timp utilizarea unor documente în format fizic, îmbunătățite cu elemente digitale pentru consolidarea securității acestora. Articolul prevede, de asemenea, notificarea automată a persoanelor în cauză și a angajatorilor la retragerea documentelor și asigură recunoașterea și verificarea transfrontalieră de către verificatorii desemnați, în vederea confirmării autenticității, integrității și valabilității acestora. Totodată, acesta conferă Comisiei competențe de executare pentru a stabili specificațiile funcționale, operaționale și tehnice ale soluției digitale în conformitate cu procedura de examinare menționată la articolul 5 din Regulamentul (UE) nr. 182/2011.</w:t>
      </w:r>
    </w:p>
    <w:p>
      <w:pPr>
        <w:spacing w:line="276" w:lineRule="auto"/>
        <w:rPr>
          <w:rFonts w:eastAsia="Times New Roman"/>
          <w:noProof/>
          <w:color w:val="000000" w:themeColor="text1"/>
        </w:rPr>
      </w:pPr>
      <w:r>
        <w:rPr>
          <w:noProof/>
          <w:color w:val="000000" w:themeColor="text1"/>
        </w:rPr>
        <w:t xml:space="preserve">Articolul 8 introduce termene obligatorii pentru eliberarea documentelor de securitate socială. Scopul este de a preveni întârzierile inutile, de a asigura exercitarea efectivă și în timp util a drepturilor în temeiul normelor UE de coordonare a securității sociale și de a facilita operațiunile transfrontaliere ale întreprinderilor. Articolul împuternicește Comisia să stabilească termene specifice pentru fiecare document prin acte de punere în aplicare, sub rezerva procedurii de examinare menționate la articolul 5 din Regulamentul (UE) nr. 182/2011. </w:t>
      </w:r>
    </w:p>
    <w:p>
      <w:pPr>
        <w:spacing w:line="276" w:lineRule="auto"/>
        <w:rPr>
          <w:rFonts w:eastAsia="Times New Roman"/>
          <w:noProof/>
          <w:color w:val="000000" w:themeColor="text1"/>
        </w:rPr>
      </w:pPr>
      <w:r>
        <w:rPr>
          <w:noProof/>
          <w:color w:val="000000" w:themeColor="text1"/>
        </w:rPr>
        <w:t xml:space="preserve">Articolul 9 stabilește dispoziții specifice pentru cardul european de asigurări sociale de sănătate. </w:t>
      </w:r>
    </w:p>
    <w:p>
      <w:pPr>
        <w:spacing w:line="276" w:lineRule="auto"/>
        <w:rPr>
          <w:rFonts w:eastAsia="Times New Roman"/>
          <w:noProof/>
          <w:color w:val="000000" w:themeColor="text1"/>
        </w:rPr>
      </w:pPr>
      <w:r>
        <w:rPr>
          <w:noProof/>
          <w:color w:val="000000" w:themeColor="text1"/>
        </w:rPr>
        <w:t xml:space="preserve">Articolul 10 introduce alinierea cerințelor în materie de informații aplicabile cererilor privind documentul portabil A1. Scopul este de a preveni neconcordanțele între statele membre în ceea ce privește verificarea faptelor relevante înainte de eliberarea unor astfel de documente, simplificând totodată procedurile de solicitare. Articolul prevede, de asemenea, posibilitatea unei viitoare interoperabilități tehnice între, pe de o parte, portalurile naționale utilizate pentru a solicita documentul portabil A1 și, pe de altă parte, interfețele publice conectate la </w:t>
      </w:r>
      <w:r>
        <w:rPr>
          <w:noProof/>
        </w:rPr>
        <w:t>Sistemul de informare al pieței interne</w:t>
      </w:r>
      <w:r>
        <w:rPr>
          <w:noProof/>
          <w:color w:val="000000" w:themeColor="text1"/>
        </w:rPr>
        <w:t xml:space="preserve"> utilizate pentru detașarea conducătorilor auto în sectorul transportului rutier și pentru declarațiile de detașare prevăzute de Directiva 2014/67/UE a Parlamentului European și a Consiliului</w:t>
      </w:r>
      <w:r>
        <w:rPr>
          <w:rStyle w:val="FootnoteReference"/>
          <w:rFonts w:eastAsia="Times New Roman"/>
          <w:noProof/>
          <w:color w:val="000000" w:themeColor="text1"/>
        </w:rPr>
        <w:footnoteReference w:id="20"/>
      </w:r>
      <w:r>
        <w:rPr>
          <w:noProof/>
          <w:color w:val="000000" w:themeColor="text1"/>
        </w:rPr>
        <w:t>. Scopul este de a reduce sarcinile administrative și de a promova reutilizarea datelor.</w:t>
      </w:r>
    </w:p>
    <w:p>
      <w:pPr>
        <w:spacing w:line="276" w:lineRule="auto"/>
        <w:rPr>
          <w:rFonts w:eastAsia="Times New Roman"/>
          <w:noProof/>
          <w:color w:val="000000" w:themeColor="text1"/>
        </w:rPr>
      </w:pPr>
      <w:r>
        <w:rPr>
          <w:noProof/>
          <w:color w:val="000000" w:themeColor="text1"/>
        </w:rPr>
        <w:t xml:space="preserve">Articolul 11 consolidează utilizarea sistemului EESSI drept principal canal pentru schimburile transfrontaliere de date între organismele de securitate socială în temeiul normelor UE de coordonare a securității sociale. Articolul prevede că sistemul ar trebui să continue să funcționeze în conformitate cu specificațiile tehnice și operaționale actuale. Orice adaptare sau îmbunătățire ulterioară ar trebui introdusă prin acte de punere în aplicare, în conformitate cu procedura de examinare menționată la articolul 5 din Regulamentul (UE) nr. 182/2011, pentru a se asigura caracterul obligatoriu și aplicarea uniformă a acestora în toate statele membre. Pentru a îmbunătăți și mai mult fiabilitatea sistemului și pentru a se asigura că persoanele fizice au acces în timp util la prestațiile lor de securitate socială, articolul introduce, de asemenea, obligația statelor membre de a respecta termenele maxime pentru schimburile efectuate prin EESSI, prevăzute în anexa I la regulamentul propus. În plus, articolul împuternicește Comisia să adopte, dacă este necesar, acte delegate pentru a modifica anexa respectivă. </w:t>
      </w:r>
    </w:p>
    <w:p>
      <w:pPr>
        <w:spacing w:line="276" w:lineRule="auto"/>
        <w:rPr>
          <w:rFonts w:eastAsia="Times New Roman"/>
          <w:noProof/>
          <w:color w:val="000000" w:themeColor="text1"/>
        </w:rPr>
      </w:pPr>
      <w:r>
        <w:rPr>
          <w:noProof/>
          <w:color w:val="000000" w:themeColor="text1"/>
        </w:rPr>
        <w:t>Articolul 12 consolidează cooperarea dintre statele membre prin instituirea unui temei juridic care permite schimbul electronic de informații pentru detectarea schimbărilor de situație care afectează drepturile și obligațiile în materie de securitate socială și pentru combaterea mai eficientă a fraudei. Articolul împuternicește Comisia să adopte modalități tehnice prin acte de punere în aplicare,</w:t>
      </w:r>
      <w:r>
        <w:rPr>
          <w:noProof/>
        </w:rPr>
        <w:t xml:space="preserve"> </w:t>
      </w:r>
      <w:r>
        <w:rPr>
          <w:noProof/>
          <w:color w:val="000000" w:themeColor="text1"/>
        </w:rPr>
        <w:t xml:space="preserve">în conformitate cu procedura de examinare menționată la articolul 5 din Regulamentul (UE) nr. 182/2011, în cazul în care sistemul EESSI nu este considerat cea mai eficace sau adecvată metodă de schimb. </w:t>
      </w:r>
    </w:p>
    <w:p>
      <w:pPr>
        <w:spacing w:line="276" w:lineRule="auto"/>
        <w:rPr>
          <w:rFonts w:eastAsia="Times New Roman"/>
          <w:noProof/>
          <w:color w:val="000000" w:themeColor="text1"/>
        </w:rPr>
      </w:pPr>
      <w:r>
        <w:rPr>
          <w:noProof/>
          <w:color w:val="000000" w:themeColor="text1"/>
        </w:rPr>
        <w:t xml:space="preserve">Articolul 13 creează un grup privind digitalizarea coordonării securității sociale, pentru a oferi sprijin operațional și a crea o comunitate de practică pentru schimbul de experiență și de cunoștințe, facilitând astfel cooperarea dintre statele membre. </w:t>
      </w:r>
    </w:p>
    <w:p>
      <w:pPr>
        <w:spacing w:line="276" w:lineRule="auto"/>
        <w:rPr>
          <w:rFonts w:eastAsia="Times New Roman"/>
          <w:noProof/>
          <w:color w:val="000000" w:themeColor="text1"/>
        </w:rPr>
      </w:pPr>
      <w:r>
        <w:rPr>
          <w:noProof/>
          <w:color w:val="000000" w:themeColor="text1"/>
        </w:rPr>
        <w:t xml:space="preserve">Articolul 14 stabilește o obligație de raportare în sarcina statelor membre, în vederea asigurării transparenței și responsabilității în punerea în aplicare a dispozițiilor referitoare la articolul 8 alineatul (1) și la articolul 11 alineatul (2). </w:t>
      </w:r>
    </w:p>
    <w:p>
      <w:pPr>
        <w:spacing w:line="276" w:lineRule="auto"/>
        <w:rPr>
          <w:rFonts w:eastAsia="Times New Roman"/>
          <w:noProof/>
          <w:color w:val="000000" w:themeColor="text1"/>
        </w:rPr>
      </w:pPr>
      <w:r>
        <w:rPr>
          <w:noProof/>
          <w:color w:val="000000" w:themeColor="text1"/>
        </w:rPr>
        <w:t>Articolul 15 precizează cerințele în materie de protecție a datelor aplicabile prelucrării datelor cu caracter personal în temeiul regulamentului propus. Acesta garantează că prelucrarea datelor cu caracter personal efectuată în temeiul regulamentului propus respectă Regulamentul (UE) 2016/679</w:t>
      </w:r>
      <w:r>
        <w:rPr>
          <w:noProof/>
        </w:rPr>
        <w:t xml:space="preserve"> al Parlamentului European și al Consiliului</w:t>
      </w:r>
      <w:r>
        <w:rPr>
          <w:noProof/>
          <w:color w:val="000000" w:themeColor="text1"/>
        </w:rPr>
        <w:t xml:space="preserve"> și, după caz, Regulamentul (UE) 2018/1725</w:t>
      </w:r>
      <w:r>
        <w:rPr>
          <w:noProof/>
        </w:rPr>
        <w:t xml:space="preserve"> al Parlamentului European și al Consiliului</w:t>
      </w:r>
      <w:r>
        <w:rPr>
          <w:rStyle w:val="FootnoteReference"/>
          <w:noProof/>
          <w:lang w:eastAsia="en-IE"/>
        </w:rPr>
        <w:footnoteReference w:id="21"/>
      </w:r>
      <w:r>
        <w:rPr>
          <w:noProof/>
          <w:color w:val="000000" w:themeColor="text1"/>
        </w:rPr>
        <w:t>.</w:t>
      </w:r>
    </w:p>
    <w:p>
      <w:pPr>
        <w:spacing w:line="276" w:lineRule="auto"/>
        <w:rPr>
          <w:rFonts w:eastAsia="Times New Roman"/>
          <w:noProof/>
          <w:color w:val="000000" w:themeColor="text1"/>
        </w:rPr>
      </w:pPr>
      <w:r>
        <w:rPr>
          <w:noProof/>
          <w:color w:val="000000" w:themeColor="text1"/>
        </w:rPr>
        <w:t>Articolul 16 împuternicește Comisia să adopte acte delegate în conformitate cu articolul 290 din TFUE și stabilește condițiile care reglementează exercitarea delegării respective.</w:t>
      </w:r>
    </w:p>
    <w:p>
      <w:pPr>
        <w:spacing w:line="276" w:lineRule="auto"/>
        <w:rPr>
          <w:rFonts w:eastAsia="Times New Roman"/>
          <w:noProof/>
          <w:color w:val="000000" w:themeColor="text1"/>
        </w:rPr>
      </w:pPr>
      <w:r>
        <w:rPr>
          <w:noProof/>
          <w:color w:val="000000" w:themeColor="text1"/>
        </w:rPr>
        <w:t xml:space="preserve">Articolul 17 prevede că, la adoptarea actelor de punere în aplicare în conformitate cu Regulamentul (UE) nr. 182/2011, Comisia va fi asistată de un comitet. </w:t>
      </w:r>
    </w:p>
    <w:p>
      <w:pPr>
        <w:spacing w:line="276" w:lineRule="auto"/>
        <w:rPr>
          <w:rFonts w:eastAsia="Times New Roman"/>
          <w:noProof/>
          <w:color w:val="000000" w:themeColor="text1"/>
        </w:rPr>
      </w:pPr>
      <w:r>
        <w:rPr>
          <w:noProof/>
          <w:color w:val="000000" w:themeColor="text1"/>
        </w:rPr>
        <w:t xml:space="preserve">Articolul 18 prevede evaluarea punerii în aplicare a regulamentului propus și a eficacității acestuia. Articolele 19 și 20 prevăd modificarea Regulamentului (CE) nr. 883/2004 și a Regulamentului (CE) nr. 987/2009 al Parlamentului European și al Consiliului pentru a asigura alinierea acestora la regulamentul propus și la noul cadru de guvernanță și pentru a menține coerența juridică. </w:t>
      </w:r>
    </w:p>
    <w:p>
      <w:pPr>
        <w:spacing w:line="276" w:lineRule="auto"/>
        <w:rPr>
          <w:rFonts w:eastAsia="Times New Roman"/>
          <w:noProof/>
          <w:color w:val="000000" w:themeColor="text1"/>
        </w:rPr>
      </w:pPr>
      <w:r>
        <w:rPr>
          <w:noProof/>
          <w:color w:val="000000" w:themeColor="text1"/>
        </w:rPr>
        <w:t xml:space="preserve">Articolul 21 prevede modificarea anexei II la Regulamentul (UE) 2018/1724 pentru a include în domeniul de aplicare al Regulamentului privind portalul digital unic procedurile online de solicitare a documentelor de securitate socială care intră în domeniul de aplicare al prezentului regulament. </w:t>
      </w:r>
    </w:p>
    <w:p>
      <w:pPr>
        <w:spacing w:line="276" w:lineRule="auto"/>
        <w:rPr>
          <w:rFonts w:eastAsia="Times New Roman"/>
          <w:b/>
          <w:bCs/>
          <w:noProof/>
          <w:color w:val="000000" w:themeColor="text1"/>
        </w:rPr>
      </w:pPr>
      <w:r>
        <w:rPr>
          <w:noProof/>
          <w:color w:val="000000" w:themeColor="text1"/>
        </w:rPr>
        <w:t xml:space="preserve">Articolul 22 stabilește normele privind intrarea în vigoare a regulamentului propus. </w:t>
      </w:r>
    </w:p>
    <w:p>
      <w:pPr>
        <w:rPr>
          <w:rFonts w:eastAsia="Times New Roman"/>
          <w:b/>
          <w:bCs/>
          <w:noProof/>
          <w:color w:val="000000" w:themeColor="text1"/>
        </w:rPr>
      </w:pPr>
    </w:p>
    <w:p>
      <w:pPr>
        <w:rPr>
          <w:noProof/>
        </w:rPr>
        <w:sectPr>
          <w:headerReference w:type="even" r:id="rId23"/>
          <w:footerReference w:type="even" r:id="rId24"/>
          <w:footerReference w:type="default" r:id="rId25"/>
          <w:headerReference w:type="first" r:id="rId26"/>
          <w:footerReference w:type="first" r:id="rId27"/>
          <w:pgSz w:w="11907" w:h="16839"/>
          <w:pgMar w:top="1134" w:right="1417" w:bottom="1134" w:left="1417" w:header="709" w:footer="709" w:gutter="0"/>
          <w:cols w:space="708"/>
          <w:docGrid w:linePitch="360"/>
        </w:sectPr>
      </w:pPr>
    </w:p>
    <w:p>
      <w:pPr>
        <w:pStyle w:val="Rfrenceinterinstitutionnelle"/>
        <w:rPr>
          <w:noProof/>
        </w:rPr>
      </w:pPr>
      <w:r>
        <w:rPr>
          <w:noProof/>
        </w:rPr>
        <w:t>2026/0271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privind digitalizarea coordonării sistemelor de securitate socială, de stabilire a unui cadru pentru Pașaportul european de securitate socială (ESSPASS) și de modificare a Regulamentelor (CE) nr. 883/2004, (CE) nr. 987/2009 și (UE) 2018/1724</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48,</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hotărând în conformitate cu procedura legislativă ordinară,</w:t>
      </w:r>
    </w:p>
    <w:p>
      <w:pPr>
        <w:rPr>
          <w:noProof/>
        </w:rPr>
      </w:pPr>
      <w:r>
        <w:rPr>
          <w:noProof/>
        </w:rPr>
        <w:t>întrucât:</w:t>
      </w:r>
    </w:p>
    <w:p>
      <w:pPr>
        <w:pStyle w:val="ManualConsidrant"/>
        <w:rPr>
          <w:noProof/>
        </w:rPr>
      </w:pPr>
      <w:r>
        <w:rPr>
          <w:noProof/>
        </w:rPr>
        <w:t>(1)</w:t>
      </w:r>
      <w:r>
        <w:rPr>
          <w:noProof/>
        </w:rPr>
        <w:tab/>
        <w:t>Libera circulație a persoanelor este o libertate fundamentală garantată de Tratatul privind funcționarea Uniunii Europene (TFUE) și o piatră de temelie a pieței unice a Uniunii. Pentru ca această libertate să poată fi exercitată pe deplin, este esențial ca persoanele fizice, lucrătorii și familiile acestora să își poată exercita efectiv drepturile în materie de securitate socială atunci când se deplasează într-un alt stat membru, se află temporar în acesta, își au reședința sau lucrează în acesta.</w:t>
      </w:r>
    </w:p>
    <w:p>
      <w:pPr>
        <w:pStyle w:val="ManualConsidrant"/>
        <w:rPr>
          <w:noProof/>
        </w:rPr>
      </w:pPr>
      <w:r>
        <w:rPr>
          <w:noProof/>
        </w:rPr>
        <w:t>(2)</w:t>
      </w:r>
      <w:r>
        <w:rPr>
          <w:noProof/>
        </w:rPr>
        <w:tab/>
        <w:t>În acest scop, Uniunea a instituit un cadru juridic cuprinzător în temeiul Regulamentelor (CE) nr. 883/2004</w:t>
      </w:r>
      <w:r>
        <w:rPr>
          <w:rStyle w:val="FootnoteReference"/>
          <w:noProof/>
        </w:rPr>
        <w:footnoteReference w:id="22"/>
      </w:r>
      <w:r>
        <w:rPr>
          <w:noProof/>
        </w:rPr>
        <w:t xml:space="preserve"> și (CE) nr. 987/2009</w:t>
      </w:r>
      <w:r>
        <w:rPr>
          <w:rStyle w:val="FootnoteReference"/>
          <w:noProof/>
        </w:rPr>
        <w:footnoteReference w:id="23"/>
      </w:r>
      <w:r>
        <w:rPr>
          <w:noProof/>
        </w:rPr>
        <w:t xml:space="preserve"> ale Parlamentului European și ale Consiliului. Aceste norme coordonează sistemele de securitate socială ale statelor membre pentru a se asigura că persoanele fizice aflate în situații transfrontaliere își păstrează accesul la prestații de securitate socială, cum ar fi pensiile, prestațiile de șomaj și asistența medicală. Cu toate acestea, aplicarea corectă a acestor norme necesită proceduri eficiente în materie de securitate socială, care să țină pasul cu progresul tehnologic și cu evoluția nevoilor societății. </w:t>
      </w:r>
    </w:p>
    <w:p>
      <w:pPr>
        <w:pStyle w:val="ManualConsidrant"/>
        <w:rPr>
          <w:noProof/>
        </w:rPr>
      </w:pPr>
      <w:r>
        <w:rPr>
          <w:noProof/>
        </w:rPr>
        <w:t>(3)</w:t>
      </w:r>
      <w:r>
        <w:rPr>
          <w:noProof/>
        </w:rPr>
        <w:tab/>
        <w:t xml:space="preserve">Digitalizarea coordonării securității sociale este esențială pentru a spori eficiența schimburilor de date, pentru a accelera prelucrarea cererilor, pentru a simplifica accesul la prestații și pentru a reduce obstacolele administrative pentru persoane fizice, întreprinderi și autorități naționale. De asemenea, contribuie la prevenirea mai eficace a fraudei, sporind astfel încrederea în cadrul de coordonare a securității sociale al Uniunii și favorizând o mobilitate liberă și echitabilă pentru toți. </w:t>
      </w:r>
    </w:p>
    <w:p>
      <w:pPr>
        <w:pStyle w:val="ManualConsidrant"/>
        <w:rPr>
          <w:noProof/>
        </w:rPr>
      </w:pPr>
      <w:r>
        <w:rPr>
          <w:noProof/>
        </w:rPr>
        <w:t>(4)</w:t>
      </w:r>
      <w:r>
        <w:rPr>
          <w:noProof/>
        </w:rPr>
        <w:tab/>
        <w:t xml:space="preserve">Complexitatea schimburilor transfrontaliere de date și continuarea digitalizării procedurilor în domeniul coordonării securității sociale necesită un instrument juridic specific, capabil să se adapteze la viitoarele evoluții tehnologice, sociale și în materie de politici. Instrumentul juridic respectiv ar trebui să completeze normele Uniunii privind coordonarea securității sociale, prevăzute în Regulamentele (CE) nr. 883/2004 și (CE) nr. 987/2009, prin reglementarea sistemelor și proceselor digitale necesare pentru punerea în aplicare efectivă a normelor respective și asigurarea respectării acestora. Întrucât dispozițiile prezentului act sunt intrinsec legate și ar trebui să se aplice în coroborare cu regulamentele privind coordonarea securității sociale, completându-le, aceste dispoziții trebuie, de asemenea, să fie prevăzute într-un regulament. </w:t>
      </w:r>
    </w:p>
    <w:p>
      <w:pPr>
        <w:pStyle w:val="ManualConsidrant"/>
        <w:rPr>
          <w:noProof/>
        </w:rPr>
      </w:pPr>
      <w:r>
        <w:rPr>
          <w:noProof/>
        </w:rPr>
        <w:t>(5)</w:t>
      </w:r>
      <w:r>
        <w:rPr>
          <w:noProof/>
        </w:rPr>
        <w:tab/>
        <w:t xml:space="preserve">Având în vedere specificitatea tehnică, cerințele de interoperabilitate și evoluția rapidă a proceselor digitale, este oportun să se adopte normele necesare sub forma unui instrument juridic separat. Scopul este de a se asigura claritatea juridică și aplicarea uniformă în întreaga Uniune și de a se oferi flexibilitatea necesară pentru adaptarea la noile evoluții digitale, fără a fi necesare modificări ale normelor Uniunii privind coordonarea securității sociale. </w:t>
      </w:r>
    </w:p>
    <w:p>
      <w:pPr>
        <w:pStyle w:val="ManualConsidrant"/>
        <w:rPr>
          <w:noProof/>
        </w:rPr>
      </w:pPr>
      <w:r>
        <w:rPr>
          <w:noProof/>
        </w:rPr>
        <w:t>(6)</w:t>
      </w:r>
      <w:r>
        <w:rPr>
          <w:noProof/>
        </w:rPr>
        <w:tab/>
        <w:t>Pentru a se asigura securitatea juridică și coerența cu Regulamentul (CE) nr. 883/2004, domeniul de aplicare al acestui instrument juridic ar trebui să fie aliniat la domeniul de aplicare personal și material prevăzut în regulamentul respectiv.</w:t>
      </w:r>
    </w:p>
    <w:p>
      <w:pPr>
        <w:pStyle w:val="ManualConsidrant"/>
        <w:rPr>
          <w:noProof/>
        </w:rPr>
      </w:pPr>
      <w:r>
        <w:rPr>
          <w:noProof/>
        </w:rPr>
        <w:t>(7)</w:t>
      </w:r>
      <w:r>
        <w:rPr>
          <w:noProof/>
        </w:rPr>
        <w:tab/>
        <w:t xml:space="preserve">Este necesar să se stabilească norme privind instituirea și funcționarea Pașaportului european de securitate socială (ESSPASS). ESSPASS este o soluție digitală pentru solicitarea, eliberarea și verificarea transfrontalieră pe cale electronică a documentelor de securitate socială, inclusiv a cardului european de asigurări sociale de sănătate (CEASS). ESSPASS ar trebui să permită persoanelor fizice să își dovedească rapid drepturile în materie de securitate socială și să sprijine exercitarea fără sincope a acestor drepturi în situații transfrontaliere, permițând în același timp organismelor de securitate socială, inspectoratelor de muncă și furnizorilor de servicii medicale să verifice în mod eficient și sigur informațiile relevante. La rândul său, această posibilitate ar facilita controalele antifraudă și ar consolida asigurarea respectării normelor. ESSPASS ar trebui, de asemenea, să simplifice, în situații transfrontaliere, respectarea cerințelor aplicabile întreprinderilor care angajează lucrători, precum și persoanelor care desfășoară o activitate independentă. </w:t>
      </w:r>
    </w:p>
    <w:p>
      <w:pPr>
        <w:pStyle w:val="ManualConsidrant"/>
        <w:rPr>
          <w:noProof/>
        </w:rPr>
      </w:pPr>
      <w:r>
        <w:rPr>
          <w:noProof/>
        </w:rPr>
        <w:t>(8)</w:t>
      </w:r>
      <w:r>
        <w:rPr>
          <w:noProof/>
        </w:rPr>
        <w:tab/>
        <w:t xml:space="preserve">Etapa-pilot a ESSPASS desfășurată în perioada 2021-2025, lansată în cadrul Planului de acțiune privind Pilonul european al drepturilor sociale și sprijinită de programul Europa digitală, a demonstrat atât fezabilitatea tehnică, cât și beneficiile practice ale ESSPASS. </w:t>
      </w:r>
    </w:p>
    <w:p>
      <w:pPr>
        <w:pStyle w:val="ManualConsidrant"/>
        <w:rPr>
          <w:noProof/>
        </w:rPr>
      </w:pPr>
      <w:r>
        <w:rPr>
          <w:noProof/>
        </w:rPr>
        <w:t>(9)</w:t>
      </w:r>
      <w:r>
        <w:rPr>
          <w:noProof/>
        </w:rPr>
        <w:tab/>
        <w:t>Procedurile legate de documentul portabil A1 și de CEASS și-au demonstrat deja potențialul de a reduce sarcina administrativă, în timp ce etapa-pilot a furnizat dovezi privind fezabilitatea tehnică a acestora. Cadrul ESSPASS ar trebui să se aplice mai întâi documentului portabil A1, având în vedere stadiul avansat de pregătire tehnică a acestui document. Ulterior, cadrul ESSPASS ar trebui să se aplice CEASS și celorlalte documente de securitate socială, cu excepția celor pentru care o evaluare arată că nu sunt relevante sau fezabile ori eficace din punctul de vedere al costurilor.</w:t>
      </w:r>
    </w:p>
    <w:p>
      <w:pPr>
        <w:pStyle w:val="ManualConsidrant"/>
        <w:rPr>
          <w:noProof/>
        </w:rPr>
      </w:pPr>
      <w:r>
        <w:rPr>
          <w:noProof/>
        </w:rPr>
        <w:t>(10)</w:t>
      </w:r>
      <w:r>
        <w:rPr>
          <w:noProof/>
        </w:rPr>
        <w:tab/>
        <w:t>Pentru a se evita duplicarea eforturilor, ESSPASS ar trebui să se bazeze pe inițiativele digitale existente ale Uniunii și să le completeze, în special pe Regulamentele (UE) 2018/1724</w:t>
      </w:r>
      <w:r>
        <w:rPr>
          <w:rStyle w:val="FootnoteReference"/>
          <w:noProof/>
        </w:rPr>
        <w:footnoteReference w:id="24"/>
      </w:r>
      <w:r>
        <w:rPr>
          <w:noProof/>
        </w:rPr>
        <w:t>, (UE) 2024/903</w:t>
      </w:r>
      <w:r>
        <w:rPr>
          <w:rStyle w:val="FootnoteReference"/>
          <w:noProof/>
        </w:rPr>
        <w:footnoteReference w:id="25"/>
      </w:r>
      <w:r>
        <w:rPr>
          <w:noProof/>
        </w:rPr>
        <w:t xml:space="preserve"> și (UE) 910/2014</w:t>
      </w:r>
      <w:r>
        <w:rPr>
          <w:rStyle w:val="FootnoteReference"/>
          <w:noProof/>
        </w:rPr>
        <w:footnoteReference w:id="26"/>
      </w:r>
      <w:r>
        <w:rPr>
          <w:noProof/>
        </w:rPr>
        <w:t xml:space="preserve"> ale Parlamentului European și ale Consiliului. </w:t>
      </w:r>
    </w:p>
    <w:p>
      <w:pPr>
        <w:pStyle w:val="ManualConsidrant"/>
        <w:rPr>
          <w:noProof/>
        </w:rPr>
      </w:pPr>
      <w:r>
        <w:rPr>
          <w:noProof/>
        </w:rPr>
        <w:t>(11)</w:t>
      </w:r>
      <w:r>
        <w:rPr>
          <w:noProof/>
        </w:rPr>
        <w:tab/>
        <w:t xml:space="preserve">Regulamentul (UE) 2018/1724 impune statelor membre să permită persoanelor fizice și întreprinderilor să finalizeze anumite proceduri integral online. Printre acestea se numără cererile de stabilire a legislației în materie de securitate socială aplicabile titularului, al căror rezultat este eliberarea documentului portabil A1, precum și cererile pentru CEASS și cererile de prestații de pensie. Pentru a se asigura că persoanele fizice își pot exercita pe deplin drepturile la liberă circulație și la mobilitatea forței de muncă fără obstacole administrative, posibilitatea de a depune cereri integral online ar trebui extinsă la documentele de securitate socială care intră în domeniul de aplicare al prezentului regulament. Prin urmare, anexa II la Regulamentul (UE) 2018/1724 ar trebui modificată pentru a include procedurile online de solicitare a documentelor de securitate socială care intră în domeniul de aplicare al prezentului regulament. </w:t>
      </w:r>
    </w:p>
    <w:p>
      <w:pPr>
        <w:pStyle w:val="ManualConsidrant"/>
        <w:rPr>
          <w:noProof/>
        </w:rPr>
      </w:pPr>
      <w:r>
        <w:rPr>
          <w:noProof/>
        </w:rPr>
        <w:t>(12)</w:t>
      </w:r>
      <w:r>
        <w:rPr>
          <w:noProof/>
        </w:rPr>
        <w:tab/>
        <w:t xml:space="preserve">Pentru a se menține o abordare a digitalizării centrată pe factorul uman și pentru a se optimiza investițiile statelor membre, este esențială utilizarea portofelelor europene pentru identitatea digitală, astfel cum sunt instituite prin Regulamentul (UE) 2024/1183 al Parlamentului European și al Consiliului, în combinație cu Regulamentul (UE) 2018/1724. Portofelele respective oferă un mecanism armonizat, solid din punct de vedere juridic, foarte sigur și conform cu cerințele privind protecția vieții private, pentru stocarea și partajarea în condiții de siguranță a datelor și documentelor de identitate digitală. </w:t>
      </w:r>
    </w:p>
    <w:p>
      <w:pPr>
        <w:pStyle w:val="ManualConsidrant"/>
        <w:rPr>
          <w:noProof/>
        </w:rPr>
      </w:pPr>
      <w:r>
        <w:rPr>
          <w:noProof/>
        </w:rPr>
        <w:t>(13)</w:t>
      </w:r>
      <w:r>
        <w:rPr>
          <w:noProof/>
        </w:rPr>
        <w:tab/>
        <w:t xml:space="preserve">Pentru a se promova eficiența și modernizarea, formatul digital ar trebui să devină formatul implicit al documentelor de securitate socială. În același timp, este esențial ca persoanele fizice și întreprinderile să își păstreze dreptul de a solicita și de a primi documente de securitate socială în format fizic. Această posibilitate promovează incluziunea și evită accentuarea inegalităților în ceea ce privește accesul la servicii. Documentele de securitate socială în format fizic ar trebui îmbunătățite prin elemente digitale standardizate care să permită verificarea lor în condiții de siguranță, contribuind astfel la reducerea riscului de fraudă. Întrucât aceste documente în format fizic vor conține elemente digitale, ele ar trebui să intre în domeniul de aplicare al prezentului regulament. </w:t>
      </w:r>
    </w:p>
    <w:p>
      <w:pPr>
        <w:pStyle w:val="ManualConsidrant"/>
        <w:rPr>
          <w:noProof/>
        </w:rPr>
      </w:pPr>
      <w:r>
        <w:rPr>
          <w:noProof/>
        </w:rPr>
        <w:t>(14)</w:t>
      </w:r>
      <w:r>
        <w:rPr>
          <w:noProof/>
        </w:rPr>
        <w:tab/>
        <w:t>Lucrătorii aflați în situații transfrontaliere nu dispun adesea de informații clare cu privire la situația lor în materie de securitate socială. De exemplu, este posibil ca aceștia să nu știe că angajatorii au solicitat un document portabil A1 legat de activitatea lor transfrontalieră sau că a fost eliberat un astfel de document. Prin urmare, ar trebui facilitat accesul direct al lucrătorilor la documentele de securitate socială, sporind astfel transparența în ceea ce privește drepturile în materie de securitate socială și afilierea acestora. Se preconizează că astfel se va reduce expunerea la fraudă și se va garanta că lucrătorii primesc rapid prestațiile de securitate socială la care au dreptul.</w:t>
      </w:r>
    </w:p>
    <w:p>
      <w:pPr>
        <w:pStyle w:val="ManualConsidrant"/>
        <w:rPr>
          <w:noProof/>
        </w:rPr>
      </w:pPr>
      <w:r>
        <w:rPr>
          <w:noProof/>
        </w:rPr>
        <w:t>(15)</w:t>
      </w:r>
      <w:r>
        <w:rPr>
          <w:noProof/>
        </w:rPr>
        <w:tab/>
        <w:t xml:space="preserve">Având în vedere importanța combaterii fraudei transfrontaliere în domeniul securității sociale și a consolidării încrederii reciproce, statele membre ar trebui să verifice în mod corespunzător exactitatea informațiilor furnizate înainte de a elibera documente de securitate socială, exercitând diligența necesară. În vederea sprijinirii acestui proces, ar trebui promovată utilizarea instrumentelor digitale. </w:t>
      </w:r>
    </w:p>
    <w:p>
      <w:pPr>
        <w:pStyle w:val="ManualConsidrant"/>
        <w:rPr>
          <w:noProof/>
        </w:rPr>
      </w:pPr>
      <w:r>
        <w:rPr>
          <w:noProof/>
        </w:rPr>
        <w:t>(16)</w:t>
      </w:r>
      <w:r>
        <w:rPr>
          <w:noProof/>
        </w:rPr>
        <w:tab/>
        <w:t xml:space="preserve">Este posibil ca persoanele fizice aflate sub reprezentare legală, inclusiv copiii minori, să nu aibă acces la un portofel european pentru identitatea digitală. Prin urmare, reprezentanții legali, cum ar fi părinții, tutorii sau alte persoane autorizate în mod corespunzător, ar trebui să poată primi și stoca documentele digitale de securitate socială ale persoanei reprezentate în propriul portofel european pentru identitatea digitală. Această posibilitate este necesară pentru a facilita accesul la documentele digitale ale persoanelor aflate sub reprezentare legală, ceea ce este deosebit de important atunci când acestea au nevoie de asistență medicală în situații de urgență. </w:t>
      </w:r>
    </w:p>
    <w:p>
      <w:pPr>
        <w:pStyle w:val="ManualConsidrant"/>
        <w:rPr>
          <w:noProof/>
        </w:rPr>
      </w:pPr>
      <w:r>
        <w:rPr>
          <w:noProof/>
        </w:rPr>
        <w:t>(17)</w:t>
      </w:r>
      <w:r>
        <w:rPr>
          <w:noProof/>
        </w:rPr>
        <w:tab/>
        <w:t>Pentru a se asigura accesul egal, documentele de securitate socială și procesele prin care acestea sunt solicitate, puse la dispoziție și partajate ar trebui să fie accesibile persoanelor cu dizabilități în conformitate cu Directiva (UE) 2016/2102 a Parlamentului European și a Consiliului</w:t>
      </w:r>
      <w:r>
        <w:rPr>
          <w:rStyle w:val="FootnoteReference"/>
          <w:noProof/>
        </w:rPr>
        <w:footnoteReference w:id="27"/>
      </w:r>
      <w:r>
        <w:rPr>
          <w:noProof/>
        </w:rPr>
        <w:t xml:space="preserve"> și, după caz, cu Directiva (UE) 2019/882 a Parlamentului European și a Consiliului</w:t>
      </w:r>
      <w:r>
        <w:rPr>
          <w:rStyle w:val="FootnoteReference"/>
          <w:noProof/>
        </w:rPr>
        <w:footnoteReference w:id="28"/>
      </w:r>
      <w:r>
        <w:rPr>
          <w:noProof/>
        </w:rPr>
        <w:t xml:space="preserve">. </w:t>
      </w:r>
    </w:p>
    <w:p>
      <w:pPr>
        <w:pStyle w:val="ManualConsidrant"/>
        <w:rPr>
          <w:noProof/>
        </w:rPr>
      </w:pPr>
      <w:r>
        <w:rPr>
          <w:noProof/>
        </w:rPr>
        <w:t>(18)</w:t>
      </w:r>
      <w:r>
        <w:rPr>
          <w:noProof/>
        </w:rPr>
        <w:tab/>
        <w:t xml:space="preserve">Pentru a se asigura exercitarea în timp util a drepturilor prevăzute în Regulamentul (CE) nr. 883/2004, organismele competente ar trebui să aibă obligația de a elibera documente de securitate socială persoanei în cauză și, după caz, angajatorului, în termene obligatorii. Experiența a arătat că întârzierile în eliberarea unor astfel de documente pot împiedica accesul în timp util al persoanelor fizice la prestații și pot crea obstacole în calea operațiunilor transfrontaliere ale întreprinderilor. Având în vedere importanța accesului rapid la asistență medicală în timpul unei șederi temporare în străinătate, termenul maxim pentru eliberarea cardului european de asigurări sociale de sănătate nu ar trebui să depășească 24 de ore de la depunerea unei cereri complete. Acest termen ar trebui să poată fi respectat, întrucât singurul aspect care trebuie verificat este dacă persoana este efectiv asigurată. </w:t>
      </w:r>
    </w:p>
    <w:p>
      <w:pPr>
        <w:pStyle w:val="ManualConsidrant"/>
        <w:rPr>
          <w:noProof/>
          <w:szCs w:val="24"/>
        </w:rPr>
      </w:pPr>
      <w:r>
        <w:rPr>
          <w:noProof/>
        </w:rPr>
        <w:t>(19)</w:t>
      </w:r>
      <w:r>
        <w:rPr>
          <w:noProof/>
        </w:rPr>
        <w:tab/>
        <w:t xml:space="preserve">Pentru a se sprijini mobilitatea transfrontalieră fără sincope, ar trebui explorate interoperabilitatea și sinergiile dintre ESSPASS și Sistemul de schimb electronic de informații privind securitatea socială (EESSI) instituit în conformitate cu Regulamentul (CE) nr. 987/2009. După caz, ar trebui explorate, de asemenea, interoperabilitatea și sinergiile dintre ESSPASS și alte inițiative ale Uniunii, inclusiv sistemul tehnic „doar o singură dată”, portofelele europene pentru întreprinderi propuse, Sistemul de informare al pieței interne (IMI) și inițiativele digitale în domeniul detașării lucrătorilor, al urmăririi pensiilor, al dreptului muncii, al dreptului societăților comerciale, al fiscalității și al sănătății digitale. </w:t>
      </w:r>
    </w:p>
    <w:p>
      <w:pPr>
        <w:pStyle w:val="ManualConsidrant"/>
        <w:rPr>
          <w:noProof/>
          <w:szCs w:val="24"/>
        </w:rPr>
      </w:pPr>
      <w:r>
        <w:rPr>
          <w:noProof/>
        </w:rPr>
        <w:t>(20)</w:t>
      </w:r>
      <w:r>
        <w:rPr>
          <w:noProof/>
        </w:rPr>
        <w:tab/>
        <w:t xml:space="preserve">Digitalizarea CEASS în cadrul ESSPASS va îmbunătăți și mai mult accesul persoanelor fizice la asistența medicală necesară din punct de vedere medical în timpul șederilor temporare în alte state membre. La rândul său, acest lucru va permite furnizorilor de servicii medicale din întreaga Europă să verifice rapid și cu exactitate statutul de asigurat, reducând astfel cazurile de refuz al CEASS și de utilizare necorespunzătoare a cardului. Pentru a se facilita prelucrarea mai rapidă, mai exactă și mai sigură a cererilor de rambursare în temeiul normelor Uniunii de coordonare a securității sociale și pentru a îmbunătăți eficiența generală, este esențial ca furnizorii de servicii medicale să eficientizeze transmiterea datelor relevante prin mijloace automatizate. Acest lucru ar trebui realizat cu respectarea normelor privind protecția datelor și a principiului proporționalității. Investițiile și adaptările sistemelor digitale de sănătate deja prevăzute în Spațiul european al datelor privind sănătatea ar trebui valorificate pentru a se crea sinergii care să maximizeze eficiența sistemelor digitale de sănătate, în special în cazul în care interacțiunea cu portofelele EUDI este avută în vedere în ambele domenii. </w:t>
      </w:r>
    </w:p>
    <w:p>
      <w:pPr>
        <w:pStyle w:val="ManualConsidrant"/>
        <w:rPr>
          <w:noProof/>
        </w:rPr>
      </w:pPr>
      <w:r>
        <w:rPr>
          <w:noProof/>
        </w:rPr>
        <w:t>(21)</w:t>
      </w:r>
      <w:r>
        <w:rPr>
          <w:noProof/>
        </w:rPr>
        <w:tab/>
        <w:t xml:space="preserve">Datele esențiale necesare pentru solicitarea documentului portabil A1 ar trebui să fie aliniate între statele membre. Astfel se urmărește să se asigure verificarea consecventă a faptelor relevante pentru stabilirea legislației aplicabile, ceea ce este esențial pentru a contribui la detectarea declarațiilor incorecte și a fraudei, precum și la reducerea sarcinii administrative pentru angajatorii care detașează lucrători. Totodată, portalurile naționale pentru solicitarea documentului portabil A1 ar putea interopera, printr-o implementare tehnică simplificată, cu interfețele publice conectate la Sistemul de informare al pieței interne (IMI), astfel încât datele comune să poată fi transmise o singură dată și apoi reutilizate acolo unde este posibil, în conformitate cu principiul „doar o singură dată”. O astfel de posibilă interoperabilitate ar trebui să reducă sarcina administrativă pentru întreprinderi și să faciliteze, de asemenea, prestarea transfrontalieră a serviciilor, în conformitate cu obiectivele de simplificare ale Comisiei. Pentru a fundamenta și a consolida activitatea de dezvoltare, Comisia, cu sprijinul statelor membre, ar trebui, de asemenea, să evalueze raportul costuri-beneficii al măsurilor de simplificare și de reducere a sarcinii administrative, compatibilitatea cu sistemele existente și alinierea la inițiativele în curs și viitoare ale Uniunii, în special la eventualele actualizări ale cadrului de reglementare privind IMI. Orice măsuri de interoperabilitate ar trebui să fie în concordanță cu Regulamentul (UE) 2018/1724 și să faciliteze respectarea cerințelor aplicabile procedurii integral online și a principiului „doar o singură dată” în cazul cererilor de stabilire a legislației privind securitatea socială care se aplică titularului. </w:t>
      </w:r>
    </w:p>
    <w:p>
      <w:pPr>
        <w:pStyle w:val="ManualConsidrant"/>
        <w:rPr>
          <w:noProof/>
        </w:rPr>
      </w:pPr>
      <w:r>
        <w:rPr>
          <w:noProof/>
        </w:rPr>
        <w:t>(22)</w:t>
      </w:r>
      <w:r>
        <w:rPr>
          <w:noProof/>
        </w:rPr>
        <w:tab/>
        <w:t>ESSPASS este menit să completeze sistemul EESSI. Deși ESSPASS oferă o soluție pentru ca persoanele fizice și întreprinderile să interacționeze pe cale digitală cu autoritățile naționale, prezentul regulament ar trebui să reglementeze și schimburile dintre organismele de securitate socială, în special cele facilitate prin intermediul sistemului EESSI. Pentru a se asigura eficiența și coerența, sistemul EESSI ar trebui să rămână principalul mijloc pentru astfel de schimburi.</w:t>
      </w:r>
    </w:p>
    <w:p>
      <w:pPr>
        <w:pStyle w:val="ManualConsidrant"/>
        <w:rPr>
          <w:noProof/>
        </w:rPr>
      </w:pPr>
      <w:r>
        <w:rPr>
          <w:noProof/>
        </w:rPr>
        <w:t>(23)</w:t>
      </w:r>
      <w:r>
        <w:rPr>
          <w:noProof/>
        </w:rPr>
        <w:tab/>
        <w:t>Un studiu comparativ realizat de Comisia administrativă pentru coordonarea sistemelor de securitate socială a demonstrat că prelucrarea cazurilor transfrontaliere de securitate socială durează, în medie, de patru ori mai mult decât în cazul unor cazuri naționale comparabile, în toate ramurile securității sociale. Prin urmare, este esențial să se introducă măsuri pentru a preveni întârzierile inutile în prelucrarea cazurilor transfrontaliere cauzate de schimbul tardiv de date.</w:t>
      </w:r>
    </w:p>
    <w:p>
      <w:pPr>
        <w:pStyle w:val="ManualConsidrant"/>
        <w:rPr>
          <w:noProof/>
        </w:rPr>
      </w:pPr>
      <w:r>
        <w:rPr>
          <w:noProof/>
        </w:rPr>
        <w:t>(24)</w:t>
      </w:r>
      <w:r>
        <w:rPr>
          <w:noProof/>
        </w:rPr>
        <w:tab/>
        <w:t>Prevenirea și detectarea eficace a erorilor și a fraudelor în materie de securitate socială în situații transfrontaliere necesită un schimb eficient de informații și o cooperare strânsă între statele membre. Prin urmare, este necesar să se stabilească norme pentru schimburile de date în cazurile în care sistemul EESSI nu poate fi utilizat în mod eficace. Aceste norme ar trebui să ofere autorităților și organismelor competente o mai mare securitate juridică și un temei juridic solid pentru schimbul de date în vederea detectării fraudelor și a inexactităților în informațiile care stau la baza drepturilor prevăzute de Regulamentul (CE) nr. 883/2004, precum și pentru verificarea datelor, prin verificări încrucișate cu autoritățile și organismele altor state membre, efectuate prin schimburi electronice sau prin acces direct securizat la bazele de date. Toate solicitările de informații și răspunsurile ar trebui să fie în continuare necesare și proporționale.</w:t>
      </w:r>
    </w:p>
    <w:p>
      <w:pPr>
        <w:pStyle w:val="ManualConsidrant"/>
        <w:rPr>
          <w:noProof/>
        </w:rPr>
      </w:pPr>
      <w:r>
        <w:rPr>
          <w:noProof/>
        </w:rPr>
        <w:t>(25)</w:t>
      </w:r>
      <w:r>
        <w:rPr>
          <w:noProof/>
        </w:rPr>
        <w:tab/>
        <w:t>Pentru a sprijini punerea în aplicare coerentă a prezentului regulament și pentru a institui o comunitate de practică pentru schimbul de experiență și de cunoștințe, ar trebui instituit un grup privind digitalizarea în domeniul coordonării securității sociale, alcătuit din doi reprezentanți ai fiecărui stat membru, care să reunească expertiză tehnică și expertiză în materie de politici privind aspectele digitale ale coordonării securității sociale, precum și din reprezentanți ai Comisiei. Detaliile referitoare la componența acestuia ar trebui stabilite în regulamentul său de procedură. Totodată, acest grup ar trebui să continue activitatea desfășurată anterior de Comisia tehnică pentru prelucrarea datelor, instituită în temeiul articolului 73 din Regulamentul (CE) nr. 883/2004, și de grupurile ad-hoc ale Comisiei administrative pentru coordonarea sistemelor de securitate socială, inclusiv cel privind ESSPASS. Pentru a asigura punerea în aplicare eficace a cadrului ESSPASS, care se bazează pe cadrul european pentru identitatea digitală, Grupul privind digitalizarea ar trebui să coopereze, după caz, cu Comisia administrativă pentru coordonarea sistemelor de securitate socială și cu Grupul european de cooperare privind identitatea digitală.</w:t>
      </w:r>
    </w:p>
    <w:p>
      <w:pPr>
        <w:pStyle w:val="ManualConsidrant"/>
        <w:rPr>
          <w:noProof/>
        </w:rPr>
      </w:pPr>
      <w:r>
        <w:rPr>
          <w:noProof/>
        </w:rPr>
        <w:t>(26)</w:t>
      </w:r>
      <w:r>
        <w:rPr>
          <w:noProof/>
        </w:rPr>
        <w:tab/>
        <w:t>Autoritatea Europeană a Muncii (ELA) ar trebui să aibă în continuare un rol esențial în sprijinirea eforturilor statelor membre de digitalizare a proceselor transfrontaliere în materie de securitate socială. Acest sprijin ar trebui să constea în special în facilitarea schimbului periodic de bune practici și experiențe, în promovarea utilizării eficace a instrumentelor digitale și în furnizarea de măsuri de consolidare a capacităților, cum ar fi inițiativele de formare și de schimb de cunoștințe, pentru a spori gradul de pregătire digitală a autorităților naționale. De asemenea, ELA ar trebui să continue să sporească gradul de conștientizare în rândul persoanelor fizice, al angajatorilor și al altor părți interesate relevante, cum ar fi furnizorii de servicii medicale, prin campanii de informare specifice, materiale de orientare și activități de informare. Aceste acțiuni ar trebui să contribuie la o mai bună înțelegere și la o mai mare transparență cu privire la drepturile și obligațiile în materie de securitate socială în situații transfrontaliere, precum și la instrumentele digitale disponibile.</w:t>
      </w:r>
    </w:p>
    <w:p>
      <w:pPr>
        <w:pStyle w:val="ManualConsidrant"/>
        <w:rPr>
          <w:noProof/>
        </w:rPr>
      </w:pPr>
      <w:r>
        <w:rPr>
          <w:noProof/>
        </w:rPr>
        <w:t>(27)</w:t>
      </w:r>
      <w:r>
        <w:rPr>
          <w:noProof/>
        </w:rPr>
        <w:tab/>
        <w:t>Orice prelucrare a datelor cu caracter personal în temeiul prezentului regulament ar trebui să fie realizată în conformitate cu Regulamentele (UE) 2016/679 și (UE) 2018/1725 și cu Directiva 2002/58/CE</w:t>
      </w:r>
      <w:r>
        <w:rPr>
          <w:rStyle w:val="FootnoteReference"/>
          <w:noProof/>
          <w:lang w:eastAsia="en-IE"/>
        </w:rPr>
        <w:footnoteReference w:id="29"/>
      </w:r>
      <w:r>
        <w:rPr>
          <w:noProof/>
        </w:rPr>
        <w:t xml:space="preserve">. Datele cu caracter personal ar trebui prelucrate în temeiul prezentului regulament numai în scopurile specifice prevăzute în acesta și în Regulamentele (CE) nr. 883/2004 și (CE) nr. 987/2009, fără a aduce atingere prelucrării ulterioare în scopuri de arhivare în interes public în conformitate cu articolul 5 alineatul (1) litera (b) și cu articolul 89 din Regulamentul (UE) 2016/679. </w:t>
      </w:r>
    </w:p>
    <w:p>
      <w:pPr>
        <w:pStyle w:val="ManualConsidrant"/>
        <w:rPr>
          <w:noProof/>
        </w:rPr>
      </w:pPr>
      <w:r>
        <w:rPr>
          <w:noProof/>
        </w:rPr>
        <w:t>(28)</w:t>
      </w:r>
      <w:r>
        <w:rPr>
          <w:noProof/>
        </w:rPr>
        <w:tab/>
        <w:t>Prezentul regulament stabilește un temei juridic pentru stocarea și prelucrarea datelor conținute în documentele de securitate socială în scopul dovedirii și verificării drepturilor în materie de securitate socială în situații transfrontaliere. Datele cu caracter personal care urmează să fie prelucrate în temeiul prezentului regulament ar trebui să fie cele conținute în aceste documente de securitate socială. Datele cu caracter personal respective ar trebui să se refere, în special, la informațiile necesare identificării digitale a persoanelor fizice, facilitării exercitării mai rapide și mai exacte a drepturilor în temeiul Regulamentului (CE) nr. 883/2004 și verificării valabilității și conținutului informațiilor și documentelor schimbate. Aceste date se încadrează în următoarele categorii: numele, data și locul nașterii, adresa, numărul personal de identificare, datele profesionale și datele privind sănătatea. În aplicarea prezentului regulament, aceste date cu caracter personal vor fi prelucrate de emitenții și verificatorii din statele membre. Regulamentul limitează perioada de stocare a datelor cu caracter personal la durata strict necesară verificării acestora. Măsurile prevăzute în prezentul regulament sunt proporționale, deoarece se limitează strict la ceea ce este necesar pentru verificarea drepturilor, gestionarea cazurilor de securitate socială, asigurarea respectării normelor și combaterea fraudei. Ar trebui puse în aplicare garanții solide – inclusiv reducerea la minimum a datelor, controlul accesului și criptarea – pentru a se menține ingerința la un nivel minim, iar actele de punere în aplicare ar trebui să specifice modelele comune de date.</w:t>
      </w:r>
    </w:p>
    <w:p>
      <w:pPr>
        <w:pStyle w:val="ManualConsidrant"/>
        <w:rPr>
          <w:noProof/>
        </w:rPr>
      </w:pPr>
      <w:r>
        <w:rPr>
          <w:noProof/>
        </w:rPr>
        <w:t>(29)</w:t>
      </w:r>
      <w:r>
        <w:rPr>
          <w:noProof/>
        </w:rPr>
        <w:tab/>
        <w:t>În vederea asigurării unor condiții uniforme de punere în aplicare a prezentului regulament, competența de a adopta acte în conformitate cu articolul 290 din TFUE ar trebui delegată Comisiei în ceea ce privește lista documentelor de securitate socială în cazul cărora aplicarea cadrului ESSPASS nu oferă nicio valoare adăugată, precum și modificarea anexei I. Este deosebit de important ca, în cursul activității sale pregătitoare, Comisia să organizeze consultări adecvate, inclusiv la nivel de experți, precum și ca respectivele consultări să se desfășoare în conformitate cu principiile prevăzute în Acordul interinstituțional din 13 aprilie 2016 privind o mai bună legiferare</w:t>
      </w:r>
      <w:r>
        <w:rPr>
          <w:rStyle w:val="FootnoteReference"/>
          <w:noProof/>
        </w:rPr>
        <w:footnoteReference w:id="30"/>
      </w:r>
      <w:r>
        <w:rPr>
          <w:noProof/>
        </w:rPr>
        <w:t>. În special, pentru a se asigura o participare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pPr>
        <w:pStyle w:val="ManualConsidrant"/>
        <w:rPr>
          <w:noProof/>
        </w:rPr>
      </w:pPr>
      <w:r>
        <w:rPr>
          <w:noProof/>
        </w:rPr>
        <w:t>(30)</w:t>
      </w:r>
      <w:r>
        <w:rPr>
          <w:noProof/>
        </w:rPr>
        <w:tab/>
        <w:t>În vederea asigurării unor condiții uniforme de punere în aplicare a prezentului regulament, ar trebui conferite Comisiei competențe de executare pentru definirea specificațiilor funcționale și tehnice și a procedurilor privind documentele de securitate socială, pentru stabilirea termenelor de eliberare a documentelor de securitate socială, pentru stabilirea unor cerințe comune în materie de informații aplicabile cererilor privind documentul portabil A1, pentru crearea unui cadru tehnic comun care să asigure interoperabilitatea între portalurile naționale de solicitare a documentului respectiv și interfețele publice conectate la IMI utilizate pentru declararea detașării lucrătorilor și pentru detașarea conducătorilor auto în sectorul transportului rutier, pentru precizarea viitoarelor specificații funcționale și tehnice ale sistemului EESSI în anumite domenii, pentru stabilirea unei abordări comune privind schimbul securizat de date sau accesul securizat la datele necesare verificării aplicării corecte a Regulamentelor (CE) nr. 883/2004 și (CE) nr. 987/2009 ori a respectării acestora, precum și pentru definirea formatului și structurii rapoartelor statelor membre privind punerea în aplicare a prezentului regulament. Respectivele competențe ar trebui exercitate în conformitate cu Regulamentul (UE) nr. 182/2011 al Parlamentului European și al Consiliului</w:t>
      </w:r>
      <w:r>
        <w:rPr>
          <w:rStyle w:val="FootnoteReference"/>
          <w:noProof/>
        </w:rPr>
        <w:footnoteReference w:id="31"/>
      </w:r>
      <w:r>
        <w:rPr>
          <w:noProof/>
        </w:rPr>
        <w:t xml:space="preserve">. </w:t>
      </w:r>
    </w:p>
    <w:p>
      <w:pPr>
        <w:pStyle w:val="ManualConsidrant"/>
        <w:rPr>
          <w:noProof/>
        </w:rPr>
      </w:pPr>
      <w:r>
        <w:rPr>
          <w:noProof/>
        </w:rPr>
        <w:t>(31)</w:t>
      </w:r>
      <w:r>
        <w:rPr>
          <w:noProof/>
        </w:rPr>
        <w:tab/>
        <w:t>Din motive de claritate și coerență cu prezentul regulament, dispozițiile devenite caduce din Regulamentele (CE) nr. 883/2004 și (CE) nr. 987/2009 referitoare la guvernanța schimburilor electronice de date ar trebui eliminate. Prin urmare, regulamentele respective ar trebui să fie modificate în consecință.</w:t>
      </w:r>
    </w:p>
    <w:p>
      <w:pPr>
        <w:pStyle w:val="ManualConsidrant"/>
        <w:rPr>
          <w:noProof/>
        </w:rPr>
      </w:pPr>
      <w:r>
        <w:rPr>
          <w:noProof/>
        </w:rPr>
        <w:t>(32)</w:t>
      </w:r>
      <w:r>
        <w:rPr>
          <w:noProof/>
        </w:rPr>
        <w:tab/>
        <w:t xml:space="preserve">Pentru a se acorda statelor membre suficient timp să își adapteze modalitățile administrative și tehnice la dezvoltarea ESSPASS, aplicarea dispozițiilor privind ESSPASS ar trebui amânată. </w:t>
      </w:r>
    </w:p>
    <w:p>
      <w:pPr>
        <w:pStyle w:val="ManualConsidrant"/>
        <w:rPr>
          <w:noProof/>
        </w:rPr>
      </w:pPr>
      <w:r>
        <w:rPr>
          <w:noProof/>
        </w:rPr>
        <w:t>(33)</w:t>
      </w:r>
      <w:r>
        <w:rPr>
          <w:noProof/>
        </w:rPr>
        <w:tab/>
        <w:t>Autoritatea Europeană pentru Protecția Datelor a fost consultată în conformitate cu articolul 42 alineatul (1) din Regulamentul (UE) 2018/1725 [și a emis un aviz la data de …].</w:t>
      </w:r>
    </w:p>
    <w:p>
      <w:pPr>
        <w:pStyle w:val="ManualConsidrant"/>
        <w:rPr>
          <w:noProof/>
        </w:rPr>
      </w:pPr>
      <w:r>
        <w:rPr>
          <w:noProof/>
        </w:rPr>
        <w:t>(34)</w:t>
      </w:r>
      <w:r>
        <w:rPr>
          <w:noProof/>
        </w:rPr>
        <w:tab/>
        <w:t>Întrucât obiectivele prezentului regulament, și anume instituirea unui cadru digital uniform, securizat și interoperabil pentru solicitarea, eliberarea și verificarea transfrontalieră a documentelor de securitate socială, precum și pentru schimbul transfrontalier de informații în materie de securitate socială, nu pot fi realizate în mod satisfăcător de către statele membre acționând individual, dar, având în vedere caracterul transfrontalier și amploarea acțiunii,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atingerea obiectivelor sale.</w:t>
      </w:r>
    </w:p>
    <w:p>
      <w:pPr>
        <w:pStyle w:val="Formuledadoption"/>
        <w:rPr>
          <w:noProof/>
        </w:rPr>
      </w:pPr>
      <w:r>
        <w:rPr>
          <w:noProof/>
        </w:rPr>
        <w:t>ADOPTĂ PREZENTUL REGULAMENT:</w:t>
      </w:r>
    </w:p>
    <w:p>
      <w:pPr>
        <w:pStyle w:val="Titrearticle"/>
        <w:rPr>
          <w:noProof/>
        </w:rPr>
      </w:pPr>
      <w:r>
        <w:rPr>
          <w:noProof/>
        </w:rPr>
        <w:t>Articolul 1</w:t>
      </w:r>
    </w:p>
    <w:p>
      <w:pPr>
        <w:pStyle w:val="Titrearticle"/>
        <w:spacing w:before="120"/>
        <w:rPr>
          <w:b/>
          <w:bCs/>
          <w:i w:val="0"/>
          <w:iCs/>
          <w:noProof/>
        </w:rPr>
      </w:pPr>
      <w:r>
        <w:rPr>
          <w:b/>
          <w:i w:val="0"/>
          <w:noProof/>
        </w:rPr>
        <w:t>Obiect</w:t>
      </w:r>
      <w:r>
        <w:rPr>
          <w:noProof/>
        </w:rPr>
        <w:t xml:space="preserve"> </w:t>
      </w:r>
      <w:r>
        <w:rPr>
          <w:noProof/>
        </w:rPr>
        <w:br/>
      </w:r>
    </w:p>
    <w:p>
      <w:pPr>
        <w:pStyle w:val="ManualNumPar1"/>
        <w:rPr>
          <w:noProof/>
        </w:rPr>
      </w:pPr>
      <w:r>
        <w:rPr>
          <w:noProof/>
        </w:rPr>
        <w:t>1.</w:t>
      </w:r>
      <w:r>
        <w:rPr>
          <w:noProof/>
        </w:rPr>
        <w:tab/>
        <w:t xml:space="preserve">Prezentul regulament stabilește norme pentru digitalizarea schimburilor transfrontaliere de informații în materie de securitate socială care facilitează punerea în aplicare efectivă a Regulamentelor (CE) nr. 883/2004 și (CE) nr. 987/2009 și asigurarea respectării acestora. </w:t>
      </w:r>
    </w:p>
    <w:p>
      <w:pPr>
        <w:pStyle w:val="ManualNumPar1"/>
        <w:rPr>
          <w:noProof/>
        </w:rPr>
      </w:pPr>
      <w:r>
        <w:rPr>
          <w:noProof/>
        </w:rPr>
        <w:t>2.</w:t>
      </w:r>
      <w:r>
        <w:rPr>
          <w:noProof/>
        </w:rPr>
        <w:tab/>
        <w:t xml:space="preserve">În special, regulamentul stabilește norme: </w:t>
      </w:r>
    </w:p>
    <w:p>
      <w:pPr>
        <w:pStyle w:val="Point1"/>
        <w:rPr>
          <w:noProof/>
          <w:szCs w:val="24"/>
        </w:rPr>
      </w:pPr>
      <w:r>
        <w:rPr>
          <w:noProof/>
        </w:rPr>
        <w:t>(a)</w:t>
      </w:r>
      <w:r>
        <w:rPr>
          <w:noProof/>
        </w:rPr>
        <w:tab/>
        <w:t>privind instituirea și funcționarea Pașaportului european de securitate socială (ESSPASS), ca mijloc de dovedire și verificare digitală, în timp util a drepturilor în materie de securitate socială ale persoanelor fizice care își exercită dreptul la liberă circulație și de facilitare a respectării cerințelor de către angajatori;</w:t>
      </w:r>
    </w:p>
    <w:p>
      <w:pPr>
        <w:pStyle w:val="Point1"/>
        <w:rPr>
          <w:noProof/>
          <w:szCs w:val="24"/>
        </w:rPr>
      </w:pPr>
      <w:r>
        <w:rPr>
          <w:noProof/>
        </w:rPr>
        <w:t>(b)</w:t>
      </w:r>
      <w:r>
        <w:rPr>
          <w:noProof/>
        </w:rPr>
        <w:tab/>
        <w:t xml:space="preserve">privind funcționarea, evoluția și îmbunătățirea Sistemului de schimb electronic de informații privind securitatea socială (EESSI), care asigură schimburi de date securizate, standardizate și interoperabile între organismele de securitate socială; </w:t>
      </w:r>
    </w:p>
    <w:p>
      <w:pPr>
        <w:pStyle w:val="Point1"/>
        <w:rPr>
          <w:noProof/>
        </w:rPr>
      </w:pPr>
      <w:r>
        <w:rPr>
          <w:noProof/>
        </w:rPr>
        <w:t>(c)</w:t>
      </w:r>
      <w:r>
        <w:rPr>
          <w:noProof/>
        </w:rPr>
        <w:tab/>
        <w:t>privind alte schimburi digitale, transfrontaliere de date între organismele competente, necesare pentru combaterea fraudei transfrontaliere în domeniul securității sociale, precum și pentru detectarea schimbărilor de situație, a inexactităților, a neconcordanțelor sau a erorilor.</w:t>
      </w:r>
    </w:p>
    <w:p>
      <w:pPr>
        <w:pStyle w:val="ManualNumPar1"/>
        <w:rPr>
          <w:noProof/>
        </w:rPr>
      </w:pPr>
      <w:r>
        <w:rPr>
          <w:noProof/>
        </w:rPr>
        <w:t>3.</w:t>
      </w:r>
      <w:r>
        <w:rPr>
          <w:noProof/>
        </w:rPr>
        <w:tab/>
        <w:t>Prezentul regulament completează Regulamentele (CE) nr. 883/2004 și (CE) nr. 987/2009. Prezentul regulament nu aduce atingere drepturilor și obligațiilor prevăzute în regulamentele respective, cu excepția cazului în care se prevede altfel în prezentul regulament.</w:t>
      </w:r>
    </w:p>
    <w:p>
      <w:pPr>
        <w:pStyle w:val="Text1"/>
        <w:rPr>
          <w:noProof/>
        </w:rPr>
      </w:pPr>
    </w:p>
    <w:p>
      <w:pPr>
        <w:pStyle w:val="Titrearticle"/>
        <w:rPr>
          <w:noProof/>
        </w:rPr>
      </w:pPr>
      <w:r>
        <w:rPr>
          <w:noProof/>
        </w:rPr>
        <w:t>Articolul 2</w:t>
      </w:r>
    </w:p>
    <w:p>
      <w:pPr>
        <w:pStyle w:val="Titrearticle"/>
        <w:spacing w:before="120"/>
        <w:rPr>
          <w:noProof/>
        </w:rPr>
      </w:pPr>
      <w:r>
        <w:rPr>
          <w:b/>
          <w:i w:val="0"/>
          <w:noProof/>
        </w:rPr>
        <w:t>Domeniul de aplicare</w:t>
      </w:r>
      <w:r>
        <w:rPr>
          <w:noProof/>
        </w:rPr>
        <w:t xml:space="preserve"> </w:t>
      </w:r>
      <w:r>
        <w:rPr>
          <w:noProof/>
        </w:rPr>
        <w:br/>
      </w:r>
    </w:p>
    <w:p>
      <w:pPr>
        <w:rPr>
          <w:rFonts w:eastAsia="Times New Roman"/>
          <w:noProof/>
        </w:rPr>
      </w:pPr>
      <w:r>
        <w:rPr>
          <w:noProof/>
          <w:color w:val="000000" w:themeColor="text1"/>
        </w:rPr>
        <w:t>Prezentul regulament se aplică persoanelor care intră în domeniul de aplicare al Regulamentului (CE) nr. 883/2004, astfel cum este prevăzut la articolul 2 din regulamentul respectiv, precum și ramurilor de securitate socială enumerate la articolul 3 alineatul (1) din același regulament</w:t>
      </w:r>
      <w:r>
        <w:rPr>
          <w:noProof/>
          <w:color w:val="000000" w:themeColor="text1"/>
          <w:sz w:val="22"/>
        </w:rPr>
        <w:t>.</w:t>
      </w:r>
      <w:r>
        <w:rPr>
          <w:noProof/>
        </w:rPr>
        <w:t xml:space="preserve"> </w:t>
      </w:r>
    </w:p>
    <w:p>
      <w:pPr>
        <w:rPr>
          <w:rFonts w:eastAsia="Times New Roman"/>
          <w:noProof/>
        </w:rPr>
      </w:pPr>
    </w:p>
    <w:p>
      <w:pPr>
        <w:pStyle w:val="Titrearticle"/>
        <w:rPr>
          <w:noProof/>
        </w:rPr>
      </w:pPr>
      <w:r>
        <w:rPr>
          <w:noProof/>
        </w:rPr>
        <w:t>Articolul 3</w:t>
      </w:r>
    </w:p>
    <w:p>
      <w:pPr>
        <w:pStyle w:val="Titrearticle"/>
        <w:spacing w:before="120"/>
        <w:rPr>
          <w:b/>
          <w:bCs/>
          <w:i w:val="0"/>
          <w:iCs/>
          <w:noProof/>
        </w:rPr>
      </w:pPr>
      <w:r>
        <w:rPr>
          <w:b/>
          <w:i w:val="0"/>
          <w:noProof/>
        </w:rPr>
        <w:t>Definiții</w:t>
      </w:r>
      <w:r>
        <w:rPr>
          <w:noProof/>
        </w:rPr>
        <w:t xml:space="preserve"> </w:t>
      </w:r>
      <w:r>
        <w:rPr>
          <w:noProof/>
        </w:rPr>
        <w:br/>
      </w:r>
    </w:p>
    <w:p>
      <w:pPr>
        <w:pStyle w:val="ManualNumPar1"/>
        <w:rPr>
          <w:noProof/>
        </w:rPr>
      </w:pPr>
      <w:r>
        <w:rPr>
          <w:noProof/>
        </w:rPr>
        <w:t>1.</w:t>
      </w:r>
      <w:r>
        <w:rPr>
          <w:noProof/>
        </w:rPr>
        <w:tab/>
        <w:t xml:space="preserve">În sensul prezentului regulament, se aplică definițiile prevăzute în Regulamentele (CE) nr. 883/2004 și (CE) nr. 987/2009. </w:t>
      </w:r>
    </w:p>
    <w:p>
      <w:pPr>
        <w:pStyle w:val="ManualNumPar1"/>
        <w:rPr>
          <w:noProof/>
        </w:rPr>
      </w:pPr>
      <w:r>
        <w:rPr>
          <w:noProof/>
        </w:rPr>
        <w:t>2.</w:t>
      </w:r>
      <w:r>
        <w:rPr>
          <w:noProof/>
        </w:rPr>
        <w:tab/>
        <w:t>De asemenea, se aplică următoarele definiții:</w:t>
      </w:r>
    </w:p>
    <w:p>
      <w:pPr>
        <w:pStyle w:val="Point1"/>
        <w:rPr>
          <w:noProof/>
        </w:rPr>
      </w:pPr>
      <w:r>
        <w:rPr>
          <w:noProof/>
        </w:rPr>
        <w:t>(a)</w:t>
      </w:r>
      <w:r>
        <w:rPr>
          <w:noProof/>
        </w:rPr>
        <w:tab/>
        <w:t>„Pașaport european de securitate socială” sau „ESSPASS” înseamnă soluția digitală pentru solicitarea, eliberarea, verificarea transfrontalieră și recunoașterea documentelor de securitate socială în cadrul Uniunii;</w:t>
      </w:r>
    </w:p>
    <w:p>
      <w:pPr>
        <w:pStyle w:val="Point1"/>
        <w:rPr>
          <w:noProof/>
        </w:rPr>
      </w:pPr>
      <w:r>
        <w:rPr>
          <w:noProof/>
        </w:rPr>
        <w:t>(b)</w:t>
      </w:r>
      <w:r>
        <w:rPr>
          <w:noProof/>
        </w:rPr>
        <w:tab/>
        <w:t xml:space="preserve">„document de securitate socială” înseamnă orice set de date (indiferent de formatul acestuia) care atestă situația unei persoane în materie de securitate socială și care este necesar pentru punerea în aplicare a Regulamentelor (CE) nr. 883/2004 și (CE) nr. 987/2009; </w:t>
      </w:r>
    </w:p>
    <w:p>
      <w:pPr>
        <w:pStyle w:val="Point1"/>
        <w:rPr>
          <w:noProof/>
        </w:rPr>
      </w:pPr>
      <w:r>
        <w:rPr>
          <w:noProof/>
        </w:rPr>
        <w:t>(c)</w:t>
      </w:r>
      <w:r>
        <w:rPr>
          <w:noProof/>
        </w:rPr>
        <w:tab/>
        <w:t>„portofel european pentru identitatea digitală” înseamnă un portofel european pentru identitatea digitală astfel cum este definit la articolul 3 punctul 42 din Regulamentul (UE) nr. 910/2014 al Parlamentului European și al Consiliului;</w:t>
      </w:r>
    </w:p>
    <w:p>
      <w:pPr>
        <w:pStyle w:val="Point1"/>
        <w:rPr>
          <w:noProof/>
        </w:rPr>
      </w:pPr>
      <w:r>
        <w:rPr>
          <w:noProof/>
        </w:rPr>
        <w:t>(d)</w:t>
      </w:r>
      <w:r>
        <w:rPr>
          <w:noProof/>
        </w:rPr>
        <w:tab/>
        <w:t xml:space="preserve">„document digital de securitate socială” înseamnă un document de securitate socială eliberat de instituția competentă a unui stat membru, care este conceput pentru a fi stocat, gestionat și partajat prin intermediul portofelului european pentru identitatea digitală și care poate fi verificat pe cale electronică; </w:t>
      </w:r>
    </w:p>
    <w:p>
      <w:pPr>
        <w:pStyle w:val="Point1"/>
        <w:rPr>
          <w:noProof/>
        </w:rPr>
      </w:pPr>
      <w:r>
        <w:rPr>
          <w:noProof/>
        </w:rPr>
        <w:t>(e)</w:t>
      </w:r>
      <w:r>
        <w:rPr>
          <w:noProof/>
        </w:rPr>
        <w:tab/>
        <w:t>„document portabil A1” înseamnă documentul de securitate socială menționat la articolul 19 alineatul (2) din Regulamentul (CE) nr. 987/2009, eliberat de instituția competentă a unui stat membru, care atestă că legislația acestuia se aplică în temeiul titlului II din Regulamentul (CE) nr. 883/2004;</w:t>
      </w:r>
    </w:p>
    <w:p>
      <w:pPr>
        <w:pStyle w:val="Point1"/>
        <w:rPr>
          <w:noProof/>
        </w:rPr>
      </w:pPr>
      <w:r>
        <w:rPr>
          <w:noProof/>
        </w:rPr>
        <w:t>(f)</w:t>
      </w:r>
      <w:r>
        <w:rPr>
          <w:noProof/>
        </w:rPr>
        <w:tab/>
        <w:t xml:space="preserve">„Card european de asigurări sociale de sănătate” sau „CEASS” înseamnă documentul de securitate socială eliberat în conformitate cu articolul 25 din Regulamentul (CE) nr. 987/2009; </w:t>
      </w:r>
    </w:p>
    <w:p>
      <w:pPr>
        <w:pStyle w:val="Point1"/>
        <w:rPr>
          <w:noProof/>
        </w:rPr>
      </w:pPr>
      <w:r>
        <w:rPr>
          <w:noProof/>
        </w:rPr>
        <w:t>(g)</w:t>
      </w:r>
      <w:r>
        <w:rPr>
          <w:noProof/>
        </w:rPr>
        <w:tab/>
        <w:t>„emitent” înseamnă orice instituție, astfel cum este definită la articolul 1 litera (p) din Regulamentul (CE) nr. 883/2004, sau orice organism ori autoritate desemnată, recunoscută sau competentă în alt mod în temeiul legislației unui stat membru, care este responsabilă de eliberarea, transmiterea și, dacă este necesar, rectificarea sau retragerea documentelor de securitate socială care intră în domeniul de aplicare al Regulamentelor (CE) nr. 883/2004 și (CE) nr. 987/2009;</w:t>
      </w:r>
    </w:p>
    <w:p>
      <w:pPr>
        <w:pStyle w:val="Point1"/>
        <w:rPr>
          <w:noProof/>
        </w:rPr>
      </w:pPr>
      <w:r>
        <w:rPr>
          <w:noProof/>
        </w:rPr>
        <w:t>(h)</w:t>
      </w:r>
      <w:r>
        <w:rPr>
          <w:noProof/>
        </w:rPr>
        <w:tab/>
        <w:t xml:space="preserve">„verificator” înseamnă orice entitate publică sau privată sau orice persoană fizică ce acționează în exercitarea activității sale profesionale, care este desemnată, autorizată sau recunoscută de un stat membru ca având dreptul de a verifica documentele de securitate socială în conformitate cu prezentul regulament. </w:t>
      </w:r>
    </w:p>
    <w:p>
      <w:pPr>
        <w:rPr>
          <w:rFonts w:eastAsia="Times New Roman"/>
          <w:noProof/>
          <w:color w:val="000000" w:themeColor="text1"/>
        </w:rPr>
      </w:pPr>
    </w:p>
    <w:p>
      <w:pPr>
        <w:pStyle w:val="ChapterTitle"/>
        <w:spacing w:after="240" w:line="276" w:lineRule="auto"/>
        <w:rPr>
          <w:noProof/>
        </w:rPr>
      </w:pPr>
      <w:bookmarkStart w:id="3" w:name="_Toc070420C7A8A043D8A41D3A1D757D0AA5"/>
      <w:r>
        <w:rPr>
          <w:noProof/>
        </w:rPr>
        <w:t>Capitolul I</w:t>
      </w:r>
      <w:bookmarkEnd w:id="3"/>
    </w:p>
    <w:p>
      <w:pPr>
        <w:pStyle w:val="ChapterTitle"/>
        <w:spacing w:line="276" w:lineRule="auto"/>
        <w:rPr>
          <w:noProof/>
        </w:rPr>
      </w:pPr>
      <w:bookmarkStart w:id="4" w:name="_TocB014F2A5C7CB42FF9EE4B2DA1E8D0B99"/>
      <w:r>
        <w:rPr>
          <w:noProof/>
        </w:rPr>
        <w:t xml:space="preserve">Pașaportul european de securitate socială </w:t>
      </w:r>
      <w:bookmarkEnd w:id="4"/>
    </w:p>
    <w:p>
      <w:pPr>
        <w:pStyle w:val="Titlearticle"/>
        <w:rPr>
          <w:noProof/>
        </w:rPr>
      </w:pPr>
      <w:r>
        <w:rPr>
          <w:noProof/>
        </w:rPr>
        <w:t>Articolul 4</w:t>
      </w:r>
    </w:p>
    <w:p>
      <w:pPr>
        <w:pStyle w:val="Titlearticle"/>
        <w:spacing w:before="120"/>
        <w:rPr>
          <w:b/>
          <w:bCs/>
          <w:i w:val="0"/>
          <w:iCs/>
          <w:noProof/>
        </w:rPr>
      </w:pPr>
      <w:r>
        <w:rPr>
          <w:b/>
          <w:i w:val="0"/>
          <w:noProof/>
        </w:rPr>
        <w:t>Cadrul juridic pentru ESSPASS</w:t>
      </w:r>
      <w:r>
        <w:rPr>
          <w:noProof/>
        </w:rPr>
        <w:t xml:space="preserve"> </w:t>
      </w:r>
      <w:r>
        <w:rPr>
          <w:noProof/>
        </w:rPr>
        <w:br/>
      </w:r>
    </w:p>
    <w:p>
      <w:pPr>
        <w:pStyle w:val="ManualNumPar1"/>
        <w:rPr>
          <w:noProof/>
        </w:rPr>
      </w:pPr>
      <w:r>
        <w:rPr>
          <w:noProof/>
        </w:rPr>
        <w:t>1.</w:t>
      </w:r>
      <w:r>
        <w:rPr>
          <w:noProof/>
        </w:rPr>
        <w:tab/>
        <w:t xml:space="preserve">Cadrul juridic pentru ESSPASS constă în normele prevăzute în prezentul capitol în ceea ce privește următoarele: </w:t>
      </w:r>
    </w:p>
    <w:p>
      <w:pPr>
        <w:pStyle w:val="Point1"/>
        <w:rPr>
          <w:noProof/>
        </w:rPr>
      </w:pPr>
      <w:r>
        <w:rPr>
          <w:noProof/>
        </w:rPr>
        <w:t>(a)</w:t>
      </w:r>
      <w:r>
        <w:rPr>
          <w:noProof/>
        </w:rPr>
        <w:tab/>
        <w:t xml:space="preserve">depunerea online, de către persoanele în cauză și de către angajatori, a cererilor de documente de securitate socială la organismele competente ale statelor membre; </w:t>
      </w:r>
    </w:p>
    <w:p>
      <w:pPr>
        <w:pStyle w:val="Point1"/>
        <w:rPr>
          <w:noProof/>
        </w:rPr>
      </w:pPr>
      <w:r>
        <w:rPr>
          <w:noProof/>
        </w:rPr>
        <w:t>(b)</w:t>
      </w:r>
      <w:r>
        <w:rPr>
          <w:noProof/>
        </w:rPr>
        <w:tab/>
        <w:t xml:space="preserve">eliberarea documentelor de securitate socială de către organismele competente ale statelor membre persoanelor în cauză și angajatorilor; </w:t>
      </w:r>
    </w:p>
    <w:p>
      <w:pPr>
        <w:pStyle w:val="Point1"/>
        <w:rPr>
          <w:noProof/>
        </w:rPr>
      </w:pPr>
      <w:r>
        <w:rPr>
          <w:noProof/>
        </w:rPr>
        <w:t>(c)</w:t>
      </w:r>
      <w:r>
        <w:rPr>
          <w:noProof/>
        </w:rPr>
        <w:tab/>
        <w:t xml:space="preserve">verificarea pe cale electronică a documentelor de securitate socială de către verificatori, pentru a confirma autenticitatea, integritatea și valabilitatea acestora. </w:t>
      </w:r>
    </w:p>
    <w:p>
      <w:pPr>
        <w:rPr>
          <w:rFonts w:eastAsia="Times New Roman"/>
          <w:noProof/>
          <w:color w:val="000000" w:themeColor="text1"/>
        </w:rPr>
      </w:pPr>
    </w:p>
    <w:p>
      <w:pPr>
        <w:pStyle w:val="Titrearticle"/>
        <w:rPr>
          <w:noProof/>
        </w:rPr>
      </w:pPr>
      <w:r>
        <w:rPr>
          <w:noProof/>
        </w:rPr>
        <w:t>Articolul 5</w:t>
      </w:r>
    </w:p>
    <w:p>
      <w:pPr>
        <w:pStyle w:val="Titrearticle"/>
        <w:spacing w:before="120"/>
        <w:rPr>
          <w:i w:val="0"/>
          <w:iCs/>
          <w:noProof/>
        </w:rPr>
      </w:pPr>
      <w:r>
        <w:rPr>
          <w:b/>
          <w:i w:val="0"/>
          <w:noProof/>
        </w:rPr>
        <w:t>Domeniul de aplicare și aplicarea cadrului juridic pentru ESSPASS</w:t>
      </w:r>
      <w:r>
        <w:rPr>
          <w:noProof/>
        </w:rPr>
        <w:t xml:space="preserve"> </w:t>
      </w:r>
      <w:r>
        <w:rPr>
          <w:noProof/>
        </w:rPr>
        <w:br/>
      </w:r>
    </w:p>
    <w:p>
      <w:pPr>
        <w:pStyle w:val="ManualNumPar1"/>
        <w:rPr>
          <w:rStyle w:val="CommentReference"/>
          <w:noProof/>
          <w:sz w:val="24"/>
          <w:szCs w:val="24"/>
        </w:rPr>
      </w:pPr>
      <w:r>
        <w:rPr>
          <w:noProof/>
        </w:rPr>
        <w:t>1.</w:t>
      </w:r>
      <w:r>
        <w:rPr>
          <w:noProof/>
        </w:rPr>
        <w:tab/>
        <w:t>Prezentul capitol se aplică:</w:t>
      </w:r>
    </w:p>
    <w:p>
      <w:pPr>
        <w:pStyle w:val="Point1"/>
        <w:rPr>
          <w:noProof/>
        </w:rPr>
      </w:pPr>
      <w:r>
        <w:rPr>
          <w:noProof/>
        </w:rPr>
        <w:t>(a)</w:t>
      </w:r>
      <w:r>
        <w:rPr>
          <w:noProof/>
        </w:rPr>
        <w:tab/>
        <w:t xml:space="preserve">de la [data intrării în vigoare plus 12 luni] pentru documentul portabil A1; </w:t>
      </w:r>
    </w:p>
    <w:p>
      <w:pPr>
        <w:pStyle w:val="Point1"/>
        <w:rPr>
          <w:noProof/>
        </w:rPr>
      </w:pPr>
      <w:r>
        <w:rPr>
          <w:noProof/>
        </w:rPr>
        <w:t>(b)</w:t>
      </w:r>
      <w:r>
        <w:rPr>
          <w:noProof/>
        </w:rPr>
        <w:tab/>
        <w:t>de la [data intrării în vigoare plus 3 ani] pentru CEASS și alte documente de securitate socială, cu excepția celor identificate în actele delegate adoptate în temeiul alineatului (2).</w:t>
      </w:r>
    </w:p>
    <w:p>
      <w:pPr>
        <w:pStyle w:val="ManualNumPar1"/>
        <w:rPr>
          <w:noProof/>
        </w:rPr>
      </w:pPr>
      <w:r>
        <w:rPr>
          <w:noProof/>
        </w:rPr>
        <w:t>2.</w:t>
      </w:r>
      <w:r>
        <w:rPr>
          <w:noProof/>
        </w:rPr>
        <w:tab/>
        <w:t xml:space="preserve">Până la [data intrării în vigoare plus 18 luni], Comisia poate adopta acte delegate prin care stabilește, pe baza unei evaluări, o listă de documente de securitate socială, altele decât documentul portabil A1 și CEASS, cărora prezentul capitol nu li s-ar aplica. </w:t>
      </w:r>
    </w:p>
    <w:p>
      <w:pPr>
        <w:pStyle w:val="ManualNumPar1"/>
        <w:rPr>
          <w:noProof/>
        </w:rPr>
      </w:pPr>
      <w:r>
        <w:rPr>
          <w:noProof/>
        </w:rPr>
        <w:t>3.</w:t>
      </w:r>
      <w:r>
        <w:rPr>
          <w:noProof/>
        </w:rPr>
        <w:tab/>
        <w:t>Evaluarea ia în considerare următoarele:</w:t>
      </w:r>
    </w:p>
    <w:p>
      <w:pPr>
        <w:pStyle w:val="Point1"/>
        <w:rPr>
          <w:noProof/>
        </w:rPr>
      </w:pPr>
      <w:r>
        <w:rPr>
          <w:noProof/>
        </w:rPr>
        <w:t>(c)</w:t>
      </w:r>
      <w:r>
        <w:rPr>
          <w:noProof/>
        </w:rPr>
        <w:tab/>
        <w:t xml:space="preserve">relevanța operațională a documentelor în cauză, având în vedere în special frecvența eliberării acestora, numărul de documente eliberate și potențialul acestora de a contribui la prevenirea fraudei; </w:t>
      </w:r>
    </w:p>
    <w:p>
      <w:pPr>
        <w:pStyle w:val="Point1"/>
        <w:rPr>
          <w:noProof/>
        </w:rPr>
      </w:pPr>
      <w:r>
        <w:rPr>
          <w:noProof/>
        </w:rPr>
        <w:t>(d)</w:t>
      </w:r>
      <w:r>
        <w:rPr>
          <w:noProof/>
        </w:rPr>
        <w:tab/>
        <w:t xml:space="preserve">costurile și beneficiile preconizate ale digitalizării documentelor în cauză pentru exercitarea drepturilor în materie de securitate socială și pentru punerea în aplicare eficientă a Regulamentelor (CE) nr. 883/2004 și (CE) nr. 987/2009, inclusiv reducerea sarcinii administrative pentru persoanele fizice și întreprinderi. </w:t>
      </w:r>
    </w:p>
    <w:p>
      <w:pPr>
        <w:rPr>
          <w:noProof/>
        </w:rPr>
      </w:pPr>
    </w:p>
    <w:p>
      <w:pPr>
        <w:rPr>
          <w:noProof/>
        </w:rPr>
      </w:pPr>
    </w:p>
    <w:p>
      <w:pPr>
        <w:pStyle w:val="Titrearticle"/>
        <w:spacing w:before="0"/>
        <w:rPr>
          <w:noProof/>
        </w:rPr>
      </w:pPr>
      <w:r>
        <w:rPr>
          <w:noProof/>
        </w:rPr>
        <w:t>Articolul 6</w:t>
      </w:r>
    </w:p>
    <w:p>
      <w:pPr>
        <w:pStyle w:val="Titrearticle"/>
        <w:spacing w:before="0"/>
        <w:rPr>
          <w:noProof/>
        </w:rPr>
      </w:pPr>
      <w:r>
        <w:rPr>
          <w:b/>
          <w:i w:val="0"/>
          <w:noProof/>
        </w:rPr>
        <w:t>Proceduri de solicitare online a documentelor de securitate socială</w:t>
      </w:r>
      <w:r>
        <w:rPr>
          <w:noProof/>
        </w:rPr>
        <w:t xml:space="preserve"> </w:t>
      </w:r>
      <w:r>
        <w:rPr>
          <w:noProof/>
        </w:rPr>
        <w:br/>
      </w:r>
    </w:p>
    <w:p>
      <w:pPr>
        <w:rPr>
          <w:noProof/>
        </w:rPr>
      </w:pPr>
      <w:r>
        <w:rPr>
          <w:noProof/>
        </w:rPr>
        <w:t>Persoanele în cauză și, după caz, angajatorii trebuie să poată depune integral online cereri pentru documente de securitate socială care intră în domeniul de aplicare al prezentului regulament, utilizând proceduri conforme cu Regulamentul (UE) 2018/1724. Procedura de solicitare online trebuie să fie ușor de utilizat, accesibilă și să respecte următoarele cerințe:</w:t>
      </w:r>
    </w:p>
    <w:p>
      <w:pPr>
        <w:rPr>
          <w:noProof/>
        </w:rPr>
      </w:pPr>
    </w:p>
    <w:p>
      <w:pPr>
        <w:pStyle w:val="Point0"/>
        <w:rPr>
          <w:noProof/>
        </w:rPr>
      </w:pPr>
      <w:r>
        <w:rPr>
          <w:noProof/>
        </w:rPr>
        <w:t>(a)</w:t>
      </w:r>
      <w:r>
        <w:rPr>
          <w:noProof/>
        </w:rPr>
        <w:tab/>
        <w:t xml:space="preserve">să permită identificarea și autentificarea electronică a persoanei în cauză și, după caz, a angajatorului; </w:t>
      </w:r>
    </w:p>
    <w:p>
      <w:pPr>
        <w:pStyle w:val="Point0"/>
        <w:rPr>
          <w:noProof/>
        </w:rPr>
      </w:pPr>
      <w:r>
        <w:rPr>
          <w:noProof/>
        </w:rPr>
        <w:t>(b)</w:t>
      </w:r>
      <w:r>
        <w:rPr>
          <w:noProof/>
        </w:rPr>
        <w:tab/>
        <w:t>să permită furnizarea în format electronic a informațiilor, a documentelor sau a documentelor justificative menționate la articolul 3 alineatul (2) din Regulamentul (CE) nr. 987/2009, necesare pentru prelucrarea cererii;</w:t>
      </w:r>
    </w:p>
    <w:p>
      <w:pPr>
        <w:pStyle w:val="Point0"/>
        <w:rPr>
          <w:noProof/>
        </w:rPr>
      </w:pPr>
      <w:r>
        <w:rPr>
          <w:noProof/>
        </w:rPr>
        <w:t>(c)</w:t>
      </w:r>
      <w:r>
        <w:rPr>
          <w:noProof/>
        </w:rPr>
        <w:tab/>
        <w:t xml:space="preserve">să permită depunerea de la distanță a cererii în forma sa finală; </w:t>
      </w:r>
    </w:p>
    <w:p>
      <w:pPr>
        <w:pStyle w:val="Point0"/>
        <w:rPr>
          <w:noProof/>
        </w:rPr>
      </w:pPr>
      <w:r>
        <w:rPr>
          <w:noProof/>
        </w:rPr>
        <w:t>(d)</w:t>
      </w:r>
      <w:r>
        <w:rPr>
          <w:noProof/>
        </w:rPr>
        <w:tab/>
        <w:t xml:space="preserve">să furnizeze persoanei în cauză și, după caz, angajatorului o confirmare automată de primire după depunerea completă a cererii, cu excepția cazului în care documentul este eliberat imediat; </w:t>
      </w:r>
    </w:p>
    <w:p>
      <w:pPr>
        <w:pStyle w:val="Point0"/>
        <w:rPr>
          <w:noProof/>
        </w:rPr>
      </w:pPr>
      <w:r>
        <w:rPr>
          <w:noProof/>
        </w:rPr>
        <w:t>(e)</w:t>
      </w:r>
      <w:r>
        <w:rPr>
          <w:noProof/>
        </w:rPr>
        <w:tab/>
        <w:t>să informeze persoana în cauză și, după caz, angajatorul, pe cale electronică, cu privire la finalizarea procedurii de eliberare.</w:t>
      </w:r>
    </w:p>
    <w:p>
      <w:pPr>
        <w:rPr>
          <w:noProof/>
        </w:rPr>
      </w:pPr>
    </w:p>
    <w:p>
      <w:pPr>
        <w:rPr>
          <w:noProof/>
        </w:rPr>
      </w:pPr>
      <w:r>
        <w:rPr>
          <w:noProof/>
        </w:rPr>
        <w:t xml:space="preserve"> </w:t>
      </w:r>
    </w:p>
    <w:p>
      <w:pPr>
        <w:pStyle w:val="Titlearticle"/>
        <w:rPr>
          <w:noProof/>
        </w:rPr>
      </w:pPr>
      <w:r>
        <w:rPr>
          <w:noProof/>
        </w:rPr>
        <w:t>Articolul 7</w:t>
      </w:r>
    </w:p>
    <w:p>
      <w:pPr>
        <w:pStyle w:val="Titlearticle"/>
        <w:spacing w:before="120"/>
        <w:rPr>
          <w:noProof/>
        </w:rPr>
      </w:pPr>
      <w:r>
        <w:rPr>
          <w:b/>
          <w:i w:val="0"/>
          <w:noProof/>
        </w:rPr>
        <w:t>Eliberarea, valabilitatea și verificarea documentelor de securitate socială</w:t>
      </w:r>
      <w:r>
        <w:rPr>
          <w:noProof/>
        </w:rPr>
        <w:t xml:space="preserve"> </w:t>
      </w:r>
      <w:r>
        <w:rPr>
          <w:noProof/>
        </w:rPr>
        <w:br/>
      </w:r>
    </w:p>
    <w:p>
      <w:pPr>
        <w:pStyle w:val="ManualNumPar1"/>
        <w:rPr>
          <w:noProof/>
        </w:rPr>
      </w:pPr>
      <w:r>
        <w:rPr>
          <w:noProof/>
        </w:rPr>
        <w:t>1.</w:t>
      </w:r>
      <w:r>
        <w:rPr>
          <w:noProof/>
        </w:rPr>
        <w:tab/>
      </w:r>
      <w:bookmarkStart w:id="5" w:name="_Hlk234247401"/>
      <w:r>
        <w:rPr>
          <w:noProof/>
        </w:rPr>
        <w:t xml:space="preserve">Instituțiile competente eliberează documentele digitale de securitate socială într-un format adecvat utilizării în portofelul european pentru identitatea digitală al persoanei în cauză și, după caz, al angajatorului. </w:t>
      </w:r>
      <w:bookmarkEnd w:id="5"/>
      <w:r>
        <w:rPr>
          <w:noProof/>
        </w:rPr>
        <w:t>Documentele digitale de securitate socială respectă specificațiile tehnice adoptate în temeiul alineatului (11).</w:t>
      </w:r>
    </w:p>
    <w:p>
      <w:pPr>
        <w:pStyle w:val="ManualNumPar1"/>
        <w:rPr>
          <w:noProof/>
        </w:rPr>
      </w:pPr>
      <w:r>
        <w:rPr>
          <w:noProof/>
        </w:rPr>
        <w:t>2.</w:t>
      </w:r>
      <w:r>
        <w:rPr>
          <w:noProof/>
        </w:rPr>
        <w:tab/>
        <w:t>Prin derogare de la alineatul (1), la cererea persoanei în cauză sau a angajatorului, organismele competente eliberează documentul de securitate socială într-un format fizic standardizat și accesibil. Un astfel de document include un cod QR sau alte elemente electronice pentru a-i spori securitatea și respectă specificațiile tehnice adoptate în temeiul alineatului (11).</w:t>
      </w:r>
    </w:p>
    <w:p>
      <w:pPr>
        <w:pStyle w:val="ManualNumPar1"/>
        <w:rPr>
          <w:noProof/>
        </w:rPr>
      </w:pPr>
      <w:r>
        <w:rPr>
          <w:noProof/>
        </w:rPr>
        <w:t>3.</w:t>
      </w:r>
      <w:r>
        <w:rPr>
          <w:noProof/>
        </w:rPr>
        <w:tab/>
        <w:t xml:space="preserve">Fiecare stat membru transmite Comisiei o listă a emitenților și o menține actualizată. Comisia pune listele respective la dispoziția publicului, printr-un canal securizat și într-o formă semnată sau sigilată electronic, adecvată prelucrării automate. În ceea ce privește emitenții documentului portabil A1, lista se transmite Comisiei până la [data intrării în vigoare plus 12 luni]. Statele membre transmit lista emitenților de CEASS și de alte documente de securitate socială care intră în domeniul de aplicare al prezentului capitol până la [data intrării în vigoare plus 3 ani]. </w:t>
      </w:r>
    </w:p>
    <w:p>
      <w:pPr>
        <w:pStyle w:val="ManualNumPar1"/>
        <w:rPr>
          <w:noProof/>
        </w:rPr>
      </w:pPr>
      <w:r>
        <w:rPr>
          <w:noProof/>
        </w:rPr>
        <w:t>4.</w:t>
      </w:r>
      <w:r>
        <w:rPr>
          <w:noProof/>
        </w:rPr>
        <w:tab/>
        <w:t>Înainte de a elibera un document de securitate socială, emitenții verifică exactitatea informațiilor furnizate de persoanele în cauză și, după caz, de angajatori în sprijinul cererii acestora, inclusiv prin utilizarea instrumentelor digitale.</w:t>
      </w:r>
    </w:p>
    <w:p>
      <w:pPr>
        <w:pStyle w:val="ManualNumPar1"/>
        <w:rPr>
          <w:noProof/>
        </w:rPr>
      </w:pPr>
      <w:r>
        <w:rPr>
          <w:noProof/>
        </w:rPr>
        <w:t>5.</w:t>
      </w:r>
      <w:r>
        <w:rPr>
          <w:noProof/>
        </w:rPr>
        <w:tab/>
        <w:t xml:space="preserve">În cazul în care un document de securitate socială menționat la alineatul (1) sau la alineatul (2) este revocat, emitentul notifică imediat persoana în cauză și, după caz, angajatorul. Notificarea se efectuează prin mijloace electronice, cu excepția cazului în care atât persoana în cauză, cât și, după caz, angajatorul indică alte mijloace. </w:t>
      </w:r>
    </w:p>
    <w:p>
      <w:pPr>
        <w:pStyle w:val="ManualNumPar1"/>
        <w:rPr>
          <w:noProof/>
        </w:rPr>
      </w:pPr>
      <w:r>
        <w:rPr>
          <w:noProof/>
        </w:rPr>
        <w:t>6.</w:t>
      </w:r>
      <w:r>
        <w:rPr>
          <w:noProof/>
        </w:rPr>
        <w:tab/>
        <w:t xml:space="preserve">Emitenții se asigură că o persoană poate primi și stoca, în propriul portofel european pentru identitatea digitală, documentele digitale de securitate socială ale copiilor săi minori și ale unei persoane fizice pe care o reprezintă legal. </w:t>
      </w:r>
    </w:p>
    <w:p>
      <w:pPr>
        <w:pStyle w:val="ManualNumPar1"/>
        <w:rPr>
          <w:noProof/>
        </w:rPr>
      </w:pPr>
      <w:r>
        <w:rPr>
          <w:noProof/>
        </w:rPr>
        <w:t>7.</w:t>
      </w:r>
      <w:r>
        <w:rPr>
          <w:noProof/>
        </w:rPr>
        <w:tab/>
        <w:t xml:space="preserve">Documentele de securitate socială eliberate în temeiul alineatelor (1) și (2) de un stat membru sunt recunoscute de verificatori în toate statele membre. </w:t>
      </w:r>
    </w:p>
    <w:p>
      <w:pPr>
        <w:pStyle w:val="Text1"/>
        <w:rPr>
          <w:noProof/>
        </w:rPr>
      </w:pPr>
      <w:r>
        <w:rPr>
          <w:noProof/>
        </w:rPr>
        <w:t>În cazul în care un document eliberat în conformitate cu prezentul regulament a fost verificat, valabilitatea sau autenticitatea acestuia nu poate face obiectul unor cerințe suplimentare de dovedire în statul membru gazdă. Prezentul alineat nu aduce atingere procedurilor aplicabile în caz de îndoială sau de contestație în temeiul Regulamentelor (CE) nr. 883/2004 și (CE) nr. 987/2009.</w:t>
      </w:r>
    </w:p>
    <w:p>
      <w:pPr>
        <w:pStyle w:val="ManualNumPar1"/>
        <w:rPr>
          <w:noProof/>
        </w:rPr>
      </w:pPr>
      <w:r>
        <w:rPr>
          <w:noProof/>
        </w:rPr>
        <w:t>8.</w:t>
      </w:r>
      <w:r>
        <w:rPr>
          <w:noProof/>
        </w:rPr>
        <w:tab/>
        <w:t>Statele membre se asigură că verificatorii stabiliți pe teritoriul lor dispun de mijloacele tehnice necesare pentru a verifica documentele de securitate socială eliberate în temeiul prezentului articol, indiferent de format, în vederea confirmării autenticității, integrității și valabilității acestora. Verificatorii trebuie să fie în măsură să stabilească dacă:</w:t>
      </w:r>
    </w:p>
    <w:p>
      <w:pPr>
        <w:pStyle w:val="Point1"/>
        <w:rPr>
          <w:noProof/>
        </w:rPr>
      </w:pPr>
      <w:r>
        <w:rPr>
          <w:noProof/>
        </w:rPr>
        <w:t>(a)</w:t>
      </w:r>
      <w:r>
        <w:rPr>
          <w:noProof/>
        </w:rPr>
        <w:tab/>
        <w:t xml:space="preserve">documentul a fost eliberat de un organism autorizat; </w:t>
      </w:r>
    </w:p>
    <w:p>
      <w:pPr>
        <w:pStyle w:val="Point1"/>
        <w:rPr>
          <w:noProof/>
        </w:rPr>
      </w:pPr>
      <w:r>
        <w:rPr>
          <w:noProof/>
        </w:rPr>
        <w:t>(b)</w:t>
      </w:r>
      <w:r>
        <w:rPr>
          <w:noProof/>
        </w:rPr>
        <w:tab/>
        <w:t>datele conținute în document nu au fost modificate în mod neautorizat de la eliberarea acestuia;</w:t>
      </w:r>
    </w:p>
    <w:p>
      <w:pPr>
        <w:pStyle w:val="Point1"/>
        <w:rPr>
          <w:noProof/>
        </w:rPr>
      </w:pPr>
      <w:r>
        <w:rPr>
          <w:noProof/>
        </w:rPr>
        <w:t>(c)</w:t>
      </w:r>
      <w:r>
        <w:rPr>
          <w:noProof/>
        </w:rPr>
        <w:tab/>
        <w:t>documentul nu a expirat și nici nu a fost revocat.</w:t>
      </w:r>
    </w:p>
    <w:p>
      <w:pPr>
        <w:pStyle w:val="ManualNumPar1"/>
        <w:rPr>
          <w:noProof/>
        </w:rPr>
      </w:pPr>
      <w:r>
        <w:rPr>
          <w:noProof/>
        </w:rPr>
        <w:t>9.</w:t>
      </w:r>
      <w:r>
        <w:rPr>
          <w:noProof/>
        </w:rPr>
        <w:tab/>
        <w:t>Datele cu caracter personal prelucrate în scopul verificării documentului de securitate socială al persoanei în cauză nu sunt păstrate de verificator după finalizarea verificării, cu excepția cazului în care păstrarea lor este necesară pentru punerea în aplicare a Regulamentelor (CE) nr. 883/2004 și (CE) nr. 987/2009 sau este autorizată printr-un alt act juridic al Uniunii ori național, în conformitate cu Regulamentul (UE) 2016/679 sau cu Directiva (UE) 2016/680</w:t>
      </w:r>
      <w:r>
        <w:rPr>
          <w:rStyle w:val="FootnoteReference"/>
          <w:noProof/>
        </w:rPr>
        <w:footnoteReference w:id="32"/>
      </w:r>
      <w:r>
        <w:rPr>
          <w:noProof/>
        </w:rPr>
        <w:t>.</w:t>
      </w:r>
    </w:p>
    <w:p>
      <w:pPr>
        <w:pStyle w:val="ManualNumPar1"/>
        <w:rPr>
          <w:noProof/>
        </w:rPr>
      </w:pPr>
      <w:r>
        <w:rPr>
          <w:noProof/>
        </w:rPr>
        <w:t>10.</w:t>
      </w:r>
      <w:r>
        <w:rPr>
          <w:noProof/>
        </w:rPr>
        <w:tab/>
        <w:t>ESSPASS este interoperabil cu sistemul EESSI și, după caz, cu alte inițiative digitale relevante ale Uniunii, inclusiv cu Spațiul european al datelor privind sănătatea și cu sistemul tehnic „doar o singură dată”.</w:t>
      </w:r>
    </w:p>
    <w:p>
      <w:pPr>
        <w:pStyle w:val="ManualNumPar1"/>
        <w:rPr>
          <w:noProof/>
        </w:rPr>
      </w:pPr>
      <w:r>
        <w:rPr>
          <w:noProof/>
        </w:rPr>
        <w:t>11.</w:t>
      </w:r>
      <w:r>
        <w:rPr>
          <w:noProof/>
        </w:rPr>
        <w:tab/>
        <w:t>Comisia adoptă acte de punere în aplicare prin care stabilește specificațiile funcționale și tehnice privind documentele menționate la alineatele (1) și (2). Respectivele acte de punere în aplicare cuprind:</w:t>
      </w:r>
    </w:p>
    <w:p>
      <w:pPr>
        <w:pStyle w:val="Point1"/>
        <w:rPr>
          <w:noProof/>
        </w:rPr>
      </w:pPr>
      <w:r>
        <w:rPr>
          <w:noProof/>
        </w:rPr>
        <w:t>(a)</w:t>
      </w:r>
      <w:r>
        <w:rPr>
          <w:noProof/>
        </w:rPr>
        <w:tab/>
        <w:t>specificațiile tehnice și de interoperabilitate, inclusiv modelele comune de date care stabilesc datele care urmează să fie prelucrate, standardele și cerințele de accesibilitate;</w:t>
      </w:r>
    </w:p>
    <w:p>
      <w:pPr>
        <w:pStyle w:val="Point1"/>
        <w:rPr>
          <w:noProof/>
        </w:rPr>
      </w:pPr>
      <w:r>
        <w:rPr>
          <w:noProof/>
        </w:rPr>
        <w:t>(b)</w:t>
      </w:r>
      <w:r>
        <w:rPr>
          <w:noProof/>
        </w:rPr>
        <w:tab/>
        <w:t>procedurile de solicitare, eliberare, revocare și verificare a documentelor, inclusiv aspectele legate de listele de emitenți în conformitate cu alineatul (3) din prezentul articol;</w:t>
      </w:r>
    </w:p>
    <w:p>
      <w:pPr>
        <w:pStyle w:val="Point1"/>
        <w:rPr>
          <w:noProof/>
        </w:rPr>
      </w:pPr>
      <w:r>
        <w:rPr>
          <w:noProof/>
        </w:rPr>
        <w:t>(c)</w:t>
      </w:r>
      <w:r>
        <w:rPr>
          <w:noProof/>
        </w:rPr>
        <w:tab/>
        <w:t>măsurile tehnice și organizatorice de securitate, inclusiv măsurile de criptare și de control al accesului;</w:t>
      </w:r>
    </w:p>
    <w:p>
      <w:pPr>
        <w:pStyle w:val="Point1"/>
        <w:rPr>
          <w:noProof/>
        </w:rPr>
      </w:pPr>
      <w:r>
        <w:rPr>
          <w:noProof/>
        </w:rPr>
        <w:t>(d)</w:t>
      </w:r>
      <w:r>
        <w:rPr>
          <w:noProof/>
        </w:rPr>
        <w:tab/>
        <w:t>măsurile organizatorice privind prelucrarea și protecția datelor cu caracter personal, inclusiv în ceea ce privește perioadele de păstrare, precum și rolurile operatorilor și ale persoanelor împuternicite de operatori în conformitate cu Regulamentul (UE) 2016/679.</w:t>
      </w:r>
    </w:p>
    <w:p>
      <w:pPr>
        <w:rPr>
          <w:noProof/>
        </w:rPr>
      </w:pPr>
      <w:r>
        <w:rPr>
          <w:noProof/>
        </w:rPr>
        <w:t xml:space="preserve">Respectivele acte de punere în aplicare se adoptă în conformitate cu procedura de examinare menționată la articolul 17 alineatul (2). </w:t>
      </w:r>
    </w:p>
    <w:p>
      <w:pPr>
        <w:rPr>
          <w:noProof/>
        </w:rPr>
      </w:pPr>
    </w:p>
    <w:p>
      <w:pPr>
        <w:pStyle w:val="Titrearticle"/>
        <w:rPr>
          <w:noProof/>
        </w:rPr>
      </w:pPr>
      <w:r>
        <w:rPr>
          <w:noProof/>
        </w:rPr>
        <w:t>Articolul 8</w:t>
      </w:r>
    </w:p>
    <w:p>
      <w:pPr>
        <w:pStyle w:val="Titrearticle"/>
        <w:spacing w:before="120"/>
        <w:rPr>
          <w:noProof/>
        </w:rPr>
      </w:pPr>
      <w:r>
        <w:rPr>
          <w:b/>
          <w:i w:val="0"/>
          <w:noProof/>
        </w:rPr>
        <w:t>Termenele de eliberare a documentelor de securitate socială</w:t>
      </w:r>
      <w:r>
        <w:rPr>
          <w:noProof/>
        </w:rPr>
        <w:t xml:space="preserve"> </w:t>
      </w:r>
      <w:r>
        <w:rPr>
          <w:noProof/>
        </w:rPr>
        <w:br/>
      </w:r>
    </w:p>
    <w:p>
      <w:pPr>
        <w:pStyle w:val="ManualNumPar1"/>
        <w:rPr>
          <w:noProof/>
        </w:rPr>
      </w:pPr>
      <w:r>
        <w:rPr>
          <w:noProof/>
        </w:rPr>
        <w:t>1.</w:t>
      </w:r>
      <w:r>
        <w:rPr>
          <w:noProof/>
        </w:rPr>
        <w:tab/>
        <w:t>Instituțiile competente eliberează documente de securitate socială persoanei în cauză și, după caz, angajatorului, cu respectarea termenelor stabilite în conformitate cu alineatele (2) și (3).</w:t>
      </w:r>
    </w:p>
    <w:p>
      <w:pPr>
        <w:pStyle w:val="ManualNumPar1"/>
        <w:rPr>
          <w:noProof/>
        </w:rPr>
      </w:pPr>
      <w:r>
        <w:rPr>
          <w:noProof/>
        </w:rPr>
        <w:t>2.</w:t>
      </w:r>
      <w:r>
        <w:rPr>
          <w:noProof/>
        </w:rPr>
        <w:tab/>
        <w:t xml:space="preserve">Până la [data intrării în vigoare plus 18 luni], Comisia adoptă acte de punere în aplicare prin care stabilește termenele de eliberare a documentelor de securitate socială care intră în domeniul de aplicare al prezentului capitol, calculate de la data depunerii unei cereri complete. </w:t>
      </w:r>
    </w:p>
    <w:p>
      <w:pPr>
        <w:pStyle w:val="ManualNumPar1"/>
        <w:rPr>
          <w:noProof/>
        </w:rPr>
      </w:pPr>
      <w:r>
        <w:rPr>
          <w:noProof/>
        </w:rPr>
        <w:t>3.</w:t>
      </w:r>
      <w:r>
        <w:rPr>
          <w:noProof/>
        </w:rPr>
        <w:tab/>
        <w:t xml:space="preserve">Prin derogare de la alineatul (2), actul de punere în aplicare prin care se stabilește termenul de eliberare a documentului portabil A1 se adoptă până la [data intrării în vigoare plus 12 luni]. </w:t>
      </w:r>
    </w:p>
    <w:p>
      <w:pPr>
        <w:pStyle w:val="ManualNumPar1"/>
        <w:rPr>
          <w:noProof/>
        </w:rPr>
      </w:pPr>
      <w:r>
        <w:rPr>
          <w:noProof/>
        </w:rPr>
        <w:t>4.</w:t>
      </w:r>
      <w:r>
        <w:rPr>
          <w:noProof/>
        </w:rPr>
        <w:tab/>
        <w:t xml:space="preserve">Pentru eliberarea cardului european de asigurări sociale de sănătate, termenul maxim nu depășește 24 de ore. </w:t>
      </w:r>
    </w:p>
    <w:p>
      <w:pPr>
        <w:pStyle w:val="ManualNumPar1"/>
        <w:rPr>
          <w:noProof/>
        </w:rPr>
      </w:pPr>
      <w:r>
        <w:rPr>
          <w:noProof/>
        </w:rPr>
        <w:t>5.</w:t>
      </w:r>
      <w:r>
        <w:rPr>
          <w:noProof/>
        </w:rPr>
        <w:tab/>
        <w:t xml:space="preserve">Atunci când stabilește termenele, Comisia ia în considerare următoarele: </w:t>
      </w:r>
    </w:p>
    <w:p>
      <w:pPr>
        <w:pStyle w:val="Point1"/>
        <w:rPr>
          <w:noProof/>
        </w:rPr>
      </w:pPr>
      <w:r>
        <w:rPr>
          <w:noProof/>
        </w:rPr>
        <w:t>(a)</w:t>
      </w:r>
      <w:r>
        <w:rPr>
          <w:noProof/>
        </w:rPr>
        <w:tab/>
        <w:t xml:space="preserve">tipul de document de securitate socială solicitat; </w:t>
      </w:r>
    </w:p>
    <w:p>
      <w:pPr>
        <w:pStyle w:val="Point1"/>
        <w:rPr>
          <w:noProof/>
        </w:rPr>
      </w:pPr>
      <w:r>
        <w:rPr>
          <w:noProof/>
        </w:rPr>
        <w:t>(b)</w:t>
      </w:r>
      <w:r>
        <w:rPr>
          <w:noProof/>
        </w:rPr>
        <w:tab/>
        <w:t xml:space="preserve">etapele procedurale necesare pentru verificarea informațiilor furnizate înainte de eliberarea documentului de securitate socială solicitat, inclusiv, după caz, schimburile necesare de informații între organismele competente; </w:t>
      </w:r>
    </w:p>
    <w:p>
      <w:pPr>
        <w:pStyle w:val="Point1"/>
        <w:rPr>
          <w:noProof/>
        </w:rPr>
      </w:pPr>
      <w:r>
        <w:rPr>
          <w:noProof/>
        </w:rPr>
        <w:t>(c)</w:t>
      </w:r>
      <w:r>
        <w:rPr>
          <w:noProof/>
        </w:rPr>
        <w:tab/>
        <w:t>necesitatea de a asigura exercitarea în timp util a drepturilor în temeiul Regulamentului (CE) nr. 883/2004.</w:t>
      </w:r>
    </w:p>
    <w:p>
      <w:pPr>
        <w:pStyle w:val="Text1"/>
        <w:rPr>
          <w:noProof/>
        </w:rPr>
      </w:pPr>
      <w:r>
        <w:rPr>
          <w:noProof/>
        </w:rPr>
        <w:t>Respectivele acte de punere în aplicare se adoptă în conformitate cu procedura de examinare menționată la articolul 17 alineatul (2).</w:t>
      </w:r>
    </w:p>
    <w:p>
      <w:pPr>
        <w:pStyle w:val="ManualNumPar1"/>
        <w:rPr>
          <w:noProof/>
        </w:rPr>
      </w:pPr>
      <w:r>
        <w:rPr>
          <w:noProof/>
        </w:rPr>
        <w:t>6.</w:t>
      </w:r>
      <w:r>
        <w:rPr>
          <w:noProof/>
        </w:rPr>
        <w:tab/>
        <w:t xml:space="preserve">La primirea cererii, emitentul informează persoanele în cauză sau angajatorii, după caz, cu privire la durata estimată a prelucrării cererii și la termenele aplicabile prevăzute în actele de punere în aplicare adoptate în temeiul alineatului (2). </w:t>
      </w:r>
    </w:p>
    <w:p>
      <w:pPr>
        <w:rPr>
          <w:noProof/>
        </w:rPr>
      </w:pPr>
    </w:p>
    <w:p>
      <w:pPr>
        <w:pStyle w:val="Titrearticle"/>
        <w:rPr>
          <w:noProof/>
        </w:rPr>
      </w:pPr>
      <w:r>
        <w:rPr>
          <w:noProof/>
        </w:rPr>
        <w:t>Articolul 9</w:t>
      </w:r>
    </w:p>
    <w:p>
      <w:pPr>
        <w:jc w:val="center"/>
        <w:rPr>
          <w:b/>
          <w:noProof/>
          <w:kern w:val="2"/>
          <w14:ligatures w14:val="standardContextual"/>
        </w:rPr>
      </w:pPr>
      <w:r>
        <w:rPr>
          <w:b/>
          <w:noProof/>
        </w:rPr>
        <w:t>Cardurile europene de asigurări sociale de sănătate</w:t>
      </w:r>
      <w:r>
        <w:rPr>
          <w:noProof/>
        </w:rPr>
        <w:t xml:space="preserve"> </w:t>
      </w:r>
      <w:r>
        <w:rPr>
          <w:noProof/>
        </w:rPr>
        <w:br/>
      </w:r>
    </w:p>
    <w:p>
      <w:pPr>
        <w:pStyle w:val="ManualNumPar1"/>
        <w:rPr>
          <w:noProof/>
        </w:rPr>
      </w:pPr>
      <w:r>
        <w:rPr>
          <w:noProof/>
        </w:rPr>
        <w:t>1.</w:t>
      </w:r>
      <w:r>
        <w:rPr>
          <w:noProof/>
        </w:rPr>
        <w:tab/>
        <w:t>De la [data intrării în vigoare plus 3 ani], toate cardurile europene de asigurări sociale de sănătate nou eliberate respectă cerințele prevăzute la articolul 7. Cardurile europene de asigurări sociale de sănătate aflate deja în circulație care nu au expirat încă la data respectivă se înlocuiesc cel târziu la [data intrării în vigoare plus 5 ani].</w:t>
      </w:r>
    </w:p>
    <w:p>
      <w:pPr>
        <w:pStyle w:val="ManualNumPar1"/>
        <w:rPr>
          <w:noProof/>
        </w:rPr>
      </w:pPr>
      <w:r>
        <w:rPr>
          <w:noProof/>
        </w:rPr>
        <w:t>2.</w:t>
      </w:r>
      <w:r>
        <w:rPr>
          <w:noProof/>
        </w:rPr>
        <w:tab/>
        <w:t xml:space="preserve">Începând cu [data intrării în vigoare plus 3 ani], statele membre se asigură că furnizorii de servicii medicale de pe teritoriul lor pot transmite pe cale electronică datele conținute în cardul european de asigurări sociale de sănătate al unui pacient dintr-un alt stat membru, precum și toate datele care trebuie transmise în cadrul procesului de rambursare, organismelor competente din statul membru în care se efectuează tratamentul. </w:t>
      </w:r>
    </w:p>
    <w:p>
      <w:pPr>
        <w:pStyle w:val="ListParagraph"/>
        <w:ind w:left="0"/>
        <w:rPr>
          <w:i/>
          <w:noProof/>
        </w:rPr>
      </w:pPr>
    </w:p>
    <w:p>
      <w:pPr>
        <w:pStyle w:val="Titrearticle"/>
        <w:rPr>
          <w:noProof/>
        </w:rPr>
      </w:pPr>
      <w:r>
        <w:rPr>
          <w:noProof/>
        </w:rPr>
        <w:t>Articolul 10</w:t>
      </w:r>
    </w:p>
    <w:p>
      <w:pPr>
        <w:jc w:val="center"/>
        <w:rPr>
          <w:b/>
          <w:bCs/>
          <w:noProof/>
        </w:rPr>
      </w:pPr>
      <w:r>
        <w:rPr>
          <w:b/>
          <w:noProof/>
        </w:rPr>
        <w:t>Documentul portabil A1</w:t>
      </w:r>
    </w:p>
    <w:p>
      <w:pPr>
        <w:pStyle w:val="Text1"/>
        <w:rPr>
          <w:noProof/>
        </w:rPr>
      </w:pPr>
      <w:r>
        <w:rPr>
          <w:noProof/>
        </w:rPr>
        <w:t xml:space="preserve"> </w:t>
      </w:r>
    </w:p>
    <w:p>
      <w:pPr>
        <w:pStyle w:val="ManualNumPar1"/>
        <w:rPr>
          <w:noProof/>
        </w:rPr>
      </w:pPr>
      <w:r>
        <w:rPr>
          <w:noProof/>
        </w:rPr>
        <w:t>1.</w:t>
      </w:r>
      <w:r>
        <w:rPr>
          <w:noProof/>
        </w:rPr>
        <w:tab/>
        <w:t xml:space="preserve">Până la [data intrării în vigoare plus 12 luni], Comisia adoptă acte de punere în aplicare prin care stabilește cerințe comune în materie de informații aplicabile cererilor privind documentul portabil A1, fără a depăși ceea ce este necesar pentru stabilirea legislației aplicabile și ținând seama în mod corespunzător de necesitatea reducerii sarcinii administrative. </w:t>
      </w:r>
    </w:p>
    <w:p>
      <w:pPr>
        <w:pStyle w:val="ManualNumPar1"/>
        <w:rPr>
          <w:noProof/>
        </w:rPr>
      </w:pPr>
      <w:r>
        <w:rPr>
          <w:noProof/>
        </w:rPr>
        <w:t>2.</w:t>
      </w:r>
      <w:r>
        <w:rPr>
          <w:noProof/>
        </w:rPr>
        <w:tab/>
        <w:t>Comisia stabilește, prin acte de punere în aplicare, un cadru tehnic comun care să asigure interoperabilitatea dintre portalurile naționale utilizate pentru a solicita documentul portabil A1 și interfețele publice conectate la Sistemul de informare al pieței interne (IMI)</w:t>
      </w:r>
      <w:r>
        <w:rPr>
          <w:rStyle w:val="FootnoteReference"/>
          <w:noProof/>
        </w:rPr>
        <w:footnoteReference w:id="33"/>
      </w:r>
      <w:r>
        <w:rPr>
          <w:noProof/>
        </w:rPr>
        <w:t xml:space="preserve">, utilizate pentru declararea detașării lucrătorilor și pentru detașarea conducătorilor auto în sectorul transportului rutier, astfel cum se prevede la articolul 1 alineatul (11) din Directiva (UE) 2020/1057. Cadrul tehnic respectiv permite reutilizarea datelor relevante transmise în cadrul procedurilor de solicitare a documentului portabil A1 și de depunere a declarațiilor de detașare, în conformitate cu Regulamentele (UE) 2016/679 și (UE) 2018/1725 și cu principiul „doar o singură dată”. </w:t>
      </w:r>
    </w:p>
    <w:p>
      <w:pPr>
        <w:pStyle w:val="ManualNumPar1"/>
        <w:rPr>
          <w:noProof/>
        </w:rPr>
      </w:pPr>
      <w:r>
        <w:rPr>
          <w:noProof/>
        </w:rPr>
        <w:t>3.</w:t>
      </w:r>
      <w:r>
        <w:rPr>
          <w:noProof/>
        </w:rPr>
        <w:tab/>
        <w:t xml:space="preserve">Actele de punere în aplicare menționate la alineatele (1) și (2) se adoptă în conformitate cu procedura de examinare menționată la articolul 17 alineatul (2). </w:t>
      </w:r>
    </w:p>
    <w:p>
      <w:pPr>
        <w:pStyle w:val="Text1"/>
        <w:rPr>
          <w:noProof/>
        </w:rPr>
      </w:pPr>
    </w:p>
    <w:p>
      <w:pPr>
        <w:pStyle w:val="Text1"/>
        <w:rPr>
          <w:noProof/>
        </w:rPr>
      </w:pPr>
    </w:p>
    <w:p>
      <w:pPr>
        <w:pStyle w:val="ChapterTitle"/>
        <w:spacing w:after="240" w:line="276" w:lineRule="auto"/>
        <w:rPr>
          <w:noProof/>
        </w:rPr>
      </w:pPr>
      <w:bookmarkStart w:id="6" w:name="_Toc35E59AFA619E4D14AF3E14C28AF2D0BD"/>
      <w:r>
        <w:rPr>
          <w:noProof/>
        </w:rPr>
        <w:t>Capitolul II</w:t>
      </w:r>
      <w:bookmarkEnd w:id="6"/>
    </w:p>
    <w:p>
      <w:pPr>
        <w:pStyle w:val="ChapterTitle"/>
        <w:spacing w:after="240" w:line="276" w:lineRule="auto"/>
        <w:rPr>
          <w:noProof/>
        </w:rPr>
      </w:pPr>
      <w:bookmarkStart w:id="7" w:name="_TocC8113ABDB166482D940E2562C5AE9A0B"/>
      <w:r>
        <w:rPr>
          <w:noProof/>
        </w:rPr>
        <w:t>Schimburi între organisme</w:t>
      </w:r>
      <w:bookmarkEnd w:id="7"/>
    </w:p>
    <w:p>
      <w:pPr>
        <w:rPr>
          <w:noProof/>
        </w:rPr>
      </w:pPr>
    </w:p>
    <w:p>
      <w:pPr>
        <w:jc w:val="center"/>
        <w:rPr>
          <w:i/>
          <w:noProof/>
        </w:rPr>
      </w:pPr>
      <w:r>
        <w:rPr>
          <w:i/>
          <w:noProof/>
        </w:rPr>
        <w:t>Articolul 11</w:t>
      </w:r>
    </w:p>
    <w:p>
      <w:pPr>
        <w:jc w:val="center"/>
        <w:rPr>
          <w:noProof/>
        </w:rPr>
      </w:pPr>
      <w:r>
        <w:rPr>
          <w:b/>
          <w:noProof/>
        </w:rPr>
        <w:t>Schimburi prin intermediul sistemului EESSI</w:t>
      </w:r>
      <w:r>
        <w:rPr>
          <w:noProof/>
        </w:rPr>
        <w:t xml:space="preserve"> </w:t>
      </w:r>
      <w:r>
        <w:rPr>
          <w:noProof/>
        </w:rPr>
        <w:br/>
      </w:r>
    </w:p>
    <w:p>
      <w:pPr>
        <w:pStyle w:val="ManualNumPar1"/>
        <w:rPr>
          <w:noProof/>
        </w:rPr>
      </w:pPr>
      <w:r>
        <w:rPr>
          <w:noProof/>
        </w:rPr>
        <w:t>1.</w:t>
      </w:r>
      <w:r>
        <w:rPr>
          <w:noProof/>
        </w:rPr>
        <w:tab/>
        <w:t xml:space="preserve">Statele membre fac schimb de date și accesează și prelucrează datele necesare pentru aplicarea Regulamentelor (CE) nr. 883/2004 și (CE) nr. 987/2009 prin intermediul sistemului EESSI, în conformitate cu specificațiile funcționale și tehnice stabilite în temeiul articolului 78 din Regulamentul (CE) nr. 987/2009. </w:t>
      </w:r>
    </w:p>
    <w:p>
      <w:pPr>
        <w:pStyle w:val="ManualNumPar1"/>
        <w:rPr>
          <w:noProof/>
        </w:rPr>
      </w:pPr>
      <w:r>
        <w:rPr>
          <w:noProof/>
        </w:rPr>
        <w:t>2.</w:t>
      </w:r>
      <w:r>
        <w:rPr>
          <w:noProof/>
        </w:rPr>
        <w:tab/>
        <w:t>Atunci când fac schimb de date prin intermediul sistemului EESSI, statele membre respectă termenele maxime prevăzute în anexa I la prezentul regulament.</w:t>
      </w:r>
    </w:p>
    <w:p>
      <w:pPr>
        <w:pStyle w:val="ManualNumPar1"/>
        <w:rPr>
          <w:noProof/>
        </w:rPr>
      </w:pPr>
      <w:r>
        <w:rPr>
          <w:noProof/>
        </w:rPr>
        <w:t>3.</w:t>
      </w:r>
      <w:r>
        <w:rPr>
          <w:noProof/>
        </w:rPr>
        <w:tab/>
        <w:t xml:space="preserve">Comisia este împuternicită să adopte acte delegate în conformitate cu articolul 16 pentru a modifica anexa I, ținând seama de următoarele: </w:t>
      </w:r>
    </w:p>
    <w:p>
      <w:pPr>
        <w:pStyle w:val="Point1"/>
        <w:rPr>
          <w:noProof/>
        </w:rPr>
      </w:pPr>
      <w:r>
        <w:rPr>
          <w:noProof/>
        </w:rPr>
        <w:t>(a)</w:t>
      </w:r>
      <w:r>
        <w:rPr>
          <w:noProof/>
        </w:rPr>
        <w:tab/>
        <w:t xml:space="preserve">cazurile de utilizare și documentele electronice structurate implicate în schimb; </w:t>
      </w:r>
    </w:p>
    <w:p>
      <w:pPr>
        <w:pStyle w:val="Point1"/>
        <w:rPr>
          <w:noProof/>
        </w:rPr>
      </w:pPr>
      <w:r>
        <w:rPr>
          <w:noProof/>
        </w:rPr>
        <w:t>(b)</w:t>
      </w:r>
      <w:r>
        <w:rPr>
          <w:noProof/>
        </w:rPr>
        <w:tab/>
        <w:t xml:space="preserve">etapele procedurale necesare pentru colectarea informațiilor, inclusiv, după caz, schimburile necesare de informații între organismele competente la nivel național; </w:t>
      </w:r>
    </w:p>
    <w:p>
      <w:pPr>
        <w:pStyle w:val="Point1"/>
        <w:rPr>
          <w:noProof/>
        </w:rPr>
      </w:pPr>
      <w:r>
        <w:rPr>
          <w:noProof/>
        </w:rPr>
        <w:t>(c)</w:t>
      </w:r>
      <w:r>
        <w:rPr>
          <w:noProof/>
        </w:rPr>
        <w:tab/>
        <w:t>necesitatea de a asigura exercitarea în timp util a drepturilor în temeiul Regulamentului (CE) nr. 883/2004.</w:t>
      </w:r>
    </w:p>
    <w:p>
      <w:pPr>
        <w:pStyle w:val="ManualNumPar1"/>
        <w:rPr>
          <w:noProof/>
        </w:rPr>
      </w:pPr>
      <w:r>
        <w:rPr>
          <w:noProof/>
        </w:rPr>
        <w:t>4.</w:t>
      </w:r>
      <w:r>
        <w:rPr>
          <w:noProof/>
        </w:rPr>
        <w:tab/>
        <w:t>În scopul prelucrării datelor cu caracter personal în cadrul sistemului EESSI, Comisia este considerată persoană împuternicită de operator, astfel cum este definită la articolul 3 punctul (12) din Regulamentul (UE) 2018/1725, iar statele membre sunt considerate operatori asociați, astfel cum se prevede la articolul 26 din Regulamentul (UE) 2016/679.</w:t>
      </w:r>
    </w:p>
    <w:p>
      <w:pPr>
        <w:pStyle w:val="ManualNumPar1"/>
        <w:rPr>
          <w:noProof/>
        </w:rPr>
      </w:pPr>
      <w:r>
        <w:rPr>
          <w:noProof/>
        </w:rPr>
        <w:t>5.</w:t>
      </w:r>
      <w:r>
        <w:rPr>
          <w:noProof/>
        </w:rPr>
        <w:tab/>
        <w:t xml:space="preserve">Comisia detaliază, prin acte de punere în aplicare, specificațiile funcționale și tehnice ale sistemului EESSI în ceea ce privește următoarele domenii: </w:t>
      </w:r>
    </w:p>
    <w:p>
      <w:pPr>
        <w:pStyle w:val="Point1"/>
        <w:rPr>
          <w:noProof/>
        </w:rPr>
      </w:pPr>
      <w:r>
        <w:rPr>
          <w:noProof/>
        </w:rPr>
        <w:t>(a)</w:t>
      </w:r>
      <w:r>
        <w:rPr>
          <w:noProof/>
        </w:rPr>
        <w:tab/>
        <w:t>cazurile de utilizare și structura, formatul, conținutul și modelele de date ale informațiilor schimbate;</w:t>
      </w:r>
    </w:p>
    <w:p>
      <w:pPr>
        <w:pStyle w:val="Point1"/>
        <w:rPr>
          <w:noProof/>
        </w:rPr>
      </w:pPr>
      <w:r>
        <w:rPr>
          <w:noProof/>
        </w:rPr>
        <w:t>(b)</w:t>
      </w:r>
      <w:r>
        <w:rPr>
          <w:noProof/>
        </w:rPr>
        <w:tab/>
        <w:t>normele procedurale și tehnice privind schimburile de date;</w:t>
      </w:r>
    </w:p>
    <w:p>
      <w:pPr>
        <w:pStyle w:val="Point1"/>
        <w:rPr>
          <w:noProof/>
        </w:rPr>
      </w:pPr>
      <w:r>
        <w:rPr>
          <w:noProof/>
        </w:rPr>
        <w:t>(c)</w:t>
      </w:r>
      <w:r>
        <w:rPr>
          <w:noProof/>
        </w:rPr>
        <w:tab/>
        <w:t>rolurile și responsabilitățile organismelor implicate în schimburi;</w:t>
      </w:r>
    </w:p>
    <w:p>
      <w:pPr>
        <w:pStyle w:val="Point1"/>
        <w:rPr>
          <w:noProof/>
        </w:rPr>
      </w:pPr>
      <w:r>
        <w:rPr>
          <w:noProof/>
        </w:rPr>
        <w:t>(d)</w:t>
      </w:r>
      <w:r>
        <w:rPr>
          <w:noProof/>
        </w:rPr>
        <w:tab/>
        <w:t>măsurile de asigurare a continuității activității;</w:t>
      </w:r>
    </w:p>
    <w:p>
      <w:pPr>
        <w:pStyle w:val="Point1"/>
        <w:rPr>
          <w:noProof/>
        </w:rPr>
      </w:pPr>
      <w:r>
        <w:rPr>
          <w:noProof/>
        </w:rPr>
        <w:t>(e)</w:t>
      </w:r>
      <w:r>
        <w:rPr>
          <w:noProof/>
        </w:rPr>
        <w:tab/>
        <w:t>măsurile de securitate și de protecție a datelor;</w:t>
      </w:r>
    </w:p>
    <w:p>
      <w:pPr>
        <w:pStyle w:val="Point1"/>
        <w:rPr>
          <w:noProof/>
        </w:rPr>
      </w:pPr>
      <w:r>
        <w:rPr>
          <w:noProof/>
        </w:rPr>
        <w:t>(f)</w:t>
      </w:r>
      <w:r>
        <w:rPr>
          <w:noProof/>
        </w:rPr>
        <w:tab/>
        <w:t>măsurile operaționale și de sprijin;</w:t>
      </w:r>
    </w:p>
    <w:p>
      <w:pPr>
        <w:pStyle w:val="Point1"/>
        <w:rPr>
          <w:noProof/>
        </w:rPr>
      </w:pPr>
      <w:r>
        <w:rPr>
          <w:noProof/>
        </w:rPr>
        <w:t>(g)</w:t>
      </w:r>
      <w:r>
        <w:rPr>
          <w:noProof/>
        </w:rPr>
        <w:tab/>
        <w:t>detaliile privind baza de date publică ce conține informațiile prevăzute la articolul 88 alineatul (4) din Regulamentul (CE) nr. 987/2009;</w:t>
      </w:r>
    </w:p>
    <w:p>
      <w:pPr>
        <w:pStyle w:val="Point1"/>
        <w:rPr>
          <w:noProof/>
        </w:rPr>
      </w:pPr>
      <w:r>
        <w:rPr>
          <w:noProof/>
        </w:rPr>
        <w:t>(h)</w:t>
      </w:r>
      <w:r>
        <w:rPr>
          <w:noProof/>
        </w:rPr>
        <w:tab/>
        <w:t xml:space="preserve">nivelurile de servicii. </w:t>
      </w:r>
    </w:p>
    <w:p>
      <w:pPr>
        <w:pStyle w:val="ListParagraph"/>
        <w:spacing w:line="276" w:lineRule="auto"/>
        <w:rPr>
          <w:noProof/>
        </w:rPr>
      </w:pPr>
      <w:r>
        <w:rPr>
          <w:noProof/>
        </w:rPr>
        <w:t xml:space="preserve">Respectivele acte de punere în aplicare se adoptă în conformitate cu procedura de examinare menționată la articolul 17 alineatul (2). </w:t>
      </w:r>
    </w:p>
    <w:p>
      <w:pPr>
        <w:pStyle w:val="article0"/>
        <w:rPr>
          <w:rFonts w:ascii="Times New Roman" w:hAnsi="Times New Roman"/>
          <w:noProof/>
        </w:rPr>
      </w:pPr>
    </w:p>
    <w:p>
      <w:pPr>
        <w:jc w:val="center"/>
        <w:rPr>
          <w:i/>
          <w:noProof/>
        </w:rPr>
      </w:pPr>
      <w:r>
        <w:rPr>
          <w:i/>
          <w:noProof/>
        </w:rPr>
        <w:t>Articolul 12</w:t>
      </w:r>
    </w:p>
    <w:p>
      <w:pPr>
        <w:jc w:val="center"/>
        <w:rPr>
          <w:noProof/>
        </w:rPr>
      </w:pPr>
      <w:r>
        <w:rPr>
          <w:b/>
          <w:noProof/>
        </w:rPr>
        <w:t>Schimbul electronic de informații</w:t>
      </w:r>
      <w:r>
        <w:rPr>
          <w:noProof/>
        </w:rPr>
        <w:t xml:space="preserve"> </w:t>
      </w:r>
      <w:r>
        <w:rPr>
          <w:noProof/>
        </w:rPr>
        <w:br/>
      </w:r>
      <w:r>
        <w:rPr>
          <w:b/>
          <w:noProof/>
        </w:rPr>
        <w:t>în afara sistemului EESSI</w:t>
      </w:r>
    </w:p>
    <w:p>
      <w:pPr>
        <w:pStyle w:val="ManualNumPar1"/>
        <w:rPr>
          <w:noProof/>
        </w:rPr>
      </w:pPr>
      <w:r>
        <w:rPr>
          <w:noProof/>
        </w:rPr>
        <w:t>1.</w:t>
      </w:r>
      <w:r>
        <w:rPr>
          <w:noProof/>
        </w:rPr>
        <w:tab/>
        <w:t xml:space="preserve">Prin derogare de la articolul 11 alineatul (1), în cazul în care schimbul de date necesare pentru controalele privind aplicarea corectă a Regulamentelor (CE) nr. 883/2004 și (CE) nr. 987/2009 sau asigurarea respectării acestora, inclusiv în scopul detectării schimbărilor de situație, a inexactităților, a neconcordanțelor, a fraudei și a erorilor, nu poate fi efectuat în mod eficace prin intermediul sistemului EESSI, datele respective pot fi furnizate sau se poate acorda acces securizat la acestea în afara sistemului EESSI, în conformitate cu procedurile și specificațiile comune stabilite în temeiul alineatului (2). </w:t>
      </w:r>
    </w:p>
    <w:p>
      <w:pPr>
        <w:pStyle w:val="ManualNumPar1"/>
        <w:rPr>
          <w:noProof/>
        </w:rPr>
      </w:pPr>
      <w:r>
        <w:rPr>
          <w:noProof/>
        </w:rPr>
        <w:t>2.</w:t>
      </w:r>
      <w:r>
        <w:rPr>
          <w:noProof/>
        </w:rPr>
        <w:tab/>
        <w:t xml:space="preserve">Comisia adoptă, după caz, acte de punere în aplicare pentru a stabili proceduri comune și specificații funcționale și tehnice pentru schimbul securizat de date sau accesul la datele menționate la alineatul (1). </w:t>
      </w:r>
    </w:p>
    <w:p>
      <w:pPr>
        <w:pStyle w:val="ManualNumPar1"/>
        <w:rPr>
          <w:noProof/>
        </w:rPr>
      </w:pPr>
      <w:r>
        <w:rPr>
          <w:noProof/>
        </w:rPr>
        <w:t>3.</w:t>
      </w:r>
      <w:r>
        <w:rPr>
          <w:noProof/>
        </w:rPr>
        <w:tab/>
        <w:t>Actele de punere în aplicare pot include următoarele:</w:t>
      </w:r>
    </w:p>
    <w:p>
      <w:pPr>
        <w:pStyle w:val="Point1"/>
        <w:rPr>
          <w:noProof/>
        </w:rPr>
      </w:pPr>
      <w:r>
        <w:rPr>
          <w:noProof/>
        </w:rPr>
        <w:t>(a)</w:t>
      </w:r>
      <w:r>
        <w:rPr>
          <w:noProof/>
        </w:rPr>
        <w:tab/>
        <w:t>modalități privind categoriile de date care urmează să fie schimbate sau puse la dispoziție, precum și rolurile și responsabilitățile organismelor implicate în schimburi;</w:t>
      </w:r>
    </w:p>
    <w:p>
      <w:pPr>
        <w:pStyle w:val="Point1"/>
        <w:rPr>
          <w:noProof/>
        </w:rPr>
      </w:pPr>
      <w:r>
        <w:rPr>
          <w:noProof/>
        </w:rPr>
        <w:t>(b)</w:t>
      </w:r>
      <w:r>
        <w:rPr>
          <w:noProof/>
        </w:rPr>
        <w:tab/>
        <w:t>mijloacele de schimb sau de acces;</w:t>
      </w:r>
    </w:p>
    <w:p>
      <w:pPr>
        <w:pStyle w:val="Point1"/>
        <w:rPr>
          <w:noProof/>
        </w:rPr>
      </w:pPr>
      <w:r>
        <w:rPr>
          <w:noProof/>
        </w:rPr>
        <w:t>(c)</w:t>
      </w:r>
      <w:r>
        <w:rPr>
          <w:noProof/>
        </w:rPr>
        <w:tab/>
        <w:t>formatele sau structurile standard;</w:t>
      </w:r>
    </w:p>
    <w:p>
      <w:pPr>
        <w:pStyle w:val="Point1"/>
        <w:rPr>
          <w:noProof/>
        </w:rPr>
      </w:pPr>
      <w:r>
        <w:rPr>
          <w:noProof/>
        </w:rPr>
        <w:t>(d)</w:t>
      </w:r>
      <w:r>
        <w:rPr>
          <w:noProof/>
        </w:rPr>
        <w:tab/>
        <w:t xml:space="preserve">măsuri care să garanteze securitatea, integritatea și fiabilitatea schimbului sau a accesului. </w:t>
      </w:r>
    </w:p>
    <w:p>
      <w:pPr>
        <w:pStyle w:val="Text1"/>
        <w:rPr>
          <w:noProof/>
        </w:rPr>
      </w:pPr>
      <w:r>
        <w:rPr>
          <w:noProof/>
        </w:rPr>
        <w:t>Respectivele acte de punere în aplicare se adoptă în conformitate cu procedura de examinare menționată la articolul 17 alineatul (2).</w:t>
      </w:r>
    </w:p>
    <w:p>
      <w:pPr>
        <w:rPr>
          <w:noProof/>
        </w:rPr>
      </w:pPr>
    </w:p>
    <w:p>
      <w:pPr>
        <w:rPr>
          <w:noProof/>
        </w:rPr>
      </w:pPr>
    </w:p>
    <w:p>
      <w:pPr>
        <w:pStyle w:val="ChapterTitle"/>
        <w:rPr>
          <w:noProof/>
        </w:rPr>
      </w:pPr>
      <w:bookmarkStart w:id="8" w:name="_Toc2AE2DDF7B9534A0B8D0E53A1020912A3"/>
      <w:bookmarkStart w:id="9" w:name="_Hlk231553654"/>
      <w:r>
        <w:rPr>
          <w:noProof/>
        </w:rPr>
        <w:t>Capitolul III </w:t>
      </w:r>
      <w:bookmarkEnd w:id="8"/>
    </w:p>
    <w:p>
      <w:pPr>
        <w:pStyle w:val="ChapterTitle"/>
        <w:rPr>
          <w:noProof/>
        </w:rPr>
      </w:pPr>
      <w:bookmarkStart w:id="10" w:name="_TocB0C34BE1CB864276A401FE2E091B4624"/>
      <w:r>
        <w:rPr>
          <w:noProof/>
        </w:rPr>
        <w:t xml:space="preserve">Guvernanță și prelucrarea datelor </w:t>
      </w:r>
      <w:bookmarkEnd w:id="9"/>
      <w:bookmarkEnd w:id="10"/>
    </w:p>
    <w:p>
      <w:pPr>
        <w:pStyle w:val="Titlearticle"/>
        <w:rPr>
          <w:noProof/>
        </w:rPr>
      </w:pPr>
      <w:r>
        <w:rPr>
          <w:noProof/>
        </w:rPr>
        <w:t>Articolul 13</w:t>
      </w:r>
    </w:p>
    <w:p>
      <w:pPr>
        <w:pStyle w:val="Titlearticle"/>
        <w:spacing w:before="120"/>
        <w:rPr>
          <w:b/>
          <w:bCs/>
          <w:noProof/>
        </w:rPr>
      </w:pPr>
      <w:r>
        <w:rPr>
          <w:b/>
          <w:i w:val="0"/>
          <w:noProof/>
        </w:rPr>
        <w:t>Grupul privind digitalizarea</w:t>
      </w:r>
      <w:r>
        <w:rPr>
          <w:b/>
          <w:noProof/>
        </w:rPr>
        <w:t xml:space="preserve"> </w:t>
      </w:r>
    </w:p>
    <w:p>
      <w:pPr>
        <w:pStyle w:val="Titlearticle"/>
        <w:spacing w:before="120"/>
        <w:rPr>
          <w:b/>
          <w:bCs/>
          <w:noProof/>
        </w:rPr>
      </w:pPr>
    </w:p>
    <w:p>
      <w:pPr>
        <w:pStyle w:val="ManualNumPar1"/>
        <w:rPr>
          <w:noProof/>
        </w:rPr>
      </w:pPr>
      <w:r>
        <w:rPr>
          <w:noProof/>
        </w:rPr>
        <w:t>1.</w:t>
      </w:r>
      <w:r>
        <w:rPr>
          <w:noProof/>
        </w:rPr>
        <w:tab/>
        <w:t>Se instituie un grup privind digitalizarea coordonării securității sociale (denumit în continuare „Grupul privind digitalizarea”) pentru a facilita cooperarea transfrontalieră cu privire la aspectele digitale ale coordonării sistemelor de securitate socială prevăzute în prezentul regulament. </w:t>
      </w:r>
    </w:p>
    <w:p>
      <w:pPr>
        <w:pStyle w:val="ManualNumPar1"/>
        <w:rPr>
          <w:noProof/>
        </w:rPr>
      </w:pPr>
      <w:r>
        <w:rPr>
          <w:noProof/>
        </w:rPr>
        <w:t>2.</w:t>
      </w:r>
      <w:r>
        <w:rPr>
          <w:noProof/>
        </w:rPr>
        <w:tab/>
        <w:t xml:space="preserve">Grupul privind digitalizarea este alcătuit din câte doi reprezentanți guvernamentali ai fiecărui stat membru, asistați, dacă este necesar, de consilieri de specialitate. Reprezentanții Comisiei Europene participă, de asemenea, la reuniunile Grupului privind digitalizarea. Grupul este prezidat de Comisie, care asigură și secretariatul acestuia. </w:t>
      </w:r>
    </w:p>
    <w:p>
      <w:pPr>
        <w:pStyle w:val="ManualNumPar1"/>
        <w:rPr>
          <w:noProof/>
        </w:rPr>
      </w:pPr>
      <w:r>
        <w:rPr>
          <w:noProof/>
        </w:rPr>
        <w:t>3.</w:t>
      </w:r>
      <w:r>
        <w:rPr>
          <w:noProof/>
        </w:rPr>
        <w:tab/>
        <w:t>Grupului privind digitalizarea îi revin următoarele sarcini:</w:t>
      </w:r>
    </w:p>
    <w:p>
      <w:pPr>
        <w:pStyle w:val="Point1"/>
        <w:rPr>
          <w:noProof/>
        </w:rPr>
      </w:pPr>
      <w:r>
        <w:rPr>
          <w:noProof/>
        </w:rPr>
        <w:t>(a)</w:t>
      </w:r>
      <w:r>
        <w:rPr>
          <w:noProof/>
        </w:rPr>
        <w:tab/>
        <w:t xml:space="preserve">sprijinirea punerii în aplicare coerente a prezentului regulament prin facilitarea coordonării, a schimbului de informații și a promovării bunelor practici între statele membre, precum și prin elaborarea de orientări menite să sprijine asigurarea respectării prezentului regulament; </w:t>
      </w:r>
    </w:p>
    <w:p>
      <w:pPr>
        <w:pStyle w:val="Point1"/>
        <w:rPr>
          <w:noProof/>
        </w:rPr>
      </w:pPr>
      <w:r>
        <w:rPr>
          <w:noProof/>
        </w:rPr>
        <w:t>(b)</w:t>
      </w:r>
      <w:r>
        <w:rPr>
          <w:noProof/>
        </w:rPr>
        <w:tab/>
        <w:t>formularea de recomandări către comitetul menționat la articolul 17, după caz, cu privire la digitalizarea în continuare a coordonării sistemelor de securitate socială;</w:t>
      </w:r>
    </w:p>
    <w:p>
      <w:pPr>
        <w:pStyle w:val="Point1"/>
        <w:rPr>
          <w:noProof/>
        </w:rPr>
      </w:pPr>
      <w:r>
        <w:rPr>
          <w:noProof/>
        </w:rPr>
        <w:t>(c)</w:t>
      </w:r>
      <w:r>
        <w:rPr>
          <w:noProof/>
        </w:rPr>
        <w:tab/>
        <w:t>sprijinirea dezvoltării și funcționării schimburilor electronice de date în conformitate cu prezentul regulament;</w:t>
      </w:r>
    </w:p>
    <w:p>
      <w:pPr>
        <w:pStyle w:val="Point1"/>
        <w:rPr>
          <w:noProof/>
        </w:rPr>
      </w:pPr>
      <w:r>
        <w:rPr>
          <w:noProof/>
        </w:rPr>
        <w:t>(d)</w:t>
      </w:r>
      <w:r>
        <w:rPr>
          <w:noProof/>
        </w:rPr>
        <w:tab/>
        <w:t>consilierea Comisiei, după caz, în fazele inițiale de pregătire a proiectelor de acte de punere în aplicare care urmează să fie adoptate în temeiul prezentului regulament.</w:t>
      </w:r>
    </w:p>
    <w:p>
      <w:pPr>
        <w:rPr>
          <w:noProof/>
        </w:rPr>
      </w:pPr>
      <w:r>
        <w:rPr>
          <w:noProof/>
        </w:rPr>
        <w:t xml:space="preserve"> </w:t>
      </w:r>
    </w:p>
    <w:p>
      <w:pPr>
        <w:pStyle w:val="ManualNumPar1"/>
        <w:rPr>
          <w:noProof/>
        </w:rPr>
      </w:pPr>
      <w:r>
        <w:rPr>
          <w:noProof/>
        </w:rPr>
        <w:t>4.</w:t>
      </w:r>
      <w:r>
        <w:rPr>
          <w:noProof/>
        </w:rPr>
        <w:tab/>
        <w:t>Grupul privind digitalizarea cooperează, după caz, cu Comisia administrativă pentru coordonarea sistemelor de securitate socială menționată în titlul IV din Regulamentul (CE) nr. 883/2004, precum și cu Grupul european de cooperare privind identitatea digitală menționat la articolul 46e din Regulamentul (UE) nr. 910/2014.</w:t>
      </w:r>
    </w:p>
    <w:p>
      <w:pPr>
        <w:pStyle w:val="ManualNumPar1"/>
        <w:rPr>
          <w:noProof/>
        </w:rPr>
      </w:pPr>
      <w:r>
        <w:rPr>
          <w:noProof/>
        </w:rPr>
        <w:t>5.</w:t>
      </w:r>
      <w:r>
        <w:rPr>
          <w:noProof/>
        </w:rPr>
        <w:tab/>
        <w:t>Grupul privind digitalizarea își adoptă regulamentul de procedură.</w:t>
      </w:r>
    </w:p>
    <w:p>
      <w:pPr>
        <w:rPr>
          <w:noProof/>
        </w:rPr>
      </w:pPr>
    </w:p>
    <w:p>
      <w:pPr>
        <w:jc w:val="center"/>
        <w:rPr>
          <w:i/>
          <w:iCs/>
          <w:noProof/>
        </w:rPr>
      </w:pPr>
      <w:r>
        <w:rPr>
          <w:i/>
          <w:noProof/>
        </w:rPr>
        <w:t>Articolul 14</w:t>
      </w:r>
    </w:p>
    <w:p>
      <w:pPr>
        <w:jc w:val="center"/>
        <w:rPr>
          <w:b/>
          <w:bCs/>
          <w:noProof/>
        </w:rPr>
      </w:pPr>
      <w:r>
        <w:rPr>
          <w:b/>
          <w:noProof/>
        </w:rPr>
        <w:t>Monitorizarea și raportarea</w:t>
      </w:r>
    </w:p>
    <w:p>
      <w:pPr>
        <w:jc w:val="center"/>
        <w:rPr>
          <w:b/>
          <w:bCs/>
          <w:noProof/>
        </w:rPr>
      </w:pPr>
    </w:p>
    <w:p>
      <w:pPr>
        <w:pStyle w:val="ManualNumPar1"/>
        <w:rPr>
          <w:b/>
          <w:bCs/>
          <w:noProof/>
        </w:rPr>
      </w:pPr>
      <w:r>
        <w:rPr>
          <w:noProof/>
        </w:rPr>
        <w:t>1.</w:t>
      </w:r>
      <w:r>
        <w:rPr>
          <w:noProof/>
        </w:rPr>
        <w:tab/>
        <w:t xml:space="preserve">Statele membre colectează datele necesare pentru monitorizarea punerii în aplicare a articolului 8 alineatul (1) și a articolului 11 alineatul (2) și transmit aceste date Comisiei trimestrial, până la sfârșitul lunii următoare fiecărui trimestru calendaristic. Comisia publică statistici pe baza datelor colectate. </w:t>
      </w:r>
    </w:p>
    <w:p>
      <w:pPr>
        <w:pStyle w:val="ManualNumPar1"/>
        <w:rPr>
          <w:noProof/>
        </w:rPr>
      </w:pPr>
      <w:r>
        <w:rPr>
          <w:noProof/>
        </w:rPr>
        <w:t>2.</w:t>
      </w:r>
      <w:r>
        <w:rPr>
          <w:noProof/>
        </w:rPr>
        <w:tab/>
        <w:t>Comisia adoptă acte de punere în aplicare prin care stabilește formatul și structura rapoartelor menționate la alineatul (1). Respectivele acte de punere în aplicare se adoptă în conformitate cu procedura de examinare menționată la articolul 17 alineatul (2).</w:t>
      </w:r>
    </w:p>
    <w:p>
      <w:pPr>
        <w:pStyle w:val="Text1"/>
        <w:rPr>
          <w:noProof/>
        </w:rPr>
      </w:pPr>
    </w:p>
    <w:p>
      <w:pPr>
        <w:jc w:val="center"/>
        <w:rPr>
          <w:i/>
          <w:noProof/>
        </w:rPr>
      </w:pPr>
      <w:r>
        <w:rPr>
          <w:i/>
          <w:noProof/>
        </w:rPr>
        <w:t>Articolul 15</w:t>
      </w:r>
    </w:p>
    <w:p>
      <w:pPr>
        <w:jc w:val="center"/>
        <w:rPr>
          <w:noProof/>
        </w:rPr>
      </w:pPr>
      <w:r>
        <w:rPr>
          <w:b/>
          <w:noProof/>
        </w:rPr>
        <w:t>Protecția și prelucrarea datelor cu caracter personal</w:t>
      </w:r>
      <w:r>
        <w:rPr>
          <w:noProof/>
        </w:rPr>
        <w:t xml:space="preserve"> </w:t>
      </w:r>
      <w:r>
        <w:rPr>
          <w:noProof/>
        </w:rPr>
        <w:br/>
      </w:r>
    </w:p>
    <w:p>
      <w:pPr>
        <w:pStyle w:val="ManualNumPar1"/>
        <w:rPr>
          <w:noProof/>
        </w:rPr>
      </w:pPr>
      <w:r>
        <w:rPr>
          <w:noProof/>
        </w:rPr>
        <w:t>1.</w:t>
      </w:r>
      <w:r>
        <w:rPr>
          <w:noProof/>
        </w:rPr>
        <w:tab/>
        <w:t>Datele cu caracter personal necesare pentru aplicarea prezentului regulament sunt prelucrate de emitenții și verificatorii din statele membre în scopul eliberării și verificării documentelor de securitate socială, astfel cum sunt definite prin actele de punere în aplicare adoptate în temeiul prezentului regulament. În special, datele cu caracter personal sunt prelucrate în temeiul prezentului regulament în următoarele scopuri:</w:t>
      </w:r>
    </w:p>
    <w:p>
      <w:pPr>
        <w:pStyle w:val="Point1"/>
        <w:rPr>
          <w:noProof/>
        </w:rPr>
      </w:pPr>
      <w:r>
        <w:rPr>
          <w:noProof/>
        </w:rPr>
        <w:t>(a)</w:t>
      </w:r>
      <w:r>
        <w:rPr>
          <w:noProof/>
        </w:rPr>
        <w:tab/>
        <w:t>eliberarea documentelor de securitate socială;</w:t>
      </w:r>
    </w:p>
    <w:p>
      <w:pPr>
        <w:pStyle w:val="Point1"/>
        <w:rPr>
          <w:noProof/>
        </w:rPr>
      </w:pPr>
      <w:r>
        <w:rPr>
          <w:noProof/>
        </w:rPr>
        <w:t>(b)</w:t>
      </w:r>
      <w:r>
        <w:rPr>
          <w:noProof/>
        </w:rPr>
        <w:tab/>
        <w:t>stabilirea drepturilor în materie de securitate socială ale titularilor documentelor;</w:t>
      </w:r>
    </w:p>
    <w:p>
      <w:pPr>
        <w:pStyle w:val="Point1"/>
        <w:rPr>
          <w:noProof/>
        </w:rPr>
      </w:pPr>
      <w:r>
        <w:rPr>
          <w:noProof/>
        </w:rPr>
        <w:t>(c)</w:t>
      </w:r>
      <w:r>
        <w:rPr>
          <w:noProof/>
        </w:rPr>
        <w:tab/>
        <w:t xml:space="preserve">verificarea valabilității documentelor de securitate socială și a informațiilor cuprinse în acestea. </w:t>
      </w:r>
    </w:p>
    <w:p>
      <w:pPr>
        <w:pStyle w:val="ManualNumPar1"/>
        <w:rPr>
          <w:noProof/>
        </w:rPr>
      </w:pPr>
      <w:r>
        <w:rPr>
          <w:noProof/>
        </w:rPr>
        <w:t>2.</w:t>
      </w:r>
      <w:r>
        <w:rPr>
          <w:noProof/>
        </w:rPr>
        <w:tab/>
        <w:t xml:space="preserve">Datele cu caracter personal care urmează să fie prelucrate în temeiul prezentului regulament sunt cele conținute în documentele de securitate socială prelucrate, în scopurile menționate la alineatul (1), de emitenții și verificatorii din statele membre. Prelucrarea datelor cu caracter personal în temeiul prezentului regulament se limitează la ceea ce este necesar pentru scopurile prevăzute la alineatul (1), fără a aduce atingere prelucrării ulterioare în scopuri de arhivare în interes public, în conformitate cu articolul 5 alineatul (1) litera (b) și cu articolul 89 din Regulamentul (UE) 2016/679. </w:t>
      </w:r>
    </w:p>
    <w:p>
      <w:pPr>
        <w:pStyle w:val="ManualNumPar1"/>
        <w:rPr>
          <w:noProof/>
        </w:rPr>
      </w:pPr>
      <w:r>
        <w:rPr>
          <w:noProof/>
        </w:rPr>
        <w:t>3.</w:t>
      </w:r>
      <w:r>
        <w:rPr>
          <w:noProof/>
        </w:rPr>
        <w:tab/>
        <w:t xml:space="preserve">În sensul prezentului regulament, emitenții din statele membre ai documentelor de securitate socială în cadrul ESSPASS sunt considerați operatori în sensul articolului 4 punctul 7 din Regulamentul (UE) 2016/679. Operatorii asigură securitatea, integritatea, autenticitatea și confidențialitatea datelor prelucrate în scopurile menționate la alineatul (1). </w:t>
      </w:r>
    </w:p>
    <w:p>
      <w:pPr>
        <w:pStyle w:val="Text1"/>
        <w:rPr>
          <w:noProof/>
        </w:rPr>
      </w:pPr>
    </w:p>
    <w:p>
      <w:pPr>
        <w:pStyle w:val="ChapterTitle"/>
        <w:rPr>
          <w:noProof/>
        </w:rPr>
      </w:pPr>
      <w:bookmarkStart w:id="11" w:name="_Toc2683D43B95664770B45A406D6A115BA1"/>
      <w:r>
        <w:rPr>
          <w:noProof/>
        </w:rPr>
        <w:t>Capitolul IV </w:t>
      </w:r>
      <w:bookmarkEnd w:id="11"/>
    </w:p>
    <w:p>
      <w:pPr>
        <w:pStyle w:val="ChapterTitle"/>
        <w:rPr>
          <w:noProof/>
        </w:rPr>
      </w:pPr>
      <w:bookmarkStart w:id="12" w:name="_TocE8017E2F9E97476FB8583E8A776CC486"/>
      <w:r>
        <w:rPr>
          <w:noProof/>
        </w:rPr>
        <w:t>Dispoziții finale</w:t>
      </w:r>
      <w:bookmarkEnd w:id="12"/>
    </w:p>
    <w:p>
      <w:pPr>
        <w:rPr>
          <w:noProof/>
        </w:rPr>
      </w:pPr>
    </w:p>
    <w:p>
      <w:pPr>
        <w:jc w:val="center"/>
        <w:rPr>
          <w:i/>
          <w:noProof/>
        </w:rPr>
      </w:pPr>
      <w:r>
        <w:rPr>
          <w:i/>
          <w:noProof/>
        </w:rPr>
        <w:t xml:space="preserve">Articolul 16 </w:t>
      </w:r>
    </w:p>
    <w:p>
      <w:pPr>
        <w:jc w:val="center"/>
        <w:rPr>
          <w:b/>
          <w:bCs/>
          <w:noProof/>
        </w:rPr>
      </w:pPr>
      <w:r>
        <w:rPr>
          <w:b/>
          <w:noProof/>
        </w:rPr>
        <w:t>Exercitarea delegării</w:t>
      </w:r>
    </w:p>
    <w:p>
      <w:pPr>
        <w:jc w:val="center"/>
        <w:rPr>
          <w:b/>
          <w:bCs/>
          <w:noProof/>
        </w:rPr>
      </w:pPr>
    </w:p>
    <w:p>
      <w:pPr>
        <w:pStyle w:val="ManualNumPar1"/>
        <w:rPr>
          <w:noProof/>
        </w:rPr>
      </w:pPr>
      <w:r>
        <w:rPr>
          <w:noProof/>
        </w:rPr>
        <w:t>1.</w:t>
      </w:r>
      <w:r>
        <w:rPr>
          <w:noProof/>
        </w:rPr>
        <w:tab/>
        <w:t>Competența de a adopta acte delegate este conferită Comisiei în condițiile prevăzute în prezentul articol.</w:t>
      </w:r>
    </w:p>
    <w:p>
      <w:pPr>
        <w:pStyle w:val="ManualNumPar1"/>
        <w:rPr>
          <w:noProof/>
        </w:rPr>
      </w:pPr>
      <w:r>
        <w:rPr>
          <w:noProof/>
        </w:rPr>
        <w:t>2.</w:t>
      </w:r>
      <w:r>
        <w:rPr>
          <w:noProof/>
        </w:rPr>
        <w:tab/>
        <w:t>Competența de a adopta acte delegate menționată la articolul 5 alineatul (2) și la articolul 11 alineatul (3) se conferă Comisiei pe o perioadă nedeterminată de la [data intrării în vigoare a prezentului regulament].</w:t>
      </w:r>
    </w:p>
    <w:p>
      <w:pPr>
        <w:pStyle w:val="ManualNumPar1"/>
        <w:rPr>
          <w:noProof/>
        </w:rPr>
      </w:pPr>
      <w:r>
        <w:rPr>
          <w:noProof/>
        </w:rPr>
        <w:t>3.</w:t>
      </w:r>
      <w:r>
        <w:rPr>
          <w:noProof/>
        </w:rPr>
        <w:tab/>
        <w:t xml:space="preserve">Delegarea de competențe menționată la articolul 5 alineatul (2) și la articolul 11 alineatul (3) poate fi revocată oricând de Parlamentul European sau de Consiliu. O decizie de revocare pune capăt delegării de competențe specificate în decizia respectivă. Decizia produce efecte din ziua care urmează datei publicării acesteia în </w:t>
      </w:r>
      <w:r>
        <w:rPr>
          <w:i/>
          <w:iCs/>
          <w:noProof/>
        </w:rPr>
        <w:t>Jurnalul Oficial al Uniunii Europene</w:t>
      </w:r>
      <w:r>
        <w:rPr>
          <w:noProof/>
        </w:rPr>
        <w:t xml:space="preserve"> sau de la o dată ulterioară menționată în decizie. Decizia nu aduce atingere valabilității actelor delegate care sunt deja în vigoare.</w:t>
      </w:r>
    </w:p>
    <w:p>
      <w:pPr>
        <w:pStyle w:val="ManualNumPar1"/>
        <w:rPr>
          <w:noProof/>
          <w:szCs w:val="24"/>
        </w:rPr>
      </w:pPr>
      <w:r>
        <w:rPr>
          <w:noProof/>
        </w:rPr>
        <w:t>4.</w:t>
      </w:r>
      <w:r>
        <w:rPr>
          <w:noProof/>
        </w:rPr>
        <w:tab/>
        <w:t>Înainte de adoptarea unui act delegat, Comisia consultă experții desemnați de fiecare stat membru în conformitate cu principiile prevăzute în Acordul interinstituțional din 13 aprilie 2016 privind o mai bună legiferare.</w:t>
      </w:r>
    </w:p>
    <w:p>
      <w:pPr>
        <w:pStyle w:val="ManualNumPar1"/>
        <w:rPr>
          <w:noProof/>
        </w:rPr>
      </w:pPr>
      <w:r>
        <w:rPr>
          <w:noProof/>
        </w:rPr>
        <w:t>5.</w:t>
      </w:r>
      <w:r>
        <w:rPr>
          <w:noProof/>
        </w:rPr>
        <w:tab/>
        <w:t>De îndată ce adoptă un act delegat, Comisia îl notifică simultan Parlamentului European și Consiliului.</w:t>
      </w:r>
    </w:p>
    <w:p>
      <w:pPr>
        <w:pStyle w:val="ManualNumPar1"/>
        <w:rPr>
          <w:noProof/>
        </w:rPr>
      </w:pPr>
      <w:r>
        <w:rPr>
          <w:noProof/>
        </w:rPr>
        <w:t>6.</w:t>
      </w:r>
      <w:r>
        <w:rPr>
          <w:noProof/>
        </w:rPr>
        <w:tab/>
        <w:t xml:space="preserve">Un act delegat adoptat în temeiul articolului 5 alineatul (2) și al articolului 11 alineatul (3) intră în vigoare numai în cazul în care nici Parlamentul European și nici Consiliul nu au formulat obiecții în termen de [două luni] de la notificarea actului respectiv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 </w:t>
      </w:r>
    </w:p>
    <w:p>
      <w:pPr>
        <w:rPr>
          <w:noProof/>
          <w:lang w:eastAsia="fr-BE"/>
        </w:rPr>
      </w:pPr>
    </w:p>
    <w:p>
      <w:pPr>
        <w:pStyle w:val="Titrearticle"/>
        <w:rPr>
          <w:noProof/>
        </w:rPr>
      </w:pPr>
      <w:r>
        <w:rPr>
          <w:noProof/>
        </w:rPr>
        <w:t>Articolul 17</w:t>
      </w:r>
    </w:p>
    <w:p>
      <w:pPr>
        <w:pStyle w:val="Titrearticle"/>
        <w:spacing w:before="120"/>
        <w:rPr>
          <w:b/>
          <w:i w:val="0"/>
          <w:noProof/>
        </w:rPr>
      </w:pPr>
      <w:r>
        <w:rPr>
          <w:b/>
          <w:i w:val="0"/>
          <w:noProof/>
        </w:rPr>
        <w:t>Comitetul</w:t>
      </w:r>
      <w:r>
        <w:rPr>
          <w:noProof/>
        </w:rPr>
        <w:t xml:space="preserve"> </w:t>
      </w:r>
      <w:r>
        <w:rPr>
          <w:noProof/>
        </w:rPr>
        <w:br/>
      </w:r>
    </w:p>
    <w:p>
      <w:pPr>
        <w:pStyle w:val="ManualNumPar1"/>
        <w:rPr>
          <w:noProof/>
        </w:rPr>
      </w:pPr>
      <w:r>
        <w:rPr>
          <w:noProof/>
        </w:rPr>
        <w:t>1.</w:t>
      </w:r>
      <w:r>
        <w:rPr>
          <w:noProof/>
        </w:rPr>
        <w:tab/>
        <w:t>Comisia este asistată de un comitet în sensul Regulamentului (UE) nr. 182/2011. </w:t>
      </w:r>
    </w:p>
    <w:p>
      <w:pPr>
        <w:pStyle w:val="ManualNumPar1"/>
        <w:rPr>
          <w:noProof/>
        </w:rPr>
      </w:pPr>
      <w:r>
        <w:rPr>
          <w:noProof/>
        </w:rPr>
        <w:t>2.</w:t>
      </w:r>
      <w:r>
        <w:rPr>
          <w:noProof/>
        </w:rPr>
        <w:tab/>
        <w:t xml:space="preserve">În cazul în care se face trimitere la prezentul alineat, se aplică articolul 5 din Regulamentul (UE) nr. 182/2011. </w:t>
      </w:r>
    </w:p>
    <w:p>
      <w:pPr>
        <w:pStyle w:val="Text1"/>
        <w:rPr>
          <w:noProof/>
        </w:rPr>
      </w:pPr>
    </w:p>
    <w:p>
      <w:pPr>
        <w:pStyle w:val="Titrearticle"/>
        <w:rPr>
          <w:i w:val="0"/>
          <w:noProof/>
        </w:rPr>
      </w:pPr>
      <w:r>
        <w:rPr>
          <w:noProof/>
        </w:rPr>
        <w:t>Articolul 18</w:t>
      </w:r>
    </w:p>
    <w:p>
      <w:pPr>
        <w:pStyle w:val="Titrearticle"/>
        <w:spacing w:before="120"/>
        <w:rPr>
          <w:b/>
          <w:noProof/>
        </w:rPr>
      </w:pPr>
      <w:r>
        <w:rPr>
          <w:b/>
          <w:i w:val="0"/>
          <w:noProof/>
        </w:rPr>
        <w:t>Evaluarea</w:t>
      </w:r>
    </w:p>
    <w:p>
      <w:pPr>
        <w:pStyle w:val="ManualNumPar1"/>
        <w:rPr>
          <w:noProof/>
        </w:rPr>
      </w:pPr>
      <w:r>
        <w:rPr>
          <w:noProof/>
        </w:rPr>
        <w:t>1.</w:t>
      </w:r>
      <w:r>
        <w:rPr>
          <w:noProof/>
        </w:rPr>
        <w:tab/>
        <w:t>Până la [șapte ani de la data intrării în vigoare], Comisia evaluează punerea în aplicare și eficacitatea prezentului regulament.</w:t>
      </w:r>
    </w:p>
    <w:p>
      <w:pPr>
        <w:pStyle w:val="ManualNumPar1"/>
        <w:rPr>
          <w:noProof/>
        </w:rPr>
      </w:pPr>
      <w:r>
        <w:rPr>
          <w:noProof/>
        </w:rPr>
        <w:t>2.</w:t>
      </w:r>
      <w:r>
        <w:rPr>
          <w:noProof/>
        </w:rPr>
        <w:tab/>
        <w:t>Evaluarea analizează, în special, dacă obiectivele prezentului regulament au fost atinse și dacă dispozițiile acestuia rămân relevante, eficace, eficiente, coerente și proporționale.</w:t>
      </w:r>
    </w:p>
    <w:p>
      <w:pPr>
        <w:pStyle w:val="ManualNumPar1"/>
        <w:rPr>
          <w:noProof/>
        </w:rPr>
      </w:pPr>
      <w:r>
        <w:rPr>
          <w:noProof/>
        </w:rPr>
        <w:t>3.</w:t>
      </w:r>
      <w:r>
        <w:rPr>
          <w:noProof/>
        </w:rPr>
        <w:tab/>
        <w:t>Comisia prezintă Parlamentului European și Consiliului un raport privind constatările evaluării. Raportul se pune la dispoziția publicului.</w:t>
      </w:r>
    </w:p>
    <w:p>
      <w:pPr>
        <w:pStyle w:val="Text1"/>
        <w:rPr>
          <w:noProof/>
        </w:rPr>
      </w:pPr>
    </w:p>
    <w:p>
      <w:pPr>
        <w:jc w:val="center"/>
        <w:rPr>
          <w:noProof/>
        </w:rPr>
      </w:pPr>
      <w:r>
        <w:rPr>
          <w:i/>
          <w:noProof/>
        </w:rPr>
        <w:t>Articolul 19</w:t>
      </w:r>
      <w:r>
        <w:rPr>
          <w:noProof/>
          <w:color w:val="000000" w:themeColor="text1"/>
        </w:rPr>
        <w:t xml:space="preserve"> </w:t>
      </w:r>
    </w:p>
    <w:p>
      <w:pPr>
        <w:jc w:val="center"/>
        <w:rPr>
          <w:rFonts w:eastAsia="Times New Roman"/>
          <w:b/>
          <w:noProof/>
          <w:color w:val="000000" w:themeColor="text1"/>
        </w:rPr>
      </w:pPr>
      <w:r>
        <w:rPr>
          <w:b/>
          <w:noProof/>
          <w:color w:val="000000" w:themeColor="text1"/>
        </w:rPr>
        <w:t>Modificări ale Regulamentului (CE) nr. 883/2004</w:t>
      </w:r>
      <w:r>
        <w:rPr>
          <w:noProof/>
        </w:rPr>
        <w:t xml:space="preserve"> </w:t>
      </w:r>
      <w:r>
        <w:rPr>
          <w:noProof/>
        </w:rPr>
        <w:br/>
      </w:r>
    </w:p>
    <w:p>
      <w:pPr>
        <w:pStyle w:val="ManualNumPar1"/>
        <w:rPr>
          <w:noProof/>
        </w:rPr>
      </w:pPr>
      <w:r>
        <w:rPr>
          <w:noProof/>
        </w:rPr>
        <w:t>1.</w:t>
      </w:r>
      <w:r>
        <w:rPr>
          <w:noProof/>
        </w:rPr>
        <w:tab/>
        <w:t>Regulamentul (CE) nr. 883/2004 se modifică după cum urmează:</w:t>
      </w:r>
    </w:p>
    <w:p>
      <w:pPr>
        <w:pStyle w:val="Point1"/>
        <w:rPr>
          <w:noProof/>
        </w:rPr>
      </w:pPr>
      <w:r>
        <w:rPr>
          <w:noProof/>
        </w:rPr>
        <w:t>(1)</w:t>
      </w:r>
      <w:r>
        <w:rPr>
          <w:noProof/>
        </w:rPr>
        <w:tab/>
        <w:t>la articolul 72, litera (d) se elimină;</w:t>
      </w:r>
    </w:p>
    <w:p>
      <w:pPr>
        <w:pStyle w:val="Point1"/>
        <w:rPr>
          <w:noProof/>
        </w:rPr>
      </w:pPr>
      <w:r>
        <w:rPr>
          <w:noProof/>
        </w:rPr>
        <w:t>(2)</w:t>
      </w:r>
      <w:r>
        <w:rPr>
          <w:noProof/>
        </w:rPr>
        <w:tab/>
        <w:t>articolul 73 se elimină.</w:t>
      </w:r>
    </w:p>
    <w:p>
      <w:pPr>
        <w:pStyle w:val="ManualNumPar1"/>
        <w:rPr>
          <w:noProof/>
        </w:rPr>
      </w:pPr>
      <w:r>
        <w:rPr>
          <w:noProof/>
        </w:rPr>
        <w:t>2.</w:t>
      </w:r>
      <w:r>
        <w:rPr>
          <w:noProof/>
        </w:rPr>
        <w:tab/>
        <w:t>Deciziile Comisiei administrative referitoare la aspectele digitale, adoptate în temeiul articolului 72 litera (d) din Regulamentul (CE) nr. 883/2004, continuă să aibă rol de orientare până la intrarea în vigoare a actelor de punere în aplicare prevăzute în prezentul regulament. Comisia tehnică pentru coordonarea securității sociale menționată în Decizia H15 își continuă activitatea până la adoptarea regulamentului de procedură al Grupului privind digitalizarea în temeiul articolului 13 alineatul (5).</w:t>
      </w:r>
    </w:p>
    <w:p>
      <w:pPr>
        <w:jc w:val="left"/>
        <w:rPr>
          <w:noProof/>
          <w:color w:val="000000" w:themeColor="text1"/>
        </w:rPr>
      </w:pPr>
    </w:p>
    <w:p>
      <w:pPr>
        <w:jc w:val="center"/>
        <w:rPr>
          <w:noProof/>
        </w:rPr>
      </w:pPr>
      <w:r>
        <w:rPr>
          <w:i/>
          <w:noProof/>
        </w:rPr>
        <w:t>Articolul 20</w:t>
      </w:r>
    </w:p>
    <w:p>
      <w:pPr>
        <w:jc w:val="center"/>
        <w:rPr>
          <w:rFonts w:eastAsia="Times New Roman"/>
          <w:b/>
          <w:noProof/>
          <w:color w:val="000000" w:themeColor="text1"/>
        </w:rPr>
      </w:pPr>
      <w:r>
        <w:rPr>
          <w:b/>
          <w:noProof/>
          <w:color w:val="000000" w:themeColor="text1"/>
        </w:rPr>
        <w:t>Modificări ale Regulamentului (CE) nr. 987/2009</w:t>
      </w:r>
    </w:p>
    <w:p>
      <w:pPr>
        <w:jc w:val="center"/>
        <w:rPr>
          <w:rFonts w:eastAsia="Times New Roman"/>
          <w:noProof/>
          <w:color w:val="000000" w:themeColor="text1"/>
        </w:rPr>
      </w:pPr>
    </w:p>
    <w:p>
      <w:pPr>
        <w:jc w:val="left"/>
        <w:rPr>
          <w:noProof/>
          <w:color w:val="000000" w:themeColor="text1"/>
        </w:rPr>
      </w:pPr>
      <w:r>
        <w:rPr>
          <w:noProof/>
          <w:color w:val="000000" w:themeColor="text1"/>
        </w:rPr>
        <w:t>Articolul 4 din Regulamentul (CE) nr. 987/2009 se modifică după cum urmează:</w:t>
      </w:r>
    </w:p>
    <w:p>
      <w:pPr>
        <w:pStyle w:val="Point0"/>
        <w:rPr>
          <w:noProof/>
        </w:rPr>
      </w:pPr>
      <w:r>
        <w:rPr>
          <w:noProof/>
        </w:rPr>
        <w:t>(1)</w:t>
      </w:r>
      <w:r>
        <w:rPr>
          <w:noProof/>
        </w:rPr>
        <w:tab/>
        <w:t>alineatul (1) se elimină;</w:t>
      </w:r>
    </w:p>
    <w:p>
      <w:pPr>
        <w:pStyle w:val="Point0"/>
        <w:rPr>
          <w:noProof/>
        </w:rPr>
      </w:pPr>
      <w:r>
        <w:rPr>
          <w:noProof/>
        </w:rPr>
        <w:t>(2)</w:t>
      </w:r>
      <w:r>
        <w:rPr>
          <w:noProof/>
        </w:rPr>
        <w:tab/>
        <w:t>la alineatul (3), se elimină a doua teză.</w:t>
      </w:r>
    </w:p>
    <w:p>
      <w:pPr>
        <w:rPr>
          <w:i/>
          <w:noProof/>
        </w:rPr>
      </w:pPr>
    </w:p>
    <w:p>
      <w:pPr>
        <w:jc w:val="center"/>
        <w:rPr>
          <w:noProof/>
        </w:rPr>
      </w:pPr>
      <w:r>
        <w:rPr>
          <w:i/>
          <w:noProof/>
        </w:rPr>
        <w:t>Articolul 21</w:t>
      </w:r>
    </w:p>
    <w:p>
      <w:pPr>
        <w:jc w:val="center"/>
        <w:rPr>
          <w:rFonts w:eastAsia="Times New Roman"/>
          <w:b/>
          <w:noProof/>
          <w:color w:val="000000" w:themeColor="text1"/>
        </w:rPr>
      </w:pPr>
      <w:r>
        <w:rPr>
          <w:b/>
          <w:noProof/>
          <w:color w:val="000000" w:themeColor="text1"/>
        </w:rPr>
        <w:t>Modificări ale Regulamentului (UE) 2018/1724</w:t>
      </w:r>
    </w:p>
    <w:p>
      <w:pPr>
        <w:jc w:val="center"/>
        <w:rPr>
          <w:rFonts w:eastAsia="Times New Roman"/>
          <w:noProof/>
          <w:color w:val="000000" w:themeColor="text1"/>
        </w:rPr>
      </w:pPr>
    </w:p>
    <w:p>
      <w:pPr>
        <w:jc w:val="left"/>
        <w:rPr>
          <w:noProof/>
          <w:color w:val="000000" w:themeColor="text1"/>
        </w:rPr>
      </w:pPr>
      <w:r>
        <w:rPr>
          <w:noProof/>
          <w:color w:val="000000" w:themeColor="text1"/>
        </w:rPr>
        <w:t>Anexa II la Regulamentul (UE) 2018/1724 se modifică după cum urmează:</w:t>
      </w:r>
    </w:p>
    <w:p>
      <w:pPr>
        <w:jc w:val="left"/>
        <w:rPr>
          <w:noProof/>
          <w:color w:val="000000" w:themeColor="text1"/>
        </w:rPr>
      </w:pPr>
      <w:r>
        <w:rPr>
          <w:noProof/>
          <w:color w:val="000000" w:themeColor="text1"/>
        </w:rPr>
        <w:t>În tabel, după rândul „Pensionarea” se introduce următorul rând:</w:t>
      </w:r>
    </w:p>
    <w:p>
      <w:pPr>
        <w:jc w:val="left"/>
        <w:rPr>
          <w:noProof/>
          <w:color w:val="000000" w:themeColor="text1"/>
        </w:rPr>
      </w:pPr>
    </w:p>
    <w:tbl>
      <w:tblPr>
        <w:tblStyle w:val="TableGrid"/>
        <w:tblW w:w="0" w:type="auto"/>
        <w:tblLook w:val="04A0" w:firstRow="1" w:lastRow="0" w:firstColumn="1" w:lastColumn="0" w:noHBand="0" w:noVBand="1"/>
      </w:tblPr>
      <w:tblGrid>
        <w:gridCol w:w="2118"/>
        <w:gridCol w:w="3441"/>
        <w:gridCol w:w="3730"/>
      </w:tblGrid>
      <w:tr>
        <w:tc>
          <w:tcPr>
            <w:tcW w:w="2235" w:type="dxa"/>
          </w:tcPr>
          <w:p>
            <w:pPr>
              <w:pStyle w:val="TableofFigures"/>
              <w:keepNext/>
              <w:keepLines/>
              <w:rPr>
                <w:noProof/>
              </w:rPr>
            </w:pPr>
          </w:p>
          <w:p>
            <w:pPr>
              <w:pStyle w:val="TableofFigures"/>
              <w:keepNext/>
              <w:keepLines/>
              <w:rPr>
                <w:noProof/>
              </w:rPr>
            </w:pPr>
          </w:p>
          <w:p>
            <w:pPr>
              <w:pStyle w:val="TableofFigures"/>
              <w:keepNext/>
              <w:keepLines/>
              <w:rPr>
                <w:noProof/>
              </w:rPr>
            </w:pPr>
            <w:r>
              <w:rPr>
                <w:noProof/>
              </w:rPr>
              <w:t>Exercitarea drepturilor în materie de securitate socială</w:t>
            </w:r>
          </w:p>
          <w:p>
            <w:pPr>
              <w:pStyle w:val="Titrearticle"/>
              <w:keepLines/>
              <w:rPr>
                <w:noProof/>
              </w:rPr>
            </w:pPr>
          </w:p>
        </w:tc>
        <w:tc>
          <w:tcPr>
            <w:tcW w:w="3685" w:type="dxa"/>
          </w:tcPr>
          <w:p>
            <w:pPr>
              <w:pStyle w:val="Titrearticle"/>
              <w:keepLines/>
              <w:jc w:val="both"/>
              <w:rPr>
                <w:i w:val="0"/>
                <w:noProof/>
              </w:rPr>
            </w:pPr>
            <w:r>
              <w:rPr>
                <w:i w:val="0"/>
                <w:noProof/>
              </w:rPr>
              <w:t>Cereri, solicitări și notificări referitoare la exercitarea drepturilor în materie de securitate socială în temeiul Regulamentului [propunerea ESSPASS].</w:t>
            </w:r>
          </w:p>
        </w:tc>
        <w:tc>
          <w:tcPr>
            <w:tcW w:w="4043" w:type="dxa"/>
          </w:tcPr>
          <w:p>
            <w:pPr>
              <w:pStyle w:val="Titrearticle"/>
              <w:keepLines/>
              <w:jc w:val="both"/>
              <w:rPr>
                <w:i w:val="0"/>
                <w:noProof/>
              </w:rPr>
            </w:pPr>
            <w:r>
              <w:rPr>
                <w:i w:val="0"/>
                <w:noProof/>
              </w:rPr>
              <w:t>Confirmarea cererilor, solicitărilor și notificărilor referitoare la exercitarea drepturilor în materie de securitate socială, precum și toate rezultatele aferente procedurilor prevăzute de Regulamentul [propunerea ESSPASS].</w:t>
            </w:r>
          </w:p>
        </w:tc>
      </w:tr>
    </w:tbl>
    <w:p>
      <w:pPr>
        <w:pStyle w:val="Titrearticle"/>
        <w:rPr>
          <w:noProof/>
        </w:rPr>
      </w:pPr>
      <w:r>
        <w:rPr>
          <w:noProof/>
        </w:rPr>
        <w:t>Articolul 22</w:t>
      </w:r>
    </w:p>
    <w:p>
      <w:pPr>
        <w:pStyle w:val="Titrearticle"/>
        <w:spacing w:before="120"/>
        <w:rPr>
          <w:noProof/>
        </w:rPr>
      </w:pPr>
      <w:r>
        <w:rPr>
          <w:b/>
          <w:i w:val="0"/>
          <w:noProof/>
        </w:rPr>
        <w:t xml:space="preserve">Intrarea în vigoare </w:t>
      </w:r>
    </w:p>
    <w:p>
      <w:pPr>
        <w:pStyle w:val="Text1"/>
        <w:ind w:left="0"/>
        <w:rPr>
          <w:noProof/>
        </w:rPr>
      </w:pPr>
      <w:r>
        <w:rPr>
          <w:noProof/>
        </w:rPr>
        <w:t xml:space="preserve">Prezentul regulament intră în vigoare în a douăzecea zi de la data publicării în </w:t>
      </w:r>
      <w:r>
        <w:rPr>
          <w:i/>
          <w:noProof/>
        </w:rPr>
        <w:t>Jurnalul Oficial al Uniunii Europene</w:t>
      </w:r>
      <w:r>
        <w:rPr>
          <w:noProof/>
        </w:rPr>
        <w:t>.</w:t>
      </w:r>
    </w:p>
    <w:p>
      <w:pPr>
        <w:rPr>
          <w:noProof/>
        </w:rPr>
      </w:pPr>
    </w:p>
    <w:p>
      <w:pPr>
        <w:rPr>
          <w:noProof/>
        </w:rPr>
      </w:pPr>
      <w:r>
        <w:rPr>
          <w:noProof/>
        </w:rPr>
        <w:t>Prezentul regulament este obligatoriu în toate elementele sale și se aplică direct în toate statele membre.</w:t>
      </w:r>
    </w:p>
    <w:p>
      <w:pPr>
        <w:rPr>
          <w:rFonts w:eastAsia="Times New Roman"/>
          <w:noProof/>
          <w:color w:val="000000" w:themeColor="text1"/>
        </w:rPr>
      </w:pPr>
    </w:p>
    <w:p>
      <w:pPr>
        <w:pStyle w:val="Fait"/>
        <w:rPr>
          <w:noProof/>
        </w:rPr>
      </w:pPr>
      <w:r>
        <w:rPr>
          <w:noProof/>
        </w:rPr>
        <w:t>Adoptat la Strasbourg,</w:t>
      </w:r>
    </w:p>
    <w:p>
      <w:pPr>
        <w:pStyle w:val="Institutionquisigne"/>
        <w:rPr>
          <w:noProof/>
        </w:rPr>
      </w:pPr>
      <w:r>
        <w:rPr>
          <w:noProof/>
        </w:rPr>
        <w:t>Pentru Parlamentul European</w:t>
      </w:r>
      <w:r>
        <w:rPr>
          <w:noProof/>
        </w:rPr>
        <w:tab/>
        <w:t>Pentru Consiliu</w:t>
      </w:r>
    </w:p>
    <w:p>
      <w:pPr>
        <w:pStyle w:val="Personnequisigne"/>
        <w:rPr>
          <w:noProof/>
        </w:rPr>
      </w:pPr>
      <w:r>
        <w:rPr>
          <w:noProof/>
        </w:rPr>
        <w:t>Președinta</w:t>
      </w:r>
      <w:r>
        <w:rPr>
          <w:noProof/>
        </w:rPr>
        <w:tab/>
        <w:t>Președintele</w:t>
      </w:r>
    </w:p>
    <w:p>
      <w:pPr>
        <w:rPr>
          <w:noProof/>
        </w:rPr>
        <w:sectPr>
          <w:pgSz w:w="11907" w:h="16839"/>
          <w:pgMar w:top="1134" w:right="1417" w:bottom="1134" w:left="1417" w:header="709" w:footer="709" w:gutter="0"/>
          <w:cols w:space="708"/>
          <w:docGrid w:linePitch="360"/>
        </w:sectPr>
      </w:pPr>
    </w:p>
    <w:p>
      <w:pPr>
        <w:pStyle w:val="Fichefinanciretitre"/>
        <w:rPr>
          <w:noProof/>
        </w:rPr>
      </w:pPr>
      <w:bookmarkStart w:id="13" w:name="_Toc1455404D8E88492582B4700418BEE511"/>
      <w:r>
        <w:rPr>
          <w:noProof/>
        </w:rPr>
        <w:t xml:space="preserve">FIȘĂ FINANCIARĂ LEGISLATIVĂ ȘI DIGITALĂ </w:t>
      </w:r>
      <w:bookmarkEnd w:id="13"/>
    </w:p>
    <w:p>
      <w:pPr>
        <w:rPr>
          <w:noProof/>
        </w:rPr>
      </w:pP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w:t>
      </w:r>
      <w:r>
        <w:rPr>
          <w:noProof/>
        </w:rPr>
        <w:tab/>
        <w:t>CADRUL PROPUNERII/INIȚIATIVEI</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1.1.</w:t>
      </w:r>
      <w:r>
        <w:rPr>
          <w:noProof/>
        </w:rPr>
        <w:tab/>
        <w:t>Titlul propunerii/inițiativei</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1.2.</w:t>
      </w:r>
      <w:r>
        <w:rPr>
          <w:noProof/>
        </w:rPr>
        <w:tab/>
        <w:t>Domeniul (domeniile) de politică vizat(e)</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1.3.</w:t>
      </w:r>
      <w:r>
        <w:rPr>
          <w:noProof/>
        </w:rPr>
        <w:tab/>
        <w:t>Obiectiv(e)</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1.3.1.</w:t>
      </w:r>
      <w:r>
        <w:rPr>
          <w:noProof/>
        </w:rPr>
        <w:tab/>
        <w:t>Obiectiv(e) general(e)</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1.3.2.</w:t>
      </w:r>
      <w:r>
        <w:rPr>
          <w:noProof/>
        </w:rPr>
        <w:tab/>
        <w:t>Obiectiv(e) specific(e)</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1.3.3.</w:t>
      </w:r>
      <w:r>
        <w:rPr>
          <w:noProof/>
        </w:rPr>
        <w:tab/>
        <w:t>Rezultatul (rezultatele) și impactul preconizate</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1.3.4.</w:t>
      </w:r>
      <w:r>
        <w:rPr>
          <w:noProof/>
        </w:rPr>
        <w:tab/>
        <w:t>Indicatori de performanță</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1.4.</w:t>
      </w:r>
      <w:r>
        <w:rPr>
          <w:noProof/>
        </w:rPr>
        <w:tab/>
        <w:t>Obiectul propunerii/inițiativei</w:t>
      </w:r>
      <w:r>
        <w:rPr>
          <w:noProof/>
        </w:rPr>
        <w:tab/>
      </w:r>
      <w:r>
        <w:rPr>
          <w:noProof/>
          <w:webHidden/>
        </w:rPr>
        <w:t>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w:t>
      </w:r>
      <w:r>
        <w:rPr>
          <w:noProof/>
        </w:rPr>
        <w:tab/>
        <w:t>Motivele propunerii/inițiativei</w:t>
      </w:r>
      <w:r>
        <w:rPr>
          <w:noProof/>
        </w:rPr>
        <w:tab/>
      </w:r>
      <w:r>
        <w:rPr>
          <w:noProof/>
          <w:webHidden/>
        </w:rPr>
        <w:t>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1.5.1.</w:t>
      </w:r>
      <w:r>
        <w:rPr>
          <w:noProof/>
        </w:rPr>
        <w:tab/>
        <w:t>Cerința (cerințele) care trebuie îndeplinită (îndeplinite) pe termen scurt sau lung, inclusiv un calendar detaliat pentru punerea în aplicare a inițiativei</w:t>
      </w:r>
      <w:r>
        <w:rPr>
          <w:noProof/>
        </w:rPr>
        <w:tab/>
      </w:r>
      <w:r>
        <w:rPr>
          <w:noProof/>
          <w:webHidden/>
        </w:rPr>
        <w:t>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Pr>
          <w:noProof/>
        </w:rPr>
        <w:tab/>
      </w:r>
      <w:r>
        <w:rPr>
          <w:noProof/>
          <w:webHidden/>
        </w:rPr>
        <w:t>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1.5.3.</w:t>
      </w:r>
      <w:r>
        <w:rPr>
          <w:noProof/>
        </w:rPr>
        <w:tab/>
        <w:t>Învățăminte desprinse din experiențele anterioare similare</w:t>
      </w:r>
      <w:r>
        <w:rPr>
          <w:noProof/>
        </w:rPr>
        <w:tab/>
      </w:r>
      <w:r>
        <w:rPr>
          <w:noProof/>
          <w:webHidden/>
        </w:rPr>
        <w:t>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1.5.4.</w:t>
      </w:r>
      <w:r>
        <w:rPr>
          <w:noProof/>
        </w:rPr>
        <w:tab/>
        <w:t>Compatibilitatea cu cadrul financiar multianual și posibilele sinergii cu alte instrumente corespunzătoare</w:t>
      </w:r>
      <w:r>
        <w:rPr>
          <w:noProof/>
        </w:rPr>
        <w:tab/>
      </w:r>
      <w:r>
        <w:rPr>
          <w:noProof/>
          <w:webHidden/>
        </w:rPr>
        <w:t>5</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1.5.5.</w:t>
      </w:r>
      <w:r>
        <w:rPr>
          <w:noProof/>
        </w:rPr>
        <w:tab/>
        <w:t xml:space="preserve">Evaluarea diferitelor opțiuni de finanțare disponibile, inclusiv a posibilităților de realocare a creditelor </w:t>
      </w:r>
      <w:r>
        <w:rPr>
          <w:noProof/>
        </w:rPr>
        <w:tab/>
      </w:r>
      <w:r>
        <w:rPr>
          <w:noProof/>
          <w:webHidden/>
        </w:rPr>
        <w:t>5</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1.6.</w:t>
      </w:r>
      <w:r>
        <w:rPr>
          <w:noProof/>
        </w:rPr>
        <w:tab/>
        <w:t>Durata propunerii/inițiativei și a impactului său financiar</w:t>
      </w:r>
      <w:r>
        <w:rPr>
          <w:noProof/>
        </w:rPr>
        <w:tab/>
      </w:r>
      <w:r>
        <w:rPr>
          <w:noProof/>
          <w:webHidden/>
        </w:rPr>
        <w:t>6</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1.7.</w:t>
      </w:r>
      <w:r>
        <w:rPr>
          <w:noProof/>
        </w:rPr>
        <w:tab/>
        <w:t>Metoda (metodele) de execuție a bugetului planificată (planificate)</w:t>
      </w:r>
      <w:r>
        <w:rPr>
          <w:noProof/>
        </w:rPr>
        <w:tab/>
      </w:r>
      <w:r>
        <w:rPr>
          <w:noProof/>
          <w:webHidden/>
        </w:rPr>
        <w:t>6</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w:t>
      </w:r>
      <w:r>
        <w:rPr>
          <w:noProof/>
        </w:rPr>
        <w:tab/>
        <w:t>MĂSURI DE GESTIUNE</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2.1.</w:t>
      </w:r>
      <w:r>
        <w:rPr>
          <w:noProof/>
        </w:rPr>
        <w:tab/>
        <w:t>Dispoziții în materie de monitorizare și de raportare</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2.2.</w:t>
      </w:r>
      <w:r>
        <w:rPr>
          <w:noProof/>
        </w:rPr>
        <w:tab/>
        <w:t>Sistemul (sistemele) de gestiune și de control</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2.2.1.</w:t>
      </w:r>
      <w:r>
        <w:rPr>
          <w:noProof/>
        </w:rPr>
        <w:tab/>
        <w:t>Justificarea metodei (metodelor) de execuție bugetară, a mecanismului (mecanismelor) de punere în aplicare a finanțării, a modalităților de plată și a strategiei de control propuse</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2.2.2.</w:t>
      </w:r>
      <w:r>
        <w:rPr>
          <w:noProof/>
        </w:rPr>
        <w:tab/>
        <w:t>Informații privind riscurile identificate și sistemul (sistemele) de control intern instituit(e) pentru atenuarea lor</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2.3.</w:t>
      </w:r>
      <w:r>
        <w:rPr>
          <w:noProof/>
        </w:rPr>
        <w:tab/>
        <w:t>Măsuri de prevenire a fraudelor și a neregulilor</w:t>
      </w:r>
      <w:r>
        <w:rPr>
          <w:noProof/>
        </w:rPr>
        <w:tab/>
      </w:r>
      <w:r>
        <w:rPr>
          <w:noProof/>
          <w:webHidden/>
        </w:rPr>
        <w:t>9</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w:t>
      </w:r>
      <w:r>
        <w:rPr>
          <w:noProof/>
        </w:rPr>
        <w:tab/>
        <w:t>IMPACTUL FINANCIAR ESTIMAT AL PROPUNERII/INIȚIATIVEI</w:t>
      </w:r>
      <w:r>
        <w:rPr>
          <w:noProof/>
        </w:rPr>
        <w:tab/>
      </w:r>
      <w:r>
        <w:rPr>
          <w:noProof/>
          <w:webHidden/>
        </w:rPr>
        <w:t>10</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3.1.</w:t>
      </w:r>
      <w:r>
        <w:rPr>
          <w:noProof/>
        </w:rPr>
        <w:tab/>
        <w:t>Rubrica (rubricile) din cadrul financiar multianual și linia (liniile) bugetară (bugetare) de cheltuieli afectată (afectate)</w:t>
      </w:r>
      <w:r>
        <w:rPr>
          <w:noProof/>
        </w:rPr>
        <w:tab/>
      </w:r>
      <w:r>
        <w:rPr>
          <w:noProof/>
          <w:webHidden/>
        </w:rPr>
        <w:t>10</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w:t>
      </w:r>
      <w:r>
        <w:rPr>
          <w:noProof/>
        </w:rPr>
        <w:tab/>
        <w:t>Impactul financiar estimat al propunerii asupra creditelor</w:t>
      </w:r>
      <w:r>
        <w:rPr>
          <w:noProof/>
        </w:rPr>
        <w:tab/>
      </w:r>
      <w:r>
        <w:rPr>
          <w:noProof/>
          <w:webHidden/>
        </w:rPr>
        <w:t>12</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3.2.1.</w:t>
      </w:r>
      <w:r>
        <w:rPr>
          <w:noProof/>
        </w:rPr>
        <w:tab/>
        <w:t>Sinteza impactului estimat asupra creditelor operaționale</w:t>
      </w:r>
      <w:r>
        <w:rPr>
          <w:noProof/>
        </w:rPr>
        <w:tab/>
      </w:r>
      <w:r>
        <w:rPr>
          <w:noProof/>
          <w:webHidden/>
        </w:rPr>
        <w:t>12</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3.2.1.1.</w:t>
      </w:r>
      <w:r>
        <w:rPr>
          <w:noProof/>
        </w:rPr>
        <w:tab/>
        <w:t>Credite din bugetul votat</w:t>
      </w:r>
      <w:r>
        <w:rPr>
          <w:noProof/>
        </w:rPr>
        <w:tab/>
      </w:r>
      <w:r>
        <w:rPr>
          <w:noProof/>
          <w:webHidden/>
        </w:rPr>
        <w:t>12</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3.2.1.2.</w:t>
      </w:r>
      <w:r>
        <w:rPr>
          <w:noProof/>
        </w:rPr>
        <w:tab/>
        <w:t>Credite din venituri alocate externe</w:t>
      </w:r>
      <w:r>
        <w:rPr>
          <w:noProof/>
        </w:rPr>
        <w:tab/>
      </w:r>
      <w:r>
        <w:rPr>
          <w:noProof/>
          <w:webHidden/>
        </w:rPr>
        <w:t>17</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3.2.2.</w:t>
      </w:r>
      <w:r>
        <w:rPr>
          <w:noProof/>
        </w:rPr>
        <w:tab/>
        <w:t>Realizările preconizate finanțate din credite operaționale</w:t>
      </w:r>
      <w:r>
        <w:rPr>
          <w:noProof/>
        </w:rPr>
        <w:tab/>
      </w:r>
      <w:r>
        <w:rPr>
          <w:noProof/>
          <w:webHidden/>
        </w:rPr>
        <w:t>22</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3.2.3.</w:t>
      </w:r>
      <w:r>
        <w:rPr>
          <w:noProof/>
        </w:rPr>
        <w:tab/>
        <w:t>Sinteza impactului estimat asupra creditelor administrative</w:t>
      </w:r>
      <w:r>
        <w:rPr>
          <w:noProof/>
        </w:rPr>
        <w:tab/>
      </w:r>
      <w:r>
        <w:rPr>
          <w:noProof/>
          <w:webHidden/>
        </w:rPr>
        <w:t>24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3.2.3.1. Credite din bugetul votat</w:t>
      </w:r>
      <w:r>
        <w:rPr>
          <w:noProof/>
        </w:rPr>
        <w:tab/>
      </w:r>
      <w:r>
        <w:rPr>
          <w:noProof/>
          <w:webHidden/>
        </w:rPr>
        <w:t>24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3.2.3.2.</w:t>
      </w:r>
      <w:r>
        <w:rPr>
          <w:noProof/>
        </w:rPr>
        <w:tab/>
        <w:t>Credite din venituri alocate externe</w:t>
      </w:r>
      <w:r>
        <w:rPr>
          <w:noProof/>
        </w:rPr>
        <w:tab/>
      </w:r>
      <w:r>
        <w:rPr>
          <w:noProof/>
          <w:webHidden/>
        </w:rPr>
        <w:t>24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3.2.3.3.</w:t>
      </w:r>
      <w:r>
        <w:rPr>
          <w:noProof/>
        </w:rPr>
        <w:tab/>
        <w:t>Total credite</w:t>
      </w:r>
      <w:r>
        <w:rPr>
          <w:noProof/>
        </w:rPr>
        <w:tab/>
      </w:r>
      <w:r>
        <w:rPr>
          <w:noProof/>
          <w:webHidden/>
        </w:rPr>
        <w:t>24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3.2.4.</w:t>
      </w:r>
      <w:r>
        <w:rPr>
          <w:noProof/>
        </w:rPr>
        <w:tab/>
        <w:t>Necesarul de resurse umane estimat</w:t>
      </w:r>
      <w:r>
        <w:rPr>
          <w:noProof/>
        </w:rPr>
        <w:tab/>
      </w:r>
      <w:r>
        <w:rPr>
          <w:noProof/>
          <w:webHidden/>
        </w:rPr>
        <w:t>25</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3.2.4.1.</w:t>
      </w:r>
      <w:r>
        <w:rPr>
          <w:noProof/>
        </w:rPr>
        <w:tab/>
        <w:t>Finanțare din bugetul votat</w:t>
      </w:r>
      <w:r>
        <w:rPr>
          <w:noProof/>
        </w:rPr>
        <w:tab/>
      </w:r>
      <w:r>
        <w:rPr>
          <w:noProof/>
          <w:webHidden/>
        </w:rPr>
        <w:t>25</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3.2.4.2.</w:t>
      </w:r>
      <w:r>
        <w:rPr>
          <w:noProof/>
        </w:rPr>
        <w:tab/>
        <w:t>Finanțare din venituri alocate externe</w:t>
      </w:r>
      <w:r>
        <w:rPr>
          <w:noProof/>
        </w:rPr>
        <w:tab/>
      </w:r>
      <w:r>
        <w:rPr>
          <w:noProof/>
          <w:webHidden/>
        </w:rPr>
        <w:t>26</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3.2.4.3.</w:t>
      </w:r>
      <w:r>
        <w:rPr>
          <w:noProof/>
        </w:rPr>
        <w:tab/>
        <w:t>Necesarul total de resurse umane</w:t>
      </w:r>
      <w:r>
        <w:rPr>
          <w:noProof/>
        </w:rPr>
        <w:tab/>
      </w:r>
      <w:r>
        <w:rPr>
          <w:noProof/>
          <w:webHidden/>
        </w:rPr>
        <w:t>26</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3.2.5.</w:t>
      </w:r>
      <w:r>
        <w:rPr>
          <w:noProof/>
        </w:rPr>
        <w:tab/>
        <w:t>Prezentare generală a impactului estimat asupra investițiilor legate de tehnologia digitală</w:t>
      </w:r>
      <w:r>
        <w:rPr>
          <w:noProof/>
        </w:rPr>
        <w:tab/>
      </w:r>
      <w:r>
        <w:rPr>
          <w:noProof/>
          <w:webHidden/>
        </w:rPr>
        <w:t>28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3.2.6.</w:t>
      </w:r>
      <w:r>
        <w:rPr>
          <w:noProof/>
        </w:rPr>
        <w:tab/>
        <w:t>Compatibilitatea cu cadrul financiar multianual actual</w:t>
      </w:r>
      <w:r>
        <w:rPr>
          <w:noProof/>
        </w:rPr>
        <w:tab/>
      </w:r>
      <w:r>
        <w:rPr>
          <w:noProof/>
          <w:webHidden/>
        </w:rPr>
        <w:t>28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3.2.7.</w:t>
      </w:r>
      <w:r>
        <w:rPr>
          <w:noProof/>
        </w:rPr>
        <w:tab/>
        <w:t>Contribuțiile terților</w:t>
      </w:r>
      <w:r>
        <w:rPr>
          <w:noProof/>
        </w:rPr>
        <w:tab/>
      </w:r>
      <w:r>
        <w:rPr>
          <w:noProof/>
          <w:webHidden/>
        </w:rPr>
        <w:t>28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3.3.</w:t>
      </w:r>
      <w:r>
        <w:rPr>
          <w:noProof/>
        </w:rPr>
        <w:tab/>
        <w:t>Impactul estimat asupra veniturilor</w:t>
      </w:r>
      <w:r>
        <w:rPr>
          <w:noProof/>
        </w:rPr>
        <w:tab/>
      </w:r>
      <w:r>
        <w:rPr>
          <w:noProof/>
          <w:webHidden/>
        </w:rPr>
        <w:t>29</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w:t>
      </w:r>
      <w:r>
        <w:rPr>
          <w:noProof/>
        </w:rPr>
        <w:tab/>
      </w:r>
      <w:r>
        <w:rPr>
          <w:caps/>
          <w:noProof/>
        </w:rPr>
        <w:t>Dimensiunile digitale</w:t>
      </w:r>
      <w:r>
        <w:rPr>
          <w:noProof/>
        </w:rPr>
        <w:tab/>
      </w:r>
      <w:r>
        <w:rPr>
          <w:noProof/>
          <w:webHidden/>
        </w:rPr>
        <w:t>29</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4.1.</w:t>
      </w:r>
      <w:r>
        <w:rPr>
          <w:noProof/>
        </w:rPr>
        <w:tab/>
        <w:t>Cerințe cu relevanță digitală</w:t>
      </w:r>
      <w:r>
        <w:rPr>
          <w:noProof/>
        </w:rPr>
        <w:tab/>
      </w:r>
      <w:r>
        <w:rPr>
          <w:noProof/>
          <w:webHidden/>
        </w:rPr>
        <w:t>30</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4.2.</w:t>
      </w:r>
      <w:r>
        <w:rPr>
          <w:noProof/>
        </w:rPr>
        <w:tab/>
        <w:t>Date</w:t>
      </w:r>
      <w:r>
        <w:rPr>
          <w:noProof/>
        </w:rPr>
        <w:tab/>
      </w:r>
      <w:r>
        <w:rPr>
          <w:noProof/>
          <w:webHidden/>
        </w:rPr>
        <w:t>30</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4.3.</w:t>
      </w:r>
      <w:r>
        <w:rPr>
          <w:noProof/>
        </w:rPr>
        <w:tab/>
        <w:t>Soluții digitale</w:t>
      </w:r>
      <w:r>
        <w:rPr>
          <w:noProof/>
        </w:rPr>
        <w:tab/>
      </w:r>
      <w:r>
        <w:rPr>
          <w:noProof/>
          <w:webHidden/>
        </w:rPr>
        <w:t>31</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4.4.</w:t>
      </w:r>
      <w:r>
        <w:rPr>
          <w:noProof/>
        </w:rPr>
        <w:tab/>
        <w:t>Evaluarea interoperabilității</w:t>
      </w:r>
      <w:r>
        <w:rPr>
          <w:noProof/>
        </w:rPr>
        <w:tab/>
      </w:r>
      <w:r>
        <w:rPr>
          <w:noProof/>
          <w:webHidden/>
        </w:rPr>
        <w:t>31</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4.5.</w:t>
      </w:r>
      <w:r>
        <w:rPr>
          <w:noProof/>
        </w:rPr>
        <w:tab/>
        <w:t>Măsuri de sprijinire a implementării digitale</w:t>
      </w:r>
      <w:r>
        <w:rPr>
          <w:noProof/>
        </w:rPr>
        <w:tab/>
      </w:r>
      <w:r>
        <w:rPr>
          <w:noProof/>
          <w:webHidden/>
        </w:rPr>
        <w:t>32</w:t>
      </w:r>
    </w:p>
    <w:p>
      <w:pPr>
        <w:tabs>
          <w:tab w:val="right" w:leader="dot" w:pos="9071"/>
        </w:tabs>
        <w:spacing w:before="60"/>
        <w:jc w:val="left"/>
        <w:rPr>
          <w:noProof/>
        </w:rPr>
        <w:sectPr>
          <w:pgSz w:w="11907" w:h="16840" w:code="9"/>
          <w:pgMar w:top="1134" w:right="1418" w:bottom="1134" w:left="1418" w:header="709" w:footer="709" w:gutter="0"/>
          <w:pgNumType w:start="1"/>
          <w:cols w:space="720"/>
          <w:docGrid w:linePitch="360"/>
        </w:sectPr>
      </w:pPr>
    </w:p>
    <w:p>
      <w:pPr>
        <w:keepNext/>
        <w:tabs>
          <w:tab w:val="left" w:pos="850"/>
        </w:tabs>
        <w:spacing w:before="360"/>
        <w:ind w:left="850" w:hanging="850"/>
        <w:outlineLvl w:val="0"/>
        <w:rPr>
          <w:b/>
          <w:smallCaps/>
          <w:noProof/>
        </w:rPr>
      </w:pPr>
      <w:bookmarkStart w:id="14" w:name="_Toc514938007"/>
      <w:bookmarkStart w:id="15" w:name="_Toc520485025"/>
      <w:bookmarkStart w:id="16" w:name="_Toc160804567"/>
      <w:bookmarkStart w:id="17" w:name="_Toc167220259"/>
      <w:bookmarkStart w:id="18" w:name="_Toc177548992"/>
      <w:r>
        <w:rPr>
          <w:b/>
          <w:smallCaps/>
          <w:noProof/>
        </w:rPr>
        <w:t>1.</w:t>
      </w:r>
      <w:r>
        <w:rPr>
          <w:noProof/>
        </w:rPr>
        <w:tab/>
      </w:r>
      <w:r>
        <w:rPr>
          <w:b/>
          <w:smallCaps/>
          <w:noProof/>
        </w:rPr>
        <w:t>CADRUL PROPUNERII/INIȚIATIVEI</w:t>
      </w:r>
      <w:bookmarkEnd w:id="14"/>
      <w:bookmarkEnd w:id="15"/>
      <w:bookmarkEnd w:id="16"/>
      <w:bookmarkEnd w:id="17"/>
      <w:bookmarkEnd w:id="18"/>
      <w:r>
        <w:rPr>
          <w:b/>
          <w:smallCaps/>
          <w:noProof/>
        </w:rPr>
        <w:t xml:space="preserve"> </w:t>
      </w:r>
    </w:p>
    <w:p>
      <w:pPr>
        <w:keepNext/>
        <w:tabs>
          <w:tab w:val="left" w:pos="850"/>
        </w:tabs>
        <w:ind w:left="850" w:hanging="850"/>
        <w:outlineLvl w:val="1"/>
        <w:rPr>
          <w:b/>
          <w:noProof/>
        </w:rPr>
      </w:pPr>
      <w:bookmarkStart w:id="19" w:name="_Toc514938008"/>
      <w:bookmarkStart w:id="20" w:name="_Toc520485026"/>
      <w:bookmarkStart w:id="21" w:name="_Toc160804568"/>
      <w:bookmarkStart w:id="22" w:name="_Toc167220260"/>
      <w:bookmarkStart w:id="23" w:name="_Toc177548993"/>
      <w:r>
        <w:rPr>
          <w:b/>
          <w:noProof/>
        </w:rPr>
        <w:t>1.1.</w:t>
      </w:r>
      <w:r>
        <w:rPr>
          <w:noProof/>
        </w:rPr>
        <w:tab/>
      </w:r>
      <w:r>
        <w:rPr>
          <w:b/>
          <w:noProof/>
        </w:rPr>
        <w:t>Titlul propunerii/inițiativei</w:t>
      </w:r>
      <w:bookmarkEnd w:id="19"/>
      <w:bookmarkEnd w:id="20"/>
      <w:bookmarkEnd w:id="21"/>
      <w:bookmarkEnd w:id="22"/>
      <w:bookmarkEnd w:id="23"/>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 xml:space="preserve">Propunere de regulament al Parlamentului European și al Consiliului privind digitalizarea coordonării sistemelor de securitate socială, de stabilire a unui cadru pentru Pașaportul european de securitate socială (ESSPASS) și de modificare a Regulamentelor (CE) nr. 883/2004, (CE) nr. 987/2009 </w:t>
      </w:r>
      <w:r>
        <w:rPr>
          <w:noProof/>
        </w:rPr>
        <w:t>și (UE) 2018/1724</w:t>
      </w:r>
    </w:p>
    <w:p>
      <w:pPr>
        <w:pBdr>
          <w:top w:val="single" w:sz="4" w:space="1" w:color="auto"/>
          <w:left w:val="single" w:sz="4" w:space="4" w:color="auto"/>
          <w:bottom w:val="single" w:sz="4" w:space="1" w:color="auto"/>
          <w:right w:val="single" w:sz="4" w:space="4" w:color="auto"/>
        </w:pBdr>
        <w:ind w:left="850"/>
        <w:rPr>
          <w:noProof/>
        </w:rPr>
      </w:pPr>
    </w:p>
    <w:p>
      <w:pPr>
        <w:keepNext/>
        <w:tabs>
          <w:tab w:val="left" w:pos="850"/>
        </w:tabs>
        <w:ind w:left="850" w:hanging="850"/>
        <w:outlineLvl w:val="1"/>
        <w:rPr>
          <w:b/>
          <w:i/>
          <w:noProof/>
        </w:rPr>
      </w:pPr>
      <w:bookmarkStart w:id="24" w:name="_Toc514938011"/>
      <w:bookmarkStart w:id="25" w:name="_Toc520485027"/>
      <w:bookmarkStart w:id="26" w:name="_Toc160804569"/>
      <w:bookmarkStart w:id="27" w:name="_Toc167220261"/>
      <w:bookmarkStart w:id="28" w:name="_Toc177548994"/>
      <w:r>
        <w:rPr>
          <w:b/>
          <w:noProof/>
        </w:rPr>
        <w:t>1.2.</w:t>
      </w:r>
      <w:r>
        <w:rPr>
          <w:noProof/>
        </w:rPr>
        <w:tab/>
      </w:r>
      <w:r>
        <w:rPr>
          <w:b/>
          <w:noProof/>
        </w:rPr>
        <w:t>Domeniul (domeniile) de politică vizat(e)</w:t>
      </w:r>
      <w:bookmarkEnd w:id="24"/>
      <w:bookmarkEnd w:id="25"/>
      <w:bookmarkEnd w:id="26"/>
      <w:bookmarkEnd w:id="27"/>
      <w:bookmarkEnd w:id="28"/>
      <w:r>
        <w:rPr>
          <w:b/>
          <w:i/>
          <w:noProof/>
        </w:rPr>
        <w:t xml:space="preserve"> </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Oameni, societate și model social, libera circulație a persoanelor, mobilitatea forței de muncă</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Accesul la servicii</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Digitalizarea administrațiilor publice</w:t>
      </w:r>
    </w:p>
    <w:p>
      <w:pPr>
        <w:keepNext/>
        <w:tabs>
          <w:tab w:val="left" w:pos="850"/>
        </w:tabs>
        <w:ind w:left="850" w:hanging="850"/>
        <w:outlineLvl w:val="1"/>
        <w:rPr>
          <w:b/>
          <w:noProof/>
        </w:rPr>
      </w:pPr>
      <w:bookmarkStart w:id="29" w:name="_Toc514938015"/>
      <w:bookmarkStart w:id="30" w:name="_Toc520485029"/>
      <w:bookmarkStart w:id="31" w:name="_Toc160804571"/>
      <w:bookmarkStart w:id="32" w:name="_Toc167220263"/>
      <w:bookmarkStart w:id="33" w:name="_Toc177548995"/>
      <w:r>
        <w:rPr>
          <w:b/>
          <w:noProof/>
        </w:rPr>
        <w:t>1.3.</w:t>
      </w:r>
      <w:r>
        <w:rPr>
          <w:noProof/>
        </w:rPr>
        <w:tab/>
      </w:r>
      <w:r>
        <w:rPr>
          <w:b/>
          <w:noProof/>
        </w:rPr>
        <w:t>Obiectiv(e)</w:t>
      </w:r>
      <w:bookmarkEnd w:id="29"/>
      <w:bookmarkEnd w:id="30"/>
      <w:bookmarkEnd w:id="31"/>
      <w:bookmarkEnd w:id="32"/>
      <w:bookmarkEnd w:id="33"/>
    </w:p>
    <w:p>
      <w:pPr>
        <w:keepNext/>
        <w:tabs>
          <w:tab w:val="left" w:pos="850"/>
        </w:tabs>
        <w:ind w:left="850" w:hanging="850"/>
        <w:outlineLvl w:val="2"/>
        <w:rPr>
          <w:i/>
          <w:noProof/>
        </w:rPr>
      </w:pPr>
      <w:bookmarkStart w:id="34" w:name="_Toc514938016"/>
      <w:bookmarkStart w:id="35" w:name="_Toc520485030"/>
      <w:bookmarkStart w:id="36" w:name="_Toc160804572"/>
      <w:bookmarkStart w:id="37" w:name="_Toc167220264"/>
      <w:bookmarkStart w:id="38" w:name="_Toc177548996"/>
      <w:r>
        <w:rPr>
          <w:i/>
          <w:noProof/>
        </w:rPr>
        <w:t>1.3.1.</w:t>
      </w:r>
      <w:r>
        <w:rPr>
          <w:noProof/>
        </w:rPr>
        <w:tab/>
      </w:r>
      <w:r>
        <w:rPr>
          <w:i/>
          <w:noProof/>
        </w:rPr>
        <w:t>Obiectiv(e) general(e)</w:t>
      </w:r>
      <w:bookmarkEnd w:id="34"/>
      <w:bookmarkEnd w:id="35"/>
      <w:bookmarkEnd w:id="36"/>
      <w:bookmarkEnd w:id="37"/>
      <w:bookmarkEnd w:id="38"/>
    </w:p>
    <w:p>
      <w:pPr>
        <w:pBdr>
          <w:top w:val="single" w:sz="4" w:space="1" w:color="auto"/>
          <w:left w:val="single" w:sz="4" w:space="4" w:color="auto"/>
          <w:bottom w:val="single" w:sz="4" w:space="1" w:color="auto"/>
          <w:right w:val="single" w:sz="4" w:space="4" w:color="auto"/>
        </w:pBdr>
        <w:ind w:left="850"/>
        <w:rPr>
          <w:noProof/>
        </w:rPr>
      </w:pPr>
      <w:r>
        <w:rPr>
          <w:noProof/>
        </w:rPr>
        <w:t xml:space="preserve">Inițiativa urmărește să promoveze mobilitatea echitabilă în interiorul UE, facilitând accesul tuturor persoanelor fizice la drepturile în materie de securitate socială, în conformitate cu Pilonul european al drepturilor sociale și cu Strategia privind piața unică. Inițiativa sprijină obiectivele transversale ale Uniunii de simplificare și de reducere a obstacolelor administrative prin intermediul serviciilor publice transfrontaliere digitalizate. </w:t>
      </w:r>
    </w:p>
    <w:p>
      <w:pPr>
        <w:keepNext/>
        <w:tabs>
          <w:tab w:val="left" w:pos="850"/>
        </w:tabs>
        <w:ind w:left="850" w:hanging="850"/>
        <w:outlineLvl w:val="2"/>
        <w:rPr>
          <w:i/>
          <w:noProof/>
        </w:rPr>
      </w:pPr>
      <w:bookmarkStart w:id="39" w:name="_Toc514938018"/>
      <w:bookmarkStart w:id="40" w:name="_Toc520485031"/>
      <w:bookmarkStart w:id="41" w:name="_Toc160804573"/>
      <w:bookmarkStart w:id="42" w:name="_Toc167220265"/>
      <w:bookmarkStart w:id="43" w:name="_Toc177548997"/>
      <w:r>
        <w:rPr>
          <w:i/>
          <w:noProof/>
        </w:rPr>
        <w:t>1.3.2.</w:t>
      </w:r>
      <w:r>
        <w:rPr>
          <w:noProof/>
        </w:rPr>
        <w:tab/>
      </w:r>
      <w:r>
        <w:rPr>
          <w:i/>
          <w:noProof/>
        </w:rPr>
        <w:t>Obiectiv(e) specific(e)</w:t>
      </w:r>
      <w:bookmarkEnd w:id="39"/>
      <w:bookmarkEnd w:id="40"/>
      <w:bookmarkEnd w:id="41"/>
      <w:bookmarkEnd w:id="42"/>
      <w:bookmarkEnd w:id="43"/>
    </w:p>
    <w:tbl>
      <w:tblPr>
        <w:tblStyle w:val="TableGrid"/>
        <w:tblW w:w="0" w:type="auto"/>
        <w:tblInd w:w="850" w:type="dxa"/>
        <w:tblLook w:val="04A0" w:firstRow="1" w:lastRow="0" w:firstColumn="1" w:lastColumn="0" w:noHBand="0" w:noVBand="1"/>
      </w:tblPr>
      <w:tblGrid>
        <w:gridCol w:w="8437"/>
      </w:tblGrid>
      <w:tr>
        <w:tc>
          <w:tcPr>
            <w:tcW w:w="8437" w:type="dxa"/>
          </w:tcPr>
          <w:p>
            <w:pPr>
              <w:keepNext/>
              <w:tabs>
                <w:tab w:val="left" w:pos="850"/>
              </w:tabs>
              <w:outlineLvl w:val="2"/>
              <w:rPr>
                <w:iCs/>
                <w:noProof/>
              </w:rPr>
            </w:pPr>
            <w:r>
              <w:rPr>
                <w:noProof/>
              </w:rPr>
              <w:t>Obiectivele specifice ale inițiativei sunt:</w:t>
            </w:r>
          </w:p>
          <w:p>
            <w:pPr>
              <w:keepNext/>
              <w:tabs>
                <w:tab w:val="left" w:pos="850"/>
              </w:tabs>
              <w:outlineLvl w:val="2"/>
              <w:rPr>
                <w:iCs/>
                <w:noProof/>
              </w:rPr>
            </w:pPr>
          </w:p>
          <w:p>
            <w:pPr>
              <w:pStyle w:val="Point0"/>
              <w:rPr>
                <w:noProof/>
              </w:rPr>
            </w:pPr>
            <w:r>
              <w:rPr>
                <w:noProof/>
              </w:rPr>
              <w:t>(1)</w:t>
            </w:r>
            <w:r>
              <w:rPr>
                <w:noProof/>
              </w:rPr>
              <w:tab/>
              <w:t xml:space="preserve">Cazurile transfrontaliere de securitate socială care necesită dovedirea și verificarea drepturilor în materie de securitate socială și a statutului de asigurat sunt tratate prin reducerea intervenției manuale și simplificarea etapelor administrative, ceea ce duce la o prelucrare mai rapidă și mai coerentă. </w:t>
            </w:r>
          </w:p>
          <w:p>
            <w:pPr>
              <w:pStyle w:val="Point0"/>
              <w:rPr>
                <w:noProof/>
              </w:rPr>
            </w:pPr>
            <w:r>
              <w:rPr>
                <w:noProof/>
              </w:rPr>
              <w:t>(2)</w:t>
            </w:r>
            <w:r>
              <w:rPr>
                <w:noProof/>
              </w:rPr>
              <w:tab/>
              <w:t>Interoperabilitatea transfrontalieră este consolidată prin convergența formatelor documentelor, a modelelor de date și a metodelor de verificare la nivelul UE, permițând schimbul fără sincope de informații și reducând frauda.</w:t>
            </w:r>
          </w:p>
          <w:p>
            <w:pPr>
              <w:pStyle w:val="Point0"/>
              <w:rPr>
                <w:noProof/>
              </w:rPr>
            </w:pPr>
            <w:r>
              <w:rPr>
                <w:noProof/>
              </w:rPr>
              <w:t>(3)</w:t>
            </w:r>
            <w:r>
              <w:rPr>
                <w:noProof/>
              </w:rPr>
              <w:tab/>
              <w:t>Persoanele fizice beneficiază de o accesibilitate sporită, de o mai bună informare și de un control mai mare în ceea ce privește drepturile și datele lor în materie de securitate socială în situații transfrontaliere.</w:t>
            </w:r>
          </w:p>
        </w:tc>
      </w:tr>
    </w:tbl>
    <w:p>
      <w:pPr>
        <w:keepNext/>
        <w:tabs>
          <w:tab w:val="left" w:pos="850"/>
        </w:tabs>
        <w:ind w:left="850" w:hanging="850"/>
        <w:outlineLvl w:val="2"/>
        <w:rPr>
          <w:i/>
          <w:noProof/>
        </w:rPr>
      </w:pPr>
      <w:r>
        <w:rPr>
          <w:noProof/>
        </w:rPr>
        <w:t>Persoanele fizice beneficiază de o accesibilitate sporită, de o mai bună informare și de un control mai mare în ceea ce privește drepturile și datele lor în materie de securitate socială în situații transfrontaliere.</w:t>
      </w:r>
    </w:p>
    <w:p>
      <w:pPr>
        <w:keepNext/>
        <w:tabs>
          <w:tab w:val="left" w:pos="850"/>
        </w:tabs>
        <w:ind w:left="850" w:hanging="850"/>
        <w:outlineLvl w:val="2"/>
        <w:rPr>
          <w:i/>
          <w:noProof/>
        </w:rPr>
      </w:pPr>
      <w:bookmarkStart w:id="44" w:name="_Toc514938019"/>
      <w:bookmarkStart w:id="45" w:name="_Toc520485032"/>
      <w:bookmarkStart w:id="46" w:name="_Toc160804574"/>
      <w:bookmarkStart w:id="47" w:name="_Toc167220266"/>
      <w:bookmarkStart w:id="48" w:name="_Toc177548998"/>
      <w:r>
        <w:rPr>
          <w:i/>
          <w:noProof/>
        </w:rPr>
        <w:t>1.3.3.</w:t>
      </w:r>
      <w:r>
        <w:rPr>
          <w:noProof/>
        </w:rPr>
        <w:tab/>
      </w:r>
      <w:r>
        <w:rPr>
          <w:i/>
          <w:noProof/>
        </w:rPr>
        <w:t>Rezultatul (rezultatele) și impactul preconizate</w:t>
      </w:r>
      <w:bookmarkEnd w:id="44"/>
      <w:bookmarkEnd w:id="45"/>
      <w:bookmarkEnd w:id="46"/>
      <w:bookmarkEnd w:id="47"/>
      <w:bookmarkEnd w:id="48"/>
    </w:p>
    <w:p>
      <w:pPr>
        <w:pBdr>
          <w:top w:val="single" w:sz="4" w:space="1" w:color="auto"/>
          <w:left w:val="single" w:sz="4" w:space="4" w:color="auto"/>
          <w:bottom w:val="single" w:sz="4" w:space="1" w:color="auto"/>
          <w:right w:val="single" w:sz="4" w:space="4" w:color="auto"/>
        </w:pBdr>
        <w:ind w:left="850"/>
        <w:rPr>
          <w:noProof/>
        </w:rPr>
      </w:pPr>
      <w:r>
        <w:rPr>
          <w:noProof/>
        </w:rPr>
        <w:t>Se preconizează că inițiativa va consolida cadrul de coordonare a securității sociale, prin îmbunătățirea aplicării normelor și printr-o punere în aplicare a acestora mai simplă, mai eficientă și mai rezistentă la fraudă.</w:t>
      </w:r>
    </w:p>
    <w:p>
      <w:pPr>
        <w:pBdr>
          <w:top w:val="single" w:sz="4" w:space="1" w:color="auto"/>
          <w:left w:val="single" w:sz="4" w:space="4" w:color="auto"/>
          <w:bottom w:val="single" w:sz="4" w:space="1" w:color="auto"/>
          <w:right w:val="single" w:sz="4" w:space="4" w:color="auto"/>
        </w:pBdr>
        <w:ind w:left="850"/>
        <w:rPr>
          <w:noProof/>
        </w:rPr>
      </w:pPr>
      <w:r>
        <w:rPr>
          <w:noProof/>
        </w:rPr>
        <w:t>Aceasta va spori transparența drepturilor și va facilita accesul persoanelor fizice la acestea, contribuind în același timp la reducerea practicilor frauduloase și de exploatare. De asemenea, se preconizează că inițiativa va sprijini întreprinderile, facilitându-le desfășurarea de activități transfrontaliere, precum și autoritățile naționale, prin simplificarea proceselor și consolidarea cooperării. Inițiativa va stimula digitalizarea serviciilor publice transfrontaliere, contribuind în cele din urmă la sporirea competitivității economiei UE.</w:t>
      </w:r>
    </w:p>
    <w:p>
      <w:pPr>
        <w:keepNext/>
        <w:tabs>
          <w:tab w:val="left" w:pos="850"/>
        </w:tabs>
        <w:ind w:left="850" w:hanging="850"/>
        <w:outlineLvl w:val="2"/>
        <w:rPr>
          <w:i/>
          <w:noProof/>
        </w:rPr>
      </w:pPr>
      <w:bookmarkStart w:id="49" w:name="_Toc514938023"/>
      <w:bookmarkStart w:id="50" w:name="_Toc520485033"/>
      <w:bookmarkStart w:id="51" w:name="_Toc160804575"/>
      <w:bookmarkStart w:id="52" w:name="_Toc167220267"/>
      <w:bookmarkStart w:id="53" w:name="_Toc177548999"/>
      <w:r>
        <w:rPr>
          <w:i/>
          <w:noProof/>
        </w:rPr>
        <w:t>1.3.4.</w:t>
      </w:r>
      <w:r>
        <w:rPr>
          <w:noProof/>
        </w:rPr>
        <w:tab/>
      </w:r>
      <w:r>
        <w:rPr>
          <w:i/>
          <w:noProof/>
        </w:rPr>
        <w:t>Indicatori de performanță</w:t>
      </w:r>
      <w:bookmarkEnd w:id="49"/>
      <w:bookmarkEnd w:id="50"/>
      <w:bookmarkEnd w:id="51"/>
      <w:bookmarkEnd w:id="52"/>
      <w:bookmarkEnd w:id="53"/>
    </w:p>
    <w:tbl>
      <w:tblPr>
        <w:tblW w:w="10865"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2"/>
        <w:gridCol w:w="66"/>
        <w:gridCol w:w="8618"/>
        <w:gridCol w:w="612"/>
        <w:gridCol w:w="217"/>
      </w:tblGrid>
      <w:tr>
        <w:trPr>
          <w:gridBefore w:val="2"/>
          <w:gridAfter w:val="2"/>
          <w:wBefore w:w="1418" w:type="dxa"/>
          <w:wAfter w:w="829" w:type="dxa"/>
          <w:trHeight w:val="7953"/>
        </w:trPr>
        <w:tc>
          <w:tcPr>
            <w:tcW w:w="8618" w:type="dxa"/>
          </w:tcPr>
          <w:p>
            <w:pPr>
              <w:ind w:left="217"/>
              <w:rPr>
                <w:noProof/>
              </w:rPr>
            </w:pPr>
            <w:r>
              <w:rPr>
                <w:noProof/>
              </w:rPr>
              <w:t>A fost elaborat un proiect de cadru cuprinzător de monitorizare, pentru monitorizarea punerii în aplicare și evaluarea impactului inițiativei, astfel încât aceasta să rămână adecvată scopului și să atingă obiectivele urmărite. Acest cadru va fi perfecționat în continuare în funcție de specificațiile juridice finale și de calendarul de punere în aplicare.</w:t>
            </w:r>
          </w:p>
          <w:p>
            <w:pPr>
              <w:ind w:left="217"/>
              <w:rPr>
                <w:noProof/>
              </w:rPr>
            </w:pPr>
            <w:r>
              <w:rPr>
                <w:noProof/>
              </w:rPr>
              <w:t xml:space="preserve">Printre indicatori se numără: </w:t>
            </w:r>
          </w:p>
          <w:p>
            <w:pPr>
              <w:numPr>
                <w:ilvl w:val="0"/>
                <w:numId w:val="17"/>
              </w:numPr>
              <w:ind w:left="577"/>
              <w:rPr>
                <w:noProof/>
              </w:rPr>
            </w:pPr>
            <w:r>
              <w:rPr>
                <w:noProof/>
              </w:rPr>
              <w:t>Procentul de proceduri disponibile integral online</w:t>
            </w:r>
          </w:p>
          <w:p>
            <w:pPr>
              <w:numPr>
                <w:ilvl w:val="0"/>
                <w:numId w:val="17"/>
              </w:numPr>
              <w:ind w:left="577"/>
              <w:rPr>
                <w:noProof/>
              </w:rPr>
            </w:pPr>
            <w:r>
              <w:rPr>
                <w:noProof/>
              </w:rPr>
              <w:t>Procentul de documente eliberate pe cale electronică</w:t>
            </w:r>
          </w:p>
          <w:p>
            <w:pPr>
              <w:numPr>
                <w:ilvl w:val="0"/>
                <w:numId w:val="17"/>
              </w:numPr>
              <w:ind w:left="577"/>
              <w:rPr>
                <w:noProof/>
              </w:rPr>
            </w:pPr>
            <w:r>
              <w:rPr>
                <w:noProof/>
              </w:rPr>
              <w:t xml:space="preserve">Procentul autorităților naționale care respectă cerințele </w:t>
            </w:r>
          </w:p>
          <w:p>
            <w:pPr>
              <w:numPr>
                <w:ilvl w:val="0"/>
                <w:numId w:val="17"/>
              </w:numPr>
              <w:ind w:left="577"/>
              <w:rPr>
                <w:noProof/>
              </w:rPr>
            </w:pPr>
            <w:r>
              <w:rPr>
                <w:noProof/>
              </w:rPr>
              <w:t xml:space="preserve">Numărul de plângeri formulate de întreprinderi și de persoane fizice cu privire la cazurile în care termenele sunt depășite </w:t>
            </w:r>
          </w:p>
          <w:p>
            <w:pPr>
              <w:numPr>
                <w:ilvl w:val="0"/>
                <w:numId w:val="17"/>
              </w:numPr>
              <w:ind w:left="577"/>
              <w:rPr>
                <w:noProof/>
              </w:rPr>
            </w:pPr>
            <w:r>
              <w:rPr>
                <w:noProof/>
              </w:rPr>
              <w:t>Proporția documentelor prelucrate automat în toate statele membre</w:t>
            </w:r>
          </w:p>
          <w:p>
            <w:pPr>
              <w:numPr>
                <w:ilvl w:val="0"/>
                <w:numId w:val="17"/>
              </w:numPr>
              <w:ind w:left="577"/>
              <w:rPr>
                <w:noProof/>
              </w:rPr>
            </w:pPr>
            <w:r>
              <w:rPr>
                <w:noProof/>
              </w:rPr>
              <w:t xml:space="preserve">Reducerea timpului de prelucrare necesar pentru eliberarea și verificarea documentelor </w:t>
            </w:r>
          </w:p>
          <w:p>
            <w:pPr>
              <w:numPr>
                <w:ilvl w:val="0"/>
                <w:numId w:val="17"/>
              </w:numPr>
              <w:ind w:left="577"/>
              <w:rPr>
                <w:noProof/>
              </w:rPr>
            </w:pPr>
            <w:r>
              <w:rPr>
                <w:noProof/>
              </w:rPr>
              <w:t>Numărul de facturi aferente rambursării cheltuielilor cu asistența medicală care au fost respinse</w:t>
            </w:r>
          </w:p>
          <w:p>
            <w:pPr>
              <w:numPr>
                <w:ilvl w:val="0"/>
                <w:numId w:val="17"/>
              </w:numPr>
              <w:ind w:left="577"/>
              <w:rPr>
                <w:noProof/>
              </w:rPr>
            </w:pPr>
            <w:r>
              <w:rPr>
                <w:noProof/>
              </w:rPr>
              <w:t xml:space="preserve">Reducerea numărului de cazuri de falsificare a documentelor portabile și de utilizare necorespunzătoare a CEASS </w:t>
            </w:r>
          </w:p>
          <w:p>
            <w:pPr>
              <w:numPr>
                <w:ilvl w:val="0"/>
                <w:numId w:val="17"/>
              </w:numPr>
              <w:ind w:left="577"/>
              <w:rPr>
                <w:noProof/>
              </w:rPr>
            </w:pPr>
            <w:r>
              <w:rPr>
                <w:noProof/>
              </w:rPr>
              <w:t>Procentul de utilizatori mulțumiți de soluție și gradul de conștientizare</w:t>
            </w:r>
          </w:p>
          <w:p>
            <w:pPr>
              <w:numPr>
                <w:ilvl w:val="0"/>
                <w:numId w:val="17"/>
              </w:numPr>
              <w:ind w:left="577"/>
              <w:rPr>
                <w:noProof/>
              </w:rPr>
            </w:pPr>
            <w:r>
              <w:rPr>
                <w:noProof/>
              </w:rPr>
              <w:t xml:space="preserve">Timpul necesar pentru finalizarea cererilor utilizatorilor (reducerea timpului mediu și a diferenței dintre timpul minim și cel maxim necesar în statele membre) </w:t>
            </w:r>
          </w:p>
          <w:p>
            <w:pPr>
              <w:numPr>
                <w:ilvl w:val="0"/>
                <w:numId w:val="17"/>
              </w:numPr>
              <w:ind w:left="577"/>
              <w:rPr>
                <w:noProof/>
              </w:rPr>
            </w:pPr>
            <w:r>
              <w:rPr>
                <w:noProof/>
              </w:rPr>
              <w:t>Numărul de verificări transfrontaliere finalizate cu succes (creșterea volumului tranzacțiilor)</w:t>
            </w:r>
          </w:p>
          <w:p>
            <w:pPr>
              <w:numPr>
                <w:ilvl w:val="0"/>
                <w:numId w:val="17"/>
              </w:numPr>
              <w:ind w:left="577"/>
              <w:rPr>
                <w:noProof/>
              </w:rPr>
            </w:pPr>
            <w:r>
              <w:rPr>
                <w:noProof/>
              </w:rPr>
              <w:t>Indicatorii de securitate cibernetică privind siguranța datelor.</w:t>
            </w:r>
          </w:p>
        </w:tc>
      </w:tr>
      <w:tr>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10865" w:type="dxa"/>
            <w:gridSpan w:val="5"/>
          </w:tcPr>
          <w:p>
            <w:pPr>
              <w:rPr>
                <w:noProof/>
              </w:rPr>
            </w:pPr>
          </w:p>
        </w:tc>
      </w:tr>
      <w:tr>
        <w:trPr>
          <w:gridBefore w:val="1"/>
          <w:gridAfter w:val="1"/>
          <w:wBefore w:w="1352" w:type="dxa"/>
          <w:wAfter w:w="217" w:type="dxa"/>
          <w:trHeight w:val="1735"/>
        </w:trPr>
        <w:tc>
          <w:tcPr>
            <w:tcW w:w="9296" w:type="dxa"/>
            <w:gridSpan w:val="3"/>
            <w:tcBorders>
              <w:bottom w:val="single" w:sz="4" w:space="0" w:color="auto"/>
            </w:tcBorders>
          </w:tcPr>
          <w:p>
            <w:pPr>
              <w:rPr>
                <w:noProof/>
              </w:rPr>
            </w:pPr>
            <w:r>
              <w:rPr>
                <w:noProof/>
              </w:rPr>
              <w:t>A fost elaborat un proiect de cadru cuprinzător de monitorizare, pentru monitorizarea punerii în aplicare și evaluarea impactului inițiativei, astfel încât aceasta să rămână adecvată scopului și să atingă obiectivele urmărite. Acest cadru va fi perfecționat în continuare în funcție de specificațiile juridice finale și de calendarul de punere în aplicare.</w:t>
            </w:r>
          </w:p>
          <w:p>
            <w:pPr>
              <w:rPr>
                <w:noProof/>
              </w:rPr>
            </w:pPr>
            <w:r>
              <w:rPr>
                <w:noProof/>
              </w:rPr>
              <w:t xml:space="preserve">Printre indicatori se numără: </w:t>
            </w:r>
          </w:p>
        </w:tc>
      </w:tr>
      <w:tr>
        <w:trPr>
          <w:gridBefore w:val="1"/>
          <w:gridAfter w:val="1"/>
          <w:wBefore w:w="1352" w:type="dxa"/>
          <w:wAfter w:w="217" w:type="dxa"/>
          <w:trHeight w:val="5323"/>
        </w:trPr>
        <w:tc>
          <w:tcPr>
            <w:tcW w:w="9296" w:type="dxa"/>
            <w:gridSpan w:val="3"/>
          </w:tcPr>
          <w:p>
            <w:pPr>
              <w:ind w:left="577"/>
              <w:rPr>
                <w:noProof/>
              </w:rPr>
            </w:pPr>
            <w:r>
              <w:rPr>
                <w:noProof/>
              </w:rPr>
              <w:t>Procentul de proceduri disponibile integral online</w:t>
            </w:r>
          </w:p>
          <w:p>
            <w:pPr>
              <w:ind w:left="577"/>
              <w:rPr>
                <w:noProof/>
              </w:rPr>
            </w:pPr>
            <w:r>
              <w:rPr>
                <w:noProof/>
              </w:rPr>
              <w:t>Procentul de documente eliberate pe cale electronică</w:t>
            </w:r>
          </w:p>
          <w:p>
            <w:pPr>
              <w:ind w:left="577"/>
              <w:rPr>
                <w:noProof/>
              </w:rPr>
            </w:pPr>
            <w:r>
              <w:rPr>
                <w:noProof/>
              </w:rPr>
              <w:t xml:space="preserve">Procentul autorităților naționale care respectă cerințele </w:t>
            </w:r>
          </w:p>
          <w:p>
            <w:pPr>
              <w:ind w:left="577"/>
              <w:rPr>
                <w:noProof/>
              </w:rPr>
            </w:pPr>
            <w:r>
              <w:rPr>
                <w:noProof/>
              </w:rPr>
              <w:t xml:space="preserve">Numărul de plângeri formulate de întreprinderi și de persoane fizice cu privire la cazurile în care termenele sunt depășite </w:t>
            </w:r>
          </w:p>
          <w:p>
            <w:pPr>
              <w:ind w:left="577"/>
              <w:rPr>
                <w:noProof/>
              </w:rPr>
            </w:pPr>
            <w:r>
              <w:rPr>
                <w:noProof/>
              </w:rPr>
              <w:t>Proporția documentelor prelucrate automat în toate statele membre</w:t>
            </w:r>
          </w:p>
          <w:p>
            <w:pPr>
              <w:ind w:left="577"/>
              <w:rPr>
                <w:noProof/>
              </w:rPr>
            </w:pPr>
            <w:r>
              <w:rPr>
                <w:noProof/>
              </w:rPr>
              <w:t xml:space="preserve">Reducerea timpului de prelucrare necesar pentru eliberarea și verificarea documentelor </w:t>
            </w:r>
          </w:p>
          <w:p>
            <w:pPr>
              <w:ind w:left="577"/>
              <w:rPr>
                <w:noProof/>
              </w:rPr>
            </w:pPr>
            <w:r>
              <w:rPr>
                <w:noProof/>
              </w:rPr>
              <w:t>Numărul de facturi aferente rambursării cheltuielilor cu asistența medicală care au fost respinse</w:t>
            </w:r>
          </w:p>
          <w:p>
            <w:pPr>
              <w:ind w:left="577"/>
              <w:rPr>
                <w:noProof/>
              </w:rPr>
            </w:pPr>
            <w:r>
              <w:rPr>
                <w:noProof/>
              </w:rPr>
              <w:t xml:space="preserve">Reducerea numărului de cazuri de falsificare a documentelor portabile și de utilizare necorespunzătoare a CEASS </w:t>
            </w:r>
          </w:p>
          <w:p>
            <w:pPr>
              <w:ind w:left="577"/>
              <w:rPr>
                <w:noProof/>
              </w:rPr>
            </w:pPr>
            <w:r>
              <w:rPr>
                <w:noProof/>
              </w:rPr>
              <w:t>Procentul de utilizatori mulțumiți de soluție și gradul de conștientizare</w:t>
            </w:r>
          </w:p>
          <w:p>
            <w:pPr>
              <w:ind w:left="577"/>
              <w:rPr>
                <w:noProof/>
              </w:rPr>
            </w:pPr>
            <w:r>
              <w:rPr>
                <w:noProof/>
              </w:rPr>
              <w:t xml:space="preserve">Timpul necesar pentru finalizarea cererilor utilizatorilor (reducerea timpului mediu și a diferenței dintre timpul minim și cel maxim necesar în statele membre) </w:t>
            </w:r>
          </w:p>
          <w:p>
            <w:pPr>
              <w:ind w:left="577"/>
              <w:rPr>
                <w:noProof/>
              </w:rPr>
            </w:pPr>
            <w:r>
              <w:rPr>
                <w:noProof/>
              </w:rPr>
              <w:t>Numărul de verificări transfrontaliere finalizate cu succes (creșterea volumului tranzacțiilor)</w:t>
            </w:r>
          </w:p>
          <w:p>
            <w:pPr>
              <w:ind w:left="577"/>
              <w:rPr>
                <w:noProof/>
              </w:rPr>
            </w:pPr>
            <w:r>
              <w:rPr>
                <w:noProof/>
              </w:rPr>
              <w:t>Indicatorii de securitate cibernetică privind siguranța datelor.</w:t>
            </w:r>
          </w:p>
          <w:p>
            <w:pPr>
              <w:ind w:left="577"/>
              <w:rPr>
                <w:noProof/>
              </w:rPr>
            </w:pPr>
          </w:p>
        </w:tc>
      </w:tr>
    </w:tbl>
    <w:p>
      <w:pPr>
        <w:keepNext/>
        <w:tabs>
          <w:tab w:val="left" w:pos="850"/>
        </w:tabs>
        <w:ind w:left="850" w:hanging="850"/>
        <w:outlineLvl w:val="1"/>
        <w:rPr>
          <w:b/>
          <w:noProof/>
        </w:rPr>
      </w:pPr>
      <w:bookmarkStart w:id="54" w:name="_Toc177549000"/>
      <w:r>
        <w:rPr>
          <w:b/>
          <w:noProof/>
        </w:rPr>
        <w:t>1.4.</w:t>
      </w:r>
      <w:r>
        <w:rPr>
          <w:noProof/>
        </w:rPr>
        <w:tab/>
      </w:r>
      <w:r>
        <w:rPr>
          <w:b/>
          <w:noProof/>
        </w:rPr>
        <w:t>Obiectul propunerii/inițiativei</w:t>
      </w:r>
      <w:bookmarkEnd w:id="54"/>
      <w:r>
        <w:rPr>
          <w:b/>
          <w:noProof/>
        </w:rPr>
        <w:t xml:space="preserve"> </w:t>
      </w:r>
    </w:p>
    <w:p>
      <w:pPr>
        <w:ind w:left="850"/>
        <w:rPr>
          <w:noProof/>
          <w:sz w:val="22"/>
        </w:rPr>
      </w:pPr>
      <w:r>
        <w:rPr>
          <w:rFonts w:ascii="Wingdings" w:hAnsi="Wingdings"/>
          <w:noProof/>
          <w:sz w:val="22"/>
        </w:rPr>
        <w:t>¨</w:t>
      </w:r>
      <w:r>
        <w:rPr>
          <w:i/>
          <w:noProof/>
          <w:sz w:val="22"/>
        </w:rPr>
        <w:t xml:space="preserve"> </w:t>
      </w:r>
      <w:r>
        <w:rPr>
          <w:noProof/>
        </w:rPr>
        <w:t>o acțiune nouă</w:t>
      </w:r>
      <w:r>
        <w:rPr>
          <w:noProof/>
          <w:sz w:val="22"/>
        </w:rPr>
        <w:t xml:space="preserve"> </w:t>
      </w:r>
    </w:p>
    <w:p>
      <w:pPr>
        <w:ind w:left="850"/>
        <w:rPr>
          <w:noProof/>
          <w:sz w:val="22"/>
        </w:rPr>
      </w:pPr>
      <w:r>
        <w:rPr>
          <w:rFonts w:ascii="Wingdings" w:hAnsi="Wingdings"/>
          <w:noProof/>
          <w:sz w:val="22"/>
        </w:rPr>
        <w:t>¨</w:t>
      </w:r>
      <w:r>
        <w:rPr>
          <w:i/>
          <w:noProof/>
          <w:sz w:val="22"/>
        </w:rPr>
        <w:t xml:space="preserve"> </w:t>
      </w:r>
      <w:r>
        <w:rPr>
          <w:noProof/>
        </w:rPr>
        <w:t>o acțiune nouă întreprinsă ca urmare a unui proiect-pilot/a unei acțiuni pregătitoare</w:t>
      </w:r>
      <w:r>
        <w:rPr>
          <w:rStyle w:val="FootnoteReference"/>
          <w:noProof/>
        </w:rPr>
        <w:footnoteReference w:id="34"/>
      </w:r>
      <w:r>
        <w:rPr>
          <w:noProof/>
          <w:sz w:val="22"/>
        </w:rPr>
        <w:t xml:space="preserve"> </w:t>
      </w:r>
    </w:p>
    <w:p>
      <w:pPr>
        <w:ind w:left="850"/>
        <w:rPr>
          <w:noProof/>
          <w:sz w:val="22"/>
        </w:rPr>
      </w:pPr>
      <w:r>
        <w:rPr>
          <w:rFonts w:ascii="Wingdings" w:hAnsi="Wingdings"/>
          <w:noProof/>
          <w:sz w:val="22"/>
        </w:rPr>
        <w:t>x</w:t>
      </w:r>
      <w:r>
        <w:rPr>
          <w:i/>
          <w:noProof/>
          <w:sz w:val="22"/>
        </w:rPr>
        <w:t xml:space="preserve"> </w:t>
      </w:r>
      <w:r>
        <w:rPr>
          <w:noProof/>
        </w:rPr>
        <w:t>prelungirea unei acțiuni existente</w:t>
      </w:r>
      <w:r>
        <w:rPr>
          <w:noProof/>
          <w:sz w:val="22"/>
        </w:rPr>
        <w:t xml:space="preserve"> </w:t>
      </w:r>
    </w:p>
    <w:p>
      <w:pPr>
        <w:ind w:left="850"/>
        <w:rPr>
          <w:noProof/>
        </w:rPr>
      </w:pPr>
      <w:r>
        <w:rPr>
          <w:rFonts w:ascii="Wingdings" w:hAnsi="Wingdings"/>
          <w:noProof/>
          <w:sz w:val="22"/>
        </w:rPr>
        <w:t>¨</w:t>
      </w:r>
      <w:r>
        <w:rPr>
          <w:i/>
          <w:noProof/>
          <w:sz w:val="22"/>
        </w:rPr>
        <w:t xml:space="preserve"> </w:t>
      </w:r>
      <w:r>
        <w:rPr>
          <w:noProof/>
        </w:rPr>
        <w:t>o fuziune sau o redirecționare a uneia sau mai multor acțiuni către o altă/o nouă acțiune</w:t>
      </w:r>
    </w:p>
    <w:p>
      <w:pPr>
        <w:keepNext/>
        <w:tabs>
          <w:tab w:val="left" w:pos="850"/>
        </w:tabs>
        <w:ind w:left="850" w:hanging="850"/>
        <w:outlineLvl w:val="1"/>
        <w:rPr>
          <w:b/>
          <w:bCs/>
          <w:noProof/>
          <w:szCs w:val="24"/>
        </w:rPr>
      </w:pPr>
      <w:bookmarkStart w:id="55" w:name="_Toc514938025"/>
      <w:bookmarkStart w:id="56" w:name="_Toc520485034"/>
      <w:bookmarkStart w:id="57" w:name="_Toc160804576"/>
      <w:bookmarkStart w:id="58" w:name="_Toc167220268"/>
      <w:bookmarkStart w:id="59" w:name="_Toc177549001"/>
      <w:r>
        <w:rPr>
          <w:b/>
          <w:noProof/>
        </w:rPr>
        <w:t>1.5.</w:t>
      </w:r>
      <w:r>
        <w:rPr>
          <w:noProof/>
        </w:rPr>
        <w:tab/>
      </w:r>
      <w:r>
        <w:rPr>
          <w:b/>
          <w:noProof/>
        </w:rPr>
        <w:t>Motivele propunerii/inițiativei</w:t>
      </w:r>
      <w:bookmarkEnd w:id="55"/>
      <w:bookmarkEnd w:id="56"/>
      <w:bookmarkEnd w:id="57"/>
      <w:bookmarkEnd w:id="58"/>
      <w:bookmarkEnd w:id="59"/>
      <w:r>
        <w:rPr>
          <w:b/>
          <w:noProof/>
        </w:rPr>
        <w:t xml:space="preserve"> </w:t>
      </w:r>
    </w:p>
    <w:p>
      <w:pPr>
        <w:keepNext/>
        <w:tabs>
          <w:tab w:val="left" w:pos="850"/>
        </w:tabs>
        <w:ind w:left="850" w:hanging="850"/>
        <w:outlineLvl w:val="2"/>
        <w:rPr>
          <w:i/>
          <w:noProof/>
        </w:rPr>
      </w:pPr>
      <w:bookmarkStart w:id="60" w:name="_Toc514938026"/>
      <w:bookmarkStart w:id="61" w:name="_Toc520485035"/>
      <w:bookmarkStart w:id="62" w:name="_Toc160804577"/>
      <w:bookmarkStart w:id="63" w:name="_Toc167220269"/>
      <w:bookmarkStart w:id="64" w:name="_Toc177549002"/>
      <w:r>
        <w:rPr>
          <w:i/>
          <w:noProof/>
        </w:rPr>
        <w:t>1.5.1.</w:t>
      </w:r>
      <w:r>
        <w:rPr>
          <w:noProof/>
        </w:rPr>
        <w:tab/>
      </w:r>
      <w:r>
        <w:rPr>
          <w:i/>
          <w:noProof/>
        </w:rPr>
        <w:t>Cerința (cerințele) care trebuie îndeplinită (îndeplinite) pe termen scurt sau lung, inclusiv un calendar detaliat pentru punerea în aplicare a inițiativei</w:t>
      </w:r>
      <w:bookmarkEnd w:id="60"/>
      <w:bookmarkEnd w:id="61"/>
      <w:bookmarkEnd w:id="62"/>
      <w:bookmarkEnd w:id="63"/>
      <w:bookmarkEnd w:id="64"/>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 xml:space="preserve">Principala cerință pe termen scurt este ajungerea la un acord între colegiuitori cu privire la propunerea legislativă până în T3 2027. </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Propunerea prevede adoptarea de acte de punere în aplicare.</w:t>
      </w:r>
    </w:p>
    <w:p>
      <w:pPr>
        <w:keepNext/>
        <w:tabs>
          <w:tab w:val="left" w:pos="850"/>
        </w:tabs>
        <w:ind w:left="850" w:hanging="850"/>
        <w:outlineLvl w:val="2"/>
        <w:rPr>
          <w:bCs/>
          <w:i/>
          <w:noProof/>
          <w:szCs w:val="24"/>
        </w:rPr>
      </w:pPr>
      <w:bookmarkStart w:id="65" w:name="_Toc514938029"/>
      <w:bookmarkStart w:id="66" w:name="_Toc520485036"/>
      <w:bookmarkStart w:id="67" w:name="_Toc160804578"/>
      <w:bookmarkStart w:id="68" w:name="_Toc167220270"/>
      <w:bookmarkStart w:id="69" w:name="_Toc177549003"/>
      <w:r>
        <w:rPr>
          <w:i/>
          <w:noProof/>
        </w:rPr>
        <w:t>1.5.2.</w:t>
      </w:r>
      <w:r>
        <w:rPr>
          <w:noProof/>
        </w:rPr>
        <w:tab/>
      </w:r>
      <w:r>
        <w:rPr>
          <w:i/>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65"/>
      <w:bookmarkEnd w:id="66"/>
      <w:bookmarkEnd w:id="67"/>
      <w:bookmarkEnd w:id="68"/>
      <w:bookmarkEnd w:id="69"/>
    </w:p>
    <w:p>
      <w:pPr>
        <w:pBdr>
          <w:top w:val="single" w:sz="4" w:space="1" w:color="auto"/>
          <w:left w:val="single" w:sz="4" w:space="4" w:color="auto"/>
          <w:bottom w:val="single" w:sz="4" w:space="1" w:color="auto"/>
          <w:right w:val="single" w:sz="4" w:space="4" w:color="auto"/>
        </w:pBdr>
        <w:ind w:left="850"/>
        <w:rPr>
          <w:noProof/>
        </w:rPr>
      </w:pPr>
      <w:r>
        <w:rPr>
          <w:noProof/>
        </w:rPr>
        <w:t>Acțiunea la nivelul UE aduce o valoare adăugată semnificativă prin sprijinirea liberei circulații a persoanelor în scopuri de studiu, de călătorie, de stabilire a reședinței, familiale sau profesionale. Având în vedere caracterul transfrontalier al problemelor identificate, acestea pot fi soluționate în mod eficace numai prin intervenția la nivelul UE, nu prin eforturile individuale ale statelor membre. O acțiune la nivelul UE va asigura alinierea cu alte inițiative digitale ale UE, cum ar fi Regulamentul privind portalul digital unic și cadrul european pentru identitatea digitală, asigurând eficiența necesară. Acțiunea la nivelul UE previne fragmentarea care ar putea apărea dacă statele membre ar dezvolta soluții digitale diferite, ceea ce ar duce la rezultate sub nivelul optim și la costuri de remediere potențial mai mari.</w:t>
      </w:r>
    </w:p>
    <w:p>
      <w:pPr>
        <w:keepNext/>
        <w:tabs>
          <w:tab w:val="left" w:pos="850"/>
        </w:tabs>
        <w:ind w:left="850" w:hanging="850"/>
        <w:outlineLvl w:val="2"/>
        <w:rPr>
          <w:i/>
          <w:noProof/>
        </w:rPr>
      </w:pPr>
      <w:bookmarkStart w:id="70" w:name="_Toc514938030"/>
      <w:bookmarkStart w:id="71" w:name="_Toc520485037"/>
      <w:bookmarkStart w:id="72" w:name="_Toc160804579"/>
      <w:bookmarkStart w:id="73" w:name="_Toc167220271"/>
      <w:bookmarkStart w:id="74" w:name="_Toc177549004"/>
      <w:r>
        <w:rPr>
          <w:i/>
          <w:noProof/>
        </w:rPr>
        <w:t>1.5.3.</w:t>
      </w:r>
      <w:r>
        <w:rPr>
          <w:noProof/>
        </w:rPr>
        <w:tab/>
      </w:r>
      <w:r>
        <w:rPr>
          <w:i/>
          <w:noProof/>
        </w:rPr>
        <w:t>Învățăminte desprinse din experiențele anterioare similare</w:t>
      </w:r>
      <w:bookmarkEnd w:id="70"/>
      <w:bookmarkEnd w:id="71"/>
      <w:bookmarkEnd w:id="72"/>
      <w:bookmarkEnd w:id="73"/>
      <w:bookmarkEnd w:id="74"/>
    </w:p>
    <w:p>
      <w:pPr>
        <w:pBdr>
          <w:top w:val="single" w:sz="4" w:space="1" w:color="auto"/>
          <w:left w:val="single" w:sz="4" w:space="4" w:color="auto"/>
          <w:bottom w:val="single" w:sz="4" w:space="1" w:color="auto"/>
          <w:right w:val="single" w:sz="4" w:space="4" w:color="auto"/>
        </w:pBdr>
        <w:ind w:left="850"/>
        <w:rPr>
          <w:noProof/>
        </w:rPr>
      </w:pPr>
      <w:r>
        <w:rPr>
          <w:noProof/>
        </w:rPr>
        <w:t xml:space="preserve">Unul dintre principalele elemente luate în considerare la estimarea necesarului bugetar pentru această inițiativă l-au constituit învățămintele valoroase desprinse din experiențele anterioare, în special cele rezultate din punerea în aplicare a Sistemului de schimb electronic de informații privind securitatea socială (EESSI). Proiecțiile financiare țin seama de sprijinul operațional și tehnic necesar pentru punerea în aplicare la nivel național de către statele membre, astfel încât să se asigure alocarea unor resurse adecvate. În plus, informațiile obținute din activitățile-pilot ESSPASS au permis o mai bună înțelegere a amplorii eforturilor necesare și a resurselor care trebuie alocate. </w:t>
      </w:r>
    </w:p>
    <w:p>
      <w:pPr>
        <w:keepNext/>
        <w:tabs>
          <w:tab w:val="left" w:pos="850"/>
        </w:tabs>
        <w:ind w:left="850" w:hanging="850"/>
        <w:outlineLvl w:val="2"/>
        <w:rPr>
          <w:i/>
          <w:noProof/>
        </w:rPr>
      </w:pPr>
      <w:bookmarkStart w:id="75" w:name="_Toc514938033"/>
      <w:bookmarkStart w:id="76" w:name="_Toc520485038"/>
      <w:bookmarkStart w:id="77" w:name="_Toc160804580"/>
      <w:bookmarkStart w:id="78" w:name="_Toc167220272"/>
      <w:bookmarkStart w:id="79" w:name="_Toc177549005"/>
      <w:r>
        <w:rPr>
          <w:i/>
          <w:noProof/>
        </w:rPr>
        <w:t>1.5.4.</w:t>
      </w:r>
      <w:r>
        <w:rPr>
          <w:noProof/>
        </w:rPr>
        <w:tab/>
      </w:r>
      <w:r>
        <w:rPr>
          <w:i/>
          <w:noProof/>
        </w:rPr>
        <w:t>Compatibilitatea cu cadrul financiar multianual și posibilele sinergii cu alte instrumente corespunzătoare</w:t>
      </w:r>
      <w:bookmarkEnd w:id="75"/>
      <w:bookmarkEnd w:id="76"/>
      <w:bookmarkEnd w:id="77"/>
      <w:bookmarkEnd w:id="78"/>
      <w:bookmarkEnd w:id="79"/>
    </w:p>
    <w:p>
      <w:pPr>
        <w:pBdr>
          <w:top w:val="single" w:sz="4" w:space="1" w:color="auto"/>
          <w:left w:val="single" w:sz="4" w:space="4" w:color="auto"/>
          <w:bottom w:val="single" w:sz="4" w:space="1" w:color="auto"/>
          <w:right w:val="single" w:sz="4" w:space="4" w:color="auto"/>
        </w:pBdr>
        <w:ind w:left="850"/>
        <w:rPr>
          <w:noProof/>
        </w:rPr>
      </w:pPr>
      <w:r>
        <w:rPr>
          <w:noProof/>
        </w:rPr>
        <w:t xml:space="preserve">Propunerea este compatibilă cu cadrul financiar multianual. </w:t>
      </w:r>
    </w:p>
    <w:p>
      <w:pPr>
        <w:pBdr>
          <w:top w:val="single" w:sz="4" w:space="1" w:color="auto"/>
          <w:left w:val="single" w:sz="4" w:space="4" w:color="auto"/>
          <w:bottom w:val="single" w:sz="4" w:space="1" w:color="auto"/>
          <w:right w:val="single" w:sz="4" w:space="4" w:color="auto"/>
        </w:pBdr>
        <w:ind w:left="850"/>
        <w:rPr>
          <w:noProof/>
        </w:rPr>
      </w:pPr>
      <w:r>
        <w:rPr>
          <w:noProof/>
        </w:rPr>
        <w:t xml:space="preserve">Aceasta face parte din pachetul privind mobilitatea echitabilă a forței de muncă și sprijină Pilonul european al drepturilor sociale și programul de politică pentru 2030 privind deceniul digital. </w:t>
      </w:r>
    </w:p>
    <w:p>
      <w:pPr>
        <w:keepNext/>
        <w:tabs>
          <w:tab w:val="left" w:pos="850"/>
        </w:tabs>
        <w:ind w:left="850" w:hanging="850"/>
        <w:outlineLvl w:val="2"/>
        <w:rPr>
          <w:i/>
          <w:noProof/>
        </w:rPr>
      </w:pPr>
      <w:bookmarkStart w:id="80" w:name="_Toc514938036"/>
      <w:bookmarkStart w:id="81" w:name="_Toc520485039"/>
      <w:bookmarkStart w:id="82" w:name="_Toc160804581"/>
      <w:bookmarkStart w:id="83" w:name="_Toc167220273"/>
      <w:bookmarkStart w:id="84" w:name="_Toc177549006"/>
      <w:r>
        <w:rPr>
          <w:i/>
          <w:noProof/>
        </w:rPr>
        <w:t>1.5.5.</w:t>
      </w:r>
      <w:r>
        <w:rPr>
          <w:noProof/>
        </w:rPr>
        <w:tab/>
      </w:r>
      <w:r>
        <w:rPr>
          <w:i/>
          <w:noProof/>
        </w:rPr>
        <w:t xml:space="preserve">Evaluarea diferitelor opțiuni de finanțare disponibile, inclusiv a posibilităților de realocare a creditelor </w:t>
      </w:r>
      <w:bookmarkEnd w:id="80"/>
      <w:bookmarkEnd w:id="81"/>
      <w:bookmarkEnd w:id="82"/>
      <w:bookmarkEnd w:id="83"/>
      <w:bookmarkEnd w:id="84"/>
    </w:p>
    <w:p>
      <w:pPr>
        <w:keepNext/>
        <w:tabs>
          <w:tab w:val="left" w:pos="850"/>
        </w:tabs>
        <w:ind w:left="850" w:hanging="850"/>
        <w:outlineLvl w:val="1"/>
        <w:rPr>
          <w:noProof/>
        </w:rPr>
      </w:pPr>
      <w:r>
        <w:rPr>
          <w:b/>
          <w:noProof/>
          <w:color w:val="0000FF"/>
        </w:rPr>
        <w:t xml:space="preserve"> </w:t>
      </w:r>
      <w:r>
        <w:rPr>
          <w:noProof/>
        </w:rPr>
        <w:tab/>
        <w:t>Punerea în aplicare a prezentei propuneri legislative necesită organizarea de reuniuni cu statele membre în cadrul Grupului privind digitalizarea coordonării securității sociale și în cadrul comitetului care sprijină adoptarea actelor de punere în aplicare, precum și alocarea de resurse umane pentru sprijinirea punerii în aplicare la nivel național de către statele membre. Cheltuielile necesare pentru organizarea acestor reuniuni, și anume cheltuielile de deplasare ale delegaților, precum și cele necesare pentru furnizarea sprijinului menționat, sunt acoperite din bugetul general.</w:t>
      </w:r>
    </w:p>
    <w:p>
      <w:pPr>
        <w:keepNext/>
        <w:tabs>
          <w:tab w:val="left" w:pos="850"/>
        </w:tabs>
        <w:outlineLvl w:val="1"/>
        <w:rPr>
          <w:noProof/>
        </w:rPr>
      </w:pPr>
    </w:p>
    <w:p>
      <w:pPr>
        <w:keepNext/>
        <w:tabs>
          <w:tab w:val="left" w:pos="850"/>
        </w:tabs>
        <w:ind w:left="850" w:hanging="850"/>
        <w:outlineLvl w:val="1"/>
        <w:rPr>
          <w:b/>
          <w:bCs/>
          <w:noProof/>
          <w:szCs w:val="24"/>
        </w:rPr>
      </w:pPr>
      <w:r>
        <w:rPr>
          <w:noProof/>
        </w:rPr>
        <w:br w:type="page"/>
      </w:r>
      <w:bookmarkStart w:id="85" w:name="_Toc514938039"/>
      <w:bookmarkStart w:id="86" w:name="_Toc520485040"/>
      <w:bookmarkStart w:id="87" w:name="_Toc160804582"/>
      <w:bookmarkStart w:id="88" w:name="_Toc167220274"/>
      <w:bookmarkStart w:id="89" w:name="_Toc177549007"/>
      <w:r>
        <w:rPr>
          <w:b/>
          <w:noProof/>
        </w:rPr>
        <w:t>1.6.</w:t>
      </w:r>
      <w:r>
        <w:rPr>
          <w:noProof/>
        </w:rPr>
        <w:tab/>
      </w:r>
      <w:r>
        <w:rPr>
          <w:b/>
          <w:noProof/>
        </w:rPr>
        <w:t>Durata propunerii/inițiativei</w:t>
      </w:r>
      <w:bookmarkEnd w:id="85"/>
      <w:bookmarkEnd w:id="86"/>
      <w:r>
        <w:rPr>
          <w:b/>
          <w:noProof/>
        </w:rPr>
        <w:t xml:space="preserve"> și a impactului său financiar</w:t>
      </w:r>
      <w:bookmarkEnd w:id="87"/>
      <w:bookmarkEnd w:id="88"/>
      <w:bookmarkEnd w:id="89"/>
    </w:p>
    <w:p>
      <w:pPr>
        <w:ind w:left="850"/>
        <w:rPr>
          <w:noProof/>
        </w:rPr>
      </w:pPr>
      <w:r>
        <w:rPr>
          <w:rFonts w:ascii="Wingdings" w:hAnsi="Wingdings"/>
          <w:noProof/>
        </w:rPr>
        <w:t>¨</w:t>
      </w:r>
      <w:r>
        <w:rPr>
          <w:b/>
          <w:i/>
          <w:noProof/>
        </w:rPr>
        <w:t xml:space="preserve"> </w:t>
      </w:r>
      <w:r>
        <w:rPr>
          <w:b/>
          <w:noProof/>
        </w:rPr>
        <w:t xml:space="preserve">durată limitată </w:t>
      </w:r>
    </w:p>
    <w:p>
      <w:pPr>
        <w:pStyle w:val="Bullet0"/>
        <w:rPr>
          <w:noProof/>
        </w:rPr>
      </w:pPr>
      <w:r>
        <w:rPr>
          <w:rFonts w:ascii="Wingdings" w:hAnsi="Wingdings"/>
          <w:noProof/>
        </w:rPr>
        <w:t>¨</w:t>
      </w:r>
      <w:r>
        <w:rPr>
          <w:noProof/>
        </w:rPr>
        <w:tab/>
        <w:t xml:space="preserve">de la [ZZ/LL]AAAA până la [ZZ/LL]AAAA </w:t>
      </w:r>
    </w:p>
    <w:p>
      <w:pPr>
        <w:pStyle w:val="Bullet0"/>
        <w:rPr>
          <w:noProof/>
        </w:rPr>
      </w:pPr>
      <w:r>
        <w:rPr>
          <w:rFonts w:ascii="Wingdings" w:hAnsi="Wingdings"/>
          <w:noProof/>
        </w:rPr>
        <w:t>¨</w:t>
      </w:r>
      <w:r>
        <w:rPr>
          <w:noProof/>
        </w:rPr>
        <w:tab/>
        <w:t xml:space="preserve">impactul financiar din AAAA până în AAAA pentru creditele de angajament și din AAAA până în AAAA pentru creditele de plată. </w:t>
      </w:r>
    </w:p>
    <w:p>
      <w:pPr>
        <w:ind w:left="850"/>
        <w:rPr>
          <w:noProof/>
        </w:rPr>
      </w:pPr>
      <w:r>
        <w:rPr>
          <w:rFonts w:ascii="Wingdings" w:hAnsi="Wingdings"/>
          <w:noProof/>
        </w:rPr>
        <w:t>X</w:t>
      </w:r>
      <w:r>
        <w:rPr>
          <w:b/>
          <w:noProof/>
        </w:rPr>
        <w:t xml:space="preserve"> durată nelimitată</w:t>
      </w:r>
    </w:p>
    <w:p>
      <w:pPr>
        <w:pStyle w:val="Point0"/>
        <w:rPr>
          <w:noProof/>
        </w:rPr>
      </w:pPr>
      <w:r>
        <w:rPr>
          <w:noProof/>
        </w:rPr>
        <w:t>(1)</w:t>
      </w:r>
      <w:r>
        <w:rPr>
          <w:noProof/>
        </w:rPr>
        <w:tab/>
        <w:t>Punere în aplicare cu o perioadă de pregătire din 2026 până în 2030,</w:t>
      </w:r>
    </w:p>
    <w:p>
      <w:pPr>
        <w:pStyle w:val="Point0"/>
        <w:rPr>
          <w:noProof/>
        </w:rPr>
      </w:pPr>
      <w:r>
        <w:rPr>
          <w:noProof/>
        </w:rPr>
        <w:t>(2)</w:t>
      </w:r>
      <w:r>
        <w:rPr>
          <w:noProof/>
        </w:rPr>
        <w:tab/>
        <w:t>urmată de o perioadă de funcționare la capacitate maximă.</w:t>
      </w:r>
    </w:p>
    <w:p>
      <w:pPr>
        <w:keepNext/>
        <w:tabs>
          <w:tab w:val="left" w:pos="850"/>
        </w:tabs>
        <w:ind w:left="850" w:hanging="850"/>
        <w:outlineLvl w:val="1"/>
        <w:rPr>
          <w:b/>
          <w:bCs/>
          <w:noProof/>
          <w:szCs w:val="24"/>
        </w:rPr>
      </w:pPr>
      <w:bookmarkStart w:id="90" w:name="_Toc514938040"/>
      <w:bookmarkStart w:id="91" w:name="_Toc520485041"/>
      <w:bookmarkStart w:id="92" w:name="_Toc160804583"/>
      <w:bookmarkStart w:id="93" w:name="_Toc167220275"/>
      <w:bookmarkStart w:id="94" w:name="_Toc177549008"/>
      <w:r>
        <w:rPr>
          <w:b/>
          <w:noProof/>
        </w:rPr>
        <w:t>1.7.</w:t>
      </w:r>
      <w:r>
        <w:rPr>
          <w:noProof/>
        </w:rPr>
        <w:tab/>
      </w:r>
      <w:r>
        <w:rPr>
          <w:b/>
          <w:noProof/>
        </w:rPr>
        <w:t>Metoda (metodele) de execuție a bugetului planificată (planificate)</w:t>
      </w:r>
      <w:bookmarkEnd w:id="90"/>
      <w:bookmarkEnd w:id="91"/>
      <w:bookmarkEnd w:id="92"/>
      <w:bookmarkEnd w:id="93"/>
      <w:bookmarkEnd w:id="94"/>
      <w:r>
        <w:rPr>
          <w:b/>
          <w:noProof/>
        </w:rPr>
        <w:t xml:space="preserve"> </w:t>
      </w:r>
    </w:p>
    <w:p>
      <w:pPr>
        <w:pStyle w:val="Text2"/>
        <w:rPr>
          <w:noProof/>
        </w:rPr>
      </w:pPr>
      <w:r>
        <w:rPr>
          <w:rFonts w:ascii="Wingdings" w:hAnsi="Wingdings"/>
          <w:noProof/>
        </w:rPr>
        <w:t>X</w:t>
      </w:r>
      <w:r>
        <w:rPr>
          <w:i/>
          <w:noProof/>
        </w:rPr>
        <w:t xml:space="preserve"> </w:t>
      </w:r>
      <w:r>
        <w:rPr>
          <w:b/>
          <w:noProof/>
        </w:rPr>
        <w:t>Gestiune directă</w:t>
      </w:r>
      <w:r>
        <w:rPr>
          <w:noProof/>
        </w:rPr>
        <w:t xml:space="preserve"> asigurată de Comisie</w:t>
      </w:r>
    </w:p>
    <w:p>
      <w:pPr>
        <w:pStyle w:val="Bullet0"/>
        <w:rPr>
          <w:rFonts w:cs="EUAlbertina"/>
          <w:noProof/>
        </w:rPr>
      </w:pPr>
      <w:r>
        <w:rPr>
          <w:rFonts w:ascii="Wingdings" w:hAnsi="Wingdings"/>
          <w:noProof/>
        </w:rPr>
        <w:t>X</w:t>
      </w:r>
      <w:r>
        <w:rPr>
          <w:noProof/>
        </w:rPr>
        <w:t xml:space="preserve"> prin intermediul serviciilor sale, inclusiv al personalului din delegațiile Uniunii </w:t>
      </w:r>
    </w:p>
    <w:p>
      <w:pPr>
        <w:pStyle w:val="Bullet0"/>
        <w:rPr>
          <w:noProof/>
        </w:rPr>
      </w:pPr>
      <w:r>
        <w:rPr>
          <w:rFonts w:ascii="Wingdings" w:hAnsi="Wingdings"/>
          <w:noProof/>
        </w:rPr>
        <w:t>¨</w:t>
      </w:r>
      <w:r>
        <w:rPr>
          <w:noProof/>
        </w:rPr>
        <w:tab/>
        <w:t xml:space="preserve">prin intermediul agențiilor executive </w:t>
      </w:r>
    </w:p>
    <w:p>
      <w:pPr>
        <w:pStyle w:val="Text2"/>
        <w:rPr>
          <w:noProof/>
        </w:rPr>
      </w:pPr>
      <w:r>
        <w:rPr>
          <w:rFonts w:ascii="Wingdings" w:hAnsi="Wingdings"/>
          <w:noProof/>
        </w:rPr>
        <w:t>¨</w:t>
      </w:r>
      <w:r>
        <w:rPr>
          <w:b/>
          <w:i/>
          <w:noProof/>
        </w:rPr>
        <w:t xml:space="preserve"> </w:t>
      </w:r>
      <w:r>
        <w:rPr>
          <w:b/>
          <w:noProof/>
        </w:rPr>
        <w:t>Gestiune partajată</w:t>
      </w:r>
      <w:r>
        <w:rPr>
          <w:noProof/>
        </w:rPr>
        <w:t xml:space="preserve"> cu statele membre </w:t>
      </w:r>
    </w:p>
    <w:p>
      <w:pPr>
        <w:pStyle w:val="Text2"/>
        <w:rPr>
          <w:noProof/>
        </w:rPr>
      </w:pPr>
      <w:r>
        <w:rPr>
          <w:rFonts w:ascii="Wingdings" w:hAnsi="Wingdings"/>
          <w:noProof/>
        </w:rPr>
        <w:t>¨</w:t>
      </w:r>
      <w:r>
        <w:rPr>
          <w:i/>
          <w:noProof/>
        </w:rPr>
        <w:t xml:space="preserve"> </w:t>
      </w:r>
      <w:r>
        <w:rPr>
          <w:b/>
          <w:noProof/>
        </w:rPr>
        <w:t>Gestiune indirectă</w:t>
      </w:r>
      <w:r>
        <w:rPr>
          <w:noProof/>
        </w:rPr>
        <w:t>, cu delegarea sarcinilor de execuție bugetară:</w:t>
      </w:r>
    </w:p>
    <w:p>
      <w:pPr>
        <w:pStyle w:val="Bullet0"/>
        <w:rPr>
          <w:noProof/>
        </w:rPr>
      </w:pPr>
      <w:r>
        <w:rPr>
          <w:rFonts w:ascii="Wingdings" w:hAnsi="Wingdings"/>
          <w:noProof/>
        </w:rPr>
        <w:t>¨</w:t>
      </w:r>
      <w:r>
        <w:rPr>
          <w:noProof/>
        </w:rPr>
        <w:t xml:space="preserve"> țărilor terțe sau organismelor pe care le-au desemnat acestea</w:t>
      </w:r>
    </w:p>
    <w:p>
      <w:pPr>
        <w:pStyle w:val="Bullet0"/>
        <w:rPr>
          <w:noProof/>
        </w:rPr>
      </w:pPr>
      <w:r>
        <w:rPr>
          <w:rFonts w:ascii="Wingdings" w:hAnsi="Wingdings"/>
          <w:noProof/>
        </w:rPr>
        <w:t>¨</w:t>
      </w:r>
      <w:r>
        <w:rPr>
          <w:noProof/>
        </w:rPr>
        <w:t xml:space="preserve"> organizațiilor internaționale și agențiilor acestora (a se preciza)</w:t>
      </w:r>
    </w:p>
    <w:p>
      <w:pPr>
        <w:pStyle w:val="Bullet0"/>
        <w:rPr>
          <w:noProof/>
        </w:rPr>
      </w:pPr>
      <w:r>
        <w:rPr>
          <w:rFonts w:ascii="Wingdings" w:hAnsi="Wingdings"/>
          <w:noProof/>
        </w:rPr>
        <w:t>¨</w:t>
      </w:r>
      <w:r>
        <w:rPr>
          <w:noProof/>
        </w:rPr>
        <w:t xml:space="preserve"> Băncii Europene de Investiții și Fondului European de Investiții</w:t>
      </w:r>
    </w:p>
    <w:p>
      <w:pPr>
        <w:pStyle w:val="Bullet0"/>
        <w:rPr>
          <w:noProof/>
        </w:rPr>
      </w:pPr>
      <w:r>
        <w:rPr>
          <w:rFonts w:ascii="Wingdings" w:hAnsi="Wingdings"/>
          <w:noProof/>
        </w:rPr>
        <w:t>¨</w:t>
      </w:r>
      <w:r>
        <w:rPr>
          <w:noProof/>
        </w:rPr>
        <w:t xml:space="preserve"> organismelor menționate la articolele 70 și 71 din Regulamentul financiar</w:t>
      </w:r>
    </w:p>
    <w:p>
      <w:pPr>
        <w:pStyle w:val="Bullet0"/>
        <w:rPr>
          <w:noProof/>
        </w:rPr>
      </w:pPr>
      <w:r>
        <w:rPr>
          <w:rFonts w:ascii="Wingdings" w:hAnsi="Wingdings"/>
          <w:noProof/>
        </w:rPr>
        <w:t>¨</w:t>
      </w:r>
      <w:r>
        <w:rPr>
          <w:noProof/>
        </w:rPr>
        <w:t xml:space="preserve"> organismelor de drept public</w:t>
      </w:r>
    </w:p>
    <w:p>
      <w:pPr>
        <w:pStyle w:val="Bullet0"/>
        <w:rPr>
          <w:noProof/>
        </w:rPr>
      </w:pPr>
      <w:r>
        <w:rPr>
          <w:rFonts w:ascii="Wingdings" w:hAnsi="Wingdings"/>
          <w:noProof/>
        </w:rPr>
        <w:t>¨</w:t>
      </w:r>
      <w:r>
        <w:rPr>
          <w:noProof/>
        </w:rPr>
        <w:t xml:space="preserve"> organismelor de drept privat cu misiune de serviciu public, cu condiția să li se furnizeze garanții financiare adecvate</w:t>
      </w:r>
    </w:p>
    <w:p>
      <w:pPr>
        <w:pStyle w:val="Bullet0"/>
        <w:rPr>
          <w:noProof/>
        </w:rPr>
      </w:pPr>
      <w:r>
        <w:rPr>
          <w:rFonts w:ascii="Wingdings" w:hAnsi="Wingdings"/>
          <w:noProof/>
        </w:rPr>
        <w:t>¨</w:t>
      </w:r>
      <w:r>
        <w:rPr>
          <w:noProof/>
        </w:rPr>
        <w:t xml:space="preserve"> organismelor de drept privat dintr-un stat membru care sunt responsabile cu punerea în aplicare a unui parteneriat public-privat și cărora li se furnizează garanții financiare adecvate</w:t>
      </w:r>
    </w:p>
    <w:p>
      <w:pPr>
        <w:pStyle w:val="Bullet0"/>
        <w:rPr>
          <w:noProof/>
        </w:rPr>
      </w:pPr>
      <w:r>
        <w:rPr>
          <w:rFonts w:ascii="Wingdings" w:hAnsi="Wingdings"/>
          <w:noProof/>
        </w:rPr>
        <w:t>¨</w:t>
      </w:r>
      <w:r>
        <w:rPr>
          <w:noProof/>
        </w:rPr>
        <w:t>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Bullet0"/>
        <w:rPr>
          <w:noProof/>
        </w:rPr>
      </w:pPr>
      <w:r>
        <w:rPr>
          <w:rFonts w:ascii="Wingdings" w:hAnsi="Wingdings"/>
          <w:noProof/>
        </w:rPr>
        <w:t>¨ </w:t>
      </w:r>
      <w:r>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rPr>
          <w:noProof/>
        </w:rPr>
      </w:pPr>
      <w:r>
        <w:rPr>
          <w:noProof/>
        </w:rPr>
        <w:t xml:space="preserve">Observații </w:t>
      </w:r>
    </w:p>
    <w:p>
      <w:pPr>
        <w:pBdr>
          <w:top w:val="single" w:sz="4" w:space="1" w:color="auto"/>
          <w:left w:val="single" w:sz="4" w:space="4" w:color="auto"/>
          <w:bottom w:val="single" w:sz="4" w:space="1" w:color="auto"/>
          <w:right w:val="single" w:sz="4" w:space="4" w:color="auto"/>
        </w:pBdr>
        <w:rPr>
          <w:noProof/>
        </w:rPr>
      </w:pPr>
      <w:r>
        <w:rPr>
          <w:noProof/>
        </w:rPr>
        <w:t>Începând cu 2028, va exista un necesar financiar modest, dar recurent. Acest necesar va trebui avut în vedere la pregătirea CFM pentru perioada de după 2027 (2028-2034), astfel încât să se asigure alocarea unor resurse adecvate pentru continuarea sprijinului acordat punerii în aplicare.</w:t>
      </w:r>
    </w:p>
    <w:p>
      <w:pPr>
        <w:pBdr>
          <w:top w:val="single" w:sz="4" w:space="1" w:color="auto"/>
          <w:left w:val="single" w:sz="4" w:space="4" w:color="auto"/>
          <w:bottom w:val="single" w:sz="4" w:space="1" w:color="auto"/>
          <w:right w:val="single" w:sz="4" w:space="4" w:color="auto"/>
        </w:pBdr>
        <w:rPr>
          <w:noProof/>
        </w:rPr>
      </w:pPr>
      <w:r>
        <w:rPr>
          <w:noProof/>
        </w:rPr>
        <w:t>Impactul estimat asupra cheltuielilor și a personalului pentru 2028 și ulterior este adăugat doar cu titlu orientativ și nu aduce atingere următorului cadru financiar multianual. Sursa de finanțare și amploarea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rPr>
          <w:noProof/>
        </w:rPr>
        <w:sectPr>
          <w:pgSz w:w="11907" w:h="16840" w:code="9"/>
          <w:pgMar w:top="1134" w:right="1418" w:bottom="1134" w:left="1418" w:header="709" w:footer="709" w:gutter="0"/>
          <w:cols w:space="708"/>
          <w:docGrid w:linePitch="360"/>
        </w:sectPr>
      </w:pPr>
    </w:p>
    <w:p>
      <w:pPr>
        <w:keepNext/>
        <w:tabs>
          <w:tab w:val="left" w:pos="850"/>
        </w:tabs>
        <w:spacing w:before="360"/>
        <w:ind w:left="850" w:hanging="850"/>
        <w:outlineLvl w:val="0"/>
        <w:rPr>
          <w:b/>
          <w:bCs/>
          <w:smallCaps/>
          <w:noProof/>
          <w:szCs w:val="24"/>
        </w:rPr>
      </w:pPr>
      <w:bookmarkStart w:id="95" w:name="_Toc514938041"/>
      <w:bookmarkStart w:id="96" w:name="_Toc520485042"/>
      <w:bookmarkStart w:id="97" w:name="_Toc160804584"/>
      <w:bookmarkStart w:id="98" w:name="_Toc167220276"/>
      <w:bookmarkStart w:id="99" w:name="_Toc177549009"/>
      <w:r>
        <w:rPr>
          <w:b/>
          <w:smallCaps/>
          <w:noProof/>
        </w:rPr>
        <w:t>2.</w:t>
      </w:r>
      <w:r>
        <w:rPr>
          <w:noProof/>
        </w:rPr>
        <w:tab/>
      </w:r>
      <w:r>
        <w:rPr>
          <w:b/>
          <w:smallCaps/>
          <w:noProof/>
        </w:rPr>
        <w:t>MĂSURI DE GESTIUNE</w:t>
      </w:r>
      <w:bookmarkEnd w:id="95"/>
      <w:bookmarkEnd w:id="96"/>
      <w:bookmarkEnd w:id="97"/>
      <w:bookmarkEnd w:id="98"/>
      <w:bookmarkEnd w:id="99"/>
      <w:r>
        <w:rPr>
          <w:b/>
          <w:smallCaps/>
          <w:noProof/>
        </w:rPr>
        <w:t xml:space="preserve"> </w:t>
      </w:r>
    </w:p>
    <w:p>
      <w:pPr>
        <w:keepNext/>
        <w:tabs>
          <w:tab w:val="left" w:pos="850"/>
        </w:tabs>
        <w:ind w:left="850" w:hanging="850"/>
        <w:outlineLvl w:val="1"/>
        <w:rPr>
          <w:b/>
          <w:noProof/>
        </w:rPr>
      </w:pPr>
      <w:bookmarkStart w:id="100" w:name="_Toc514938042"/>
      <w:bookmarkStart w:id="101" w:name="_Toc520485043"/>
      <w:bookmarkStart w:id="102" w:name="_Toc160804585"/>
      <w:bookmarkStart w:id="103" w:name="_Toc167220277"/>
      <w:bookmarkStart w:id="104" w:name="_Toc177549010"/>
      <w:r>
        <w:rPr>
          <w:b/>
          <w:noProof/>
        </w:rPr>
        <w:t>2.1.</w:t>
      </w:r>
      <w:r>
        <w:rPr>
          <w:noProof/>
        </w:rPr>
        <w:tab/>
      </w:r>
      <w:r>
        <w:rPr>
          <w:b/>
          <w:noProof/>
        </w:rPr>
        <w:t>Dispoziții în materie de monitorizare și de raportare</w:t>
      </w:r>
      <w:bookmarkEnd w:id="100"/>
      <w:bookmarkEnd w:id="101"/>
      <w:bookmarkEnd w:id="102"/>
      <w:bookmarkEnd w:id="103"/>
      <w:bookmarkEnd w:id="104"/>
      <w:r>
        <w:rPr>
          <w:b/>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color w:val="000000" w:themeColor="text1"/>
        </w:rPr>
        <w:t>Regulamentul propus stabilește în sarcina statelor membre o obligație de raportare menită să asigure transparența și responsabilitatea în ceea ce privește punerea în aplicare a dispozițiilor referitoare la termenele de eliberare a documentelor de securitate socială și la schimbul de date prin intermediul Sistemului de schimb electronic de informații privind securitatea socială (EESSI).</w:t>
      </w:r>
    </w:p>
    <w:p>
      <w:pPr>
        <w:keepNext/>
        <w:tabs>
          <w:tab w:val="left" w:pos="850"/>
        </w:tabs>
        <w:ind w:left="850" w:hanging="850"/>
        <w:outlineLvl w:val="1"/>
        <w:rPr>
          <w:b/>
          <w:bCs/>
          <w:noProof/>
          <w:szCs w:val="24"/>
        </w:rPr>
      </w:pPr>
      <w:bookmarkStart w:id="105" w:name="_Toc514938045"/>
      <w:bookmarkStart w:id="106" w:name="_Toc520485044"/>
      <w:bookmarkStart w:id="107" w:name="_Toc160804586"/>
      <w:bookmarkStart w:id="108" w:name="_Toc167220278"/>
      <w:bookmarkStart w:id="109" w:name="_Toc177549011"/>
      <w:r>
        <w:rPr>
          <w:b/>
          <w:noProof/>
        </w:rPr>
        <w:t>2.2.</w:t>
      </w:r>
      <w:r>
        <w:rPr>
          <w:noProof/>
        </w:rPr>
        <w:tab/>
      </w:r>
      <w:r>
        <w:rPr>
          <w:b/>
          <w:noProof/>
        </w:rPr>
        <w:t>Sistemul (sistemele) de gestiune și de control</w:t>
      </w:r>
      <w:bookmarkEnd w:id="105"/>
      <w:bookmarkEnd w:id="106"/>
      <w:bookmarkEnd w:id="107"/>
      <w:bookmarkEnd w:id="108"/>
      <w:bookmarkEnd w:id="109"/>
      <w:r>
        <w:rPr>
          <w:b/>
          <w:noProof/>
        </w:rPr>
        <w:t xml:space="preserve"> </w:t>
      </w:r>
    </w:p>
    <w:p>
      <w:pPr>
        <w:keepNext/>
        <w:tabs>
          <w:tab w:val="left" w:pos="850"/>
        </w:tabs>
        <w:ind w:left="850" w:hanging="850"/>
        <w:outlineLvl w:val="2"/>
        <w:rPr>
          <w:i/>
          <w:noProof/>
        </w:rPr>
      </w:pPr>
      <w:bookmarkStart w:id="110" w:name="_Toc514938046"/>
      <w:bookmarkStart w:id="111" w:name="_Toc520485045"/>
      <w:bookmarkStart w:id="112" w:name="_Toc160804587"/>
      <w:bookmarkStart w:id="113" w:name="_Toc167220279"/>
      <w:bookmarkStart w:id="114" w:name="_Toc177549012"/>
      <w:r>
        <w:rPr>
          <w:i/>
          <w:noProof/>
        </w:rPr>
        <w:t>2.2.1.</w:t>
      </w:r>
      <w:r>
        <w:rPr>
          <w:noProof/>
        </w:rPr>
        <w:tab/>
      </w:r>
      <w:r>
        <w:rPr>
          <w:i/>
          <w:noProof/>
        </w:rPr>
        <w:t>Justificarea metodei (metodelor) de execuție bugetară, a mecanismului (mecanismelor) de punere în aplicare a finanțării, a modalităților de plată și a strategiei de control propuse</w:t>
      </w:r>
      <w:bookmarkEnd w:id="110"/>
      <w:bookmarkEnd w:id="111"/>
      <w:bookmarkEnd w:id="112"/>
      <w:bookmarkEnd w:id="113"/>
      <w:bookmarkEnd w:id="114"/>
    </w:p>
    <w:p>
      <w:pPr>
        <w:pBdr>
          <w:top w:val="single" w:sz="4" w:space="1" w:color="auto"/>
          <w:left w:val="single" w:sz="4" w:space="4" w:color="auto"/>
          <w:bottom w:val="single" w:sz="4" w:space="1" w:color="auto"/>
          <w:right w:val="single" w:sz="4" w:space="4" w:color="auto"/>
        </w:pBdr>
        <w:ind w:left="850"/>
        <w:rPr>
          <w:noProof/>
        </w:rPr>
      </w:pPr>
      <w:r>
        <w:rPr>
          <w:noProof/>
        </w:rPr>
        <w:t xml:space="preserve">Gestiunea directă, în conformitate cu articolul 62 alineatul (1) litera (a) din Regulamentul financiar, este metoda preferată de execuție bugetară, deoarece acțiunile vor fi desfășurate de Comisia Europeană, mai precis de Direcția Generală Ocuparea Forței de Muncă, Afaceri Sociale și Incluziune (DG EMPL), care va asigura coordonarea cu statele membre și cu diferitele părți interesate. </w:t>
      </w:r>
    </w:p>
    <w:p>
      <w:pPr>
        <w:keepNext/>
        <w:tabs>
          <w:tab w:val="left" w:pos="850"/>
        </w:tabs>
        <w:ind w:left="850" w:hanging="850"/>
        <w:outlineLvl w:val="2"/>
        <w:rPr>
          <w:bCs/>
          <w:i/>
          <w:noProof/>
          <w:szCs w:val="24"/>
        </w:rPr>
      </w:pPr>
      <w:bookmarkStart w:id="115" w:name="_Toc514938047"/>
      <w:bookmarkStart w:id="116" w:name="_Toc520485046"/>
      <w:bookmarkStart w:id="117" w:name="_Toc160804588"/>
      <w:bookmarkStart w:id="118" w:name="_Toc167220280"/>
      <w:bookmarkStart w:id="119" w:name="_Toc177549013"/>
      <w:r>
        <w:rPr>
          <w:i/>
          <w:noProof/>
        </w:rPr>
        <w:t>2.2.2.</w:t>
      </w:r>
      <w:r>
        <w:rPr>
          <w:noProof/>
        </w:rPr>
        <w:tab/>
      </w:r>
      <w:r>
        <w:rPr>
          <w:i/>
          <w:noProof/>
        </w:rPr>
        <w:t>Informații privind riscurile identificate și sistemul (sistemele) de control intern instituit(e) pentru atenuarea lor</w:t>
      </w:r>
      <w:bookmarkEnd w:id="115"/>
      <w:bookmarkEnd w:id="116"/>
      <w:bookmarkEnd w:id="117"/>
      <w:bookmarkEnd w:id="118"/>
      <w:bookmarkEnd w:id="119"/>
    </w:p>
    <w:p>
      <w:pPr>
        <w:pBdr>
          <w:top w:val="single" w:sz="4" w:space="1" w:color="auto"/>
          <w:left w:val="single" w:sz="4" w:space="4" w:color="auto"/>
          <w:bottom w:val="single" w:sz="4" w:space="1" w:color="auto"/>
          <w:right w:val="single" w:sz="4" w:space="4" w:color="auto"/>
        </w:pBdr>
        <w:ind w:left="850"/>
        <w:rPr>
          <w:noProof/>
        </w:rPr>
      </w:pPr>
      <w:r>
        <w:rPr>
          <w:noProof/>
        </w:rPr>
        <w:t xml:space="preserve">Controalele fac parte din sistemul de control intern al DG EMPL. Noilor activități li se va aplica aceeași abordare de identificare și atenuare a riscurilor. </w:t>
      </w:r>
    </w:p>
    <w:p>
      <w:pPr>
        <w:keepNext/>
        <w:tabs>
          <w:tab w:val="left" w:pos="850"/>
        </w:tabs>
        <w:ind w:left="850" w:hanging="850"/>
        <w:outlineLvl w:val="2"/>
        <w:rPr>
          <w:i/>
          <w:noProof/>
        </w:rPr>
      </w:pPr>
      <w:bookmarkStart w:id="120" w:name="_Toc514938048"/>
      <w:bookmarkStart w:id="121" w:name="_Toc520485047"/>
      <w:bookmarkStart w:id="122" w:name="_Toc160804589"/>
      <w:bookmarkStart w:id="123" w:name="_Toc167220281"/>
      <w:bookmarkStart w:id="124" w:name="_Toc177549014"/>
      <w:r>
        <w:rPr>
          <w:i/>
          <w:noProof/>
        </w:rPr>
        <w:t>2.2.3.</w:t>
      </w:r>
      <w:r>
        <w:rPr>
          <w:noProof/>
        </w:rPr>
        <w:tab/>
      </w:r>
      <w:r>
        <w:rPr>
          <w:i/>
          <w:noProof/>
        </w:rPr>
        <w:t>Estimarea și justificarea raportului cost-eficacitate al controalelor (raportul dintre costurile controalelor și valoarea fondurilor aferente gestionate) și evaluarea nivelurilor preconizate ale riscurilor de eroare (la plată și la închidere)</w:t>
      </w:r>
      <w:bookmarkEnd w:id="120"/>
      <w:bookmarkEnd w:id="121"/>
      <w:bookmarkEnd w:id="122"/>
      <w:bookmarkEnd w:id="123"/>
      <w:bookmarkEnd w:id="124"/>
      <w:r>
        <w:rPr>
          <w:i/>
          <w:noProof/>
        </w:rPr>
        <w:t xml:space="preserve"> </w:t>
      </w:r>
    </w:p>
    <w:p>
      <w:pPr>
        <w:pBdr>
          <w:top w:val="single" w:sz="4" w:space="1" w:color="auto"/>
          <w:left w:val="single" w:sz="4" w:space="4" w:color="auto"/>
          <w:bottom w:val="single" w:sz="4" w:space="1" w:color="auto"/>
          <w:right w:val="single" w:sz="4" w:space="4" w:color="auto"/>
        </w:pBdr>
        <w:ind w:left="850"/>
        <w:rPr>
          <w:noProof/>
          <w:color w:val="008000"/>
        </w:rPr>
      </w:pPr>
      <w:r>
        <w:rPr>
          <w:noProof/>
        </w:rPr>
        <w:t>Controalele sunt integrate în sistemul de control intern al DG EMPL. Noile activități vor genera costuri suplimentare de control neglijabile la nivelul direcției generale.</w:t>
      </w:r>
      <w:r>
        <w:rPr>
          <w:noProof/>
          <w:color w:val="0000FF"/>
        </w:rPr>
        <w:t xml:space="preserve"> </w:t>
      </w:r>
    </w:p>
    <w:p>
      <w:pPr>
        <w:keepNext/>
        <w:tabs>
          <w:tab w:val="left" w:pos="850"/>
        </w:tabs>
        <w:ind w:left="850" w:hanging="850"/>
        <w:outlineLvl w:val="1"/>
        <w:rPr>
          <w:b/>
          <w:bCs/>
          <w:noProof/>
          <w:szCs w:val="24"/>
        </w:rPr>
      </w:pPr>
      <w:bookmarkStart w:id="125" w:name="_Toc514938049"/>
      <w:bookmarkStart w:id="126" w:name="_Toc520485048"/>
      <w:bookmarkStart w:id="127" w:name="_Toc160804590"/>
      <w:bookmarkStart w:id="128" w:name="_Toc167220282"/>
      <w:bookmarkStart w:id="129" w:name="_Toc177549015"/>
      <w:r>
        <w:rPr>
          <w:b/>
          <w:noProof/>
        </w:rPr>
        <w:t>2.3.</w:t>
      </w:r>
      <w:r>
        <w:rPr>
          <w:noProof/>
        </w:rPr>
        <w:tab/>
      </w:r>
      <w:r>
        <w:rPr>
          <w:b/>
          <w:noProof/>
        </w:rPr>
        <w:t>Măsuri de prevenire a fraudelor și a neregulilor</w:t>
      </w:r>
      <w:bookmarkEnd w:id="125"/>
      <w:bookmarkEnd w:id="126"/>
      <w:bookmarkEnd w:id="127"/>
      <w:bookmarkEnd w:id="128"/>
      <w:bookmarkEnd w:id="129"/>
      <w:r>
        <w:rPr>
          <w:b/>
          <w:noProof/>
        </w:rPr>
        <w:t xml:space="preserve"> </w:t>
      </w:r>
    </w:p>
    <w:p>
      <w:pPr>
        <w:rPr>
          <w:noProof/>
        </w:rPr>
      </w:pPr>
      <w:r>
        <w:rPr>
          <w:noProof/>
        </w:rPr>
        <w:t>Comisia se asigură că, atunci când acțiunile finanțate sunt puse în aplicare, interesele financiare ale Uniunii sunt protejate prin aplicarea de măsuri preventive împotriva fraudei, corupției și oricăror altor activități ilegale, prin verificări eficace și prin recuperarea sumelor plătite necuvenit, iar, dacă se constată nereguli, prin aplicarea de sancțiuni eficace, proporționate și disuasive. Comisia este autorizată să efectueze controale și verificări la fața locului în temeiul prezentei decizii, conform Regulamentului (Euratom, CE) nr. 2185/96 al Consiliului din 11 noiembrie 1996 privind controalele și inspecțiile la fața locului efectuate de Comisie în scopul protejării intereselor financiare ale Comunităților Europene împotriva fraudei și a altor abateri. După caz, anchetele sunt efectuate de Oficiul European de Luptă Antifraudă și sunt reglementate de Regulamentul (CE) nr. 1073/1999 al Parlamentului European și al Consiliului din 25 mai 1999 privind investigațiile efectuate de Oficiul European de Luptă Antifraudă.</w:t>
      </w:r>
    </w:p>
    <w:p>
      <w:pPr>
        <w:jc w:val="left"/>
        <w:rPr>
          <w:noProof/>
        </w:rPr>
        <w:sectPr>
          <w:pgSz w:w="11907" w:h="16840" w:code="9"/>
          <w:pgMar w:top="1134" w:right="1418" w:bottom="1134" w:left="1418" w:header="709" w:footer="709" w:gutter="0"/>
          <w:cols w:space="708"/>
          <w:docGrid w:linePitch="360"/>
        </w:sectPr>
      </w:pPr>
    </w:p>
    <w:p>
      <w:pPr>
        <w:keepNext/>
        <w:tabs>
          <w:tab w:val="left" w:pos="850"/>
        </w:tabs>
        <w:spacing w:before="360"/>
        <w:ind w:left="850" w:hanging="850"/>
        <w:outlineLvl w:val="0"/>
        <w:rPr>
          <w:b/>
          <w:bCs/>
          <w:smallCaps/>
          <w:noProof/>
          <w:szCs w:val="24"/>
        </w:rPr>
      </w:pPr>
      <w:bookmarkStart w:id="130" w:name="_Toc514938050"/>
      <w:bookmarkStart w:id="131" w:name="_Toc520485049"/>
      <w:bookmarkStart w:id="132" w:name="_Toc160804591"/>
      <w:bookmarkStart w:id="133" w:name="_Toc167220283"/>
      <w:bookmarkStart w:id="134" w:name="_Toc177549016"/>
      <w:r>
        <w:rPr>
          <w:b/>
          <w:smallCaps/>
          <w:noProof/>
        </w:rPr>
        <w:t>3.</w:t>
      </w:r>
      <w:r>
        <w:rPr>
          <w:noProof/>
        </w:rPr>
        <w:tab/>
      </w:r>
      <w:r>
        <w:rPr>
          <w:b/>
          <w:smallCaps/>
          <w:noProof/>
        </w:rPr>
        <w:t>IMPACTUL FINANCIAR ESTIMAT AL PROPUNERII/INIȚIATIVEI</w:t>
      </w:r>
      <w:bookmarkEnd w:id="130"/>
      <w:bookmarkEnd w:id="131"/>
      <w:bookmarkEnd w:id="132"/>
      <w:bookmarkEnd w:id="133"/>
      <w:bookmarkEnd w:id="134"/>
      <w:r>
        <w:rPr>
          <w:b/>
          <w:smallCaps/>
          <w:noProof/>
        </w:rPr>
        <w:t xml:space="preserve"> </w:t>
      </w:r>
    </w:p>
    <w:p>
      <w:pPr>
        <w:keepNext/>
        <w:tabs>
          <w:tab w:val="left" w:pos="850"/>
        </w:tabs>
        <w:ind w:left="850" w:hanging="850"/>
        <w:outlineLvl w:val="1"/>
        <w:rPr>
          <w:b/>
          <w:noProof/>
        </w:rPr>
      </w:pPr>
      <w:bookmarkStart w:id="135" w:name="_Toc514938051"/>
      <w:bookmarkStart w:id="136" w:name="_Toc520485050"/>
      <w:bookmarkStart w:id="137" w:name="_Toc160804592"/>
      <w:bookmarkStart w:id="138" w:name="_Toc167220284"/>
      <w:bookmarkStart w:id="139" w:name="_Toc177549017"/>
      <w:r>
        <w:rPr>
          <w:b/>
          <w:noProof/>
        </w:rPr>
        <w:t>3.1.</w:t>
      </w:r>
      <w:r>
        <w:rPr>
          <w:noProof/>
        </w:rPr>
        <w:tab/>
      </w:r>
      <w:r>
        <w:rPr>
          <w:b/>
          <w:noProof/>
        </w:rPr>
        <w:t>Rubrica (rubricile) din cadrul financiar multianual și linia (liniile) bugetară (bugetare) de cheltuieli afectată (afectate)</w:t>
      </w:r>
      <w:bookmarkEnd w:id="135"/>
      <w:bookmarkEnd w:id="136"/>
      <w:bookmarkEnd w:id="137"/>
      <w:bookmarkEnd w:id="138"/>
      <w:bookmarkEnd w:id="139"/>
      <w:r>
        <w:rPr>
          <w:b/>
          <w:noProof/>
        </w:rPr>
        <w:t xml:space="preserve"> </w:t>
      </w:r>
    </w:p>
    <w:p>
      <w:pPr>
        <w:pStyle w:val="Tiret0"/>
        <w:rPr>
          <w:noProof/>
        </w:rPr>
      </w:pPr>
      <w:r>
        <w:rPr>
          <w:noProof/>
        </w:rPr>
        <w:t xml:space="preserve">Linii bugetare existente </w:t>
      </w:r>
    </w:p>
    <w:p>
      <w:pPr>
        <w:ind w:left="850"/>
        <w:rPr>
          <w:i/>
          <w:noProof/>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Număr Denumire 2 </w:t>
            </w:r>
            <w:r>
              <w:rPr>
                <w:noProof/>
              </w:rPr>
              <w:br/>
            </w:r>
          </w:p>
        </w:tc>
        <w:tc>
          <w:tcPr>
            <w:tcW w:w="1092" w:type="dxa"/>
            <w:vAlign w:val="center"/>
          </w:tcPr>
          <w:p>
            <w:pPr>
              <w:rPr>
                <w:noProof/>
              </w:rPr>
            </w:pPr>
            <w:r>
              <w:rPr>
                <w:noProof/>
                <w:sz w:val="18"/>
              </w:rPr>
              <w:t>Nedif</w:t>
            </w:r>
            <w:r>
              <w:rPr>
                <w:rStyle w:val="FootnoteReference"/>
                <w:noProof/>
              </w:rPr>
              <w:footnoteReference w:id="35"/>
            </w:r>
            <w:r>
              <w:rPr>
                <w:noProof/>
                <w:sz w:val="18"/>
              </w:rPr>
              <w:t>.</w:t>
            </w:r>
          </w:p>
        </w:tc>
        <w:tc>
          <w:tcPr>
            <w:tcW w:w="966" w:type="dxa"/>
            <w:vAlign w:val="center"/>
          </w:tcPr>
          <w:p>
            <w:pPr>
              <w:jc w:val="center"/>
              <w:rPr>
                <w:b/>
                <w:noProof/>
                <w:sz w:val="18"/>
              </w:rPr>
            </w:pPr>
            <w:r>
              <w:rPr>
                <w:noProof/>
                <w:sz w:val="18"/>
              </w:rPr>
              <w:t>din partea țărilor AELS</w:t>
            </w:r>
            <w:r>
              <w:rPr>
                <w:rStyle w:val="FootnoteReference"/>
                <w:noProof/>
              </w:rPr>
              <w:footnoteReference w:id="36"/>
            </w:r>
          </w:p>
        </w:tc>
        <w:tc>
          <w:tcPr>
            <w:tcW w:w="1092" w:type="dxa"/>
            <w:vAlign w:val="center"/>
          </w:tcPr>
          <w:p>
            <w:pPr>
              <w:jc w:val="center"/>
              <w:rPr>
                <w:noProof/>
                <w:sz w:val="18"/>
              </w:rPr>
            </w:pPr>
            <w:r>
              <w:rPr>
                <w:noProof/>
                <w:sz w:val="18"/>
              </w:rPr>
              <w:t>din partea țărilor candidate și potențial candidate</w:t>
            </w:r>
            <w:r>
              <w:rPr>
                <w:rStyle w:val="FootnoteReference"/>
                <w:noProof/>
              </w:rPr>
              <w:footnoteReference w:id="37"/>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vAlign w:val="center"/>
          </w:tcPr>
          <w:p>
            <w:pPr>
              <w:jc w:val="center"/>
              <w:rPr>
                <w:noProof/>
              </w:rPr>
            </w:pPr>
            <w:r>
              <w:rPr>
                <w:noProof/>
                <w:color w:val="0000FF"/>
              </w:rPr>
              <w:t>2</w:t>
            </w:r>
          </w:p>
        </w:tc>
        <w:tc>
          <w:tcPr>
            <w:tcW w:w="4002" w:type="dxa"/>
            <w:vAlign w:val="center"/>
          </w:tcPr>
          <w:p>
            <w:pPr>
              <w:spacing w:after="60"/>
              <w:rPr>
                <w:noProof/>
              </w:rPr>
            </w:pPr>
            <w:r>
              <w:rPr>
                <w:noProof/>
                <w:sz w:val="22"/>
              </w:rPr>
              <w:t>Prerogative – Libera circulație a lucrătorilor, coordonarea sistemelor de securitate socială și măsuri în favoarea lucrătorilor migranți, inclusiv a lucrătorilor migranți din țări terțe</w:t>
            </w:r>
          </w:p>
        </w:tc>
        <w:tc>
          <w:tcPr>
            <w:tcW w:w="1092" w:type="dxa"/>
            <w:vAlign w:val="center"/>
          </w:tcPr>
          <w:p>
            <w:pPr>
              <w:jc w:val="center"/>
              <w:rPr>
                <w:noProof/>
                <w:color w:val="0000FF"/>
              </w:rPr>
            </w:pPr>
            <w:r>
              <w:rPr>
                <w:noProof/>
                <w:sz w:val="22"/>
              </w:rPr>
              <w:t>dif.</w:t>
            </w:r>
          </w:p>
        </w:tc>
        <w:tc>
          <w:tcPr>
            <w:tcW w:w="966" w:type="dxa"/>
            <w:vAlign w:val="center"/>
          </w:tcPr>
          <w:p>
            <w:pPr>
              <w:jc w:val="center"/>
              <w:rPr>
                <w:noProof/>
                <w:sz w:val="20"/>
                <w:szCs w:val="20"/>
              </w:rPr>
            </w:pPr>
            <w:r>
              <w:rPr>
                <w:noProof/>
                <w:sz w:val="20"/>
              </w:rPr>
              <w:t>DA</w:t>
            </w:r>
            <w:r>
              <w:rPr>
                <w:strike/>
                <w:noProof/>
                <w:sz w:val="20"/>
              </w:rPr>
              <w:t>/NU</w:t>
            </w:r>
          </w:p>
        </w:tc>
        <w:tc>
          <w:tcPr>
            <w:tcW w:w="1092" w:type="dxa"/>
            <w:vAlign w:val="center"/>
          </w:tcPr>
          <w:p>
            <w:pPr>
              <w:jc w:val="center"/>
              <w:rPr>
                <w:noProof/>
                <w:sz w:val="20"/>
                <w:szCs w:val="20"/>
              </w:rPr>
            </w:pPr>
            <w:r>
              <w:rPr>
                <w:strike/>
                <w:noProof/>
                <w:sz w:val="20"/>
              </w:rPr>
              <w:t>DA/</w:t>
            </w:r>
            <w:r>
              <w:rPr>
                <w:noProof/>
                <w:sz w:val="20"/>
              </w:rPr>
              <w:t>NU</w:t>
            </w:r>
          </w:p>
        </w:tc>
        <w:tc>
          <w:tcPr>
            <w:tcW w:w="966" w:type="dxa"/>
            <w:vAlign w:val="center"/>
          </w:tcPr>
          <w:p>
            <w:pPr>
              <w:jc w:val="center"/>
              <w:rPr>
                <w:noProof/>
                <w:sz w:val="20"/>
                <w:szCs w:val="20"/>
              </w:rPr>
            </w:pPr>
            <w:r>
              <w:rPr>
                <w:noProof/>
                <w:sz w:val="20"/>
              </w:rPr>
              <w:t>DA</w:t>
            </w:r>
            <w:r>
              <w:rPr>
                <w:strike/>
                <w:noProof/>
                <w:sz w:val="20"/>
              </w:rPr>
              <w:t>/NU</w:t>
            </w:r>
          </w:p>
        </w:tc>
        <w:tc>
          <w:tcPr>
            <w:tcW w:w="1463" w:type="dxa"/>
            <w:vAlign w:val="center"/>
          </w:tcPr>
          <w:p>
            <w:pPr>
              <w:jc w:val="center"/>
              <w:rPr>
                <w:noProof/>
                <w:sz w:val="20"/>
                <w:szCs w:val="20"/>
              </w:rPr>
            </w:pPr>
            <w:r>
              <w:rPr>
                <w:noProof/>
                <w:sz w:val="20"/>
              </w:rPr>
              <w:t>NU</w:t>
            </w:r>
          </w:p>
        </w:tc>
      </w:tr>
    </w:tbl>
    <w:p>
      <w:pPr>
        <w:rPr>
          <w:noProof/>
        </w:rPr>
        <w:sectPr>
          <w:pgSz w:w="11907" w:h="16840" w:code="1"/>
          <w:pgMar w:top="1134" w:right="1418" w:bottom="1134" w:left="1418" w:header="709" w:footer="709" w:gutter="0"/>
          <w:cols w:space="708"/>
          <w:docGrid w:linePitch="360"/>
        </w:sectPr>
      </w:pPr>
    </w:p>
    <w:p>
      <w:pPr>
        <w:keepNext/>
        <w:tabs>
          <w:tab w:val="left" w:pos="850"/>
        </w:tabs>
        <w:ind w:left="850" w:hanging="850"/>
        <w:outlineLvl w:val="1"/>
        <w:rPr>
          <w:b/>
          <w:bCs/>
          <w:noProof/>
          <w:szCs w:val="24"/>
        </w:rPr>
      </w:pPr>
      <w:bookmarkStart w:id="140" w:name="_Toc514938052"/>
      <w:bookmarkStart w:id="141" w:name="_Toc520485051"/>
      <w:bookmarkStart w:id="142" w:name="_Toc160804593"/>
      <w:bookmarkStart w:id="143" w:name="_Toc167220285"/>
      <w:bookmarkStart w:id="144" w:name="_Toc177549018"/>
      <w:r>
        <w:rPr>
          <w:b/>
          <w:noProof/>
        </w:rPr>
        <w:t>3.2.</w:t>
      </w:r>
      <w:r>
        <w:rPr>
          <w:noProof/>
        </w:rPr>
        <w:tab/>
      </w:r>
      <w:r>
        <w:rPr>
          <w:b/>
          <w:noProof/>
        </w:rPr>
        <w:t>Impactul financiar estimat al propunerii asupra creditelor</w:t>
      </w:r>
      <w:bookmarkEnd w:id="140"/>
      <w:bookmarkEnd w:id="141"/>
      <w:bookmarkEnd w:id="142"/>
      <w:bookmarkEnd w:id="143"/>
      <w:bookmarkEnd w:id="144"/>
      <w:r>
        <w:rPr>
          <w:b/>
          <w:noProof/>
        </w:rPr>
        <w:t xml:space="preserve"> </w:t>
      </w:r>
    </w:p>
    <w:p>
      <w:pPr>
        <w:keepNext/>
        <w:tabs>
          <w:tab w:val="left" w:pos="850"/>
        </w:tabs>
        <w:ind w:left="850" w:hanging="850"/>
        <w:outlineLvl w:val="2"/>
        <w:rPr>
          <w:i/>
          <w:noProof/>
        </w:rPr>
      </w:pPr>
      <w:bookmarkStart w:id="145" w:name="_Toc514938053"/>
      <w:bookmarkStart w:id="146" w:name="_Toc520485052"/>
      <w:bookmarkStart w:id="147" w:name="_Toc160804594"/>
      <w:bookmarkStart w:id="148" w:name="_Toc167220286"/>
      <w:bookmarkStart w:id="149" w:name="_Toc177549019"/>
      <w:r>
        <w:rPr>
          <w:i/>
          <w:noProof/>
        </w:rPr>
        <w:t>3.2.1.</w:t>
      </w:r>
      <w:r>
        <w:rPr>
          <w:noProof/>
        </w:rPr>
        <w:tab/>
      </w:r>
      <w:r>
        <w:rPr>
          <w:i/>
          <w:noProof/>
        </w:rPr>
        <w:t>Sinteza impactului estimat asupra creditelor operaționale</w:t>
      </w:r>
      <w:bookmarkEnd w:id="145"/>
      <w:bookmarkEnd w:id="146"/>
      <w:bookmarkEnd w:id="147"/>
      <w:bookmarkEnd w:id="148"/>
      <w:bookmarkEnd w:id="149"/>
      <w:r>
        <w:rPr>
          <w:i/>
          <w:noProof/>
        </w:rPr>
        <w:t xml:space="preserve"> </w:t>
      </w:r>
    </w:p>
    <w:p>
      <w:pPr>
        <w:pStyle w:val="Point0"/>
        <w:rPr>
          <w:noProof/>
        </w:rPr>
      </w:pPr>
      <w:r>
        <w:rPr>
          <w:noProof/>
        </w:rPr>
        <w:t>(3)</w:t>
      </w:r>
      <w:r>
        <w:rPr>
          <w:noProof/>
        </w:rPr>
        <w:tab/>
      </w:r>
      <w:r>
        <w:rPr>
          <w:rFonts w:ascii="Wingdings" w:hAnsi="Wingdings"/>
          <w:noProof/>
        </w:rPr>
        <w:t>¨</w:t>
      </w:r>
      <w:r>
        <w:rPr>
          <w:noProof/>
        </w:rPr>
        <w:tab/>
        <w:t xml:space="preserve">Propunerea/inițiativa nu implică utilizarea de credite operaționale </w:t>
      </w:r>
    </w:p>
    <w:p>
      <w:pPr>
        <w:pStyle w:val="Point0"/>
        <w:rPr>
          <w:noProof/>
        </w:rPr>
      </w:pPr>
      <w:r>
        <w:rPr>
          <w:noProof/>
        </w:rPr>
        <w:t>(1)</w:t>
      </w:r>
      <w:r>
        <w:rPr>
          <w:noProof/>
        </w:rPr>
        <w:tab/>
      </w:r>
      <w:r>
        <w:rPr>
          <w:rFonts w:ascii="Wingdings" w:hAnsi="Wingdings"/>
          <w:noProof/>
        </w:rPr>
        <w:t>X¨</w:t>
      </w:r>
      <w:r>
        <w:rPr>
          <w:noProof/>
        </w:rPr>
        <w:tab/>
        <w:t>Propunerea/inițiativa implică utilizarea de credite operaționale, conform explicațiilor de mai jos:</w:t>
      </w:r>
    </w:p>
    <w:p>
      <w:pPr>
        <w:keepNext/>
        <w:tabs>
          <w:tab w:val="left" w:pos="850"/>
        </w:tabs>
        <w:ind w:left="850" w:hanging="850"/>
        <w:outlineLvl w:val="2"/>
        <w:rPr>
          <w:i/>
          <w:noProof/>
        </w:rPr>
      </w:pPr>
      <w:bookmarkStart w:id="150" w:name="_Toc160804595"/>
      <w:bookmarkStart w:id="151" w:name="_Toc167220287"/>
      <w:bookmarkStart w:id="152" w:name="_Toc177549020"/>
      <w:r>
        <w:rPr>
          <w:i/>
          <w:noProof/>
        </w:rPr>
        <w:t>3.2.1.1.</w:t>
      </w:r>
      <w:r>
        <w:rPr>
          <w:noProof/>
        </w:rPr>
        <w:tab/>
      </w:r>
      <w:r>
        <w:rPr>
          <w:i/>
          <w:noProof/>
        </w:rPr>
        <w:t>Credite din bugetul votat</w:t>
      </w:r>
      <w:bookmarkEnd w:id="150"/>
      <w:bookmarkEnd w:id="151"/>
      <w:bookmarkEnd w:id="152"/>
    </w:p>
    <w:p>
      <w:pPr>
        <w:jc w:val="right"/>
        <w:rPr>
          <w:noProof/>
          <w:sz w:val="18"/>
        </w:rPr>
      </w:pPr>
      <w:r>
        <w:rPr>
          <w:noProof/>
          <w:sz w:val="18"/>
        </w:rPr>
        <w:t>milioane EUR (cu trei zecimale)</w:t>
      </w:r>
    </w:p>
    <w:p>
      <w:pPr>
        <w:rPr>
          <w:noProof/>
        </w:rPr>
      </w:pPr>
    </w:p>
    <w:tbl>
      <w:tblPr>
        <w:tblW w:w="5059" w:type="pct"/>
        <w:tblLook w:val="04A0" w:firstRow="1" w:lastRow="0" w:firstColumn="1" w:lastColumn="0" w:noHBand="0" w:noVBand="1"/>
      </w:tblPr>
      <w:tblGrid>
        <w:gridCol w:w="6979"/>
        <w:gridCol w:w="1176"/>
        <w:gridCol w:w="796"/>
        <w:gridCol w:w="666"/>
        <w:gridCol w:w="666"/>
        <w:gridCol w:w="666"/>
        <w:gridCol w:w="666"/>
        <w:gridCol w:w="666"/>
        <w:gridCol w:w="666"/>
        <w:gridCol w:w="666"/>
        <w:gridCol w:w="917"/>
      </w:tblGrid>
      <w:tr>
        <w:trPr>
          <w:trHeight w:val="410"/>
        </w:trPr>
        <w:tc>
          <w:tcPr>
            <w:tcW w:w="3036"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sz w:val="22"/>
              </w:rPr>
            </w:pPr>
            <w:r>
              <w:rPr>
                <w:noProof/>
                <w:color w:val="000000"/>
                <w:sz w:val="22"/>
              </w:rPr>
              <w:t>DG: EMPL</w:t>
            </w:r>
          </w:p>
        </w:tc>
        <w:tc>
          <w:tcPr>
            <w:tcW w:w="22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22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22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22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22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22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22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37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CFM 2028-2034</w:t>
            </w:r>
          </w:p>
        </w:tc>
      </w:tr>
      <w:tr>
        <w:trPr>
          <w:trHeight w:val="300"/>
        </w:trPr>
        <w:tc>
          <w:tcPr>
            <w:tcW w:w="3036" w:type="pct"/>
            <w:gridSpan w:val="3"/>
            <w:vMerge/>
            <w:vAlign w:val="center"/>
            <w:hideMark/>
          </w:tcPr>
          <w:p>
            <w:pPr>
              <w:spacing w:before="0" w:after="0"/>
              <w:jc w:val="left"/>
              <w:rPr>
                <w:noProof/>
                <w:color w:val="000000"/>
                <w:sz w:val="22"/>
              </w:rPr>
            </w:pPr>
          </w:p>
        </w:tc>
        <w:tc>
          <w:tcPr>
            <w:tcW w:w="22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228"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228"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228"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228"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228"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228"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371" w:type="pct"/>
            <w:vMerge/>
            <w:vAlign w:val="center"/>
            <w:hideMark/>
          </w:tcPr>
          <w:p>
            <w:pPr>
              <w:spacing w:before="0" w:after="0"/>
              <w:jc w:val="left"/>
              <w:rPr>
                <w:b/>
                <w:noProof/>
                <w:color w:val="000000"/>
                <w:sz w:val="20"/>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noProof/>
                <w:color w:val="000000"/>
                <w:sz w:val="21"/>
              </w:rPr>
            </w:pPr>
            <w:r>
              <w:rPr>
                <w:noProof/>
                <w:color w:val="000000"/>
                <w:sz w:val="21"/>
              </w:rPr>
              <w:t xml:space="preserve">Credite operaționale </w:t>
            </w:r>
          </w:p>
        </w:tc>
      </w:tr>
      <w:tr>
        <w:trPr>
          <w:trHeight w:val="470"/>
        </w:trPr>
        <w:tc>
          <w:tcPr>
            <w:tcW w:w="2365"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0"/>
              <w:jc w:val="left"/>
              <w:rPr>
                <w:noProof/>
                <w:sz w:val="22"/>
              </w:rPr>
            </w:pPr>
            <w:r>
              <w:rPr>
                <w:noProof/>
                <w:color w:val="000000"/>
                <w:sz w:val="22"/>
              </w:rPr>
              <w:t xml:space="preserve">Linia bugetară </w:t>
            </w:r>
            <w:r>
              <w:rPr>
                <w:noProof/>
                <w:sz w:val="22"/>
              </w:rPr>
              <w:t xml:space="preserve">Prerogative – </w:t>
            </w:r>
          </w:p>
          <w:p>
            <w:pPr>
              <w:spacing w:before="0" w:after="0"/>
              <w:jc w:val="left"/>
              <w:rPr>
                <w:noProof/>
                <w:sz w:val="22"/>
              </w:rPr>
            </w:pPr>
            <w:r>
              <w:rPr>
                <w:noProof/>
                <w:sz w:val="22"/>
              </w:rPr>
              <w:t xml:space="preserve">Libera circulație a lucrătorilor, </w:t>
            </w:r>
          </w:p>
          <w:p>
            <w:pPr>
              <w:spacing w:before="0" w:after="0"/>
              <w:jc w:val="left"/>
              <w:rPr>
                <w:noProof/>
                <w:sz w:val="22"/>
              </w:rPr>
            </w:pPr>
            <w:r>
              <w:rPr>
                <w:noProof/>
                <w:sz w:val="22"/>
              </w:rPr>
              <w:t xml:space="preserve">coordonarea sistemelor de asigurări sociale și măsuri </w:t>
            </w:r>
          </w:p>
          <w:p>
            <w:pPr>
              <w:spacing w:before="0" w:after="0"/>
              <w:jc w:val="left"/>
              <w:rPr>
                <w:noProof/>
                <w:color w:val="000000"/>
                <w:sz w:val="22"/>
              </w:rPr>
            </w:pPr>
            <w:r>
              <w:rPr>
                <w:noProof/>
                <w:sz w:val="22"/>
              </w:rPr>
              <w:t>în favoarea lucrătorilor migranți, inclusiv a lucrătorilor migranți din țări terțe</w:t>
            </w:r>
          </w:p>
        </w:tc>
        <w:tc>
          <w:tcPr>
            <w:tcW w:w="400"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Angajamente</w:t>
            </w:r>
          </w:p>
        </w:tc>
        <w:tc>
          <w:tcPr>
            <w:tcW w:w="271"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(1a)</w:t>
            </w:r>
          </w:p>
        </w:tc>
        <w:tc>
          <w:tcPr>
            <w:tcW w:w="22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371"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r>
        <w:trPr>
          <w:trHeight w:val="300"/>
        </w:trPr>
        <w:tc>
          <w:tcPr>
            <w:tcW w:w="2365" w:type="pct"/>
            <w:vMerge/>
            <w:vAlign w:val="center"/>
            <w:hideMark/>
          </w:tcPr>
          <w:p>
            <w:pPr>
              <w:spacing w:before="0" w:after="0"/>
              <w:jc w:val="left"/>
              <w:rPr>
                <w:noProof/>
                <w:color w:val="000000"/>
                <w:sz w:val="22"/>
              </w:rPr>
            </w:pPr>
          </w:p>
        </w:tc>
        <w:tc>
          <w:tcPr>
            <w:tcW w:w="400"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Plăți</w:t>
            </w:r>
          </w:p>
        </w:tc>
        <w:tc>
          <w:tcPr>
            <w:tcW w:w="271"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(2a)</w:t>
            </w:r>
          </w:p>
        </w:tc>
        <w:tc>
          <w:tcPr>
            <w:tcW w:w="22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371"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r>
        <w:trPr>
          <w:trHeight w:val="470"/>
        </w:trPr>
        <w:tc>
          <w:tcPr>
            <w:tcW w:w="2365" w:type="pct"/>
            <w:vMerge w:val="restart"/>
            <w:tcBorders>
              <w:top w:val="nil"/>
              <w:left w:val="single" w:sz="8" w:space="0" w:color="auto"/>
              <w:bottom w:val="single" w:sz="8" w:space="0" w:color="000000" w:themeColor="text1"/>
              <w:right w:val="single" w:sz="8" w:space="0" w:color="auto"/>
            </w:tcBorders>
            <w:vAlign w:val="center"/>
            <w:hideMark/>
          </w:tcPr>
          <w:p>
            <w:pPr>
              <w:spacing w:before="0" w:after="0"/>
              <w:rPr>
                <w:noProof/>
                <w:color w:val="000000"/>
                <w:sz w:val="20"/>
              </w:rPr>
            </w:pPr>
            <w:r>
              <w:rPr>
                <w:noProof/>
                <w:color w:val="000000"/>
                <w:sz w:val="20"/>
              </w:rPr>
              <w:t>Linia bugetară</w:t>
            </w:r>
          </w:p>
        </w:tc>
        <w:tc>
          <w:tcPr>
            <w:tcW w:w="400"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Angajamente</w:t>
            </w:r>
          </w:p>
        </w:tc>
        <w:tc>
          <w:tcPr>
            <w:tcW w:w="271"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(1b)</w:t>
            </w:r>
          </w:p>
        </w:tc>
        <w:tc>
          <w:tcPr>
            <w:tcW w:w="22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371"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0</w:t>
            </w:r>
          </w:p>
        </w:tc>
      </w:tr>
      <w:tr>
        <w:trPr>
          <w:trHeight w:val="300"/>
        </w:trPr>
        <w:tc>
          <w:tcPr>
            <w:tcW w:w="2365" w:type="pct"/>
            <w:vMerge/>
            <w:vAlign w:val="center"/>
            <w:hideMark/>
          </w:tcPr>
          <w:p>
            <w:pPr>
              <w:spacing w:before="0" w:after="0"/>
              <w:jc w:val="left"/>
              <w:rPr>
                <w:noProof/>
                <w:color w:val="000000"/>
                <w:sz w:val="20"/>
              </w:rPr>
            </w:pPr>
          </w:p>
        </w:tc>
        <w:tc>
          <w:tcPr>
            <w:tcW w:w="400"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Plăți</w:t>
            </w:r>
          </w:p>
        </w:tc>
        <w:tc>
          <w:tcPr>
            <w:tcW w:w="271"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(2b)</w:t>
            </w:r>
          </w:p>
        </w:tc>
        <w:tc>
          <w:tcPr>
            <w:tcW w:w="22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xml:space="preserve"> </w:t>
            </w:r>
          </w:p>
        </w:tc>
        <w:tc>
          <w:tcPr>
            <w:tcW w:w="371"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0</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noProof/>
                <w:sz w:val="22"/>
              </w:rPr>
            </w:pPr>
            <w:r>
              <w:rPr>
                <w:noProof/>
                <w:sz w:val="22"/>
              </w:rPr>
              <w:t>Credite cu caracter administrativ finanțate din bugetul unor programe specifice</w:t>
            </w:r>
            <w:r>
              <w:rPr>
                <w:rStyle w:val="FootnoteReference"/>
                <w:noProof/>
              </w:rPr>
              <w:footnoteReference w:id="38"/>
            </w:r>
          </w:p>
        </w:tc>
      </w:tr>
      <w:tr>
        <w:trPr>
          <w:trHeight w:val="530"/>
        </w:trPr>
        <w:tc>
          <w:tcPr>
            <w:tcW w:w="2365"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rPr>
            </w:pPr>
            <w:r>
              <w:rPr>
                <w:noProof/>
                <w:color w:val="000000"/>
                <w:sz w:val="20"/>
              </w:rPr>
              <w:t>Linia bugetară</w:t>
            </w:r>
          </w:p>
        </w:tc>
        <w:tc>
          <w:tcPr>
            <w:tcW w:w="400" w:type="pct"/>
            <w:tcBorders>
              <w:top w:val="nil"/>
              <w:left w:val="nil"/>
              <w:bottom w:val="single" w:sz="8" w:space="0" w:color="auto"/>
              <w:right w:val="single" w:sz="8" w:space="0" w:color="auto"/>
            </w:tcBorders>
            <w:vAlign w:val="center"/>
            <w:hideMark/>
          </w:tcPr>
          <w:p>
            <w:pPr>
              <w:spacing w:before="0" w:after="0"/>
              <w:jc w:val="right"/>
              <w:rPr>
                <w:noProof/>
                <w:color w:val="000000"/>
                <w:sz w:val="18"/>
              </w:rPr>
            </w:pPr>
            <w:r>
              <w:rPr>
                <w:noProof/>
                <w:color w:val="000000"/>
                <w:sz w:val="18"/>
              </w:rPr>
              <w:t xml:space="preserve"> </w:t>
            </w:r>
          </w:p>
        </w:tc>
        <w:tc>
          <w:tcPr>
            <w:tcW w:w="271"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(3)</w:t>
            </w:r>
          </w:p>
        </w:tc>
        <w:tc>
          <w:tcPr>
            <w:tcW w:w="22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xml:space="preserve"> </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xml:space="preserve"> </w:t>
            </w:r>
          </w:p>
        </w:tc>
        <w:tc>
          <w:tcPr>
            <w:tcW w:w="371"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0</w:t>
            </w:r>
          </w:p>
        </w:tc>
      </w:tr>
      <w:tr>
        <w:trPr>
          <w:trHeight w:val="850"/>
        </w:trPr>
        <w:tc>
          <w:tcPr>
            <w:tcW w:w="2365" w:type="pct"/>
            <w:tcBorders>
              <w:top w:val="nil"/>
              <w:left w:val="single" w:sz="8" w:space="0" w:color="auto"/>
              <w:bottom w:val="nil"/>
              <w:right w:val="single" w:sz="8" w:space="0" w:color="auto"/>
            </w:tcBorders>
            <w:vAlign w:val="center"/>
            <w:hideMark/>
          </w:tcPr>
          <w:p>
            <w:pPr>
              <w:spacing w:before="0" w:after="0"/>
              <w:jc w:val="center"/>
              <w:rPr>
                <w:b/>
                <w:noProof/>
                <w:color w:val="000000"/>
                <w:sz w:val="22"/>
              </w:rPr>
            </w:pPr>
            <w:r>
              <w:rPr>
                <w:b/>
                <w:noProof/>
                <w:color w:val="000000"/>
                <w:sz w:val="22"/>
              </w:rPr>
              <w:t>TOTAL credite</w:t>
            </w:r>
          </w:p>
        </w:tc>
        <w:tc>
          <w:tcPr>
            <w:tcW w:w="400"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Angajamente</w:t>
            </w:r>
          </w:p>
        </w:tc>
        <w:tc>
          <w:tcPr>
            <w:tcW w:w="271"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=1a+1b+3</w:t>
            </w:r>
          </w:p>
        </w:tc>
        <w:tc>
          <w:tcPr>
            <w:tcW w:w="22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371"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r>
        <w:trPr>
          <w:trHeight w:val="570"/>
        </w:trPr>
        <w:tc>
          <w:tcPr>
            <w:tcW w:w="2365"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22"/>
              </w:rPr>
            </w:pPr>
            <w:r>
              <w:rPr>
                <w:b/>
                <w:noProof/>
                <w:color w:val="000000"/>
                <w:sz w:val="22"/>
              </w:rPr>
              <w:t>pentru DG EMPL</w:t>
            </w:r>
          </w:p>
        </w:tc>
        <w:tc>
          <w:tcPr>
            <w:tcW w:w="400"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Plăți</w:t>
            </w:r>
          </w:p>
        </w:tc>
        <w:tc>
          <w:tcPr>
            <w:tcW w:w="271"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=2a+2b+3</w:t>
            </w:r>
          </w:p>
        </w:tc>
        <w:tc>
          <w:tcPr>
            <w:tcW w:w="22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28"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371"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bl>
    <w:p>
      <w:pPr>
        <w:rPr>
          <w:noProof/>
        </w:rPr>
      </w:pPr>
    </w:p>
    <w:tbl>
      <w:tblPr>
        <w:tblW w:w="14220" w:type="dxa"/>
        <w:tblLook w:val="04A0" w:firstRow="1" w:lastRow="0" w:firstColumn="1" w:lastColumn="0" w:noHBand="0" w:noVBand="1"/>
      </w:tblPr>
      <w:tblGrid>
        <w:gridCol w:w="2625"/>
        <w:gridCol w:w="345"/>
        <w:gridCol w:w="636"/>
        <w:gridCol w:w="712"/>
        <w:gridCol w:w="712"/>
        <w:gridCol w:w="712"/>
        <w:gridCol w:w="713"/>
        <w:gridCol w:w="713"/>
        <w:gridCol w:w="713"/>
        <w:gridCol w:w="713"/>
        <w:gridCol w:w="713"/>
        <w:gridCol w:w="666"/>
        <w:gridCol w:w="666"/>
        <w:gridCol w:w="666"/>
        <w:gridCol w:w="666"/>
        <w:gridCol w:w="666"/>
        <w:gridCol w:w="666"/>
        <w:gridCol w:w="917"/>
      </w:tblGrid>
      <w:tr>
        <w:trPr>
          <w:trHeight w:val="410"/>
        </w:trPr>
        <w:tc>
          <w:tcPr>
            <w:tcW w:w="8594" w:type="dxa"/>
            <w:gridSpan w:val="10"/>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b/>
                <w:noProof/>
                <w:color w:val="000000"/>
                <w:sz w:val="22"/>
              </w:rPr>
            </w:pPr>
            <w:r>
              <w:rPr>
                <w:b/>
                <w:noProof/>
                <w:color w:val="000000"/>
                <w:sz w:val="22"/>
              </w:rPr>
              <w:t xml:space="preserve"> </w:t>
            </w:r>
          </w:p>
        </w:tc>
        <w:tc>
          <w:tcPr>
            <w:tcW w:w="713"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Anul</w:t>
            </w:r>
          </w:p>
        </w:tc>
        <w:tc>
          <w:tcPr>
            <w:tcW w:w="917" w:type="dxa"/>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CFM 2028-2034</w:t>
            </w:r>
          </w:p>
        </w:tc>
      </w:tr>
      <w:tr>
        <w:trPr>
          <w:trHeight w:val="300"/>
        </w:trPr>
        <w:tc>
          <w:tcPr>
            <w:tcW w:w="8594" w:type="dxa"/>
            <w:gridSpan w:val="10"/>
            <w:vMerge/>
            <w:vAlign w:val="center"/>
            <w:hideMark/>
          </w:tcPr>
          <w:p>
            <w:pPr>
              <w:spacing w:before="0" w:after="0"/>
              <w:jc w:val="left"/>
              <w:rPr>
                <w:b/>
                <w:noProof/>
                <w:color w:val="000000"/>
                <w:sz w:val="22"/>
              </w:rPr>
            </w:pPr>
          </w:p>
        </w:tc>
        <w:tc>
          <w:tcPr>
            <w:tcW w:w="713"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917" w:type="dxa"/>
            <w:vMerge/>
            <w:vAlign w:val="center"/>
            <w:hideMark/>
          </w:tcPr>
          <w:p>
            <w:pPr>
              <w:spacing w:before="0" w:after="0"/>
              <w:jc w:val="left"/>
              <w:rPr>
                <w:b/>
                <w:noProof/>
                <w:color w:val="000000"/>
                <w:sz w:val="20"/>
              </w:rPr>
            </w:pPr>
          </w:p>
        </w:tc>
      </w:tr>
      <w:tr>
        <w:trPr>
          <w:trHeight w:val="513"/>
        </w:trPr>
        <w:tc>
          <w:tcPr>
            <w:tcW w:w="2970" w:type="dxa"/>
            <w:gridSpan w:val="2"/>
            <w:vMerge w:val="restart"/>
            <w:tcBorders>
              <w:top w:val="nil"/>
              <w:left w:val="single" w:sz="8" w:space="0" w:color="auto"/>
              <w:bottom w:val="single" w:sz="8" w:space="0" w:color="000000" w:themeColor="text1"/>
              <w:right w:val="single" w:sz="8" w:space="0" w:color="auto"/>
            </w:tcBorders>
            <w:vAlign w:val="center"/>
            <w:hideMark/>
          </w:tcPr>
          <w:p>
            <w:pPr>
              <w:spacing w:before="0" w:after="0"/>
              <w:rPr>
                <w:noProof/>
                <w:color w:val="000000"/>
                <w:sz w:val="21"/>
              </w:rPr>
            </w:pPr>
            <w:r>
              <w:rPr>
                <w:noProof/>
                <w:color w:val="000000"/>
                <w:sz w:val="21"/>
              </w:rPr>
              <w:t>TOTAL credite operaționale</w:t>
            </w:r>
          </w:p>
        </w:tc>
        <w:tc>
          <w:tcPr>
            <w:tcW w:w="4198" w:type="dxa"/>
            <w:gridSpan w:val="6"/>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Angajamente</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(4)</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5,25</w:t>
            </w:r>
          </w:p>
        </w:tc>
      </w:tr>
      <w:tr>
        <w:trPr>
          <w:trHeight w:val="54"/>
        </w:trPr>
        <w:tc>
          <w:tcPr>
            <w:tcW w:w="2970" w:type="dxa"/>
            <w:gridSpan w:val="2"/>
            <w:vMerge/>
            <w:vAlign w:val="center"/>
            <w:hideMark/>
          </w:tcPr>
          <w:p>
            <w:pPr>
              <w:spacing w:before="0" w:after="0"/>
              <w:jc w:val="left"/>
              <w:rPr>
                <w:noProof/>
                <w:color w:val="000000"/>
                <w:sz w:val="21"/>
              </w:rPr>
            </w:pPr>
          </w:p>
        </w:tc>
        <w:tc>
          <w:tcPr>
            <w:tcW w:w="4198" w:type="dxa"/>
            <w:gridSpan w:val="6"/>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Plăți</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(5)</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5,25</w:t>
            </w:r>
          </w:p>
        </w:tc>
      </w:tr>
      <w:tr>
        <w:trPr>
          <w:trHeight w:val="387"/>
        </w:trPr>
        <w:tc>
          <w:tcPr>
            <w:tcW w:w="7168" w:type="dxa"/>
            <w:gridSpan w:val="8"/>
            <w:tcBorders>
              <w:top w:val="single" w:sz="8" w:space="0" w:color="auto"/>
              <w:left w:val="single" w:sz="8" w:space="0" w:color="auto"/>
              <w:bottom w:val="single" w:sz="8" w:space="0" w:color="auto"/>
              <w:right w:val="single" w:sz="8" w:space="0" w:color="000000" w:themeColor="text1"/>
            </w:tcBorders>
            <w:vAlign w:val="center"/>
            <w:hideMark/>
          </w:tcPr>
          <w:p>
            <w:pPr>
              <w:spacing w:before="0" w:after="0"/>
              <w:rPr>
                <w:noProof/>
                <w:color w:val="000000"/>
                <w:sz w:val="21"/>
              </w:rPr>
            </w:pPr>
            <w:r>
              <w:rPr>
                <w:noProof/>
                <w:color w:val="000000"/>
                <w:sz w:val="21"/>
              </w:rPr>
              <w:t xml:space="preserve">TOTAL credite cu caracter administrativ finanțate din bugetul unor programe specifice </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(6)</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themeColor="text1"/>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w:t>
            </w:r>
          </w:p>
        </w:tc>
      </w:tr>
      <w:tr>
        <w:trPr>
          <w:trHeight w:val="58"/>
        </w:trPr>
        <w:tc>
          <w:tcPr>
            <w:tcW w:w="2970" w:type="dxa"/>
            <w:gridSpan w:val="2"/>
            <w:tcBorders>
              <w:top w:val="nil"/>
              <w:left w:val="single" w:sz="8" w:space="0" w:color="auto"/>
              <w:bottom w:val="nil"/>
              <w:right w:val="single" w:sz="8" w:space="0" w:color="auto"/>
            </w:tcBorders>
            <w:shd w:val="clear" w:color="auto" w:fill="E6E6E6"/>
            <w:vAlign w:val="center"/>
            <w:hideMark/>
          </w:tcPr>
          <w:p>
            <w:pPr>
              <w:spacing w:before="0" w:after="0"/>
              <w:jc w:val="center"/>
              <w:rPr>
                <w:b/>
                <w:noProof/>
                <w:color w:val="000000"/>
                <w:sz w:val="22"/>
              </w:rPr>
            </w:pPr>
            <w:r>
              <w:rPr>
                <w:b/>
                <w:noProof/>
                <w:color w:val="000000"/>
                <w:sz w:val="22"/>
              </w:rPr>
              <w:t>TOTAL credite în cadrul RUBRICII 2</w:t>
            </w:r>
          </w:p>
        </w:tc>
        <w:tc>
          <w:tcPr>
            <w:tcW w:w="4198" w:type="dxa"/>
            <w:gridSpan w:val="6"/>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Plăți</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=4+6</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5,25</w:t>
            </w:r>
          </w:p>
        </w:tc>
      </w:tr>
      <w:tr>
        <w:trPr>
          <w:gridAfter w:val="1"/>
          <w:wAfter w:w="917" w:type="dxa"/>
          <w:trHeight w:val="54"/>
        </w:trPr>
        <w:tc>
          <w:tcPr>
            <w:tcW w:w="2625" w:type="dxa"/>
            <w:tcBorders>
              <w:top w:val="nil"/>
              <w:left w:val="single" w:sz="8" w:space="0" w:color="auto"/>
              <w:bottom w:val="single" w:sz="8" w:space="0" w:color="auto"/>
              <w:right w:val="single" w:sz="8" w:space="0" w:color="auto"/>
            </w:tcBorders>
            <w:shd w:val="clear" w:color="auto" w:fill="E6E6E6"/>
            <w:vAlign w:val="center"/>
            <w:hideMark/>
          </w:tcPr>
          <w:p>
            <w:pPr>
              <w:spacing w:before="0" w:after="0"/>
              <w:jc w:val="center"/>
              <w:rPr>
                <w:noProof/>
                <w:color w:val="000000"/>
                <w:sz w:val="22"/>
              </w:rPr>
            </w:pPr>
            <w:r>
              <w:rPr>
                <w:noProof/>
                <w:color w:val="000000"/>
                <w:sz w:val="22"/>
              </w:rPr>
              <w:t>din cadrul financiar multianual</w:t>
            </w:r>
          </w:p>
        </w:tc>
        <w:tc>
          <w:tcPr>
            <w:tcW w:w="345" w:type="dxa"/>
            <w:tcBorders>
              <w:top w:val="nil"/>
              <w:left w:val="nil"/>
              <w:bottom w:val="single" w:sz="8" w:space="0" w:color="auto"/>
              <w:right w:val="single" w:sz="8" w:space="0" w:color="auto"/>
            </w:tcBorders>
            <w:vAlign w:val="center"/>
          </w:tcPr>
          <w:p>
            <w:pPr>
              <w:spacing w:before="0" w:after="0"/>
              <w:rPr>
                <w:noProof/>
                <w:color w:val="000000"/>
                <w:sz w:val="18"/>
              </w:rPr>
            </w:pPr>
          </w:p>
        </w:tc>
        <w:tc>
          <w:tcPr>
            <w:tcW w:w="636" w:type="dxa"/>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=5+6</w:t>
            </w:r>
          </w:p>
        </w:tc>
        <w:tc>
          <w:tcPr>
            <w:tcW w:w="71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0,250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0,250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0,250</w:t>
            </w:r>
          </w:p>
        </w:tc>
        <w:tc>
          <w:tcPr>
            <w:tcW w:w="4709" w:type="dxa"/>
            <w:gridSpan w:val="7"/>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5,25</w:t>
            </w:r>
          </w:p>
        </w:tc>
      </w:tr>
    </w:tbl>
    <w:p>
      <w:pPr>
        <w:rPr>
          <w:noProof/>
        </w:rPr>
      </w:pPr>
    </w:p>
    <w:p>
      <w:pPr>
        <w:spacing w:after="40"/>
        <w:rPr>
          <w:noProof/>
          <w:color w:val="008000"/>
        </w:rPr>
      </w:pPr>
      <w:r>
        <w:rPr>
          <w:noProof/>
          <w:color w:val="008000"/>
        </w:rPr>
        <w:t>==================================================================================================</w:t>
      </w:r>
    </w:p>
    <w:tbl>
      <w:tblPr>
        <w:tblW w:w="5000" w:type="pct"/>
        <w:tblLook w:val="04A0" w:firstRow="1" w:lastRow="0" w:firstColumn="1" w:lastColumn="0" w:noHBand="0" w:noVBand="1"/>
      </w:tblPr>
      <w:tblGrid>
        <w:gridCol w:w="2001"/>
        <w:gridCol w:w="1526"/>
        <w:gridCol w:w="1186"/>
        <w:gridCol w:w="1186"/>
        <w:gridCol w:w="1024"/>
        <w:gridCol w:w="1024"/>
        <w:gridCol w:w="1027"/>
        <w:gridCol w:w="1027"/>
        <w:gridCol w:w="1027"/>
        <w:gridCol w:w="1027"/>
        <w:gridCol w:w="1027"/>
        <w:gridCol w:w="1138"/>
      </w:tblGrid>
      <w:tr>
        <w:trPr>
          <w:trHeight w:val="410"/>
        </w:trPr>
        <w:tc>
          <w:tcPr>
            <w:tcW w:w="704" w:type="pct"/>
            <w:tcBorders>
              <w:top w:val="nil"/>
              <w:left w:val="nil"/>
              <w:bottom w:val="nil"/>
              <w:right w:val="nil"/>
            </w:tcBorders>
            <w:noWrap/>
            <w:vAlign w:val="bottom"/>
            <w:hideMark/>
          </w:tcPr>
          <w:p>
            <w:pPr>
              <w:spacing w:before="0" w:after="0"/>
              <w:jc w:val="left"/>
              <w:rPr>
                <w:noProof/>
                <w:sz w:val="20"/>
              </w:rPr>
            </w:pPr>
          </w:p>
        </w:tc>
        <w:tc>
          <w:tcPr>
            <w:tcW w:w="53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single" w:sz="8" w:space="0" w:color="auto"/>
            </w:tcBorders>
            <w:noWrap/>
            <w:vAlign w:val="bottom"/>
            <w:hideMark/>
          </w:tcPr>
          <w:p>
            <w:pPr>
              <w:spacing w:before="0" w:after="0"/>
              <w:jc w:val="left"/>
              <w:rPr>
                <w:rFonts w:ascii="Calibri" w:hAnsi="Calibri"/>
                <w:noProof/>
                <w:color w:val="000000"/>
                <w:sz w:val="22"/>
              </w:rPr>
            </w:pPr>
            <w:r>
              <w:rPr>
                <w:rFonts w:ascii="Calibri" w:hAnsi="Calibri"/>
                <w:noProof/>
                <w:color w:val="000000"/>
                <w:sz w:val="22"/>
              </w:rPr>
              <w:t xml:space="preserve"> </w:t>
            </w:r>
          </w:p>
        </w:tc>
        <w:tc>
          <w:tcPr>
            <w:tcW w:w="36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6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40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noProof/>
                <w:color w:val="000000"/>
                <w:sz w:val="20"/>
              </w:rPr>
            </w:pPr>
            <w:r>
              <w:rPr>
                <w:b/>
                <w:noProof/>
                <w:color w:val="000000"/>
                <w:sz w:val="20"/>
              </w:rPr>
              <w:t>TOTAL CFM 2028-2034</w:t>
            </w:r>
          </w:p>
        </w:tc>
      </w:tr>
      <w:tr>
        <w:trPr>
          <w:trHeight w:val="300"/>
        </w:trPr>
        <w:tc>
          <w:tcPr>
            <w:tcW w:w="704" w:type="pct"/>
            <w:tcBorders>
              <w:top w:val="nil"/>
              <w:left w:val="nil"/>
              <w:bottom w:val="nil"/>
              <w:right w:val="nil"/>
            </w:tcBorders>
            <w:noWrap/>
            <w:vAlign w:val="bottom"/>
            <w:hideMark/>
          </w:tcPr>
          <w:p>
            <w:pPr>
              <w:spacing w:before="0" w:after="0"/>
              <w:jc w:val="center"/>
              <w:rPr>
                <w:b/>
                <w:noProof/>
                <w:color w:val="000000"/>
                <w:sz w:val="20"/>
              </w:rPr>
            </w:pPr>
          </w:p>
        </w:tc>
        <w:tc>
          <w:tcPr>
            <w:tcW w:w="53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single" w:sz="8" w:space="0" w:color="auto"/>
            </w:tcBorders>
            <w:noWrap/>
            <w:vAlign w:val="bottom"/>
            <w:hideMark/>
          </w:tcPr>
          <w:p>
            <w:pPr>
              <w:spacing w:before="0" w:after="0"/>
              <w:jc w:val="left"/>
              <w:rPr>
                <w:rFonts w:ascii="Calibri" w:hAnsi="Calibri"/>
                <w:noProof/>
                <w:color w:val="000000"/>
                <w:sz w:val="22"/>
              </w:rPr>
            </w:pPr>
            <w:r>
              <w:rPr>
                <w:rFonts w:ascii="Calibri" w:hAnsi="Calibri"/>
                <w:noProof/>
                <w:color w:val="000000"/>
                <w:sz w:val="22"/>
              </w:rPr>
              <w:t xml:space="preserve"> </w:t>
            </w:r>
          </w:p>
        </w:tc>
        <w:tc>
          <w:tcPr>
            <w:tcW w:w="36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36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40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r>
      <w:tr>
        <w:trPr>
          <w:trHeight w:val="617"/>
        </w:trPr>
        <w:tc>
          <w:tcPr>
            <w:tcW w:w="70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Calibri" w:hAnsi="Calibri"/>
                <w:noProof/>
                <w:color w:val="000000"/>
                <w:sz w:val="21"/>
              </w:rPr>
            </w:pPr>
            <w:r>
              <w:rPr>
                <w:rFonts w:ascii="Calibri" w:hAnsi="Calibri"/>
                <w:noProof/>
                <w:color w:val="000000"/>
                <w:sz w:val="21"/>
              </w:rPr>
              <w:t xml:space="preserve">• </w:t>
            </w:r>
            <w:r>
              <w:rPr>
                <w:noProof/>
                <w:color w:val="000000"/>
                <w:sz w:val="21"/>
              </w:rPr>
              <w:t>TOTAL credite operaționale (toate rubricile operaționale)</w:t>
            </w:r>
          </w:p>
        </w:tc>
        <w:tc>
          <w:tcPr>
            <w:tcW w:w="537"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Angajamente</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(4)</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0</w:t>
            </w:r>
          </w:p>
        </w:tc>
      </w:tr>
      <w:tr>
        <w:trPr>
          <w:trHeight w:val="300"/>
        </w:trPr>
        <w:tc>
          <w:tcPr>
            <w:tcW w:w="7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Calibri" w:hAnsi="Calibri"/>
                <w:noProof/>
                <w:color w:val="000000"/>
                <w:sz w:val="21"/>
              </w:rPr>
            </w:pPr>
          </w:p>
        </w:tc>
        <w:tc>
          <w:tcPr>
            <w:tcW w:w="53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Plăți</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(5)</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0</w:t>
            </w:r>
          </w:p>
        </w:tc>
      </w:tr>
      <w:tr>
        <w:trPr>
          <w:trHeight w:val="276"/>
        </w:trPr>
        <w:tc>
          <w:tcPr>
            <w:tcW w:w="124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ascii="Calibri" w:hAnsi="Calibri"/>
                <w:noProof/>
                <w:color w:val="000000"/>
                <w:sz w:val="21"/>
              </w:rPr>
            </w:pPr>
            <w:r>
              <w:rPr>
                <w:rFonts w:ascii="Calibri" w:hAnsi="Calibri"/>
                <w:noProof/>
                <w:color w:val="000000"/>
                <w:sz w:val="21"/>
              </w:rPr>
              <w:t>•</w:t>
            </w:r>
            <w:r>
              <w:rPr>
                <w:noProof/>
                <w:color w:val="000000"/>
                <w:sz w:val="21"/>
              </w:rPr>
              <w:t xml:space="preserve"> TOTAL credite cu caracter administrativ finanțate din bugetul unor programe specifice (toate rubricile operaționale)</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(6)</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0</w:t>
            </w:r>
          </w:p>
        </w:tc>
      </w:tr>
      <w:tr>
        <w:trPr>
          <w:trHeight w:val="154"/>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b/>
                <w:noProof/>
                <w:color w:val="000000"/>
                <w:sz w:val="22"/>
              </w:rPr>
            </w:pPr>
            <w:r>
              <w:rPr>
                <w:b/>
                <w:noProof/>
                <w:color w:val="000000"/>
                <w:sz w:val="22"/>
              </w:rPr>
              <w:t xml:space="preserve">TOTAL credite </w:t>
            </w:r>
            <w:r>
              <w:rPr>
                <w:b/>
                <w:noProof/>
                <w:color w:val="000000"/>
                <w:sz w:val="22"/>
              </w:rPr>
              <w:br/>
              <w:t>în cadrul RUBRICILOR 1-3</w:t>
            </w:r>
          </w:p>
        </w:tc>
        <w:tc>
          <w:tcPr>
            <w:tcW w:w="537" w:type="pct"/>
            <w:tcBorders>
              <w:top w:val="nil"/>
              <w:left w:val="nil"/>
              <w:bottom w:val="nil"/>
              <w:right w:val="single" w:sz="8" w:space="0" w:color="auto"/>
            </w:tcBorders>
            <w:vAlign w:val="center"/>
            <w:hideMark/>
          </w:tcPr>
          <w:p>
            <w:pPr>
              <w:spacing w:before="0" w:after="0"/>
              <w:rPr>
                <w:noProof/>
                <w:color w:val="000000"/>
                <w:sz w:val="18"/>
              </w:rPr>
            </w:pPr>
            <w:r>
              <w:rPr>
                <w:noProof/>
                <w:color w:val="000000"/>
                <w:sz w:val="18"/>
              </w:rPr>
              <w:t>Angajamente</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=4+6</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5,25</w:t>
            </w:r>
          </w:p>
        </w:tc>
      </w:tr>
      <w:tr>
        <w:trPr>
          <w:trHeight w:val="1040"/>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noProof/>
                <w:color w:val="000000"/>
                <w:sz w:val="20"/>
              </w:rPr>
            </w:pPr>
            <w:r>
              <w:rPr>
                <w:noProof/>
                <w:color w:val="000000"/>
                <w:sz w:val="20"/>
              </w:rPr>
              <w:t>din cadrul financiar multianual</w:t>
            </w:r>
          </w:p>
        </w:tc>
        <w:tc>
          <w:tcPr>
            <w:tcW w:w="537"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18"/>
              </w:rPr>
            </w:pPr>
            <w:r>
              <w:rPr>
                <w:noProof/>
                <w:color w:val="000000"/>
                <w:sz w:val="18"/>
              </w:rPr>
              <w:t>Plăți</w:t>
            </w:r>
          </w:p>
        </w:tc>
        <w:tc>
          <w:tcPr>
            <w:tcW w:w="834"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14"/>
              </w:rPr>
            </w:pPr>
            <w:r>
              <w:rPr>
                <w:noProof/>
                <w:color w:val="000000"/>
                <w:sz w:val="14"/>
              </w:rPr>
              <w:t>=5+6</w:t>
            </w:r>
          </w:p>
        </w:tc>
        <w:tc>
          <w:tcPr>
            <w:tcW w:w="360" w:type="pct"/>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0"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400"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5,25</w:t>
            </w:r>
          </w:p>
        </w:tc>
      </w:tr>
      <w:tr>
        <w:trPr>
          <w:trHeight w:val="54"/>
        </w:trPr>
        <w:tc>
          <w:tcPr>
            <w:tcW w:w="704"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noProof/>
                <w:color w:val="000000"/>
                <w:sz w:val="20"/>
              </w:rPr>
            </w:pPr>
            <w:r>
              <w:rPr>
                <w:noProof/>
                <w:color w:val="000000"/>
                <w:sz w:val="20"/>
              </w:rPr>
              <w:t>(Suma de referință)</w:t>
            </w:r>
          </w:p>
        </w:tc>
        <w:tc>
          <w:tcPr>
            <w:tcW w:w="537"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18"/>
              </w:rPr>
            </w:pPr>
          </w:p>
        </w:tc>
        <w:tc>
          <w:tcPr>
            <w:tcW w:w="834"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14"/>
              </w:rPr>
            </w:pPr>
          </w:p>
        </w:tc>
        <w:tc>
          <w:tcPr>
            <w:tcW w:w="360" w:type="pct"/>
            <w:vMerge/>
            <w:tcBorders>
              <w:top w:val="nil"/>
              <w:left w:val="single" w:sz="8" w:space="0" w:color="000000"/>
              <w:bottom w:val="single" w:sz="8" w:space="0" w:color="000000"/>
              <w:right w:val="single" w:sz="8" w:space="0" w:color="auto"/>
            </w:tcBorders>
            <w:vAlign w:val="center"/>
            <w:hideMark/>
          </w:tcPr>
          <w:p>
            <w:pPr>
              <w:spacing w:before="0" w:after="0"/>
              <w:jc w:val="left"/>
              <w:rPr>
                <w:b/>
                <w:noProof/>
                <w:color w:val="000000"/>
                <w:sz w:val="20"/>
              </w:rPr>
            </w:pPr>
          </w:p>
        </w:tc>
        <w:tc>
          <w:tcPr>
            <w:tcW w:w="360"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000000"/>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400"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r>
    </w:tbl>
    <w:p>
      <w:pPr>
        <w:rPr>
          <w:noProof/>
        </w:rPr>
      </w:pPr>
      <w:r>
        <w:rPr>
          <w:noProof/>
        </w:rPr>
        <w:t>Impactul estimat asupra cheltuielilor și a personalului pentru 2028 și ulterior este adăugat doar cu titlu orientativ și nu aduce atingere următorului cadru financiar multianual. Sursa de finanțare și amploarea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rPr>
          <w:noProof/>
        </w:rPr>
      </w:pPr>
      <w:bookmarkStart w:id="153" w:name="_Toc514938054"/>
      <w:bookmarkStart w:id="154" w:name="_Toc520485053"/>
      <w:bookmarkStart w:id="155" w:name="_Toc160804597"/>
      <w:bookmarkStart w:id="156" w:name="_Toc167220289"/>
      <w:bookmarkStart w:id="157" w:name="_Toc17754902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vAlign w:val="center"/>
          </w:tcPr>
          <w:p>
            <w:pPr>
              <w:spacing w:before="60" w:after="60"/>
              <w:jc w:val="center"/>
              <w:rPr>
                <w:b/>
                <w:noProof/>
              </w:rPr>
            </w:pPr>
            <w:r>
              <w:rPr>
                <w:noProof/>
              </w:rPr>
              <w:br w:type="page"/>
            </w:r>
            <w:r>
              <w:rPr>
                <w:b/>
                <w:noProof/>
                <w:sz w:val="22"/>
              </w:rPr>
              <w:t xml:space="preserve">Rubrica din cadrul financiar multianual pentru perioada 2028-2034 </w:t>
            </w:r>
          </w:p>
        </w:tc>
        <w:tc>
          <w:tcPr>
            <w:tcW w:w="396" w:type="pct"/>
            <w:vAlign w:val="center"/>
          </w:tcPr>
          <w:p>
            <w:pPr>
              <w:spacing w:before="60" w:after="60"/>
              <w:jc w:val="center"/>
              <w:rPr>
                <w:noProof/>
              </w:rPr>
            </w:pPr>
            <w:r>
              <w:rPr>
                <w:noProof/>
              </w:rPr>
              <w:t>4</w:t>
            </w:r>
          </w:p>
        </w:tc>
        <w:tc>
          <w:tcPr>
            <w:tcW w:w="2865" w:type="pct"/>
            <w:vAlign w:val="center"/>
          </w:tcPr>
          <w:p>
            <w:pPr>
              <w:spacing w:before="60" w:after="60"/>
              <w:rPr>
                <w:noProof/>
              </w:rPr>
            </w:pPr>
            <w:r>
              <w:rPr>
                <w:noProof/>
                <w:sz w:val="22"/>
              </w:rPr>
              <w:t>„Cheltuieli administrative”</w:t>
            </w:r>
            <w:r>
              <w:rPr>
                <w:rStyle w:val="FootnoteReference"/>
                <w:noProof/>
              </w:rPr>
              <w:footnoteReference w:id="39"/>
            </w:r>
          </w:p>
        </w:tc>
      </w:tr>
    </w:tbl>
    <w:p>
      <w:pPr>
        <w:jc w:val="left"/>
        <w:rPr>
          <w:noProof/>
          <w:color w:val="008000"/>
        </w:rPr>
      </w:pPr>
    </w:p>
    <w:tbl>
      <w:tblPr>
        <w:tblW w:w="5000" w:type="pct"/>
        <w:tblLook w:val="04A0" w:firstRow="1" w:lastRow="0" w:firstColumn="1" w:lastColumn="0" w:noHBand="0" w:noVBand="1"/>
      </w:tblPr>
      <w:tblGrid>
        <w:gridCol w:w="1986"/>
        <w:gridCol w:w="2711"/>
        <w:gridCol w:w="726"/>
        <w:gridCol w:w="726"/>
        <w:gridCol w:w="995"/>
        <w:gridCol w:w="995"/>
        <w:gridCol w:w="995"/>
        <w:gridCol w:w="995"/>
        <w:gridCol w:w="995"/>
        <w:gridCol w:w="995"/>
        <w:gridCol w:w="995"/>
        <w:gridCol w:w="1106"/>
      </w:tblGrid>
      <w:tr>
        <w:trPr>
          <w:trHeight w:val="410"/>
        </w:trPr>
        <w:tc>
          <w:tcPr>
            <w:tcW w:w="2161"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rPr>
            </w:pPr>
            <w:r>
              <w:rPr>
                <w:noProof/>
                <w:color w:val="000000"/>
              </w:rPr>
              <w:t>DG: EMPL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9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CFM 2028-2034</w:t>
            </w:r>
          </w:p>
        </w:tc>
      </w:tr>
      <w:tr>
        <w:trPr>
          <w:trHeight w:val="300"/>
        </w:trPr>
        <w:tc>
          <w:tcPr>
            <w:tcW w:w="2161" w:type="pct"/>
            <w:gridSpan w:val="4"/>
            <w:vMerge/>
            <w:vAlign w:val="center"/>
            <w:hideMark/>
          </w:tcPr>
          <w:p>
            <w:pPr>
              <w:spacing w:before="0" w:after="0"/>
              <w:jc w:val="left"/>
              <w:rPr>
                <w:noProof/>
                <w:color w:val="000000"/>
              </w:rPr>
            </w:pP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391" w:type="pct"/>
            <w:vMerge/>
            <w:vAlign w:val="center"/>
            <w:hideMark/>
          </w:tcPr>
          <w:p>
            <w:pPr>
              <w:spacing w:before="0" w:after="0"/>
              <w:jc w:val="left"/>
              <w:rPr>
                <w:b/>
                <w:noProof/>
                <w:color w:val="000000"/>
                <w:sz w:val="20"/>
              </w:rPr>
            </w:pPr>
          </w:p>
        </w:tc>
      </w:tr>
      <w:tr>
        <w:trPr>
          <w:trHeight w:val="300"/>
        </w:trPr>
        <w:tc>
          <w:tcPr>
            <w:tcW w:w="2161"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hAnsi="Wingdings"/>
                <w:noProof/>
                <w:color w:val="000000"/>
                <w:sz w:val="22"/>
              </w:rPr>
            </w:pPr>
            <w:r>
              <w:rPr>
                <w:rFonts w:ascii="Wingdings" w:hAnsi="Wingdings"/>
                <w:noProof/>
                <w:color w:val="000000"/>
                <w:sz w:val="22"/>
              </w:rPr>
              <w:t>Ÿ</w:t>
            </w:r>
            <w:r>
              <w:rPr>
                <w:noProof/>
                <w:color w:val="000000"/>
                <w:sz w:val="22"/>
              </w:rPr>
              <w:t xml:space="preserve"> Resurse umane</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2,093</w:t>
            </w:r>
          </w:p>
        </w:tc>
      </w:tr>
      <w:tr>
        <w:trPr>
          <w:trHeight w:val="300"/>
        </w:trPr>
        <w:tc>
          <w:tcPr>
            <w:tcW w:w="2161"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hAnsi="Wingdings"/>
                <w:noProof/>
                <w:color w:val="000000"/>
                <w:sz w:val="22"/>
              </w:rPr>
            </w:pPr>
            <w:r>
              <w:rPr>
                <w:rFonts w:ascii="Wingdings" w:hAnsi="Wingdings"/>
                <w:noProof/>
                <w:color w:val="000000"/>
                <w:sz w:val="22"/>
              </w:rPr>
              <w:t>Ÿ</w:t>
            </w:r>
            <w:r>
              <w:rPr>
                <w:noProof/>
                <w:color w:val="000000"/>
                <w:sz w:val="22"/>
              </w:rPr>
              <w:t xml:space="preserve"> Alte cheltuieli administrative, linia bugetară 20.020602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1,148</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22"/>
              </w:rPr>
            </w:pPr>
            <w:r>
              <w:rPr>
                <w:b/>
                <w:noProof/>
                <w:color w:val="000000"/>
                <w:sz w:val="22"/>
              </w:rPr>
              <w:t>TOTAL PENTRU DG</w:t>
            </w:r>
            <w:r>
              <w:rPr>
                <w:noProof/>
                <w:color w:val="000000"/>
                <w:sz w:val="22"/>
              </w:rPr>
              <w:t xml:space="preserve"> EMPL</w:t>
            </w:r>
          </w:p>
        </w:tc>
        <w:tc>
          <w:tcPr>
            <w:tcW w:w="1463" w:type="pct"/>
            <w:gridSpan w:val="3"/>
            <w:tcBorders>
              <w:top w:val="single" w:sz="8" w:space="0" w:color="auto"/>
              <w:left w:val="nil"/>
              <w:bottom w:val="single" w:sz="8" w:space="0" w:color="auto"/>
              <w:right w:val="single" w:sz="8" w:space="0" w:color="000000" w:themeColor="text1"/>
            </w:tcBorders>
            <w:vAlign w:val="center"/>
            <w:hideMark/>
          </w:tcPr>
          <w:p>
            <w:pPr>
              <w:spacing w:before="0" w:after="0"/>
              <w:jc w:val="left"/>
              <w:rPr>
                <w:noProof/>
                <w:color w:val="000000"/>
                <w:sz w:val="18"/>
              </w:rPr>
            </w:pPr>
            <w:r>
              <w:rPr>
                <w:noProof/>
                <w:color w:val="000000"/>
                <w:sz w:val="18"/>
              </w:rPr>
              <w:t xml:space="preserve">Credite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3,241</w:t>
            </w:r>
          </w:p>
        </w:tc>
      </w:tr>
      <w:tr>
        <w:trPr>
          <w:trHeight w:val="300"/>
        </w:trPr>
        <w:tc>
          <w:tcPr>
            <w:tcW w:w="698" w:type="pct"/>
            <w:tcBorders>
              <w:top w:val="nil"/>
              <w:left w:val="nil"/>
              <w:bottom w:val="nil"/>
              <w:right w:val="nil"/>
            </w:tcBorders>
            <w:noWrap/>
            <w:vAlign w:val="bottom"/>
            <w:hideMark/>
          </w:tcPr>
          <w:p>
            <w:pPr>
              <w:spacing w:before="0" w:after="0"/>
              <w:jc w:val="right"/>
              <w:rPr>
                <w:b/>
                <w:noProof/>
                <w:color w:val="000000"/>
                <w:sz w:val="20"/>
              </w:rPr>
            </w:pPr>
          </w:p>
        </w:tc>
        <w:tc>
          <w:tcPr>
            <w:tcW w:w="952"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91" w:type="pct"/>
            <w:tcBorders>
              <w:top w:val="nil"/>
              <w:left w:val="nil"/>
              <w:bottom w:val="nil"/>
              <w:right w:val="nil"/>
            </w:tcBorders>
            <w:noWrap/>
            <w:vAlign w:val="bottom"/>
            <w:hideMark/>
          </w:tcPr>
          <w:p>
            <w:pPr>
              <w:spacing w:before="0" w:after="0"/>
              <w:jc w:val="left"/>
              <w:rPr>
                <w:noProof/>
                <w:sz w:val="20"/>
              </w:rPr>
            </w:pPr>
          </w:p>
        </w:tc>
      </w:tr>
      <w:tr>
        <w:trPr>
          <w:trHeight w:val="410"/>
        </w:trPr>
        <w:tc>
          <w:tcPr>
            <w:tcW w:w="2161" w:type="pct"/>
            <w:gridSpan w:val="4"/>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rPr>
            </w:pPr>
            <w:r>
              <w:rPr>
                <w:noProof/>
                <w:color w:val="000000"/>
              </w:rPr>
              <w:t>DG: EMPL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391" w:type="pc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CFM 2028-2034</w:t>
            </w:r>
          </w:p>
        </w:tc>
      </w:tr>
      <w:tr>
        <w:trPr>
          <w:trHeight w:val="300"/>
        </w:trPr>
        <w:tc>
          <w:tcPr>
            <w:tcW w:w="2161"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hAnsi="Wingdings"/>
                <w:noProof/>
                <w:color w:val="000000"/>
                <w:sz w:val="22"/>
              </w:rPr>
            </w:pPr>
            <w:r>
              <w:rPr>
                <w:rFonts w:ascii="Wingdings" w:hAnsi="Wingdings"/>
                <w:noProof/>
                <w:color w:val="000000"/>
                <w:sz w:val="22"/>
              </w:rPr>
              <w:t>Ÿ</w:t>
            </w:r>
            <w:r>
              <w:rPr>
                <w:noProof/>
                <w:color w:val="000000"/>
                <w:sz w:val="22"/>
              </w:rPr>
              <w:t xml:space="preserve"> Alte cheltuieli administrative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w:t>
            </w:r>
          </w:p>
        </w:tc>
      </w:tr>
      <w:tr>
        <w:trPr>
          <w:trHeight w:val="300"/>
        </w:trPr>
        <w:tc>
          <w:tcPr>
            <w:tcW w:w="698" w:type="pct"/>
            <w:tcBorders>
              <w:top w:val="nil"/>
              <w:left w:val="nil"/>
              <w:bottom w:val="nil"/>
              <w:right w:val="nil"/>
            </w:tcBorders>
            <w:noWrap/>
            <w:vAlign w:val="bottom"/>
            <w:hideMark/>
          </w:tcPr>
          <w:p>
            <w:pPr>
              <w:spacing w:before="0" w:after="0"/>
              <w:jc w:val="right"/>
              <w:rPr>
                <w:b/>
                <w:noProof/>
                <w:color w:val="000000"/>
                <w:sz w:val="20"/>
              </w:rPr>
            </w:pPr>
          </w:p>
        </w:tc>
        <w:tc>
          <w:tcPr>
            <w:tcW w:w="952"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91" w:type="pct"/>
            <w:tcBorders>
              <w:top w:val="nil"/>
              <w:left w:val="nil"/>
              <w:bottom w:val="nil"/>
              <w:right w:val="nil"/>
            </w:tcBorders>
            <w:noWrap/>
            <w:vAlign w:val="bottom"/>
            <w:hideMark/>
          </w:tcPr>
          <w:p>
            <w:pPr>
              <w:spacing w:before="0" w:after="0"/>
              <w:jc w:val="left"/>
              <w:rPr>
                <w:noProof/>
                <w:sz w:val="20"/>
              </w:rPr>
            </w:pPr>
          </w:p>
        </w:tc>
      </w:tr>
      <w:tr>
        <w:trPr>
          <w:trHeight w:val="1430"/>
        </w:trPr>
        <w:tc>
          <w:tcPr>
            <w:tcW w:w="1651"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pPr>
              <w:spacing w:before="0" w:after="0"/>
              <w:jc w:val="center"/>
              <w:rPr>
                <w:b/>
                <w:noProof/>
                <w:color w:val="000000"/>
                <w:sz w:val="22"/>
              </w:rPr>
            </w:pPr>
            <w:r>
              <w:rPr>
                <w:b/>
                <w:noProof/>
                <w:color w:val="000000"/>
                <w:sz w:val="22"/>
              </w:rPr>
              <w:t xml:space="preserve">TOTAL credite în cadrul RUBRICII 4 din cadrul financiar multianual </w:t>
            </w:r>
          </w:p>
        </w:tc>
        <w:tc>
          <w:tcPr>
            <w:tcW w:w="510" w:type="pct"/>
            <w:gridSpan w:val="2"/>
            <w:tcBorders>
              <w:top w:val="single" w:sz="8" w:space="0" w:color="auto"/>
              <w:left w:val="nil"/>
              <w:bottom w:val="single" w:sz="8" w:space="0" w:color="auto"/>
              <w:right w:val="single" w:sz="8" w:space="0" w:color="000000" w:themeColor="text1"/>
            </w:tcBorders>
            <w:vAlign w:val="center"/>
            <w:hideMark/>
          </w:tcPr>
          <w:p>
            <w:pPr>
              <w:spacing w:before="0" w:after="0"/>
              <w:jc w:val="center"/>
              <w:rPr>
                <w:noProof/>
                <w:color w:val="000000"/>
                <w:sz w:val="18"/>
              </w:rPr>
            </w:pPr>
            <w:r>
              <w:rPr>
                <w:noProof/>
                <w:color w:val="000000"/>
                <w:sz w:val="18"/>
              </w:rPr>
              <w:t>(Total angajamente = Total plăți)</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91"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3,241</w:t>
            </w:r>
          </w:p>
        </w:tc>
      </w:tr>
    </w:tbl>
    <w:p>
      <w:pPr>
        <w:jc w:val="right"/>
        <w:rPr>
          <w:noProof/>
          <w:sz w:val="20"/>
        </w:rPr>
      </w:pPr>
      <w:r>
        <w:rPr>
          <w:noProof/>
          <w:sz w:val="20"/>
        </w:rPr>
        <w:t>milioane EUR (cu trei zecimale)</w:t>
      </w:r>
    </w:p>
    <w:tbl>
      <w:tblPr>
        <w:tblW w:w="5000" w:type="pct"/>
        <w:tblLook w:val="04A0" w:firstRow="1" w:lastRow="0" w:firstColumn="1" w:lastColumn="0" w:noHBand="0" w:noVBand="1"/>
      </w:tblPr>
      <w:tblGrid>
        <w:gridCol w:w="2404"/>
        <w:gridCol w:w="1838"/>
        <w:gridCol w:w="1229"/>
        <w:gridCol w:w="1229"/>
        <w:gridCol w:w="1231"/>
        <w:gridCol w:w="1231"/>
        <w:gridCol w:w="1231"/>
        <w:gridCol w:w="1231"/>
        <w:gridCol w:w="1231"/>
        <w:gridCol w:w="1365"/>
      </w:tblGrid>
      <w:tr>
        <w:trPr>
          <w:trHeight w:val="410"/>
        </w:trPr>
        <w:tc>
          <w:tcPr>
            <w:tcW w:w="1491"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rPr>
            </w:pPr>
            <w:r>
              <w:rPr>
                <w:noProof/>
                <w:color w:val="000000"/>
              </w:rPr>
              <w:t xml:space="preserve"> </w:t>
            </w:r>
          </w:p>
        </w:tc>
        <w:tc>
          <w:tcPr>
            <w:tcW w:w="432"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432"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48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CFM 2028-2034</w:t>
            </w:r>
          </w:p>
        </w:tc>
      </w:tr>
      <w:tr>
        <w:trPr>
          <w:trHeight w:val="300"/>
        </w:trPr>
        <w:tc>
          <w:tcPr>
            <w:tcW w:w="1491" w:type="pct"/>
            <w:gridSpan w:val="2"/>
            <w:vMerge/>
            <w:vAlign w:val="center"/>
            <w:hideMark/>
          </w:tcPr>
          <w:p>
            <w:pPr>
              <w:spacing w:before="0" w:after="0"/>
              <w:jc w:val="left"/>
              <w:rPr>
                <w:noProof/>
                <w:color w:val="000000"/>
              </w:rPr>
            </w:pPr>
          </w:p>
        </w:tc>
        <w:tc>
          <w:tcPr>
            <w:tcW w:w="432"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432"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481" w:type="pct"/>
            <w:vMerge/>
            <w:vAlign w:val="center"/>
            <w:hideMark/>
          </w:tcPr>
          <w:p>
            <w:pPr>
              <w:spacing w:before="0" w:after="0"/>
              <w:jc w:val="left"/>
              <w:rPr>
                <w:b/>
                <w:noProof/>
                <w:color w:val="000000"/>
                <w:sz w:val="20"/>
              </w:rPr>
            </w:pPr>
          </w:p>
        </w:tc>
      </w:tr>
      <w:tr>
        <w:trPr>
          <w:trHeight w:val="321"/>
        </w:trPr>
        <w:tc>
          <w:tcPr>
            <w:tcW w:w="845"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b/>
                <w:noProof/>
                <w:color w:val="000000"/>
                <w:sz w:val="22"/>
              </w:rPr>
            </w:pPr>
            <w:r>
              <w:rPr>
                <w:b/>
                <w:noProof/>
                <w:color w:val="000000"/>
                <w:sz w:val="22"/>
              </w:rPr>
              <w:t xml:space="preserve">TOTAL credite </w:t>
            </w:r>
            <w:r>
              <w:rPr>
                <w:b/>
                <w:noProof/>
                <w:color w:val="000000"/>
                <w:sz w:val="22"/>
              </w:rPr>
              <w:br/>
              <w:t>în cadrul RUBRICILOR 1-4</w:t>
            </w:r>
          </w:p>
        </w:tc>
        <w:tc>
          <w:tcPr>
            <w:tcW w:w="645"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Angajamente</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8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8,491</w:t>
            </w:r>
          </w:p>
        </w:tc>
      </w:tr>
      <w:tr>
        <w:trPr>
          <w:trHeight w:val="247"/>
        </w:trPr>
        <w:tc>
          <w:tcPr>
            <w:tcW w:w="845"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noProof/>
                <w:color w:val="000000"/>
                <w:sz w:val="22"/>
              </w:rPr>
            </w:pPr>
            <w:r>
              <w:rPr>
                <w:noProof/>
                <w:color w:val="000000"/>
                <w:sz w:val="22"/>
              </w:rPr>
              <w:t>din cadrul financiar multianual</w:t>
            </w:r>
            <w:r>
              <w:rPr>
                <w:b/>
                <w:noProof/>
                <w:color w:val="000000"/>
                <w:sz w:val="22"/>
              </w:rPr>
              <w:t xml:space="preserve"> </w:t>
            </w:r>
          </w:p>
        </w:tc>
        <w:tc>
          <w:tcPr>
            <w:tcW w:w="645"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themeColor="text1"/>
                <w:sz w:val="18"/>
              </w:rPr>
              <w:t>Plăți</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8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8,491</w:t>
            </w:r>
          </w:p>
        </w:tc>
      </w:tr>
    </w:tbl>
    <w:p>
      <w:pPr>
        <w:rPr>
          <w:noProof/>
        </w:rPr>
      </w:pPr>
      <w:r>
        <w:rPr>
          <w:noProof/>
        </w:rPr>
        <w:t>Impactul estimat asupra cheltuielilor și a personalului pentru 2028 și ulterior este adăugat doar cu titlu orientativ și nu aduce atingere următorului cadru financiar multianual. Sursa de finanțare și amploarea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keepNext/>
        <w:tabs>
          <w:tab w:val="left" w:pos="850"/>
        </w:tabs>
        <w:ind w:left="850" w:hanging="850"/>
        <w:outlineLvl w:val="2"/>
        <w:rPr>
          <w:i/>
          <w:noProof/>
        </w:rPr>
      </w:pPr>
    </w:p>
    <w:p>
      <w:pPr>
        <w:keepNext/>
        <w:tabs>
          <w:tab w:val="left" w:pos="850"/>
        </w:tabs>
        <w:ind w:left="850" w:hanging="850"/>
        <w:outlineLvl w:val="2"/>
        <w:rPr>
          <w:i/>
          <w:noProof/>
        </w:rPr>
      </w:pPr>
    </w:p>
    <w:p>
      <w:pPr>
        <w:keepNext/>
        <w:tabs>
          <w:tab w:val="left" w:pos="850"/>
        </w:tabs>
        <w:ind w:left="850" w:hanging="850"/>
        <w:outlineLvl w:val="2"/>
        <w:rPr>
          <w:bCs/>
          <w:i/>
          <w:noProof/>
          <w:szCs w:val="24"/>
        </w:rPr>
      </w:pPr>
      <w:r>
        <w:rPr>
          <w:i/>
          <w:noProof/>
        </w:rPr>
        <w:t>3.2.2.</w:t>
      </w:r>
      <w:r>
        <w:rPr>
          <w:noProof/>
        </w:rPr>
        <w:tab/>
      </w:r>
      <w:r>
        <w:rPr>
          <w:i/>
          <w:noProof/>
        </w:rPr>
        <w:t>Realizările preconizate finanțate din credite operaționale</w:t>
      </w:r>
      <w:bookmarkEnd w:id="153"/>
      <w:bookmarkEnd w:id="154"/>
      <w:r>
        <w:rPr>
          <w:i/>
          <w:noProof/>
        </w:rPr>
        <w:t xml:space="preserve"> (nu se completează pentru agențiile descentralizate)</w:t>
      </w:r>
      <w:bookmarkEnd w:id="155"/>
      <w:bookmarkEnd w:id="156"/>
      <w:bookmarkEnd w:id="157"/>
    </w:p>
    <w:p>
      <w:pPr>
        <w:rPr>
          <w:noProof/>
        </w:rPr>
      </w:pP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89"/>
        <w:gridCol w:w="632"/>
        <w:gridCol w:w="504"/>
        <w:gridCol w:w="720"/>
        <w:gridCol w:w="540"/>
        <w:gridCol w:w="720"/>
        <w:gridCol w:w="720"/>
        <w:gridCol w:w="720"/>
        <w:gridCol w:w="900"/>
        <w:gridCol w:w="51"/>
        <w:gridCol w:w="588"/>
        <w:gridCol w:w="621"/>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A se indica obiectivele și realizările </w:t>
            </w:r>
          </w:p>
          <w:p>
            <w:pPr>
              <w:ind w:right="-29"/>
              <w:jc w:val="center"/>
              <w:rPr>
                <w:b/>
                <w:noProof/>
                <w:sz w:val="18"/>
                <w:szCs w:val="18"/>
              </w:rPr>
            </w:pPr>
          </w:p>
          <w:p>
            <w:pPr>
              <w:ind w:right="-29"/>
              <w:jc w:val="center"/>
              <w:rPr>
                <w:noProof/>
                <w:sz w:val="18"/>
                <w:szCs w:val="18"/>
              </w:rPr>
            </w:pPr>
            <w:r>
              <w:rPr>
                <w:rFonts w:ascii="Wingdings" w:hAnsi="Wingdings"/>
                <w:noProof/>
                <w:sz w:val="18"/>
              </w:rPr>
              <w:t>ò</w:t>
            </w:r>
          </w:p>
        </w:tc>
        <w:tc>
          <w:tcPr>
            <w:tcW w:w="789" w:type="dxa"/>
            <w:vAlign w:val="center"/>
          </w:tcPr>
          <w:p>
            <w:pPr>
              <w:ind w:right="-29"/>
              <w:jc w:val="center"/>
              <w:rPr>
                <w:noProof/>
                <w:sz w:val="18"/>
                <w:szCs w:val="18"/>
              </w:rPr>
            </w:pPr>
          </w:p>
        </w:tc>
        <w:tc>
          <w:tcPr>
            <w:tcW w:w="632"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Anul </w:t>
            </w:r>
            <w:r>
              <w:rPr>
                <w:noProof/>
              </w:rPr>
              <w:br/>
            </w:r>
            <w:r>
              <w:rPr>
                <w:b/>
                <w:noProof/>
                <w:sz w:val="18"/>
              </w:rPr>
              <w:t>2028</w:t>
            </w:r>
          </w:p>
        </w:tc>
        <w:tc>
          <w:tcPr>
            <w:tcW w:w="1260" w:type="dxa"/>
            <w:gridSpan w:val="2"/>
            <w:vAlign w:val="center"/>
          </w:tcPr>
          <w:p>
            <w:pPr>
              <w:ind w:right="-29"/>
              <w:jc w:val="center"/>
              <w:rPr>
                <w:noProof/>
                <w:sz w:val="18"/>
                <w:szCs w:val="18"/>
              </w:rPr>
            </w:pPr>
            <w:r>
              <w:rPr>
                <w:noProof/>
                <w:sz w:val="18"/>
              </w:rPr>
              <w:t xml:space="preserve">Anul </w:t>
            </w:r>
            <w:r>
              <w:rPr>
                <w:noProof/>
              </w:rPr>
              <w:br/>
            </w:r>
            <w:r>
              <w:rPr>
                <w:b/>
                <w:noProof/>
                <w:sz w:val="18"/>
              </w:rPr>
              <w:t>2029</w:t>
            </w:r>
          </w:p>
        </w:tc>
        <w:tc>
          <w:tcPr>
            <w:tcW w:w="1440" w:type="dxa"/>
            <w:gridSpan w:val="2"/>
            <w:vAlign w:val="center"/>
          </w:tcPr>
          <w:p>
            <w:pPr>
              <w:ind w:right="-29"/>
              <w:jc w:val="center"/>
              <w:rPr>
                <w:noProof/>
                <w:sz w:val="18"/>
                <w:szCs w:val="18"/>
              </w:rPr>
            </w:pPr>
            <w:r>
              <w:rPr>
                <w:noProof/>
                <w:sz w:val="18"/>
              </w:rPr>
              <w:t xml:space="preserve">Anul </w:t>
            </w:r>
            <w:r>
              <w:rPr>
                <w:noProof/>
              </w:rPr>
              <w:br/>
            </w:r>
            <w:r>
              <w:rPr>
                <w:b/>
                <w:noProof/>
                <w:sz w:val="18"/>
              </w:rPr>
              <w:t>2030</w:t>
            </w:r>
          </w:p>
        </w:tc>
        <w:tc>
          <w:tcPr>
            <w:tcW w:w="1539" w:type="dxa"/>
            <w:gridSpan w:val="3"/>
            <w:vAlign w:val="center"/>
          </w:tcPr>
          <w:p>
            <w:pPr>
              <w:ind w:right="-29"/>
              <w:jc w:val="center"/>
              <w:rPr>
                <w:noProof/>
                <w:sz w:val="18"/>
                <w:szCs w:val="18"/>
              </w:rPr>
            </w:pPr>
            <w:r>
              <w:rPr>
                <w:noProof/>
                <w:sz w:val="18"/>
              </w:rPr>
              <w:t xml:space="preserve">Anul </w:t>
            </w:r>
            <w:r>
              <w:rPr>
                <w:noProof/>
              </w:rPr>
              <w:br/>
            </w:r>
            <w:r>
              <w:rPr>
                <w:b/>
                <w:noProof/>
                <w:sz w:val="18"/>
              </w:rPr>
              <w:t>2031</w:t>
            </w:r>
          </w:p>
        </w:tc>
        <w:tc>
          <w:tcPr>
            <w:tcW w:w="3681" w:type="dxa"/>
            <w:gridSpan w:val="6"/>
            <w:vAlign w:val="center"/>
          </w:tcPr>
          <w:p>
            <w:pPr>
              <w:jc w:val="center"/>
              <w:rPr>
                <w:noProof/>
                <w:sz w:val="18"/>
              </w:rPr>
            </w:pPr>
            <w:r>
              <w:rPr>
                <w:noProof/>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REALIZĂRI</w:t>
            </w:r>
          </w:p>
        </w:tc>
      </w:tr>
      <w:tr>
        <w:trPr>
          <w:cantSplit/>
          <w:trHeight w:val="1134"/>
          <w:jc w:val="center"/>
        </w:trPr>
        <w:tc>
          <w:tcPr>
            <w:tcW w:w="1423" w:type="dxa"/>
            <w:vMerge/>
            <w:vAlign w:val="center"/>
          </w:tcPr>
          <w:p>
            <w:pPr>
              <w:rPr>
                <w:noProof/>
                <w:sz w:val="18"/>
                <w:szCs w:val="18"/>
              </w:rPr>
            </w:pPr>
          </w:p>
        </w:tc>
        <w:tc>
          <w:tcPr>
            <w:tcW w:w="789" w:type="dxa"/>
            <w:vAlign w:val="center"/>
          </w:tcPr>
          <w:p>
            <w:pPr>
              <w:jc w:val="center"/>
              <w:rPr>
                <w:noProof/>
                <w:sz w:val="18"/>
                <w:szCs w:val="18"/>
              </w:rPr>
            </w:pPr>
            <w:r>
              <w:rPr>
                <w:noProof/>
                <w:sz w:val="18"/>
              </w:rPr>
              <w:t>Tip</w:t>
            </w:r>
            <w:r>
              <w:rPr>
                <w:rStyle w:val="FootnoteReference"/>
                <w:noProof/>
              </w:rPr>
              <w:footnoteReference w:id="40"/>
            </w:r>
          </w:p>
          <w:p>
            <w:pPr>
              <w:spacing w:before="0" w:after="0"/>
              <w:jc w:val="center"/>
              <w:rPr>
                <w:noProof/>
                <w:sz w:val="18"/>
                <w:szCs w:val="18"/>
              </w:rPr>
            </w:pPr>
          </w:p>
        </w:tc>
        <w:tc>
          <w:tcPr>
            <w:tcW w:w="632" w:type="dxa"/>
            <w:vAlign w:val="center"/>
          </w:tcPr>
          <w:p>
            <w:pPr>
              <w:jc w:val="center"/>
              <w:rPr>
                <w:noProof/>
                <w:sz w:val="18"/>
                <w:szCs w:val="18"/>
              </w:rPr>
            </w:pPr>
            <w:r>
              <w:rPr>
                <w:noProof/>
                <w:sz w:val="18"/>
              </w:rPr>
              <w:t>Costuri medii</w:t>
            </w:r>
          </w:p>
        </w:tc>
        <w:tc>
          <w:tcPr>
            <w:tcW w:w="504" w:type="dxa"/>
            <w:tcBorders>
              <w:left w:val="nil"/>
              <w:right w:val="dashSmallGap" w:sz="4" w:space="0" w:color="auto"/>
            </w:tcBorders>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vAlign w:val="center"/>
          </w:tcPr>
          <w:p>
            <w:pPr>
              <w:jc w:val="center"/>
              <w:rPr>
                <w:noProof/>
                <w:sz w:val="18"/>
                <w:szCs w:val="18"/>
              </w:rPr>
            </w:pPr>
            <w:r>
              <w:rPr>
                <w:noProof/>
                <w:sz w:val="18"/>
              </w:rPr>
              <w:t>Costuri</w:t>
            </w:r>
          </w:p>
        </w:tc>
        <w:tc>
          <w:tcPr>
            <w:tcW w:w="540"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vAlign w:val="center"/>
          </w:tcPr>
          <w:p>
            <w:pPr>
              <w:jc w:val="center"/>
              <w:rPr>
                <w:noProof/>
                <w:sz w:val="18"/>
                <w:szCs w:val="18"/>
              </w:rPr>
            </w:pPr>
            <w:r>
              <w:rPr>
                <w:noProof/>
                <w:sz w:val="18"/>
              </w:rPr>
              <w:t>Costuri</w:t>
            </w:r>
          </w:p>
        </w:tc>
        <w:tc>
          <w:tcPr>
            <w:tcW w:w="720"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vAlign w:val="center"/>
          </w:tcPr>
          <w:p>
            <w:pPr>
              <w:jc w:val="center"/>
              <w:rPr>
                <w:noProof/>
                <w:sz w:val="18"/>
                <w:szCs w:val="18"/>
              </w:rPr>
            </w:pPr>
            <w:r>
              <w:rPr>
                <w:noProof/>
                <w:sz w:val="18"/>
              </w:rPr>
              <w:t>Costuri</w:t>
            </w:r>
          </w:p>
        </w:tc>
        <w:tc>
          <w:tcPr>
            <w:tcW w:w="900"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639" w:type="dxa"/>
            <w:gridSpan w:val="2"/>
            <w:tcBorders>
              <w:left w:val="dashSmallGap" w:sz="4" w:space="0" w:color="auto"/>
            </w:tcBorders>
            <w:vAlign w:val="center"/>
          </w:tcPr>
          <w:p>
            <w:pPr>
              <w:jc w:val="center"/>
              <w:rPr>
                <w:noProof/>
                <w:sz w:val="18"/>
                <w:szCs w:val="18"/>
              </w:rPr>
            </w:pPr>
            <w:r>
              <w:rPr>
                <w:noProof/>
                <w:sz w:val="18"/>
              </w:rPr>
              <w:t>Costuri</w:t>
            </w:r>
          </w:p>
        </w:tc>
        <w:tc>
          <w:tcPr>
            <w:tcW w:w="621"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648" w:type="dxa"/>
            <w:tcBorders>
              <w:left w:val="dashSmallGap" w:sz="4" w:space="0" w:color="auto"/>
            </w:tcBorders>
            <w:vAlign w:val="center"/>
          </w:tcPr>
          <w:p>
            <w:pPr>
              <w:jc w:val="center"/>
              <w:rPr>
                <w:noProof/>
                <w:sz w:val="18"/>
                <w:szCs w:val="18"/>
              </w:rPr>
            </w:pPr>
            <w:r>
              <w:rPr>
                <w:noProof/>
                <w:sz w:val="18"/>
              </w:rPr>
              <w:t>Costuri</w:t>
            </w:r>
          </w:p>
        </w:tc>
        <w:tc>
          <w:tcPr>
            <w:tcW w:w="432"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vAlign w:val="center"/>
          </w:tcPr>
          <w:p>
            <w:pPr>
              <w:jc w:val="center"/>
              <w:rPr>
                <w:noProof/>
                <w:sz w:val="18"/>
                <w:szCs w:val="18"/>
              </w:rPr>
            </w:pPr>
            <w:r>
              <w:rPr>
                <w:noProof/>
                <w:sz w:val="18"/>
              </w:rPr>
              <w:t>Costuri</w:t>
            </w:r>
          </w:p>
        </w:tc>
        <w:tc>
          <w:tcPr>
            <w:tcW w:w="540" w:type="dxa"/>
            <w:tcBorders>
              <w:right w:val="dashSmallGap" w:sz="4" w:space="0" w:color="auto"/>
            </w:tcBorders>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vAlign w:val="center"/>
          </w:tcPr>
          <w:p>
            <w:pPr>
              <w:jc w:val="center"/>
              <w:rPr>
                <w:noProof/>
                <w:sz w:val="18"/>
                <w:szCs w:val="18"/>
              </w:rPr>
            </w:pPr>
            <w:r>
              <w:rPr>
                <w:noProof/>
                <w:sz w:val="18"/>
              </w:rPr>
              <w:t>Costuri</w:t>
            </w:r>
          </w:p>
        </w:tc>
        <w:tc>
          <w:tcPr>
            <w:tcW w:w="720" w:type="dxa"/>
            <w:tcBorders>
              <w:right w:val="dashSmallGap" w:sz="4" w:space="0" w:color="auto"/>
            </w:tcBorders>
            <w:vAlign w:val="center"/>
          </w:tcPr>
          <w:p>
            <w:pPr>
              <w:jc w:val="center"/>
              <w:rPr>
                <w:noProof/>
                <w:sz w:val="18"/>
                <w:szCs w:val="18"/>
              </w:rPr>
            </w:pPr>
            <w:r>
              <w:rPr>
                <w:noProof/>
                <w:sz w:val="18"/>
              </w:rPr>
              <w:t>Total nr.</w:t>
            </w:r>
          </w:p>
        </w:tc>
        <w:tc>
          <w:tcPr>
            <w:tcW w:w="900" w:type="dxa"/>
            <w:tcBorders>
              <w:left w:val="dashSmallGap" w:sz="4" w:space="0" w:color="auto"/>
            </w:tcBorders>
            <w:vAlign w:val="center"/>
          </w:tcPr>
          <w:p>
            <w:pPr>
              <w:jc w:val="center"/>
              <w:rPr>
                <w:noProof/>
                <w:sz w:val="18"/>
                <w:szCs w:val="18"/>
              </w:rPr>
            </w:pPr>
            <w:r>
              <w:rPr>
                <w:noProof/>
                <w:sz w:val="18"/>
              </w:rPr>
              <w:t>Total costuri</w:t>
            </w:r>
          </w:p>
        </w:tc>
      </w:tr>
      <w:tr>
        <w:trPr>
          <w:jc w:val="center"/>
        </w:trPr>
        <w:tc>
          <w:tcPr>
            <w:tcW w:w="2844" w:type="dxa"/>
            <w:gridSpan w:val="3"/>
            <w:vAlign w:val="center"/>
          </w:tcPr>
          <w:p>
            <w:pPr>
              <w:spacing w:before="60" w:after="60"/>
              <w:ind w:right="-29"/>
              <w:jc w:val="center"/>
              <w:rPr>
                <w:noProof/>
                <w:sz w:val="18"/>
                <w:szCs w:val="18"/>
              </w:rPr>
            </w:pPr>
            <w:r>
              <w:rPr>
                <w:noProof/>
                <w:sz w:val="18"/>
              </w:rPr>
              <w:t>OBIECTIVELE SPECIFICE NR. 1, 2 și 3</w:t>
            </w:r>
            <w:r>
              <w:rPr>
                <w:rStyle w:val="FootnoteReference"/>
                <w:noProof/>
              </w:rPr>
              <w:footnoteReference w:id="41"/>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639" w:type="dxa"/>
            <w:gridSpan w:val="2"/>
            <w:tcBorders>
              <w:top w:val="nil"/>
              <w:left w:val="nil"/>
              <w:bottom w:val="nil"/>
              <w:right w:val="nil"/>
            </w:tcBorders>
          </w:tcPr>
          <w:p>
            <w:pPr>
              <w:spacing w:before="60" w:after="60"/>
              <w:ind w:right="-29"/>
              <w:jc w:val="center"/>
              <w:rPr>
                <w:noProof/>
                <w:sz w:val="18"/>
                <w:szCs w:val="18"/>
              </w:rPr>
            </w:pPr>
          </w:p>
        </w:tc>
        <w:tc>
          <w:tcPr>
            <w:tcW w:w="621"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89" w:type="dxa"/>
          </w:tcPr>
          <w:p>
            <w:pPr>
              <w:ind w:right="-29"/>
              <w:jc w:val="center"/>
              <w:rPr>
                <w:noProof/>
                <w:sz w:val="18"/>
                <w:szCs w:val="18"/>
              </w:rPr>
            </w:pPr>
            <w:r>
              <w:rPr>
                <w:noProof/>
                <w:sz w:val="18"/>
              </w:rPr>
              <w:t>Consultant</w:t>
            </w:r>
          </w:p>
        </w:tc>
        <w:tc>
          <w:tcPr>
            <w:tcW w:w="632" w:type="dxa"/>
          </w:tcPr>
          <w:p>
            <w:pPr>
              <w:ind w:right="-29"/>
              <w:rPr>
                <w:noProof/>
                <w:sz w:val="18"/>
                <w:szCs w:val="18"/>
              </w:rPr>
            </w:pPr>
          </w:p>
        </w:tc>
        <w:tc>
          <w:tcPr>
            <w:tcW w:w="504"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0,750</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0,750</w:t>
            </w:r>
          </w:p>
        </w:tc>
        <w:tc>
          <w:tcPr>
            <w:tcW w:w="72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0,750</w:t>
            </w:r>
          </w:p>
        </w:tc>
        <w:tc>
          <w:tcPr>
            <w:tcW w:w="900" w:type="dxa"/>
            <w:tcBorders>
              <w:right w:val="dashSmallGap" w:sz="4" w:space="0" w:color="auto"/>
            </w:tcBorders>
          </w:tcPr>
          <w:p>
            <w:pPr>
              <w:ind w:right="-29"/>
              <w:jc w:val="center"/>
              <w:rPr>
                <w:noProof/>
                <w:sz w:val="18"/>
                <w:szCs w:val="18"/>
              </w:rPr>
            </w:pPr>
            <w:r>
              <w:rPr>
                <w:noProof/>
                <w:sz w:val="18"/>
              </w:rPr>
              <w:t>1</w:t>
            </w:r>
          </w:p>
        </w:tc>
        <w:tc>
          <w:tcPr>
            <w:tcW w:w="639" w:type="dxa"/>
            <w:gridSpan w:val="2"/>
            <w:tcBorders>
              <w:left w:val="dashSmallGap" w:sz="4" w:space="0" w:color="auto"/>
            </w:tcBorders>
          </w:tcPr>
          <w:p>
            <w:pPr>
              <w:ind w:right="-29"/>
              <w:jc w:val="center"/>
              <w:rPr>
                <w:noProof/>
                <w:sz w:val="18"/>
                <w:szCs w:val="18"/>
              </w:rPr>
            </w:pPr>
            <w:r>
              <w:rPr>
                <w:noProof/>
                <w:sz w:val="18"/>
              </w:rPr>
              <w:t>0,750</w:t>
            </w:r>
          </w:p>
        </w:tc>
        <w:tc>
          <w:tcPr>
            <w:tcW w:w="621" w:type="dxa"/>
            <w:tcBorders>
              <w:right w:val="dashSmallGap" w:sz="4" w:space="0" w:color="auto"/>
            </w:tcBorders>
          </w:tcPr>
          <w:p>
            <w:pPr>
              <w:ind w:right="-29"/>
              <w:jc w:val="center"/>
              <w:rPr>
                <w:noProof/>
                <w:sz w:val="18"/>
                <w:szCs w:val="18"/>
              </w:rPr>
            </w:pPr>
            <w:r>
              <w:rPr>
                <w:noProof/>
                <w:sz w:val="18"/>
              </w:rPr>
              <w:t>1</w:t>
            </w:r>
          </w:p>
        </w:tc>
        <w:tc>
          <w:tcPr>
            <w:tcW w:w="648" w:type="dxa"/>
            <w:tcBorders>
              <w:left w:val="dashSmallGap" w:sz="4" w:space="0" w:color="auto"/>
            </w:tcBorders>
          </w:tcPr>
          <w:p>
            <w:pPr>
              <w:ind w:right="-29"/>
              <w:jc w:val="center"/>
              <w:rPr>
                <w:noProof/>
                <w:sz w:val="18"/>
                <w:szCs w:val="18"/>
              </w:rPr>
            </w:pPr>
            <w:r>
              <w:rPr>
                <w:noProof/>
                <w:sz w:val="18"/>
              </w:rPr>
              <w:t>0,750</w:t>
            </w:r>
          </w:p>
        </w:tc>
        <w:tc>
          <w:tcPr>
            <w:tcW w:w="432"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0,750</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0,750</w:t>
            </w:r>
          </w:p>
        </w:tc>
        <w:tc>
          <w:tcPr>
            <w:tcW w:w="720" w:type="dxa"/>
          </w:tcPr>
          <w:p>
            <w:pPr>
              <w:ind w:right="-29"/>
              <w:jc w:val="center"/>
              <w:rPr>
                <w:noProof/>
                <w:sz w:val="18"/>
                <w:szCs w:val="18"/>
              </w:rPr>
            </w:pPr>
            <w:r>
              <w:rPr>
                <w:noProof/>
                <w:sz w:val="18"/>
              </w:rPr>
              <w:t>7</w:t>
            </w:r>
          </w:p>
        </w:tc>
        <w:tc>
          <w:tcPr>
            <w:tcW w:w="900" w:type="dxa"/>
          </w:tcPr>
          <w:p>
            <w:pPr>
              <w:ind w:right="-29"/>
              <w:jc w:val="center"/>
              <w:rPr>
                <w:noProof/>
                <w:sz w:val="18"/>
                <w:szCs w:val="18"/>
              </w:rPr>
            </w:pPr>
            <w:r>
              <w:rPr>
                <w:noProof/>
                <w:sz w:val="18"/>
              </w:rPr>
              <w:t>5,25</w:t>
            </w:r>
          </w:p>
        </w:tc>
      </w:tr>
      <w:tr>
        <w:trPr>
          <w:trHeight w:hRule="exact" w:val="369"/>
          <w:jc w:val="center"/>
        </w:trPr>
        <w:tc>
          <w:tcPr>
            <w:tcW w:w="1423" w:type="dxa"/>
          </w:tcPr>
          <w:p>
            <w:pPr>
              <w:ind w:right="-29"/>
              <w:jc w:val="center"/>
              <w:rPr>
                <w:noProof/>
                <w:sz w:val="18"/>
                <w:szCs w:val="18"/>
              </w:rPr>
            </w:pPr>
            <w:r>
              <w:rPr>
                <w:noProof/>
                <w:sz w:val="18"/>
              </w:rPr>
              <w:t>– Realizare</w:t>
            </w:r>
          </w:p>
        </w:tc>
        <w:tc>
          <w:tcPr>
            <w:tcW w:w="789" w:type="dxa"/>
          </w:tcPr>
          <w:p>
            <w:pPr>
              <w:ind w:right="-29"/>
              <w:jc w:val="center"/>
              <w:rPr>
                <w:noProof/>
                <w:sz w:val="18"/>
                <w:szCs w:val="18"/>
              </w:rPr>
            </w:pPr>
          </w:p>
        </w:tc>
        <w:tc>
          <w:tcPr>
            <w:tcW w:w="63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639" w:type="dxa"/>
            <w:gridSpan w:val="2"/>
            <w:tcBorders>
              <w:left w:val="dashSmallGap" w:sz="4" w:space="0" w:color="auto"/>
            </w:tcBorders>
          </w:tcPr>
          <w:p>
            <w:pPr>
              <w:ind w:right="-29"/>
              <w:jc w:val="center"/>
              <w:rPr>
                <w:noProof/>
                <w:sz w:val="18"/>
                <w:szCs w:val="18"/>
              </w:rPr>
            </w:pPr>
          </w:p>
        </w:tc>
        <w:tc>
          <w:tcPr>
            <w:tcW w:w="621"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89" w:type="dxa"/>
          </w:tcPr>
          <w:p>
            <w:pPr>
              <w:ind w:right="-29"/>
              <w:jc w:val="center"/>
              <w:rPr>
                <w:noProof/>
                <w:sz w:val="18"/>
                <w:szCs w:val="18"/>
              </w:rPr>
            </w:pPr>
          </w:p>
        </w:tc>
        <w:tc>
          <w:tcPr>
            <w:tcW w:w="632"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639" w:type="dxa"/>
            <w:gridSpan w:val="2"/>
          </w:tcPr>
          <w:p>
            <w:pPr>
              <w:ind w:right="-29"/>
              <w:jc w:val="center"/>
              <w:rPr>
                <w:noProof/>
                <w:sz w:val="18"/>
                <w:szCs w:val="18"/>
              </w:rPr>
            </w:pPr>
          </w:p>
        </w:tc>
        <w:tc>
          <w:tcPr>
            <w:tcW w:w="621"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rPr>
            </w:pPr>
            <w:r>
              <w:rPr>
                <w:noProof/>
                <w:sz w:val="18"/>
              </w:rPr>
              <w:t>Subtotal pentru obiectivul specific nr. 1</w:t>
            </w:r>
          </w:p>
        </w:tc>
        <w:tc>
          <w:tcPr>
            <w:tcW w:w="504"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noProof/>
                <w:sz w:val="18"/>
              </w:rPr>
            </w:pPr>
          </w:p>
        </w:tc>
        <w:tc>
          <w:tcPr>
            <w:tcW w:w="639" w:type="dxa"/>
            <w:gridSpan w:val="2"/>
            <w:tcBorders>
              <w:bottom w:val="single" w:sz="12" w:space="0" w:color="auto"/>
            </w:tcBorders>
          </w:tcPr>
          <w:p>
            <w:pPr>
              <w:ind w:right="-29"/>
              <w:jc w:val="center"/>
              <w:rPr>
                <w:noProof/>
                <w:sz w:val="18"/>
              </w:rPr>
            </w:pPr>
          </w:p>
        </w:tc>
        <w:tc>
          <w:tcPr>
            <w:tcW w:w="621"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noProof/>
                <w:sz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OBIECTIVUL SPECIFIC NR. 2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639" w:type="dxa"/>
            <w:gridSpan w:val="2"/>
            <w:tcBorders>
              <w:top w:val="nil"/>
              <w:left w:val="nil"/>
              <w:bottom w:val="nil"/>
              <w:right w:val="nil"/>
            </w:tcBorders>
          </w:tcPr>
          <w:p>
            <w:pPr>
              <w:spacing w:before="60" w:after="60"/>
              <w:ind w:right="-29"/>
              <w:jc w:val="center"/>
              <w:rPr>
                <w:noProof/>
                <w:sz w:val="18"/>
                <w:szCs w:val="18"/>
              </w:rPr>
            </w:pPr>
          </w:p>
        </w:tc>
        <w:tc>
          <w:tcPr>
            <w:tcW w:w="621"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89" w:type="dxa"/>
          </w:tcPr>
          <w:p>
            <w:pPr>
              <w:ind w:right="-29"/>
              <w:jc w:val="center"/>
              <w:rPr>
                <w:noProof/>
                <w:sz w:val="18"/>
                <w:szCs w:val="18"/>
              </w:rPr>
            </w:pPr>
          </w:p>
        </w:tc>
        <w:tc>
          <w:tcPr>
            <w:tcW w:w="632"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639" w:type="dxa"/>
            <w:gridSpan w:val="2"/>
          </w:tcPr>
          <w:p>
            <w:pPr>
              <w:ind w:right="-29"/>
              <w:jc w:val="center"/>
              <w:rPr>
                <w:noProof/>
                <w:sz w:val="18"/>
                <w:szCs w:val="18"/>
              </w:rPr>
            </w:pPr>
          </w:p>
        </w:tc>
        <w:tc>
          <w:tcPr>
            <w:tcW w:w="621"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rPr>
            </w:pPr>
            <w:r>
              <w:rPr>
                <w:noProof/>
                <w:sz w:val="18"/>
              </w:rPr>
              <w:t xml:space="preserve">Subtotal pentru obiectivul specific </w:t>
            </w:r>
          </w:p>
        </w:tc>
        <w:tc>
          <w:tcPr>
            <w:tcW w:w="504"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51" w:type="dxa"/>
            <w:gridSpan w:val="2"/>
            <w:tcBorders>
              <w:bottom w:val="single" w:sz="12" w:space="0" w:color="auto"/>
            </w:tcBorders>
          </w:tcPr>
          <w:p>
            <w:pPr>
              <w:ind w:right="-29"/>
              <w:jc w:val="center"/>
              <w:rPr>
                <w:noProof/>
                <w:sz w:val="18"/>
              </w:rPr>
            </w:pPr>
          </w:p>
        </w:tc>
        <w:tc>
          <w:tcPr>
            <w:tcW w:w="588" w:type="dxa"/>
            <w:tcBorders>
              <w:bottom w:val="single" w:sz="12" w:space="0" w:color="auto"/>
            </w:tcBorders>
          </w:tcPr>
          <w:p>
            <w:pPr>
              <w:ind w:right="-29"/>
              <w:jc w:val="center"/>
              <w:rPr>
                <w:noProof/>
                <w:sz w:val="18"/>
              </w:rPr>
            </w:pPr>
          </w:p>
        </w:tc>
        <w:tc>
          <w:tcPr>
            <w:tcW w:w="621"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noProof/>
                <w:sz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TOTALURI</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639" w:type="dxa"/>
            <w:gridSpan w:val="2"/>
            <w:tcBorders>
              <w:top w:val="single" w:sz="12" w:space="0" w:color="auto"/>
              <w:bottom w:val="single" w:sz="12" w:space="0" w:color="auto"/>
            </w:tcBorders>
          </w:tcPr>
          <w:p>
            <w:pPr>
              <w:spacing w:before="180" w:after="180"/>
              <w:ind w:right="-29"/>
              <w:jc w:val="center"/>
              <w:rPr>
                <w:noProof/>
                <w:sz w:val="18"/>
                <w:szCs w:val="18"/>
              </w:rPr>
            </w:pPr>
          </w:p>
        </w:tc>
        <w:tc>
          <w:tcPr>
            <w:tcW w:w="621"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7</w:t>
            </w: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rPr>
              <w:t>5,25</w:t>
            </w:r>
          </w:p>
        </w:tc>
      </w:tr>
    </w:tbl>
    <w:p>
      <w:pPr>
        <w:rPr>
          <w:noProof/>
        </w:rPr>
      </w:pPr>
    </w:p>
    <w:p>
      <w:pPr>
        <w:rPr>
          <w:noProof/>
        </w:rPr>
        <w:sectPr>
          <w:headerReference w:type="default" r:id="rId28"/>
          <w:footerReference w:type="default" r:id="rId29"/>
          <w:pgSz w:w="16840" w:h="11907" w:orient="landscape" w:code="9"/>
          <w:pgMar w:top="1134" w:right="1418" w:bottom="567" w:left="1418" w:header="709" w:footer="709" w:gutter="0"/>
          <w:cols w:space="708"/>
          <w:docGrid w:linePitch="360"/>
        </w:sectPr>
      </w:pPr>
    </w:p>
    <w:p>
      <w:pPr>
        <w:keepNext/>
        <w:tabs>
          <w:tab w:val="left" w:pos="850"/>
        </w:tabs>
        <w:ind w:left="850" w:hanging="850"/>
        <w:outlineLvl w:val="2"/>
        <w:rPr>
          <w:bCs/>
          <w:i/>
          <w:noProof/>
          <w:szCs w:val="24"/>
        </w:rPr>
      </w:pPr>
      <w:bookmarkStart w:id="158" w:name="_Toc514938055"/>
      <w:bookmarkStart w:id="159" w:name="_Toc520485054"/>
      <w:bookmarkStart w:id="160" w:name="_Toc160804598"/>
      <w:bookmarkStart w:id="161" w:name="_Toc167220290"/>
      <w:bookmarkStart w:id="162" w:name="_Toc177549023"/>
      <w:r>
        <w:rPr>
          <w:i/>
          <w:noProof/>
        </w:rPr>
        <w:t>3.2.3.</w:t>
      </w:r>
      <w:r>
        <w:rPr>
          <w:noProof/>
        </w:rPr>
        <w:tab/>
      </w:r>
      <w:r>
        <w:rPr>
          <w:i/>
          <w:noProof/>
        </w:rPr>
        <w:t>Sinteza impactului estimat asupra creditelor administrative</w:t>
      </w:r>
      <w:bookmarkEnd w:id="158"/>
      <w:bookmarkEnd w:id="159"/>
      <w:bookmarkEnd w:id="160"/>
      <w:bookmarkEnd w:id="161"/>
      <w:bookmarkEnd w:id="162"/>
      <w:r>
        <w:rPr>
          <w:i/>
          <w:noProof/>
        </w:rPr>
        <w:t xml:space="preserve"> </w:t>
      </w:r>
    </w:p>
    <w:p>
      <w:pPr>
        <w:pStyle w:val="Point0"/>
        <w:rPr>
          <w:noProof/>
        </w:rPr>
      </w:pPr>
      <w:r>
        <w:rPr>
          <w:noProof/>
        </w:rPr>
        <w:t>(2)</w:t>
      </w:r>
      <w:r>
        <w:rPr>
          <w:noProof/>
        </w:rPr>
        <w:tab/>
      </w:r>
      <w:r>
        <w:rPr>
          <w:rFonts w:ascii="Wingdings" w:hAnsi="Wingdings"/>
          <w:noProof/>
        </w:rPr>
        <w:t>¨</w:t>
      </w:r>
      <w:r>
        <w:rPr>
          <w:noProof/>
        </w:rPr>
        <w:tab/>
        <w:t xml:space="preserve">Propunerea/inițiativa nu implică utilizarea de credite cu caracter administrativ </w:t>
      </w:r>
    </w:p>
    <w:p>
      <w:pPr>
        <w:rPr>
          <w:rFonts w:eastAsia="Times New Roman"/>
          <w:noProof/>
        </w:rPr>
      </w:pPr>
      <w:r>
        <w:rPr>
          <w:rFonts w:ascii="Wingdings" w:hAnsi="Wingdings"/>
          <w:noProof/>
        </w:rPr>
        <w:t>X</w:t>
      </w:r>
      <w:r>
        <w:rPr>
          <w:noProof/>
        </w:rPr>
        <w:t>Propunerea/inițiativa implică utilizarea de credite cu caracter administrativ, conform explicațiilor de mai jos</w:t>
      </w:r>
    </w:p>
    <w:p>
      <w:pPr>
        <w:keepNext/>
        <w:tabs>
          <w:tab w:val="left" w:pos="850"/>
        </w:tabs>
        <w:ind w:left="850" w:hanging="850"/>
        <w:outlineLvl w:val="2"/>
        <w:rPr>
          <w:i/>
          <w:noProof/>
        </w:rPr>
      </w:pPr>
      <w:bookmarkStart w:id="163" w:name="_Toc167220293"/>
      <w:bookmarkStart w:id="164" w:name="_Toc177549026"/>
      <w:r>
        <w:rPr>
          <w:i/>
          <w:noProof/>
        </w:rPr>
        <w:t>3.2.3.3.</w:t>
      </w:r>
      <w:r>
        <w:rPr>
          <w:noProof/>
        </w:rPr>
        <w:tab/>
      </w:r>
      <w:r>
        <w:rPr>
          <w:i/>
          <w:noProof/>
        </w:rPr>
        <w:t>Total credite</w:t>
      </w:r>
      <w:bookmarkEnd w:id="163"/>
      <w:bookmarkEnd w:id="164"/>
    </w:p>
    <w:p>
      <w:pPr>
        <w:rPr>
          <w:noProof/>
          <w:color w:val="008000"/>
        </w:rPr>
      </w:pPr>
    </w:p>
    <w:p>
      <w:pPr>
        <w:rPr>
          <w:noProof/>
          <w:color w:val="008000"/>
        </w:rPr>
      </w:pPr>
    </w:p>
    <w:tbl>
      <w:tblPr>
        <w:tblW w:w="5000" w:type="pct"/>
        <w:tblLook w:val="04A0" w:firstRow="1" w:lastRow="0" w:firstColumn="1" w:lastColumn="0" w:noHBand="0" w:noVBand="1"/>
      </w:tblPr>
      <w:tblGrid>
        <w:gridCol w:w="2923"/>
        <w:gridCol w:w="750"/>
        <w:gridCol w:w="749"/>
        <w:gridCol w:w="749"/>
        <w:gridCol w:w="749"/>
        <w:gridCol w:w="842"/>
        <w:gridCol w:w="838"/>
        <w:gridCol w:w="838"/>
        <w:gridCol w:w="851"/>
      </w:tblGrid>
      <w:tr>
        <w:trPr>
          <w:trHeight w:val="300"/>
        </w:trPr>
        <w:tc>
          <w:tcPr>
            <w:tcW w:w="1574"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CREDITE VOTATE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Anul</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rPr>
            </w:pPr>
            <w:r>
              <w:rPr>
                <w:noProof/>
                <w:color w:val="000000"/>
                <w:sz w:val="18"/>
              </w:rPr>
              <w:t>Anul</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rPr>
            </w:pPr>
            <w:r>
              <w:rPr>
                <w:noProof/>
                <w:color w:val="000000"/>
                <w:sz w:val="18"/>
              </w:rPr>
              <w:t>Anul</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rPr>
            </w:pPr>
            <w:r>
              <w:rPr>
                <w:noProof/>
                <w:color w:val="000000"/>
                <w:sz w:val="18"/>
              </w:rPr>
              <w:t>Anul</w:t>
            </w:r>
          </w:p>
        </w:tc>
        <w:tc>
          <w:tcPr>
            <w:tcW w:w="45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TOTAL 2028-2034</w:t>
            </w:r>
          </w:p>
        </w:tc>
      </w:tr>
      <w:tr>
        <w:trPr>
          <w:trHeight w:val="300"/>
        </w:trPr>
        <w:tc>
          <w:tcPr>
            <w:tcW w:w="1574" w:type="pct"/>
            <w:vMerge/>
            <w:vAlign w:val="center"/>
            <w:hideMark/>
          </w:tcPr>
          <w:p>
            <w:pPr>
              <w:spacing w:before="0" w:after="0"/>
              <w:jc w:val="left"/>
              <w:rPr>
                <w:b/>
                <w:noProof/>
                <w:color w:val="000000"/>
                <w:sz w:val="18"/>
              </w:rPr>
            </w:pPr>
          </w:p>
        </w:tc>
        <w:tc>
          <w:tcPr>
            <w:tcW w:w="40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2028</w:t>
            </w:r>
          </w:p>
        </w:tc>
        <w:tc>
          <w:tcPr>
            <w:tcW w:w="40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2029</w:t>
            </w:r>
          </w:p>
        </w:tc>
        <w:tc>
          <w:tcPr>
            <w:tcW w:w="40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2030</w:t>
            </w:r>
          </w:p>
        </w:tc>
        <w:tc>
          <w:tcPr>
            <w:tcW w:w="40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rPr>
            </w:pPr>
            <w:r>
              <w:rPr>
                <w:b/>
                <w:noProof/>
                <w:color w:val="000000"/>
                <w:sz w:val="18"/>
              </w:rPr>
              <w:t>2032</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rPr>
            </w:pPr>
            <w:r>
              <w:rPr>
                <w:b/>
                <w:noProof/>
                <w:color w:val="000000"/>
                <w:sz w:val="18"/>
              </w:rPr>
              <w:t>2033</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rPr>
            </w:pPr>
            <w:r>
              <w:rPr>
                <w:b/>
                <w:noProof/>
                <w:color w:val="000000"/>
                <w:sz w:val="18"/>
              </w:rPr>
              <w:t>2034</w:t>
            </w:r>
          </w:p>
        </w:tc>
        <w:tc>
          <w:tcPr>
            <w:tcW w:w="457" w:type="pct"/>
            <w:vMerge/>
            <w:vAlign w:val="center"/>
            <w:hideMark/>
          </w:tcPr>
          <w:p>
            <w:pPr>
              <w:spacing w:before="0" w:after="0"/>
              <w:jc w:val="left"/>
              <w:rPr>
                <w:b/>
                <w:noProof/>
                <w:color w:val="000000"/>
                <w:sz w:val="18"/>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rPr>
            </w:pPr>
            <w:r>
              <w:rPr>
                <w:b/>
                <w:noProof/>
                <w:sz w:val="16"/>
              </w:rPr>
              <w:t>RUBRICA 4</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 xml:space="preserve">Resurse umane </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0,299</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0,299</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0,299</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2,093</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 xml:space="preserve">Alte cheltuieli administrative </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0,164</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0,164</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0,164</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1,148</w:t>
            </w:r>
          </w:p>
        </w:tc>
      </w:tr>
      <w:tr>
        <w:trPr>
          <w:trHeight w:val="300"/>
        </w:trPr>
        <w:tc>
          <w:tcPr>
            <w:tcW w:w="1574"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noProof/>
                <w:color w:val="000000"/>
                <w:sz w:val="16"/>
              </w:rPr>
            </w:pPr>
            <w:r>
              <w:rPr>
                <w:b/>
                <w:noProof/>
                <w:color w:val="000000"/>
                <w:sz w:val="16"/>
              </w:rPr>
              <w:t>Subtotal de la RUBRICA 4</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0,463</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20"/>
              </w:rPr>
              <w:t>3,241</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rPr>
            </w:pPr>
            <w:r>
              <w:rPr>
                <w:b/>
                <w:noProof/>
                <w:sz w:val="16"/>
              </w:rPr>
              <w:t>În afara RUBRICII 4</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 xml:space="preserve">Resurse umane </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Alte cheltuieli cu caracter administrativ</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r>
      <w:tr>
        <w:trPr>
          <w:trHeight w:val="300"/>
        </w:trPr>
        <w:tc>
          <w:tcPr>
            <w:tcW w:w="1574"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noProof/>
                <w:color w:val="000000"/>
                <w:sz w:val="16"/>
              </w:rPr>
            </w:pPr>
            <w:r>
              <w:rPr>
                <w:b/>
                <w:noProof/>
                <w:color w:val="000000"/>
                <w:sz w:val="16"/>
              </w:rPr>
              <w:t>Subtotal în afara RUBRICII 4</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sz w:val="16"/>
              </w:rPr>
              <w:t>0,000</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rPr>
            </w:pP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16"/>
              </w:rPr>
            </w:pPr>
            <w:r>
              <w:rPr>
                <w:b/>
                <w:noProof/>
                <w:color w:val="000000"/>
                <w:sz w:val="16"/>
              </w:rPr>
              <w:t>TOTAL</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20"/>
              </w:rPr>
              <w:t>3,241</w:t>
            </w:r>
          </w:p>
        </w:tc>
      </w:tr>
    </w:tbl>
    <w:p>
      <w:pPr>
        <w:rPr>
          <w:noProof/>
          <w:color w:val="008000"/>
        </w:rPr>
      </w:pPr>
    </w:p>
    <w:p>
      <w:pPr>
        <w:rPr>
          <w:noProof/>
          <w:color w:val="008000"/>
        </w:rPr>
      </w:pPr>
    </w:p>
    <w:p>
      <w:pPr>
        <w:rPr>
          <w:noProof/>
          <w:color w:val="008000"/>
        </w:rPr>
      </w:pPr>
      <w:r>
        <w:rPr>
          <w:noProof/>
          <w:color w:val="008000"/>
        </w:rPr>
        <w:t>===================================================================</w:t>
      </w:r>
    </w:p>
    <w:p>
      <w:pPr>
        <w:rPr>
          <w:noProof/>
          <w:sz w:val="22"/>
          <w:szCs w:val="28"/>
        </w:rPr>
      </w:pPr>
      <w:r>
        <w:rPr>
          <w:noProof/>
          <w:sz w:val="22"/>
        </w:rPr>
        <w:t>Impactul estimat asupra cheltuielilor și a personalului pentru 2028 și ulterior este adăugat doar cu titlu orientativ și nu aduce atingere următorului cadru financiar multianual. Sursa de finanțare și amploarea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rPr>
          <w:noProof/>
          <w:sz w:val="22"/>
          <w:szCs w:val="28"/>
        </w:rPr>
      </w:pPr>
    </w:p>
    <w:p>
      <w:pPr>
        <w:keepNext/>
        <w:tabs>
          <w:tab w:val="left" w:pos="850"/>
        </w:tabs>
        <w:ind w:left="850" w:hanging="850"/>
        <w:outlineLvl w:val="2"/>
        <w:rPr>
          <w:bCs/>
          <w:i/>
          <w:noProof/>
          <w:szCs w:val="24"/>
        </w:rPr>
      </w:pPr>
      <w:bookmarkStart w:id="165" w:name="_Toc167220294"/>
      <w:bookmarkStart w:id="166" w:name="_Toc177549027"/>
      <w:r>
        <w:rPr>
          <w:i/>
          <w:noProof/>
        </w:rPr>
        <w:t>3.2.4.</w:t>
      </w:r>
      <w:r>
        <w:rPr>
          <w:noProof/>
        </w:rPr>
        <w:tab/>
      </w:r>
      <w:r>
        <w:rPr>
          <w:i/>
          <w:noProof/>
        </w:rPr>
        <w:t>Necesarul de resurse umane estimat</w:t>
      </w:r>
      <w:bookmarkEnd w:id="165"/>
      <w:bookmarkEnd w:id="166"/>
      <w:r>
        <w:rPr>
          <w:i/>
          <w:noProof/>
        </w:rPr>
        <w:t xml:space="preserve"> </w:t>
      </w:r>
    </w:p>
    <w:p>
      <w:pPr>
        <w:pStyle w:val="Point0"/>
        <w:rPr>
          <w:noProof/>
        </w:rPr>
      </w:pPr>
      <w:r>
        <w:rPr>
          <w:noProof/>
        </w:rPr>
        <w:t>(1)</w:t>
      </w:r>
      <w:r>
        <w:rPr>
          <w:noProof/>
        </w:rPr>
        <w:tab/>
      </w:r>
      <w:r>
        <w:rPr>
          <w:rFonts w:ascii="Wingdings" w:hAnsi="Wingdings"/>
          <w:noProof/>
        </w:rPr>
        <w:t>¨</w:t>
      </w:r>
      <w:r>
        <w:rPr>
          <w:noProof/>
        </w:rPr>
        <w:tab/>
        <w:t xml:space="preserve">Propunerea/inițiativa nu implică utilizarea de resurse umane </w:t>
      </w:r>
    </w:p>
    <w:p>
      <w:pPr>
        <w:pStyle w:val="Point0"/>
        <w:rPr>
          <w:noProof/>
        </w:rPr>
      </w:pPr>
      <w:r>
        <w:rPr>
          <w:noProof/>
        </w:rPr>
        <w:t>(2)</w:t>
      </w:r>
      <w:r>
        <w:rPr>
          <w:noProof/>
        </w:rPr>
        <w:tab/>
      </w:r>
      <w:r>
        <w:rPr>
          <w:rFonts w:ascii="Wingdings" w:hAnsi="Wingdings"/>
          <w:noProof/>
        </w:rPr>
        <w:t>x</w:t>
      </w:r>
      <w:r>
        <w:rPr>
          <w:noProof/>
        </w:rPr>
        <w:tab/>
        <w:t>Propunerea/inițiativa implică utilizarea de resurse umane, conform explicațiilor de mai jos</w:t>
      </w:r>
    </w:p>
    <w:p>
      <w:pPr>
        <w:keepNext/>
        <w:tabs>
          <w:tab w:val="left" w:pos="850"/>
        </w:tabs>
        <w:ind w:left="850" w:hanging="850"/>
        <w:outlineLvl w:val="2"/>
        <w:rPr>
          <w:i/>
          <w:noProof/>
        </w:rPr>
      </w:pPr>
      <w:bookmarkStart w:id="167" w:name="_Toc167220295"/>
      <w:bookmarkStart w:id="168" w:name="_Toc177549028"/>
      <w:r>
        <w:rPr>
          <w:i/>
          <w:noProof/>
        </w:rPr>
        <w:t>3.2.4.1.</w:t>
      </w:r>
      <w:r>
        <w:rPr>
          <w:noProof/>
        </w:rPr>
        <w:tab/>
      </w:r>
      <w:r>
        <w:rPr>
          <w:i/>
          <w:noProof/>
        </w:rPr>
        <w:t>Finanțare din bugetul votat</w:t>
      </w:r>
      <w:bookmarkEnd w:id="167"/>
      <w:bookmarkEnd w:id="168"/>
    </w:p>
    <w:p>
      <w:pPr>
        <w:rPr>
          <w:noProof/>
          <w:color w:val="008000"/>
        </w:rPr>
      </w:pPr>
      <w:bookmarkStart w:id="169" w:name="_Hlk156979231"/>
    </w:p>
    <w:tbl>
      <w:tblPr>
        <w:tblW w:w="9291" w:type="dxa"/>
        <w:tblLook w:val="04A0" w:firstRow="1" w:lastRow="0" w:firstColumn="1" w:lastColumn="0" w:noHBand="0" w:noVBand="1"/>
      </w:tblPr>
      <w:tblGrid>
        <w:gridCol w:w="1396"/>
        <w:gridCol w:w="1215"/>
        <w:gridCol w:w="955"/>
        <w:gridCol w:w="955"/>
        <w:gridCol w:w="955"/>
        <w:gridCol w:w="955"/>
        <w:gridCol w:w="955"/>
        <w:gridCol w:w="955"/>
        <w:gridCol w:w="950"/>
      </w:tblGrid>
      <w:tr>
        <w:trPr>
          <w:trHeight w:val="290"/>
        </w:trPr>
        <w:tc>
          <w:tcPr>
            <w:tcW w:w="2611" w:type="dxa"/>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b/>
                <w:noProof/>
                <w:color w:val="000000"/>
                <w:sz w:val="18"/>
              </w:rPr>
            </w:pPr>
            <w:r>
              <w:rPr>
                <w:b/>
                <w:noProof/>
                <w:color w:val="000000"/>
                <w:sz w:val="18"/>
              </w:rPr>
              <w:t>CREDITE VOTATE</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c>
          <w:tcPr>
            <w:tcW w:w="950"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Anul</w:t>
            </w:r>
          </w:p>
        </w:tc>
      </w:tr>
      <w:tr>
        <w:trPr>
          <w:trHeight w:val="300"/>
        </w:trPr>
        <w:tc>
          <w:tcPr>
            <w:tcW w:w="2611" w:type="dxa"/>
            <w:gridSpan w:val="2"/>
            <w:vMerge/>
            <w:vAlign w:val="center"/>
            <w:hideMark/>
          </w:tcPr>
          <w:p>
            <w:pPr>
              <w:spacing w:before="0" w:after="0"/>
              <w:jc w:val="left"/>
              <w:rPr>
                <w:b/>
                <w:noProof/>
                <w:color w:val="000000"/>
                <w:sz w:val="18"/>
              </w:rPr>
            </w:pP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950"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r>
      <w:tr>
        <w:trPr>
          <w:trHeight w:val="300"/>
        </w:trPr>
        <w:tc>
          <w:tcPr>
            <w:tcW w:w="9291" w:type="dxa"/>
            <w:gridSpan w:val="9"/>
            <w:tcBorders>
              <w:top w:val="single" w:sz="8" w:space="0" w:color="auto"/>
              <w:left w:val="single" w:sz="8" w:space="0" w:color="auto"/>
              <w:bottom w:val="nil"/>
              <w:right w:val="nil"/>
            </w:tcBorders>
            <w:vAlign w:val="center"/>
            <w:hideMark/>
          </w:tcPr>
          <w:p>
            <w:pPr>
              <w:spacing w:before="0" w:after="0"/>
              <w:jc w:val="center"/>
              <w:rPr>
                <w:rFonts w:ascii="Wingdings" w:hAnsi="Wingdings"/>
                <w:b/>
                <w:noProof/>
                <w:color w:val="000000"/>
                <w:sz w:val="16"/>
              </w:rPr>
            </w:pPr>
            <w:r>
              <w:rPr>
                <w:rFonts w:ascii="Wingdings" w:hAnsi="Wingdings"/>
                <w:b/>
                <w:noProof/>
                <w:color w:val="000000"/>
                <w:sz w:val="16"/>
              </w:rPr>
              <w:t>Ÿ</w:t>
            </w:r>
            <w:r>
              <w:rPr>
                <w:b/>
                <w:noProof/>
                <w:color w:val="000000"/>
                <w:sz w:val="16"/>
              </w:rPr>
              <w:t xml:space="preserve"> Posturi din schema de personal (funcționari și agenți temporari)</w:t>
            </w:r>
          </w:p>
        </w:tc>
      </w:tr>
      <w:tr>
        <w:trPr>
          <w:trHeight w:val="55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20 01 02 01</w:t>
            </w:r>
            <w:r>
              <w:rPr>
                <w:noProof/>
                <w:color w:val="000000"/>
              </w:rPr>
              <w:t xml:space="preserve"> </w:t>
            </w:r>
            <w:r>
              <w:rPr>
                <w:noProof/>
                <w:color w:val="000000"/>
                <w:sz w:val="16"/>
              </w:rPr>
              <w:t>(la sediu și în reprezentanțele Comisiei)</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01 02 03 (delegațiile UE)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41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(cercetare indirectă)</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(cercetare directă)</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Alte linii bugetare (a se preciza)</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00"/>
        </w:trPr>
        <w:tc>
          <w:tcPr>
            <w:tcW w:w="9291" w:type="dxa"/>
            <w:gridSpan w:val="9"/>
            <w:tcBorders>
              <w:top w:val="single" w:sz="8" w:space="0" w:color="auto"/>
              <w:left w:val="single" w:sz="8" w:space="0" w:color="auto"/>
              <w:bottom w:val="nil"/>
              <w:right w:val="nil"/>
            </w:tcBorders>
            <w:vAlign w:val="center"/>
            <w:hideMark/>
          </w:tcPr>
          <w:p>
            <w:pPr>
              <w:spacing w:before="0" w:after="0"/>
              <w:jc w:val="center"/>
              <w:rPr>
                <w:rFonts w:ascii="Calibri" w:hAnsi="Calibri"/>
                <w:b/>
                <w:noProof/>
                <w:color w:val="000000"/>
                <w:sz w:val="16"/>
              </w:rPr>
            </w:pPr>
            <w:r>
              <w:rPr>
                <w:rFonts w:ascii="Calibri" w:hAnsi="Calibri"/>
                <w:b/>
                <w:noProof/>
                <w:color w:val="000000"/>
                <w:sz w:val="16"/>
              </w:rPr>
              <w:t>•</w:t>
            </w:r>
            <w:r>
              <w:rPr>
                <w:b/>
                <w:noProof/>
                <w:color w:val="000000"/>
                <w:sz w:val="16"/>
              </w:rPr>
              <w:t xml:space="preserve"> Personal extern (în ENI)</w:t>
            </w:r>
          </w:p>
        </w:tc>
      </w:tr>
      <w:tr>
        <w:trPr>
          <w:trHeight w:val="41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20 02 01</w:t>
            </w:r>
            <w:r>
              <w:rPr>
                <w:noProof/>
                <w:color w:val="000000"/>
              </w:rPr>
              <w:t xml:space="preserve"> </w:t>
            </w:r>
            <w:r>
              <w:rPr>
                <w:noProof/>
                <w:color w:val="000000"/>
                <w:sz w:val="16"/>
              </w:rPr>
              <w:t>(AC, END din „pachetul global”)</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r>
      <w:tr>
        <w:trPr>
          <w:trHeight w:val="52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02 03 (AC, AL, END și JPD în delegațiile UE)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640"/>
        </w:trPr>
        <w:tc>
          <w:tcPr>
            <w:tcW w:w="1396" w:type="dxa"/>
            <w:tcBorders>
              <w:top w:val="nil"/>
              <w:left w:val="single" w:sz="8" w:space="0" w:color="auto"/>
              <w:bottom w:val="nil"/>
              <w:right w:val="single" w:sz="8" w:space="0" w:color="auto"/>
            </w:tcBorders>
            <w:vAlign w:val="center"/>
            <w:hideMark/>
          </w:tcPr>
          <w:p>
            <w:pPr>
              <w:spacing w:before="0" w:after="0"/>
              <w:jc w:val="center"/>
              <w:rPr>
                <w:noProof/>
                <w:color w:val="000000"/>
                <w:sz w:val="16"/>
              </w:rPr>
            </w:pPr>
            <w:r>
              <w:rPr>
                <w:noProof/>
                <w:color w:val="000000"/>
                <w:sz w:val="16"/>
              </w:rPr>
              <w:t>Linia de sprijin administrativ</w:t>
            </w:r>
          </w:p>
        </w:tc>
        <w:tc>
          <w:tcPr>
            <w:tcW w:w="1215" w:type="dxa"/>
            <w:tcBorders>
              <w:top w:val="nil"/>
              <w:left w:val="nil"/>
              <w:bottom w:val="single" w:sz="8" w:space="0" w:color="auto"/>
              <w:right w:val="single" w:sz="8" w:space="0" w:color="auto"/>
            </w:tcBorders>
            <w:vAlign w:val="center"/>
            <w:hideMark/>
          </w:tcPr>
          <w:p>
            <w:pPr>
              <w:numPr>
                <w:ilvl w:val="0"/>
                <w:numId w:val="20"/>
              </w:numPr>
              <w:spacing w:before="0" w:after="0"/>
              <w:ind w:left="169" w:hanging="152"/>
              <w:contextualSpacing/>
              <w:jc w:val="left"/>
              <w:rPr>
                <w:rFonts w:eastAsia="Times New Roman"/>
                <w:noProof/>
                <w:color w:val="000000"/>
                <w:sz w:val="16"/>
              </w:rPr>
            </w:pPr>
            <w:r>
              <w:rPr>
                <w:noProof/>
                <w:color w:val="000000"/>
                <w:sz w:val="16"/>
              </w:rPr>
              <w:t>la sediu</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430"/>
        </w:trPr>
        <w:tc>
          <w:tcPr>
            <w:tcW w:w="1396" w:type="dxa"/>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rPr>
            </w:pPr>
            <w:r>
              <w:rPr>
                <w:noProof/>
                <w:color w:val="000000"/>
                <w:sz w:val="16"/>
              </w:rPr>
              <w:t>[XX.01.YY.YY]</w:t>
            </w:r>
          </w:p>
        </w:tc>
        <w:tc>
          <w:tcPr>
            <w:tcW w:w="1215" w:type="dxa"/>
            <w:tcBorders>
              <w:top w:val="nil"/>
              <w:left w:val="nil"/>
              <w:bottom w:val="single" w:sz="8" w:space="0" w:color="auto"/>
              <w:right w:val="single" w:sz="8" w:space="0" w:color="auto"/>
            </w:tcBorders>
            <w:vAlign w:val="center"/>
            <w:hideMark/>
          </w:tcPr>
          <w:p>
            <w:pPr>
              <w:numPr>
                <w:ilvl w:val="0"/>
                <w:numId w:val="20"/>
              </w:numPr>
              <w:spacing w:before="0" w:after="0"/>
              <w:ind w:left="169" w:hanging="152"/>
              <w:contextualSpacing/>
              <w:jc w:val="left"/>
              <w:rPr>
                <w:rFonts w:eastAsia="Times New Roman"/>
                <w:noProof/>
                <w:color w:val="000000"/>
                <w:sz w:val="16"/>
              </w:rPr>
            </w:pPr>
            <w:r>
              <w:rPr>
                <w:noProof/>
                <w:color w:val="000000"/>
                <w:sz w:val="16"/>
              </w:rPr>
              <w:t xml:space="preserve">în delegațiile UE </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41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(AC, END – cercetare indirectă)</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(AC, END – Cercetare directă)</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 xml:space="preserve">Alte linii bugetare – rubrica 4 </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52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Alte linii bugetare – 07.200301 – în afara rubricii 4</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r>
      <w:tr>
        <w:trPr>
          <w:trHeight w:val="30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225"/>
              <w:jc w:val="left"/>
              <w:rPr>
                <w:b/>
                <w:noProof/>
                <w:color w:val="000000" w:themeColor="text1"/>
                <w:sz w:val="16"/>
              </w:rPr>
            </w:pPr>
            <w:r>
              <w:rPr>
                <w:b/>
                <w:noProof/>
                <w:color w:val="000000" w:themeColor="text1"/>
                <w:sz w:val="16"/>
              </w:rPr>
              <w:t>TOTAL</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themeColor="text1"/>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themeColor="text1"/>
                <w:sz w:val="16"/>
              </w:rPr>
              <w:t>2</w:t>
            </w:r>
          </w:p>
        </w:tc>
      </w:tr>
    </w:tbl>
    <w:p>
      <w:pPr>
        <w:ind w:right="-427"/>
        <w:rPr>
          <w:noProof/>
          <w:color w:val="000000" w:themeColor="text1"/>
        </w:rPr>
      </w:pPr>
      <w:bookmarkStart w:id="170" w:name="_Hlk167692843"/>
      <w:bookmarkEnd w:id="169"/>
    </w:p>
    <w:p>
      <w:pPr>
        <w:ind w:left="-426"/>
        <w:rPr>
          <w:noProof/>
          <w:color w:val="000000" w:themeColor="text1"/>
        </w:rPr>
      </w:pPr>
      <w:r>
        <w:rPr>
          <w:noProof/>
          <w:color w:val="000000" w:themeColor="text1"/>
        </w:rPr>
        <w:t>Necesarul de resurse umane va fi asigurat din efectivele de personal ale DG-ului în cauză alocate deja pentru gestionarea acțiunii și/sau redistribuite intern în cadrul DG-ului, completate, după caz, cu resurse suplimentare ce ar putea fi acordate DG-ului care gestionează acțiunea în cadrul procedurii anuale de alocare și ținând seama de constrângerile bugetare.</w:t>
      </w:r>
    </w:p>
    <w:p>
      <w:pPr>
        <w:ind w:left="-426"/>
        <w:rPr>
          <w:noProof/>
          <w:color w:val="000000" w:themeColor="text1"/>
        </w:rPr>
      </w:pPr>
    </w:p>
    <w:p>
      <w:pPr>
        <w:ind w:left="-426"/>
        <w:rPr>
          <w:noProof/>
          <w:color w:val="000000" w:themeColor="text1"/>
        </w:rPr>
      </w:pPr>
      <w:r>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jc w:val="center"/>
              <w:rPr>
                <w:b/>
                <w:bCs/>
                <w:noProof/>
                <w:sz w:val="22"/>
                <w:szCs w:val="28"/>
              </w:rPr>
            </w:pPr>
          </w:p>
        </w:tc>
        <w:tc>
          <w:tcPr>
            <w:tcW w:w="2031" w:type="dxa"/>
          </w:tcPr>
          <w:p>
            <w:pPr>
              <w:jc w:val="center"/>
              <w:rPr>
                <w:b/>
                <w:bCs/>
                <w:noProof/>
                <w:sz w:val="22"/>
              </w:rPr>
            </w:pPr>
            <w:r>
              <w:rPr>
                <w:b/>
                <w:noProof/>
                <w:sz w:val="22"/>
              </w:rPr>
              <w:t xml:space="preserve">Personal ce urmează să fie acoperit de personalul actual disponibil în cadrul serviciilor Comisiei </w:t>
            </w:r>
          </w:p>
        </w:tc>
        <w:tc>
          <w:tcPr>
            <w:tcW w:w="5611" w:type="dxa"/>
            <w:gridSpan w:val="3"/>
          </w:tcPr>
          <w:p>
            <w:pPr>
              <w:jc w:val="center"/>
              <w:rPr>
                <w:b/>
                <w:bCs/>
                <w:noProof/>
                <w:sz w:val="22"/>
              </w:rPr>
            </w:pPr>
            <w:r>
              <w:rPr>
                <w:b/>
                <w:noProof/>
                <w:sz w:val="22"/>
              </w:rPr>
              <w:t>În mod excepțional, personal suplimentar*</w:t>
            </w:r>
          </w:p>
        </w:tc>
      </w:tr>
      <w:tr>
        <w:trPr>
          <w:trHeight w:val="300"/>
        </w:trPr>
        <w:tc>
          <w:tcPr>
            <w:tcW w:w="1845" w:type="dxa"/>
          </w:tcPr>
          <w:p>
            <w:pPr>
              <w:jc w:val="center"/>
              <w:rPr>
                <w:b/>
                <w:bCs/>
                <w:noProof/>
                <w:sz w:val="22"/>
                <w:szCs w:val="28"/>
              </w:rPr>
            </w:pPr>
          </w:p>
        </w:tc>
        <w:tc>
          <w:tcPr>
            <w:tcW w:w="2031" w:type="dxa"/>
          </w:tcPr>
          <w:p>
            <w:pPr>
              <w:jc w:val="center"/>
              <w:rPr>
                <w:b/>
                <w:bCs/>
                <w:noProof/>
                <w:sz w:val="22"/>
                <w:szCs w:val="28"/>
              </w:rPr>
            </w:pPr>
          </w:p>
        </w:tc>
        <w:tc>
          <w:tcPr>
            <w:tcW w:w="1925" w:type="dxa"/>
          </w:tcPr>
          <w:p>
            <w:pPr>
              <w:jc w:val="center"/>
              <w:rPr>
                <w:b/>
                <w:bCs/>
                <w:noProof/>
                <w:sz w:val="22"/>
              </w:rPr>
            </w:pPr>
            <w:r>
              <w:rPr>
                <w:b/>
                <w:noProof/>
                <w:sz w:val="22"/>
              </w:rPr>
              <w:t>Personal ce urmează să fie finanțat în cadrul rubricii 7 sau Cercetare</w:t>
            </w:r>
          </w:p>
        </w:tc>
        <w:tc>
          <w:tcPr>
            <w:tcW w:w="1938" w:type="dxa"/>
          </w:tcPr>
          <w:p>
            <w:pPr>
              <w:jc w:val="center"/>
              <w:rPr>
                <w:b/>
                <w:bCs/>
                <w:noProof/>
                <w:sz w:val="22"/>
                <w:szCs w:val="28"/>
              </w:rPr>
            </w:pPr>
            <w:r>
              <w:rPr>
                <w:b/>
                <w:noProof/>
                <w:sz w:val="22"/>
              </w:rPr>
              <w:t>Personal ce urmează să fie finanțat de la linia BA</w:t>
            </w:r>
          </w:p>
        </w:tc>
        <w:tc>
          <w:tcPr>
            <w:tcW w:w="1748" w:type="dxa"/>
          </w:tcPr>
          <w:p>
            <w:pPr>
              <w:jc w:val="center"/>
              <w:rPr>
                <w:b/>
                <w:bCs/>
                <w:noProof/>
                <w:sz w:val="22"/>
                <w:szCs w:val="28"/>
              </w:rPr>
            </w:pPr>
            <w:r>
              <w:rPr>
                <w:b/>
                <w:noProof/>
                <w:sz w:val="22"/>
              </w:rPr>
              <w:t>Personal ce urmează să fie finanțat din taxe</w:t>
            </w:r>
          </w:p>
        </w:tc>
      </w:tr>
      <w:tr>
        <w:trPr>
          <w:trHeight w:val="300"/>
        </w:trPr>
        <w:tc>
          <w:tcPr>
            <w:tcW w:w="1845" w:type="dxa"/>
          </w:tcPr>
          <w:p>
            <w:pPr>
              <w:rPr>
                <w:noProof/>
                <w:sz w:val="22"/>
                <w:szCs w:val="28"/>
              </w:rPr>
            </w:pPr>
            <w:r>
              <w:rPr>
                <w:noProof/>
                <w:sz w:val="22"/>
              </w:rPr>
              <w:t>Posturi din schema de personal</w:t>
            </w:r>
          </w:p>
        </w:tc>
        <w:tc>
          <w:tcPr>
            <w:tcW w:w="2031" w:type="dxa"/>
          </w:tcPr>
          <w:p>
            <w:pPr>
              <w:rPr>
                <w:noProof/>
                <w:sz w:val="22"/>
                <w:szCs w:val="28"/>
              </w:rPr>
            </w:pPr>
            <w:r>
              <w:rPr>
                <w:noProof/>
                <w:sz w:val="22"/>
              </w:rPr>
              <w:t>1</w:t>
            </w:r>
          </w:p>
        </w:tc>
        <w:tc>
          <w:tcPr>
            <w:tcW w:w="1925" w:type="dxa"/>
          </w:tcPr>
          <w:p>
            <w:pPr>
              <w:rPr>
                <w:noProof/>
                <w:sz w:val="22"/>
                <w:szCs w:val="28"/>
              </w:rPr>
            </w:pPr>
            <w:r>
              <w:rPr>
                <w:noProof/>
                <w:sz w:val="22"/>
              </w:rPr>
              <w:t>N/A</w:t>
            </w:r>
          </w:p>
        </w:tc>
        <w:tc>
          <w:tcPr>
            <w:tcW w:w="1938" w:type="dxa"/>
          </w:tcPr>
          <w:p>
            <w:pPr>
              <w:rPr>
                <w:noProof/>
                <w:sz w:val="22"/>
                <w:szCs w:val="28"/>
              </w:rPr>
            </w:pPr>
            <w:r>
              <w:rPr>
                <w:noProof/>
                <w:sz w:val="22"/>
              </w:rPr>
              <w:t>N/A</w:t>
            </w:r>
          </w:p>
        </w:tc>
        <w:tc>
          <w:tcPr>
            <w:tcW w:w="1748" w:type="dxa"/>
          </w:tcPr>
          <w:p>
            <w:pPr>
              <w:rPr>
                <w:noProof/>
                <w:sz w:val="22"/>
                <w:szCs w:val="28"/>
              </w:rPr>
            </w:pPr>
            <w:r>
              <w:rPr>
                <w:noProof/>
                <w:sz w:val="22"/>
              </w:rPr>
              <w:t>N/A</w:t>
            </w:r>
          </w:p>
        </w:tc>
      </w:tr>
      <w:tr>
        <w:trPr>
          <w:trHeight w:val="300"/>
        </w:trPr>
        <w:tc>
          <w:tcPr>
            <w:tcW w:w="1845" w:type="dxa"/>
          </w:tcPr>
          <w:p>
            <w:pPr>
              <w:rPr>
                <w:noProof/>
                <w:sz w:val="22"/>
                <w:szCs w:val="28"/>
              </w:rPr>
            </w:pPr>
            <w:r>
              <w:rPr>
                <w:noProof/>
                <w:sz w:val="22"/>
              </w:rPr>
              <w:t>Personal extern (AC, END, INT)</w:t>
            </w:r>
          </w:p>
        </w:tc>
        <w:tc>
          <w:tcPr>
            <w:tcW w:w="2031" w:type="dxa"/>
          </w:tcPr>
          <w:p>
            <w:pPr>
              <w:rPr>
                <w:noProof/>
                <w:sz w:val="22"/>
                <w:szCs w:val="28"/>
              </w:rPr>
            </w:pPr>
            <w:r>
              <w:rPr>
                <w:noProof/>
                <w:sz w:val="22"/>
              </w:rPr>
              <w:t>1</w:t>
            </w:r>
          </w:p>
        </w:tc>
        <w:tc>
          <w:tcPr>
            <w:tcW w:w="1925" w:type="dxa"/>
          </w:tcPr>
          <w:p>
            <w:pPr>
              <w:rPr>
                <w:noProof/>
                <w:sz w:val="22"/>
                <w:szCs w:val="28"/>
              </w:rPr>
            </w:pPr>
            <w:r>
              <w:rPr>
                <w:noProof/>
                <w:sz w:val="22"/>
              </w:rPr>
              <w:t>N/A</w:t>
            </w:r>
          </w:p>
        </w:tc>
        <w:tc>
          <w:tcPr>
            <w:tcW w:w="1938" w:type="dxa"/>
          </w:tcPr>
          <w:p>
            <w:pPr>
              <w:rPr>
                <w:noProof/>
                <w:sz w:val="22"/>
                <w:szCs w:val="22"/>
              </w:rPr>
            </w:pPr>
            <w:r>
              <w:rPr>
                <w:noProof/>
                <w:sz w:val="22"/>
              </w:rPr>
              <w:t>N/A</w:t>
            </w:r>
          </w:p>
        </w:tc>
        <w:tc>
          <w:tcPr>
            <w:tcW w:w="1748" w:type="dxa"/>
          </w:tcPr>
          <w:p>
            <w:pPr>
              <w:rPr>
                <w:noProof/>
                <w:sz w:val="22"/>
                <w:szCs w:val="28"/>
              </w:rPr>
            </w:pPr>
            <w:r>
              <w:rPr>
                <w:noProof/>
                <w:sz w:val="22"/>
              </w:rPr>
              <w:t>N/A</w:t>
            </w:r>
          </w:p>
        </w:tc>
      </w:tr>
    </w:tbl>
    <w:p>
      <w:pPr>
        <w:rPr>
          <w:noProof/>
          <w:color w:val="008000"/>
        </w:rPr>
      </w:pPr>
    </w:p>
    <w:p>
      <w:pPr>
        <w:ind w:left="-426" w:right="-427"/>
        <w:rPr>
          <w:noProof/>
        </w:rPr>
      </w:pPr>
      <w:r>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Funcționari și personal temporar</w:t>
            </w:r>
          </w:p>
        </w:tc>
        <w:tc>
          <w:tcPr>
            <w:tcW w:w="7200" w:type="dxa"/>
          </w:tcPr>
          <w:p>
            <w:pPr>
              <w:rPr>
                <w:noProof/>
                <w:sz w:val="20"/>
              </w:rPr>
            </w:pPr>
            <w:r>
              <w:rPr>
                <w:noProof/>
                <w:sz w:val="20"/>
              </w:rPr>
              <w:t>Un funcționar din grupa de funcții AD va sprijini negocierile, va pregăti actele de punere în aplicare și va organiza reuniuni cu statele membre.</w:t>
            </w:r>
          </w:p>
        </w:tc>
      </w:tr>
      <w:tr>
        <w:tc>
          <w:tcPr>
            <w:tcW w:w="3240" w:type="dxa"/>
          </w:tcPr>
          <w:p>
            <w:pPr>
              <w:spacing w:before="60" w:after="60"/>
              <w:rPr>
                <w:noProof/>
                <w:sz w:val="20"/>
              </w:rPr>
            </w:pPr>
            <w:r>
              <w:rPr>
                <w:noProof/>
                <w:sz w:val="20"/>
              </w:rPr>
              <w:t>Personal extern</w:t>
            </w:r>
          </w:p>
        </w:tc>
        <w:tc>
          <w:tcPr>
            <w:tcW w:w="7200" w:type="dxa"/>
          </w:tcPr>
          <w:p>
            <w:pPr>
              <w:rPr>
                <w:noProof/>
                <w:sz w:val="20"/>
                <w:szCs w:val="20"/>
              </w:rPr>
            </w:pPr>
            <w:r>
              <w:rPr>
                <w:noProof/>
                <w:sz w:val="20"/>
              </w:rPr>
              <w:t xml:space="preserve">Un membru al personalului extern îl va sprijini pe funcționarul responsabil. </w:t>
            </w:r>
          </w:p>
        </w:tc>
      </w:tr>
    </w:tbl>
    <w:p>
      <w:pPr>
        <w:keepNext/>
        <w:tabs>
          <w:tab w:val="left" w:pos="850"/>
        </w:tabs>
        <w:ind w:left="850" w:hanging="850"/>
        <w:outlineLvl w:val="2"/>
        <w:rPr>
          <w:i/>
          <w:noProof/>
        </w:rPr>
      </w:pPr>
      <w:bookmarkStart w:id="171" w:name="_Toc177549031"/>
      <w:r>
        <w:rPr>
          <w:i/>
          <w:noProof/>
        </w:rPr>
        <w:t>3.2.5.</w:t>
      </w:r>
      <w:r>
        <w:rPr>
          <w:noProof/>
        </w:rPr>
        <w:tab/>
      </w:r>
      <w:r>
        <w:rPr>
          <w:i/>
          <w:noProof/>
        </w:rPr>
        <w:t>Prezentare generală a impactului estimat asupra investițiilor legate de tehnologia digitală</w:t>
      </w:r>
      <w:bookmarkEnd w:id="171"/>
    </w:p>
    <w:p>
      <w:pPr>
        <w:ind w:left="850"/>
        <w:rPr>
          <w:noProof/>
        </w:rPr>
      </w:pPr>
      <w:bookmarkStart w:id="172" w:name="_Toc514938056"/>
      <w:bookmarkStart w:id="173" w:name="_Toc520485055"/>
      <w:bookmarkStart w:id="174" w:name="_Toc160804599"/>
      <w:bookmarkStart w:id="175" w:name="_Toc167220298"/>
      <w:bookmarkStart w:id="176" w:name="_Toc177549032"/>
      <w:bookmarkEnd w:id="170"/>
      <w:r>
        <w:rPr>
          <w:noProof/>
        </w:rPr>
        <w:t xml:space="preserve">Nu sunt prevăzute costuri aferente componentei digitale și IT în cadrul rubricii 4. </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pPr>
              <w:spacing w:before="0" w:after="0"/>
              <w:jc w:val="center"/>
              <w:rPr>
                <w:b/>
                <w:noProof/>
                <w:color w:val="000000"/>
                <w:sz w:val="18"/>
              </w:rPr>
            </w:pPr>
            <w:r>
              <w:rPr>
                <w:b/>
                <w:noProof/>
                <w:color w:val="000000" w:themeColor="text1"/>
                <w:sz w:val="18"/>
              </w:rPr>
              <w:t>TOTAL credite pentru componenta digitală și IT</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Anul</w:t>
            </w:r>
          </w:p>
        </w:tc>
        <w:tc>
          <w:tcPr>
            <w:tcW w:w="523"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Anul</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noProof/>
                <w:color w:val="000000"/>
                <w:sz w:val="18"/>
              </w:rPr>
            </w:pPr>
            <w:r>
              <w:rPr>
                <w:b/>
                <w:noProof/>
                <w:color w:val="000000" w:themeColor="text1"/>
                <w:sz w:val="18"/>
              </w:rPr>
              <w:t>TOTAL CFM 2028-2034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0"/>
              <w:jc w:val="left"/>
              <w:rPr>
                <w:b/>
                <w:noProof/>
                <w:color w:val="000000"/>
                <w:sz w:val="18"/>
              </w:rPr>
            </w:pP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noProof/>
                <w:color w:val="000000"/>
                <w:sz w:val="18"/>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b/>
                <w:noProof/>
                <w:color w:val="000000"/>
                <w:sz w:val="16"/>
              </w:rPr>
            </w:pPr>
            <w:r>
              <w:rPr>
                <w:b/>
                <w:noProof/>
                <w:color w:val="000000"/>
                <w:sz w:val="16"/>
              </w:rPr>
              <w:t>RUBRICA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hAnsi="Arial Narrow"/>
                <w:noProof/>
                <w:color w:val="000000"/>
                <w:sz w:val="20"/>
              </w:rPr>
            </w:pPr>
            <w:r>
              <w:rPr>
                <w:rFonts w:ascii="Arial Narrow" w:hAnsi="Arial Narrow"/>
                <w:noProof/>
                <w:color w:val="000000"/>
                <w:sz w:val="20"/>
              </w:rPr>
              <w:t>Cheltuieli IT (corporative)</w:t>
            </w:r>
            <w:r>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rPr>
            </w:pPr>
            <w:r>
              <w:rPr>
                <w:b/>
                <w:noProof/>
                <w:color w:val="000000" w:themeColor="text1"/>
                <w:sz w:val="16"/>
              </w:rPr>
              <w:t>Subtotal de la RUBRICA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noProof/>
                <w:color w:val="000000"/>
                <w:sz w:val="16"/>
              </w:rPr>
            </w:pPr>
            <w:r>
              <w:rPr>
                <w:b/>
                <w:noProof/>
                <w:color w:val="000000"/>
                <w:sz w:val="16"/>
              </w:rPr>
              <w:t>În afara RUBRICII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hAnsi="Arial Narrow"/>
                <w:noProof/>
                <w:color w:val="000000"/>
                <w:sz w:val="20"/>
              </w:rPr>
            </w:pPr>
            <w:r>
              <w:rPr>
                <w:rFonts w:ascii="Arial Narrow" w:hAnsi="Arial Narrow"/>
                <w:noProof/>
                <w:color w:val="000000"/>
                <w:sz w:val="20"/>
              </w:rPr>
              <w:t>Cheltuieli de politică IT pentru programele operaționale</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rPr>
            </w:pPr>
            <w:r>
              <w:rPr>
                <w:b/>
                <w:noProof/>
                <w:color w:val="000000" w:themeColor="text1"/>
                <w:sz w:val="16"/>
              </w:rPr>
              <w:t>Subtotal în afara RUBRICII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noProof/>
                <w:color w:val="000000"/>
                <w:sz w:val="16"/>
              </w:rPr>
            </w:pPr>
            <w:r>
              <w:rPr>
                <w:noProof/>
                <w:color w:val="000000" w:themeColor="text1"/>
                <w:sz w:val="16"/>
              </w:rPr>
              <w:t xml:space="preserve"> </w:t>
            </w: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b/>
                <w:noProof/>
                <w:color w:val="000000"/>
                <w:sz w:val="16"/>
              </w:rPr>
            </w:pPr>
            <w:r>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41"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r>
    </w:tbl>
    <w:p>
      <w:pPr>
        <w:keepNext/>
        <w:tabs>
          <w:tab w:val="left" w:pos="850"/>
        </w:tabs>
        <w:ind w:left="850" w:hanging="850"/>
        <w:outlineLvl w:val="2"/>
        <w:rPr>
          <w:i/>
          <w:noProof/>
        </w:rPr>
      </w:pPr>
    </w:p>
    <w:p>
      <w:pPr>
        <w:keepNext/>
        <w:tabs>
          <w:tab w:val="left" w:pos="850"/>
        </w:tabs>
        <w:ind w:left="850" w:hanging="850"/>
        <w:outlineLvl w:val="2"/>
        <w:rPr>
          <w:i/>
          <w:noProof/>
        </w:rPr>
      </w:pPr>
    </w:p>
    <w:p>
      <w:pPr>
        <w:keepNext/>
        <w:tabs>
          <w:tab w:val="left" w:pos="850"/>
        </w:tabs>
        <w:ind w:left="850" w:hanging="850"/>
        <w:outlineLvl w:val="2"/>
        <w:rPr>
          <w:i/>
          <w:noProof/>
        </w:rPr>
      </w:pPr>
      <w:r>
        <w:rPr>
          <w:i/>
          <w:noProof/>
        </w:rPr>
        <w:t>3.2.6.</w:t>
      </w:r>
      <w:r>
        <w:rPr>
          <w:noProof/>
        </w:rPr>
        <w:tab/>
      </w:r>
      <w:r>
        <w:rPr>
          <w:i/>
          <w:noProof/>
        </w:rPr>
        <w:t>Compatibilitatea cu cadrul financiar multianual actual</w:t>
      </w:r>
      <w:bookmarkEnd w:id="172"/>
      <w:bookmarkEnd w:id="173"/>
      <w:bookmarkEnd w:id="174"/>
      <w:bookmarkEnd w:id="175"/>
      <w:bookmarkEnd w:id="176"/>
      <w:r>
        <w:rPr>
          <w:i/>
          <w:noProof/>
        </w:rPr>
        <w:t xml:space="preserve"> </w:t>
      </w:r>
    </w:p>
    <w:p>
      <w:pPr>
        <w:ind w:left="850"/>
        <w:rPr>
          <w:noProof/>
        </w:rPr>
      </w:pPr>
      <w:r>
        <w:rPr>
          <w:noProof/>
        </w:rPr>
        <w:t>Propunerea/inițiativa:</w:t>
      </w:r>
    </w:p>
    <w:p>
      <w:pPr>
        <w:pStyle w:val="Point0"/>
        <w:rPr>
          <w:noProof/>
        </w:rPr>
      </w:pPr>
      <w:r>
        <w:rPr>
          <w:noProof/>
        </w:rPr>
        <w:t>(9)</w:t>
      </w:r>
      <w:r>
        <w:rPr>
          <w:noProof/>
        </w:rPr>
        <w:tab/>
      </w:r>
      <w:r>
        <w:rPr>
          <w:rFonts w:ascii="Wingdings" w:hAnsi="Wingdings"/>
          <w:noProof/>
        </w:rPr>
        <w:t>X</w:t>
      </w:r>
      <w:r>
        <w:rPr>
          <w:noProof/>
        </w:rPr>
        <w:tab/>
        <w:t>poate fi finanțată integral prin realocarea creditelor în cadrul rubricii relevante din cadrul financiar multianual (CFM)</w:t>
      </w:r>
    </w:p>
    <w:p>
      <w:pPr>
        <w:pBdr>
          <w:top w:val="single" w:sz="4" w:space="1" w:color="auto"/>
          <w:left w:val="single" w:sz="4" w:space="4" w:color="auto"/>
          <w:bottom w:val="single" w:sz="4" w:space="1" w:color="auto"/>
          <w:right w:val="single" w:sz="4" w:space="4" w:color="auto"/>
        </w:pBdr>
        <w:ind w:left="850"/>
        <w:rPr>
          <w:noProof/>
          <w:color w:val="008000"/>
        </w:rPr>
      </w:pPr>
      <w:r>
        <w:rPr>
          <w:noProof/>
          <w:color w:val="008000"/>
        </w:rPr>
        <w:t>.</w:t>
      </w:r>
    </w:p>
    <w:p>
      <w:pPr>
        <w:pBdr>
          <w:top w:val="single" w:sz="4" w:space="1" w:color="auto"/>
          <w:left w:val="single" w:sz="4" w:space="4" w:color="auto"/>
          <w:bottom w:val="single" w:sz="4" w:space="1" w:color="auto"/>
          <w:right w:val="single" w:sz="4" w:space="4" w:color="auto"/>
        </w:pBdr>
        <w:ind w:left="850"/>
        <w:rPr>
          <w:noProof/>
          <w:color w:val="008000"/>
        </w:rPr>
      </w:pPr>
      <w:r>
        <w:rPr>
          <w:noProof/>
        </w:rPr>
        <w:t>Impactul estimat asupra cheltuielilor și a personalului pentru 2028 și ulterior este adăugat doar cu titlu orientativ și nu aduce atingere următorului cadru financiar multianual. Sursa de finanțare și amploarea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Point0"/>
        <w:rPr>
          <w:noProof/>
        </w:rPr>
      </w:pPr>
      <w:r>
        <w:rPr>
          <w:noProof/>
        </w:rPr>
        <w:t>(10)</w:t>
      </w:r>
      <w:r>
        <w:rPr>
          <w:noProof/>
        </w:rPr>
        <w:tab/>
      </w:r>
      <w:r>
        <w:rPr>
          <w:rFonts w:ascii="Wingdings" w:hAnsi="Wingdings"/>
          <w:noProof/>
        </w:rPr>
        <w:t>¨</w:t>
      </w:r>
      <w:r>
        <w:rPr>
          <w:noProof/>
        </w:rPr>
        <w:tab/>
        <w:t>necesită utilizarea marjei nealocate din cadrul rubricii corespunzătoare din CFM și/sau utilizarea instrumentelor speciale, astfel cum sunt definite în Regulamentul privind CFM</w:t>
      </w:r>
    </w:p>
    <w:p>
      <w:pPr>
        <w:pStyle w:val="Point0"/>
        <w:rPr>
          <w:noProof/>
        </w:rPr>
      </w:pPr>
      <w:r>
        <w:rPr>
          <w:noProof/>
        </w:rPr>
        <w:t>(11)</w:t>
      </w:r>
      <w:r>
        <w:rPr>
          <w:noProof/>
        </w:rPr>
        <w:tab/>
      </w:r>
      <w:r>
        <w:rPr>
          <w:rFonts w:ascii="Wingdings" w:hAnsi="Wingdings"/>
          <w:noProof/>
        </w:rPr>
        <w:t>¨</w:t>
      </w:r>
      <w:r>
        <w:rPr>
          <w:noProof/>
        </w:rPr>
        <w:tab/>
        <w:t>necesită revizuirea CFM</w:t>
      </w:r>
    </w:p>
    <w:p>
      <w:pPr>
        <w:keepNext/>
        <w:tabs>
          <w:tab w:val="left" w:pos="850"/>
        </w:tabs>
        <w:ind w:left="850" w:hanging="850"/>
        <w:outlineLvl w:val="2"/>
        <w:rPr>
          <w:i/>
          <w:noProof/>
        </w:rPr>
      </w:pPr>
      <w:bookmarkStart w:id="177" w:name="_Toc514938058"/>
      <w:bookmarkStart w:id="178" w:name="_Toc520485056"/>
      <w:bookmarkStart w:id="179" w:name="_Toc160804600"/>
      <w:bookmarkStart w:id="180" w:name="_Toc167220299"/>
      <w:bookmarkStart w:id="181" w:name="_Toc177549033"/>
      <w:bookmarkStart w:id="182" w:name="_Toc221194348"/>
      <w:r>
        <w:rPr>
          <w:i/>
          <w:noProof/>
        </w:rPr>
        <w:t>3.2.7.</w:t>
      </w:r>
      <w:r>
        <w:rPr>
          <w:noProof/>
        </w:rPr>
        <w:tab/>
      </w:r>
      <w:r>
        <w:rPr>
          <w:i/>
          <w:noProof/>
        </w:rPr>
        <w:t>Contribuțiile terților</w:t>
      </w:r>
      <w:bookmarkEnd w:id="177"/>
      <w:bookmarkEnd w:id="178"/>
      <w:bookmarkEnd w:id="179"/>
      <w:bookmarkEnd w:id="180"/>
      <w:bookmarkEnd w:id="181"/>
      <w:bookmarkEnd w:id="182"/>
      <w:r>
        <w:rPr>
          <w:i/>
          <w:noProof/>
        </w:rPr>
        <w:t xml:space="preserve"> </w:t>
      </w:r>
    </w:p>
    <w:p>
      <w:pPr>
        <w:ind w:left="850"/>
        <w:rPr>
          <w:noProof/>
        </w:rPr>
      </w:pPr>
      <w:r>
        <w:rPr>
          <w:noProof/>
        </w:rPr>
        <w:t>Propunerea/inițiativa:</w:t>
      </w:r>
    </w:p>
    <w:p>
      <w:pPr>
        <w:pStyle w:val="Point0"/>
        <w:rPr>
          <w:noProof/>
        </w:rPr>
      </w:pPr>
      <w:r>
        <w:rPr>
          <w:noProof/>
        </w:rPr>
        <w:t>(12)</w:t>
      </w:r>
      <w:r>
        <w:rPr>
          <w:noProof/>
        </w:rPr>
        <w:tab/>
      </w:r>
      <w:r>
        <w:rPr>
          <w:rFonts w:ascii="Wingdings" w:hAnsi="Wingdings"/>
          <w:noProof/>
        </w:rPr>
        <w:t>¨</w:t>
      </w:r>
      <w:r>
        <w:rPr>
          <w:noProof/>
        </w:rPr>
        <w:tab/>
        <w:t>nu prevede cofinanțare din partea terților</w:t>
      </w:r>
    </w:p>
    <w:p>
      <w:pPr>
        <w:pStyle w:val="Point0"/>
        <w:rPr>
          <w:noProof/>
        </w:rPr>
      </w:pPr>
      <w:r>
        <w:rPr>
          <w:noProof/>
        </w:rPr>
        <w:t>(13)</w:t>
      </w:r>
      <w:r>
        <w:rPr>
          <w:noProof/>
        </w:rPr>
        <w:tab/>
      </w:r>
      <w:r>
        <w:rPr>
          <w:rFonts w:ascii="Wingdings" w:hAnsi="Wingdings"/>
          <w:noProof/>
        </w:rPr>
        <w:t>¨</w:t>
      </w:r>
      <w:r>
        <w:rPr>
          <w:noProof/>
        </w:rPr>
        <w:tab/>
        <w:t>prevede cofinanțare din partea terților, estimată mai jos:</w:t>
      </w:r>
    </w:p>
    <w:p>
      <w:pPr>
        <w:jc w:val="right"/>
        <w:rPr>
          <w:noProof/>
          <w:sz w:val="20"/>
        </w:rPr>
      </w:pPr>
      <w:r>
        <w:rPr>
          <w:noProof/>
          <w:sz w:val="20"/>
        </w:rPr>
        <w:t>Credite în milioane EUR (cu 3 zecimale)</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noProof/>
                <w:color w:val="000000"/>
                <w:sz w:val="20"/>
              </w:rPr>
            </w:pPr>
            <w:r>
              <w:rPr>
                <w:noProof/>
                <w:color w:val="000000"/>
                <w:sz w:val="20"/>
              </w:rPr>
              <w:t xml:space="preserve"> </w:t>
            </w:r>
          </w:p>
        </w:tc>
        <w:tc>
          <w:tcPr>
            <w:tcW w:w="525"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 xml:space="preserve">Anul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noProof/>
                <w:color w:val="000000"/>
                <w:sz w:val="20"/>
              </w:rPr>
            </w:pPr>
            <w:r>
              <w:rPr>
                <w:noProof/>
                <w:color w:val="000000"/>
                <w:sz w:val="20"/>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color w:val="000000"/>
                <w:sz w:val="20"/>
              </w:rPr>
            </w:pPr>
          </w:p>
        </w:tc>
        <w:tc>
          <w:tcPr>
            <w:tcW w:w="525"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525"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525"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color w:val="000000"/>
                <w:sz w:val="20"/>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rPr>
            </w:pPr>
            <w:r>
              <w:rPr>
                <w:noProof/>
                <w:color w:val="000000"/>
                <w:sz w:val="20"/>
              </w:rPr>
              <w:t>A se preciza organismul care asigură cofinanțarea</w:t>
            </w:r>
            <w:r>
              <w:rPr>
                <w:i/>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p.m.</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7"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rPr>
            </w:pPr>
            <w:r>
              <w:rPr>
                <w:noProof/>
                <w:color w:val="000000"/>
                <w:sz w:val="20"/>
              </w:rPr>
              <w:t xml:space="preserve">TOTAL credite cofinanțate </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xml:space="preserve"> </w:t>
            </w:r>
          </w:p>
        </w:tc>
        <w:tc>
          <w:tcPr>
            <w:tcW w:w="527"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xml:space="preserve"> </w:t>
            </w:r>
          </w:p>
        </w:tc>
      </w:tr>
    </w:tbl>
    <w:p>
      <w:pPr>
        <w:rPr>
          <w:rFonts w:eastAsia="Times New Roman"/>
          <w:noProof/>
          <w:lang w:eastAsia="de-DE"/>
        </w:rPr>
      </w:pPr>
    </w:p>
    <w:p>
      <w:pPr>
        <w:outlineLvl w:val="1"/>
        <w:rPr>
          <w:noProof/>
        </w:rPr>
      </w:pPr>
      <w:r>
        <w:rPr>
          <w:noProof/>
        </w:rPr>
        <w:t xml:space="preserve"> </w:t>
      </w:r>
      <w:r>
        <w:rPr>
          <w:noProof/>
        </w:rPr>
        <w:br/>
      </w:r>
      <w:bookmarkStart w:id="183" w:name="_Toc514938059"/>
      <w:bookmarkStart w:id="184" w:name="_Toc520485057"/>
      <w:bookmarkStart w:id="185" w:name="_Toc160804602"/>
      <w:bookmarkStart w:id="186" w:name="_Toc167220300"/>
      <w:bookmarkStart w:id="187" w:name="_Toc177549034"/>
      <w:bookmarkStart w:id="188" w:name="_Hlk166860179"/>
      <w:r>
        <w:rPr>
          <w:noProof/>
        </w:rPr>
        <w:t>3.3.</w:t>
      </w:r>
      <w:r>
        <w:rPr>
          <w:noProof/>
        </w:rPr>
        <w:tab/>
        <w:t>Impactul estimat asupra veniturilor</w:t>
      </w:r>
      <w:bookmarkEnd w:id="183"/>
      <w:bookmarkEnd w:id="184"/>
      <w:bookmarkEnd w:id="185"/>
      <w:bookmarkEnd w:id="186"/>
      <w:bookmarkEnd w:id="187"/>
      <w:r>
        <w:rPr>
          <w:noProof/>
        </w:rPr>
        <w:t xml:space="preserve"> </w:t>
      </w:r>
    </w:p>
    <w:bookmarkEnd w:id="188"/>
    <w:p>
      <w:pPr>
        <w:pStyle w:val="Point0"/>
        <w:rPr>
          <w:noProof/>
        </w:rPr>
      </w:pPr>
      <w:r>
        <w:rPr>
          <w:noProof/>
        </w:rPr>
        <w:t>(14)</w:t>
      </w:r>
      <w:r>
        <w:rPr>
          <w:noProof/>
        </w:rPr>
        <w:tab/>
      </w:r>
      <w:r>
        <w:rPr>
          <w:rFonts w:ascii="Wingdings" w:hAnsi="Wingdings"/>
          <w:noProof/>
        </w:rPr>
        <w:t>X</w:t>
      </w:r>
      <w:r>
        <w:rPr>
          <w:noProof/>
        </w:rPr>
        <w:tab/>
        <w:t>Propunerea/inițiativa nu are impact financiar asupra veniturilor.</w:t>
      </w:r>
    </w:p>
    <w:p>
      <w:pPr>
        <w:pStyle w:val="Point0"/>
        <w:rPr>
          <w:noProof/>
        </w:rPr>
      </w:pPr>
      <w:r>
        <w:rPr>
          <w:noProof/>
        </w:rPr>
        <w:t>(15)</w:t>
      </w:r>
      <w:r>
        <w:rPr>
          <w:noProof/>
        </w:rPr>
        <w:tab/>
      </w:r>
      <w:r>
        <w:rPr>
          <w:rFonts w:ascii="Wingdings" w:hAnsi="Wingdings"/>
          <w:noProof/>
        </w:rPr>
        <w:t>¨</w:t>
      </w:r>
      <w:r>
        <w:rPr>
          <w:noProof/>
        </w:rPr>
        <w:tab/>
        <w:t>Propunerea/inițiativa are următorul impact financiar:</w:t>
      </w:r>
    </w:p>
    <w:p>
      <w:pPr>
        <w:pStyle w:val="Text1"/>
        <w:rPr>
          <w:noProof/>
        </w:rPr>
      </w:pPr>
      <w:r>
        <w:rPr>
          <w:rFonts w:ascii="Wingdings" w:hAnsi="Wingdings"/>
          <w:noProof/>
        </w:rPr>
        <w:t>¨</w:t>
      </w:r>
      <w:r>
        <w:rPr>
          <w:noProof/>
        </w:rPr>
        <w:tab/>
        <w:t xml:space="preserve">asupra resurselor proprii </w:t>
      </w:r>
    </w:p>
    <w:p>
      <w:pPr>
        <w:pStyle w:val="Text1"/>
        <w:rPr>
          <w:noProof/>
        </w:rPr>
      </w:pPr>
      <w:r>
        <w:rPr>
          <w:rFonts w:ascii="Wingdings" w:hAnsi="Wingdings"/>
          <w:noProof/>
        </w:rPr>
        <w:t>¨</w:t>
      </w:r>
      <w:r>
        <w:rPr>
          <w:noProof/>
        </w:rPr>
        <w:tab/>
        <w:t>asupra altor venituri</w:t>
      </w:r>
    </w:p>
    <w:p>
      <w:pPr>
        <w:pStyle w:val="Text1"/>
        <w:rPr>
          <w:noProof/>
        </w:rPr>
      </w:pPr>
      <w:r>
        <w:rPr>
          <w:rFonts w:ascii="Wingdings" w:hAnsi="Wingdings"/>
          <w:noProof/>
        </w:rPr>
        <w:t>¨</w:t>
      </w:r>
      <w:r>
        <w:rPr>
          <w:noProof/>
        </w:rPr>
        <w:tab/>
        <w:t>vă rugăm să precizați dacă veniturile sunt alocate unor linii de cheltuieli</w:t>
      </w:r>
    </w:p>
    <w:p>
      <w:pPr>
        <w:jc w:val="right"/>
        <w:rPr>
          <w:noProof/>
          <w:sz w:val="20"/>
        </w:rPr>
      </w:pPr>
      <w:bookmarkStart w:id="189" w:name="_Toc167220301"/>
      <w:bookmarkStart w:id="190" w:name="_Toc177549035"/>
      <w:r>
        <w:rPr>
          <w:noProof/>
        </w:rPr>
        <w:tab/>
      </w:r>
      <w:r>
        <w:rPr>
          <w:noProof/>
          <w:sz w:val="20"/>
        </w:rPr>
        <w:t xml:space="preserve"> </w:t>
      </w:r>
    </w:p>
    <w:p>
      <w:pPr>
        <w:keepNext/>
        <w:tabs>
          <w:tab w:val="left" w:pos="850"/>
        </w:tabs>
        <w:spacing w:before="360"/>
        <w:ind w:left="850" w:hanging="850"/>
        <w:outlineLvl w:val="0"/>
        <w:rPr>
          <w:b/>
          <w:smallCaps/>
          <w:noProof/>
        </w:rPr>
      </w:pPr>
    </w:p>
    <w:p>
      <w:pPr>
        <w:keepNext/>
        <w:tabs>
          <w:tab w:val="left" w:pos="850"/>
        </w:tabs>
        <w:spacing w:before="360"/>
        <w:ind w:left="850" w:hanging="850"/>
        <w:outlineLvl w:val="0"/>
        <w:rPr>
          <w:b/>
          <w:caps/>
          <w:smallCaps/>
          <w:noProof/>
        </w:rPr>
      </w:pPr>
      <w:r>
        <w:rPr>
          <w:b/>
          <w:smallCaps/>
          <w:noProof/>
        </w:rPr>
        <w:t>4.</w:t>
      </w:r>
      <w:r>
        <w:rPr>
          <w:noProof/>
        </w:rPr>
        <w:tab/>
      </w:r>
      <w:bookmarkStart w:id="191" w:name="_Hlk167692977"/>
      <w:r>
        <w:rPr>
          <w:b/>
          <w:caps/>
          <w:smallCaps/>
          <w:noProof/>
        </w:rPr>
        <w:t>Dimensiunile digitale</w:t>
      </w:r>
      <w:bookmarkEnd w:id="189"/>
      <w:bookmarkEnd w:id="190"/>
    </w:p>
    <w:p>
      <w:pPr>
        <w:ind w:left="850"/>
        <w:rPr>
          <w:noProof/>
        </w:rPr>
      </w:pPr>
    </w:p>
    <w:p>
      <w:pPr>
        <w:keepNext/>
        <w:tabs>
          <w:tab w:val="left" w:pos="850"/>
        </w:tabs>
        <w:outlineLvl w:val="1"/>
        <w:rPr>
          <w:b/>
          <w:noProof/>
        </w:rPr>
      </w:pPr>
      <w:bookmarkStart w:id="192" w:name="_Toc167220302"/>
      <w:bookmarkStart w:id="193" w:name="_Toc177549037"/>
      <w:r>
        <w:rPr>
          <w:b/>
          <w:noProof/>
        </w:rPr>
        <w:t>4.1.</w:t>
      </w:r>
      <w:r>
        <w:rPr>
          <w:noProof/>
        </w:rPr>
        <w:tab/>
      </w:r>
      <w:r>
        <w:rPr>
          <w:b/>
          <w:noProof/>
        </w:rPr>
        <w:t>Cerințe cu relevanță digitală</w:t>
      </w:r>
      <w:bookmarkEnd w:id="192"/>
      <w:bookmarkEnd w:id="193"/>
    </w:p>
    <w:p>
      <w:pPr>
        <w:keepNext/>
        <w:tabs>
          <w:tab w:val="left" w:pos="850"/>
        </w:tabs>
        <w:outlineLvl w:val="1"/>
        <w:rPr>
          <w:b/>
          <w:noProof/>
        </w:rPr>
      </w:pPr>
    </w:p>
    <w:p>
      <w:pPr>
        <w:keepNext/>
        <w:tabs>
          <w:tab w:val="left" w:pos="850"/>
        </w:tabs>
        <w:outlineLvl w:val="1"/>
        <w:rPr>
          <w:b/>
          <w:noProof/>
        </w:rPr>
        <w:sectPr>
          <w:headerReference w:type="default" r:id="rId30"/>
          <w:footerReference w:type="default" r:id="rId31"/>
          <w:pgSz w:w="11907" w:h="16839"/>
          <w:pgMar w:top="1134" w:right="1417" w:bottom="1134" w:left="1417" w:header="709" w:footer="709" w:gutter="0"/>
          <w:cols w:space="720"/>
          <w:docGrid w:linePitch="360"/>
        </w:sectPr>
      </w:pPr>
    </w:p>
    <w:p>
      <w:pPr>
        <w:rPr>
          <w:i/>
          <w:noProof/>
        </w:rPr>
      </w:pPr>
    </w:p>
    <w:tbl>
      <w:tblPr>
        <w:tblStyle w:val="TableGrid"/>
        <w:tblW w:w="14283" w:type="dxa"/>
        <w:tblLook w:val="04A0" w:firstRow="1" w:lastRow="0" w:firstColumn="1" w:lastColumn="0" w:noHBand="0" w:noVBand="1"/>
      </w:tblPr>
      <w:tblGrid>
        <w:gridCol w:w="1808"/>
        <w:gridCol w:w="5143"/>
        <w:gridCol w:w="2493"/>
        <w:gridCol w:w="1869"/>
        <w:gridCol w:w="2970"/>
      </w:tblGrid>
      <w:tr>
        <w:trPr>
          <w:trHeight w:val="300"/>
        </w:trPr>
        <w:tc>
          <w:tcPr>
            <w:tcW w:w="1809" w:type="dxa"/>
            <w:vAlign w:val="center"/>
          </w:tcPr>
          <w:p>
            <w:pPr>
              <w:jc w:val="left"/>
              <w:rPr>
                <w:b/>
                <w:noProof/>
              </w:rPr>
            </w:pPr>
            <w:r>
              <w:rPr>
                <w:b/>
                <w:noProof/>
              </w:rPr>
              <w:t>Trimiterea la cerință</w:t>
            </w:r>
          </w:p>
        </w:tc>
        <w:tc>
          <w:tcPr>
            <w:tcW w:w="5158" w:type="dxa"/>
            <w:vAlign w:val="center"/>
          </w:tcPr>
          <w:p>
            <w:pPr>
              <w:jc w:val="left"/>
              <w:rPr>
                <w:b/>
                <w:noProof/>
              </w:rPr>
            </w:pPr>
            <w:r>
              <w:rPr>
                <w:b/>
                <w:noProof/>
              </w:rPr>
              <w:t>Descrierea cerinței</w:t>
            </w:r>
          </w:p>
        </w:tc>
        <w:tc>
          <w:tcPr>
            <w:tcW w:w="2497" w:type="dxa"/>
            <w:vAlign w:val="center"/>
          </w:tcPr>
          <w:p>
            <w:pPr>
              <w:jc w:val="left"/>
              <w:rPr>
                <w:b/>
                <w:noProof/>
              </w:rPr>
            </w:pPr>
            <w:r>
              <w:rPr>
                <w:b/>
                <w:noProof/>
              </w:rPr>
              <w:t>Actori afectați sau vizați de cerință</w:t>
            </w:r>
          </w:p>
        </w:tc>
        <w:tc>
          <w:tcPr>
            <w:tcW w:w="1843" w:type="dxa"/>
            <w:vAlign w:val="center"/>
          </w:tcPr>
          <w:p>
            <w:pPr>
              <w:jc w:val="left"/>
              <w:rPr>
                <w:b/>
                <w:noProof/>
              </w:rPr>
            </w:pPr>
            <w:r>
              <w:rPr>
                <w:b/>
                <w:noProof/>
              </w:rPr>
              <w:t>Procese la nivel înalt</w:t>
            </w:r>
          </w:p>
        </w:tc>
        <w:tc>
          <w:tcPr>
            <w:tcW w:w="2976" w:type="dxa"/>
            <w:vAlign w:val="center"/>
          </w:tcPr>
          <w:p>
            <w:pPr>
              <w:jc w:val="left"/>
              <w:rPr>
                <w:b/>
                <w:noProof/>
              </w:rPr>
            </w:pPr>
            <w:r>
              <w:rPr>
                <w:b/>
                <w:noProof/>
              </w:rPr>
              <w:t>Categorii</w:t>
            </w:r>
          </w:p>
        </w:tc>
      </w:tr>
      <w:tr>
        <w:trPr>
          <w:trHeight w:val="300"/>
        </w:trPr>
        <w:tc>
          <w:tcPr>
            <w:tcW w:w="1809" w:type="dxa"/>
            <w:vAlign w:val="center"/>
          </w:tcPr>
          <w:p>
            <w:pPr>
              <w:jc w:val="left"/>
              <w:rPr>
                <w:noProof/>
              </w:rPr>
            </w:pPr>
            <w:r>
              <w:rPr>
                <w:noProof/>
              </w:rPr>
              <w:t>R1</w:t>
            </w:r>
          </w:p>
          <w:p>
            <w:pPr>
              <w:jc w:val="left"/>
              <w:rPr>
                <w:noProof/>
              </w:rPr>
            </w:pPr>
            <w:r>
              <w:rPr>
                <w:noProof/>
              </w:rPr>
              <w:t xml:space="preserve">Articolul 6 </w:t>
            </w:r>
          </w:p>
          <w:p>
            <w:pPr>
              <w:jc w:val="left"/>
              <w:rPr>
                <w:noProof/>
              </w:rPr>
            </w:pPr>
          </w:p>
        </w:tc>
        <w:tc>
          <w:tcPr>
            <w:tcW w:w="5158" w:type="dxa"/>
            <w:vAlign w:val="center"/>
          </w:tcPr>
          <w:p>
            <w:pPr>
              <w:rPr>
                <w:noProof/>
              </w:rPr>
            </w:pPr>
            <w:r>
              <w:rPr>
                <w:noProof/>
              </w:rPr>
              <w:t>Persoanele în cauză și, după caz, angajatorii trebuie să poată depune integral online cereri pentru documente de securitate socială care intră în domeniul de aplicare al prezentului regulament, utilizând proceduri conforme cu Regulamentul (UE) 2018/1724. Procedura de solicitare online trebuie să fie ușor de utilizat, accesibilă și să respecte următoarele cerințe:</w:t>
            </w:r>
          </w:p>
          <w:p>
            <w:pPr>
              <w:rPr>
                <w:noProof/>
              </w:rPr>
            </w:pPr>
          </w:p>
          <w:p>
            <w:pPr>
              <w:pStyle w:val="Point0"/>
              <w:rPr>
                <w:noProof/>
              </w:rPr>
            </w:pPr>
            <w:r>
              <w:rPr>
                <w:noProof/>
              </w:rPr>
              <w:t>(a)</w:t>
            </w:r>
            <w:r>
              <w:rPr>
                <w:noProof/>
              </w:rPr>
              <w:tab/>
              <w:t xml:space="preserve">să permită identificarea și autentificarea electronică a persoanei în cauză și, după caz, a angajatorului; </w:t>
            </w:r>
          </w:p>
          <w:p>
            <w:pPr>
              <w:pStyle w:val="Point0"/>
              <w:rPr>
                <w:noProof/>
              </w:rPr>
            </w:pPr>
            <w:r>
              <w:rPr>
                <w:noProof/>
              </w:rPr>
              <w:t>(b)</w:t>
            </w:r>
            <w:r>
              <w:rPr>
                <w:noProof/>
              </w:rPr>
              <w:tab/>
              <w:t>să permită furnizarea în format electronic a informațiilor, a documentelor sau a documentelor justificative menționate la articolul 3 alineatul (2) din Regulamentul (CE) nr. 987/2009, necesare pentru prelucrarea cererii;</w:t>
            </w:r>
          </w:p>
          <w:p>
            <w:pPr>
              <w:pStyle w:val="Point0"/>
              <w:rPr>
                <w:noProof/>
              </w:rPr>
            </w:pPr>
            <w:r>
              <w:rPr>
                <w:noProof/>
              </w:rPr>
              <w:t>(c)</w:t>
            </w:r>
            <w:r>
              <w:rPr>
                <w:noProof/>
              </w:rPr>
              <w:tab/>
              <w:t xml:space="preserve">să permită depunerea de la distanță a cererii în forma sa finală; </w:t>
            </w:r>
          </w:p>
          <w:p>
            <w:pPr>
              <w:pStyle w:val="Point0"/>
              <w:rPr>
                <w:noProof/>
              </w:rPr>
            </w:pPr>
            <w:r>
              <w:rPr>
                <w:noProof/>
              </w:rPr>
              <w:t>(d)</w:t>
            </w:r>
            <w:r>
              <w:rPr>
                <w:noProof/>
              </w:rPr>
              <w:tab/>
              <w:t xml:space="preserve">să furnizeze persoanei în cauză și, după caz, angajatorului o confirmare automată de primire după depunerea completă a cererii, cu excepția cazului în care documentul este eliberat imediat; </w:t>
            </w:r>
          </w:p>
          <w:p>
            <w:pPr>
              <w:pStyle w:val="Point0"/>
              <w:rPr>
                <w:noProof/>
              </w:rPr>
            </w:pPr>
            <w:r>
              <w:rPr>
                <w:noProof/>
              </w:rPr>
              <w:t>(e)</w:t>
            </w:r>
            <w:r>
              <w:rPr>
                <w:noProof/>
              </w:rPr>
              <w:tab/>
              <w:t>să informeze persoana în cauză și, după caz, angajatorul, pe cale electronică, cu privire la finalizarea procedurii de eliberare.</w:t>
            </w:r>
          </w:p>
          <w:p>
            <w:pPr>
              <w:spacing w:line="276" w:lineRule="auto"/>
              <w:rPr>
                <w:noProof/>
                <w:szCs w:val="24"/>
              </w:rPr>
            </w:pPr>
          </w:p>
        </w:tc>
        <w:tc>
          <w:tcPr>
            <w:tcW w:w="2497" w:type="dxa"/>
            <w:vAlign w:val="center"/>
          </w:tcPr>
          <w:p>
            <w:pPr>
              <w:numPr>
                <w:ilvl w:val="0"/>
                <w:numId w:val="18"/>
              </w:numPr>
              <w:ind w:left="312"/>
              <w:contextualSpacing/>
              <w:jc w:val="left"/>
              <w:rPr>
                <w:noProof/>
              </w:rPr>
            </w:pPr>
            <w:r>
              <w:rPr>
                <w:noProof/>
              </w:rPr>
              <w:t>Emitenți de documente de securitate socială</w:t>
            </w:r>
          </w:p>
          <w:p>
            <w:pPr>
              <w:numPr>
                <w:ilvl w:val="0"/>
                <w:numId w:val="18"/>
              </w:numPr>
              <w:ind w:left="312"/>
              <w:contextualSpacing/>
              <w:jc w:val="left"/>
              <w:rPr>
                <w:noProof/>
              </w:rPr>
            </w:pPr>
            <w:r>
              <w:rPr>
                <w:noProof/>
              </w:rPr>
              <w:t>Titulari de documente de securitate socială și solicitanți</w:t>
            </w:r>
          </w:p>
        </w:tc>
        <w:tc>
          <w:tcPr>
            <w:tcW w:w="1843" w:type="dxa"/>
            <w:vAlign w:val="center"/>
          </w:tcPr>
          <w:p>
            <w:pPr>
              <w:jc w:val="left"/>
              <w:rPr>
                <w:noProof/>
              </w:rPr>
            </w:pPr>
            <w:r>
              <w:rPr>
                <w:noProof/>
              </w:rPr>
              <w:t>Solicitarea documentelor de securitate socială</w:t>
            </w:r>
          </w:p>
        </w:tc>
        <w:tc>
          <w:tcPr>
            <w:tcW w:w="2976" w:type="dxa"/>
            <w:vAlign w:val="center"/>
          </w:tcPr>
          <w:p>
            <w:pPr>
              <w:numPr>
                <w:ilvl w:val="0"/>
                <w:numId w:val="18"/>
              </w:numPr>
              <w:ind w:left="312"/>
              <w:contextualSpacing/>
              <w:jc w:val="left"/>
              <w:rPr>
                <w:noProof/>
              </w:rPr>
            </w:pPr>
            <w:r>
              <w:rPr>
                <w:noProof/>
              </w:rPr>
              <w:t>Date</w:t>
            </w:r>
          </w:p>
          <w:p>
            <w:pPr>
              <w:numPr>
                <w:ilvl w:val="0"/>
                <w:numId w:val="18"/>
              </w:numPr>
              <w:ind w:left="312"/>
              <w:contextualSpacing/>
              <w:jc w:val="left"/>
              <w:rPr>
                <w:noProof/>
              </w:rPr>
            </w:pPr>
            <w:r>
              <w:rPr>
                <w:noProof/>
              </w:rPr>
              <w:t xml:space="preserve">Digitalizarea și automatizarea proceselor </w:t>
            </w:r>
          </w:p>
          <w:p>
            <w:pPr>
              <w:numPr>
                <w:ilvl w:val="0"/>
                <w:numId w:val="18"/>
              </w:numPr>
              <w:ind w:left="312"/>
              <w:contextualSpacing/>
              <w:jc w:val="left"/>
              <w:rPr>
                <w:noProof/>
              </w:rPr>
            </w:pPr>
            <w:r>
              <w:rPr>
                <w:noProof/>
              </w:rPr>
              <w:t>Serviciu (servicii) public(e) digital(e)</w:t>
            </w:r>
          </w:p>
        </w:tc>
      </w:tr>
      <w:tr>
        <w:trPr>
          <w:trHeight w:val="300"/>
        </w:trPr>
        <w:tc>
          <w:tcPr>
            <w:tcW w:w="1809" w:type="dxa"/>
            <w:vAlign w:val="center"/>
          </w:tcPr>
          <w:p>
            <w:pPr>
              <w:jc w:val="left"/>
              <w:rPr>
                <w:noProof/>
              </w:rPr>
            </w:pPr>
            <w:r>
              <w:rPr>
                <w:noProof/>
              </w:rPr>
              <w:t>R2</w:t>
            </w:r>
          </w:p>
          <w:p>
            <w:pPr>
              <w:jc w:val="left"/>
              <w:rPr>
                <w:noProof/>
              </w:rPr>
            </w:pPr>
            <w:r>
              <w:rPr>
                <w:noProof/>
              </w:rPr>
              <w:t>Articolul 7 alineatul (1)</w:t>
            </w:r>
          </w:p>
          <w:p>
            <w:pPr>
              <w:jc w:val="left"/>
              <w:rPr>
                <w:noProof/>
              </w:rPr>
            </w:pPr>
          </w:p>
        </w:tc>
        <w:tc>
          <w:tcPr>
            <w:tcW w:w="5158" w:type="dxa"/>
            <w:vAlign w:val="center"/>
          </w:tcPr>
          <w:p>
            <w:pPr>
              <w:spacing w:line="276" w:lineRule="auto"/>
              <w:rPr>
                <w:noProof/>
                <w:szCs w:val="24"/>
              </w:rPr>
            </w:pPr>
            <w:r>
              <w:rPr>
                <w:noProof/>
              </w:rPr>
              <w:t>Organismele competente eliberează documente digitale de securitate socială într-un format adecvat utilizării în portofelul european pentru identitatea digitală al persoanei în cauză și, după caz, al angajatorului. Documentele digitale de securitate socială respectă specificațiile tehnice adoptate în temeiul alineatului (11).</w:t>
            </w:r>
          </w:p>
        </w:tc>
        <w:tc>
          <w:tcPr>
            <w:tcW w:w="2497" w:type="dxa"/>
            <w:vAlign w:val="center"/>
          </w:tcPr>
          <w:p>
            <w:pPr>
              <w:numPr>
                <w:ilvl w:val="0"/>
                <w:numId w:val="18"/>
              </w:numPr>
              <w:ind w:left="312"/>
              <w:contextualSpacing/>
              <w:jc w:val="left"/>
              <w:rPr>
                <w:noProof/>
              </w:rPr>
            </w:pPr>
            <w:r>
              <w:rPr>
                <w:noProof/>
              </w:rPr>
              <w:t>Emitenți de documente de securitate socială</w:t>
            </w:r>
          </w:p>
          <w:p>
            <w:pPr>
              <w:numPr>
                <w:ilvl w:val="0"/>
                <w:numId w:val="18"/>
              </w:numPr>
              <w:ind w:left="312"/>
              <w:contextualSpacing/>
              <w:jc w:val="left"/>
              <w:rPr>
                <w:noProof/>
              </w:rPr>
            </w:pPr>
            <w:r>
              <w:rPr>
                <w:noProof/>
              </w:rPr>
              <w:t>Titulari de documente de securitate socială și solicitanți</w:t>
            </w:r>
          </w:p>
        </w:tc>
        <w:tc>
          <w:tcPr>
            <w:tcW w:w="1843" w:type="dxa"/>
            <w:vAlign w:val="center"/>
          </w:tcPr>
          <w:p>
            <w:pPr>
              <w:jc w:val="left"/>
              <w:rPr>
                <w:noProof/>
              </w:rPr>
            </w:pPr>
            <w:r>
              <w:rPr>
                <w:noProof/>
              </w:rPr>
              <w:t>Eliberarea documentelor digitale de securitate socială</w:t>
            </w:r>
          </w:p>
        </w:tc>
        <w:tc>
          <w:tcPr>
            <w:tcW w:w="2976" w:type="dxa"/>
            <w:vAlign w:val="center"/>
          </w:tcPr>
          <w:p>
            <w:pPr>
              <w:numPr>
                <w:ilvl w:val="0"/>
                <w:numId w:val="18"/>
              </w:numPr>
              <w:ind w:left="312"/>
              <w:contextualSpacing/>
              <w:jc w:val="left"/>
              <w:rPr>
                <w:noProof/>
              </w:rPr>
            </w:pPr>
            <w:r>
              <w:rPr>
                <w:noProof/>
              </w:rPr>
              <w:t>Date</w:t>
            </w:r>
          </w:p>
          <w:p>
            <w:pPr>
              <w:numPr>
                <w:ilvl w:val="0"/>
                <w:numId w:val="18"/>
              </w:numPr>
              <w:ind w:left="312"/>
              <w:contextualSpacing/>
              <w:jc w:val="left"/>
              <w:rPr>
                <w:noProof/>
              </w:rPr>
            </w:pPr>
            <w:r>
              <w:rPr>
                <w:noProof/>
              </w:rPr>
              <w:t>Digitalizarea și automatizarea proceselor</w:t>
            </w:r>
          </w:p>
          <w:p>
            <w:pPr>
              <w:numPr>
                <w:ilvl w:val="0"/>
                <w:numId w:val="18"/>
              </w:numPr>
              <w:ind w:left="312"/>
              <w:contextualSpacing/>
              <w:jc w:val="left"/>
              <w:rPr>
                <w:noProof/>
              </w:rPr>
            </w:pPr>
            <w:r>
              <w:rPr>
                <w:noProof/>
              </w:rPr>
              <w:t>Soluții digitale</w:t>
            </w:r>
          </w:p>
          <w:p>
            <w:pPr>
              <w:numPr>
                <w:ilvl w:val="0"/>
                <w:numId w:val="18"/>
              </w:numPr>
              <w:ind w:left="312"/>
              <w:contextualSpacing/>
              <w:jc w:val="left"/>
              <w:rPr>
                <w:noProof/>
              </w:rPr>
            </w:pPr>
            <w:r>
              <w:rPr>
                <w:noProof/>
              </w:rPr>
              <w:t>Serviciu (servicii) public(e) digital(e)</w:t>
            </w:r>
          </w:p>
        </w:tc>
      </w:tr>
      <w:tr>
        <w:trPr>
          <w:trHeight w:val="300"/>
        </w:trPr>
        <w:tc>
          <w:tcPr>
            <w:tcW w:w="1809" w:type="dxa"/>
            <w:vAlign w:val="center"/>
          </w:tcPr>
          <w:p>
            <w:pPr>
              <w:jc w:val="left"/>
              <w:rPr>
                <w:noProof/>
              </w:rPr>
            </w:pPr>
            <w:r>
              <w:rPr>
                <w:noProof/>
              </w:rPr>
              <w:t>R3</w:t>
            </w:r>
          </w:p>
          <w:p>
            <w:pPr>
              <w:jc w:val="left"/>
              <w:rPr>
                <w:noProof/>
              </w:rPr>
            </w:pPr>
            <w:r>
              <w:rPr>
                <w:noProof/>
              </w:rPr>
              <w:t>Articolul 7 alineatul (2)</w:t>
            </w:r>
          </w:p>
          <w:p>
            <w:pPr>
              <w:jc w:val="left"/>
              <w:rPr>
                <w:noProof/>
              </w:rPr>
            </w:pPr>
          </w:p>
        </w:tc>
        <w:tc>
          <w:tcPr>
            <w:tcW w:w="5158" w:type="dxa"/>
            <w:vAlign w:val="center"/>
          </w:tcPr>
          <w:p>
            <w:pPr>
              <w:spacing w:line="276" w:lineRule="auto"/>
              <w:rPr>
                <w:noProof/>
                <w:szCs w:val="24"/>
              </w:rPr>
            </w:pPr>
            <w:r>
              <w:rPr>
                <w:noProof/>
              </w:rPr>
              <w:t>Prin derogare de la alineatul (1), organismele competente, la cererea persoanei în cauză sau a angajatorului, eliberează documentul de securitate socială într-un format fizic standardizat și accesibil. Un astfel de document include un cod QR sau orice alte caracteristici electronice pentru a-i spori securitatea, în conformitate cu specificațiile tehnice adoptate în temeiul alineatului (11).</w:t>
            </w:r>
          </w:p>
        </w:tc>
        <w:tc>
          <w:tcPr>
            <w:tcW w:w="2497" w:type="dxa"/>
            <w:vAlign w:val="center"/>
          </w:tcPr>
          <w:p>
            <w:pPr>
              <w:numPr>
                <w:ilvl w:val="0"/>
                <w:numId w:val="18"/>
              </w:numPr>
              <w:ind w:left="312"/>
              <w:contextualSpacing/>
              <w:jc w:val="left"/>
              <w:rPr>
                <w:noProof/>
              </w:rPr>
            </w:pPr>
            <w:r>
              <w:rPr>
                <w:noProof/>
              </w:rPr>
              <w:t>Emitenți de documente de securitate socială</w:t>
            </w:r>
          </w:p>
          <w:p>
            <w:pPr>
              <w:numPr>
                <w:ilvl w:val="0"/>
                <w:numId w:val="18"/>
              </w:numPr>
              <w:ind w:left="312"/>
              <w:contextualSpacing/>
              <w:jc w:val="left"/>
              <w:rPr>
                <w:noProof/>
              </w:rPr>
            </w:pPr>
            <w:r>
              <w:rPr>
                <w:noProof/>
              </w:rPr>
              <w:t>Titulari de documente de securitate socială și solicitanți</w:t>
            </w:r>
          </w:p>
        </w:tc>
        <w:tc>
          <w:tcPr>
            <w:tcW w:w="1843" w:type="dxa"/>
            <w:vAlign w:val="center"/>
          </w:tcPr>
          <w:p>
            <w:pPr>
              <w:jc w:val="left"/>
              <w:rPr>
                <w:noProof/>
              </w:rPr>
            </w:pPr>
            <w:r>
              <w:rPr>
                <w:noProof/>
              </w:rPr>
              <w:t>Eliberarea de documente în format fizic îmbunătățite prin caracteristici digitale</w:t>
            </w:r>
          </w:p>
        </w:tc>
        <w:tc>
          <w:tcPr>
            <w:tcW w:w="2976" w:type="dxa"/>
            <w:vAlign w:val="center"/>
          </w:tcPr>
          <w:p>
            <w:pPr>
              <w:numPr>
                <w:ilvl w:val="0"/>
                <w:numId w:val="18"/>
              </w:numPr>
              <w:ind w:left="312"/>
              <w:contextualSpacing/>
              <w:jc w:val="left"/>
              <w:rPr>
                <w:noProof/>
              </w:rPr>
            </w:pPr>
            <w:r>
              <w:rPr>
                <w:noProof/>
              </w:rPr>
              <w:t>Date</w:t>
            </w:r>
          </w:p>
          <w:p>
            <w:pPr>
              <w:numPr>
                <w:ilvl w:val="0"/>
                <w:numId w:val="18"/>
              </w:numPr>
              <w:ind w:left="312"/>
              <w:contextualSpacing/>
              <w:jc w:val="left"/>
              <w:rPr>
                <w:noProof/>
              </w:rPr>
            </w:pPr>
            <w:r>
              <w:rPr>
                <w:noProof/>
              </w:rPr>
              <w:t xml:space="preserve">Digitalizarea și automatizarea proceselor </w:t>
            </w:r>
          </w:p>
          <w:p>
            <w:pPr>
              <w:numPr>
                <w:ilvl w:val="0"/>
                <w:numId w:val="18"/>
              </w:numPr>
              <w:ind w:left="312"/>
              <w:contextualSpacing/>
              <w:jc w:val="left"/>
              <w:rPr>
                <w:noProof/>
              </w:rPr>
            </w:pPr>
            <w:r>
              <w:rPr>
                <w:noProof/>
              </w:rPr>
              <w:t>Soluții digitale</w:t>
            </w:r>
          </w:p>
          <w:p>
            <w:pPr>
              <w:numPr>
                <w:ilvl w:val="0"/>
                <w:numId w:val="18"/>
              </w:numPr>
              <w:ind w:left="312"/>
              <w:contextualSpacing/>
              <w:jc w:val="left"/>
              <w:rPr>
                <w:noProof/>
              </w:rPr>
            </w:pPr>
            <w:r>
              <w:rPr>
                <w:noProof/>
              </w:rPr>
              <w:t>Serviciu (servicii) public(e) digital(e)</w:t>
            </w:r>
          </w:p>
        </w:tc>
      </w:tr>
      <w:tr>
        <w:trPr>
          <w:trHeight w:val="300"/>
        </w:trPr>
        <w:tc>
          <w:tcPr>
            <w:tcW w:w="1809" w:type="dxa"/>
            <w:vAlign w:val="center"/>
          </w:tcPr>
          <w:p>
            <w:pPr>
              <w:jc w:val="left"/>
              <w:rPr>
                <w:noProof/>
              </w:rPr>
            </w:pPr>
            <w:r>
              <w:rPr>
                <w:noProof/>
              </w:rPr>
              <w:t>R4</w:t>
            </w:r>
          </w:p>
          <w:p>
            <w:pPr>
              <w:jc w:val="left"/>
              <w:rPr>
                <w:noProof/>
              </w:rPr>
            </w:pPr>
            <w:r>
              <w:rPr>
                <w:noProof/>
              </w:rPr>
              <w:t>Articolul 7 alineatul (3)</w:t>
            </w:r>
          </w:p>
        </w:tc>
        <w:tc>
          <w:tcPr>
            <w:tcW w:w="5158" w:type="dxa"/>
            <w:vAlign w:val="center"/>
          </w:tcPr>
          <w:p>
            <w:pPr>
              <w:spacing w:line="276" w:lineRule="auto"/>
              <w:rPr>
                <w:noProof/>
                <w:szCs w:val="24"/>
              </w:rPr>
            </w:pPr>
            <w:r>
              <w:rPr>
                <w:noProof/>
              </w:rPr>
              <w:t xml:space="preserve">Fiecare stat membru transmite Comisiei o listă a emitenților și o menține actualizată. Comisia pune listele respective la dispoziția publicului, printr-un canal securizat și într-o formă semnată sau sigilată electronic, adecvată prelucrării automate. În ceea ce privește emitenții documentului portabil A1, lista se transmite Comisiei până la [data intrării în vigoare plus 12 luni]. Statele membre transmit lista emitenților de CEASS și de alte documente de securitate socială care intră în domeniul de aplicare al prezentului capitol până la [data intrării în vigoare plus 3 ani]. </w:t>
            </w:r>
          </w:p>
        </w:tc>
        <w:tc>
          <w:tcPr>
            <w:tcW w:w="2497" w:type="dxa"/>
            <w:vAlign w:val="center"/>
          </w:tcPr>
          <w:p>
            <w:pPr>
              <w:numPr>
                <w:ilvl w:val="0"/>
                <w:numId w:val="18"/>
              </w:numPr>
              <w:ind w:left="312"/>
              <w:contextualSpacing/>
              <w:jc w:val="left"/>
              <w:rPr>
                <w:noProof/>
              </w:rPr>
            </w:pPr>
            <w:r>
              <w:rPr>
                <w:noProof/>
              </w:rPr>
              <w:t xml:space="preserve">State membre </w:t>
            </w:r>
          </w:p>
          <w:p>
            <w:pPr>
              <w:ind w:left="312"/>
              <w:contextualSpacing/>
              <w:jc w:val="left"/>
              <w:rPr>
                <w:noProof/>
                <w:lang w:eastAsia="en-GB"/>
              </w:rPr>
            </w:pPr>
          </w:p>
        </w:tc>
        <w:tc>
          <w:tcPr>
            <w:tcW w:w="1843" w:type="dxa"/>
            <w:vAlign w:val="center"/>
          </w:tcPr>
          <w:p>
            <w:pPr>
              <w:jc w:val="left"/>
              <w:rPr>
                <w:noProof/>
              </w:rPr>
            </w:pPr>
            <w:r>
              <w:rPr>
                <w:noProof/>
              </w:rPr>
              <w:t xml:space="preserve">Eliberarea documentelor de securitate socială </w:t>
            </w:r>
          </w:p>
        </w:tc>
        <w:tc>
          <w:tcPr>
            <w:tcW w:w="2976" w:type="dxa"/>
            <w:vAlign w:val="center"/>
          </w:tcPr>
          <w:p>
            <w:pPr>
              <w:numPr>
                <w:ilvl w:val="0"/>
                <w:numId w:val="18"/>
              </w:numPr>
              <w:ind w:left="312"/>
              <w:contextualSpacing/>
              <w:jc w:val="left"/>
              <w:rPr>
                <w:noProof/>
              </w:rPr>
            </w:pPr>
            <w:r>
              <w:rPr>
                <w:noProof/>
              </w:rPr>
              <w:t>Date</w:t>
            </w:r>
          </w:p>
          <w:p>
            <w:pPr>
              <w:numPr>
                <w:ilvl w:val="0"/>
                <w:numId w:val="18"/>
              </w:numPr>
              <w:ind w:left="312"/>
              <w:contextualSpacing/>
              <w:jc w:val="left"/>
              <w:rPr>
                <w:noProof/>
              </w:rPr>
            </w:pPr>
            <w:r>
              <w:rPr>
                <w:noProof/>
              </w:rPr>
              <w:t xml:space="preserve">Digitalizarea și automatizarea proceselor </w:t>
            </w:r>
          </w:p>
          <w:p>
            <w:pPr>
              <w:numPr>
                <w:ilvl w:val="0"/>
                <w:numId w:val="18"/>
              </w:numPr>
              <w:ind w:left="312"/>
              <w:contextualSpacing/>
              <w:jc w:val="left"/>
              <w:rPr>
                <w:noProof/>
              </w:rPr>
            </w:pPr>
            <w:r>
              <w:rPr>
                <w:noProof/>
              </w:rPr>
              <w:t>Soluții digitale</w:t>
            </w:r>
          </w:p>
          <w:p>
            <w:pPr>
              <w:numPr>
                <w:ilvl w:val="0"/>
                <w:numId w:val="18"/>
              </w:numPr>
              <w:ind w:left="312"/>
              <w:contextualSpacing/>
              <w:jc w:val="left"/>
              <w:rPr>
                <w:noProof/>
              </w:rPr>
            </w:pPr>
            <w:r>
              <w:rPr>
                <w:noProof/>
              </w:rPr>
              <w:t>Serviciu (servicii) public(e) digital(e)</w:t>
            </w:r>
          </w:p>
        </w:tc>
      </w:tr>
      <w:tr>
        <w:trPr>
          <w:trHeight w:val="300"/>
        </w:trPr>
        <w:tc>
          <w:tcPr>
            <w:tcW w:w="1809" w:type="dxa"/>
            <w:vAlign w:val="center"/>
          </w:tcPr>
          <w:p>
            <w:pPr>
              <w:rPr>
                <w:noProof/>
              </w:rPr>
            </w:pPr>
            <w:r>
              <w:rPr>
                <w:noProof/>
              </w:rPr>
              <w:t xml:space="preserve">R5 </w:t>
            </w:r>
          </w:p>
          <w:p>
            <w:pPr>
              <w:rPr>
                <w:noProof/>
              </w:rPr>
            </w:pPr>
            <w:r>
              <w:rPr>
                <w:noProof/>
              </w:rPr>
              <w:t>Articolul 7 alineatul (4)</w:t>
            </w:r>
          </w:p>
          <w:p>
            <w:pPr>
              <w:rPr>
                <w:noProof/>
              </w:rPr>
            </w:pPr>
          </w:p>
        </w:tc>
        <w:tc>
          <w:tcPr>
            <w:tcW w:w="5158" w:type="dxa"/>
            <w:vAlign w:val="center"/>
          </w:tcPr>
          <w:p>
            <w:pPr>
              <w:spacing w:line="276" w:lineRule="auto"/>
              <w:rPr>
                <w:iCs/>
                <w:noProof/>
              </w:rPr>
            </w:pPr>
            <w:r>
              <w:rPr>
                <w:noProof/>
              </w:rPr>
              <w:t>Înainte de a elibera un document de securitate socială, emitenții verifică exactitatea informațiilor furnizate de persoanele în cauză și, după caz, de angajatori în sprijinul cererii acestora, inclusiv prin utilizarea instrumentelor digitale.</w:t>
            </w:r>
          </w:p>
        </w:tc>
        <w:tc>
          <w:tcPr>
            <w:tcW w:w="2497" w:type="dxa"/>
            <w:vAlign w:val="center"/>
          </w:tcPr>
          <w:p>
            <w:pPr>
              <w:numPr>
                <w:ilvl w:val="0"/>
                <w:numId w:val="18"/>
              </w:numPr>
              <w:ind w:left="312"/>
              <w:contextualSpacing/>
              <w:jc w:val="left"/>
              <w:rPr>
                <w:noProof/>
              </w:rPr>
            </w:pPr>
            <w:r>
              <w:rPr>
                <w:noProof/>
              </w:rPr>
              <w:t xml:space="preserve">State membre </w:t>
            </w:r>
          </w:p>
          <w:p>
            <w:pPr>
              <w:ind w:left="312"/>
              <w:contextualSpacing/>
              <w:jc w:val="left"/>
              <w:rPr>
                <w:noProof/>
                <w:lang w:eastAsia="en-GB"/>
              </w:rPr>
            </w:pPr>
          </w:p>
        </w:tc>
        <w:tc>
          <w:tcPr>
            <w:tcW w:w="1843" w:type="dxa"/>
            <w:vAlign w:val="center"/>
          </w:tcPr>
          <w:p>
            <w:pPr>
              <w:jc w:val="left"/>
              <w:rPr>
                <w:noProof/>
              </w:rPr>
            </w:pPr>
            <w:r>
              <w:rPr>
                <w:noProof/>
              </w:rPr>
              <w:t xml:space="preserve">Verificarea informațiilor înainte de eliberarea documentelor de securitate socială </w:t>
            </w:r>
          </w:p>
        </w:tc>
        <w:tc>
          <w:tcPr>
            <w:tcW w:w="2976" w:type="dxa"/>
            <w:vAlign w:val="center"/>
          </w:tcPr>
          <w:p>
            <w:pPr>
              <w:numPr>
                <w:ilvl w:val="0"/>
                <w:numId w:val="18"/>
              </w:numPr>
              <w:ind w:left="312"/>
              <w:contextualSpacing/>
              <w:jc w:val="left"/>
              <w:rPr>
                <w:noProof/>
              </w:rPr>
            </w:pPr>
            <w:r>
              <w:rPr>
                <w:noProof/>
              </w:rPr>
              <w:t>Date</w:t>
            </w:r>
          </w:p>
          <w:p>
            <w:pPr>
              <w:numPr>
                <w:ilvl w:val="0"/>
                <w:numId w:val="18"/>
              </w:numPr>
              <w:ind w:left="312"/>
              <w:contextualSpacing/>
              <w:jc w:val="left"/>
              <w:rPr>
                <w:noProof/>
              </w:rPr>
            </w:pPr>
            <w:r>
              <w:rPr>
                <w:noProof/>
              </w:rPr>
              <w:t xml:space="preserve">Digitalizarea și automatizarea proceselor </w:t>
            </w:r>
          </w:p>
          <w:p>
            <w:pPr>
              <w:numPr>
                <w:ilvl w:val="0"/>
                <w:numId w:val="18"/>
              </w:numPr>
              <w:ind w:left="312"/>
              <w:contextualSpacing/>
              <w:jc w:val="left"/>
              <w:rPr>
                <w:noProof/>
              </w:rPr>
            </w:pPr>
            <w:r>
              <w:rPr>
                <w:noProof/>
              </w:rPr>
              <w:t>Soluții digitale</w:t>
            </w:r>
          </w:p>
        </w:tc>
      </w:tr>
      <w:tr>
        <w:trPr>
          <w:trHeight w:val="300"/>
        </w:trPr>
        <w:tc>
          <w:tcPr>
            <w:tcW w:w="1809" w:type="dxa"/>
            <w:vAlign w:val="center"/>
          </w:tcPr>
          <w:p>
            <w:pPr>
              <w:jc w:val="left"/>
              <w:rPr>
                <w:noProof/>
              </w:rPr>
            </w:pPr>
            <w:r>
              <w:rPr>
                <w:noProof/>
              </w:rPr>
              <w:t xml:space="preserve">R6 </w:t>
            </w:r>
          </w:p>
          <w:p>
            <w:pPr>
              <w:jc w:val="left"/>
              <w:rPr>
                <w:noProof/>
              </w:rPr>
            </w:pPr>
            <w:r>
              <w:rPr>
                <w:noProof/>
              </w:rPr>
              <w:t>Articolul 7 alineatul (5)</w:t>
            </w:r>
          </w:p>
        </w:tc>
        <w:tc>
          <w:tcPr>
            <w:tcW w:w="5158" w:type="dxa"/>
            <w:vAlign w:val="center"/>
          </w:tcPr>
          <w:p>
            <w:pPr>
              <w:spacing w:line="276" w:lineRule="auto"/>
              <w:rPr>
                <w:noProof/>
                <w:szCs w:val="24"/>
              </w:rPr>
            </w:pPr>
            <w:r>
              <w:rPr>
                <w:noProof/>
              </w:rPr>
              <w:t xml:space="preserve">În cazul în care un document de securitate socială menționat la alineatul (1) sau (2) este revocat, emitentul notifică imediat persoana în cauză și, după caz, angajatorul, prin mijloace electronice, cu excepția cazului în care persoana în cauză și, după caz, angajatorul indică alte mijloace. </w:t>
            </w:r>
          </w:p>
        </w:tc>
        <w:tc>
          <w:tcPr>
            <w:tcW w:w="2497" w:type="dxa"/>
            <w:vAlign w:val="center"/>
          </w:tcPr>
          <w:p>
            <w:pPr>
              <w:numPr>
                <w:ilvl w:val="0"/>
                <w:numId w:val="18"/>
              </w:numPr>
              <w:ind w:left="312"/>
              <w:contextualSpacing/>
              <w:jc w:val="left"/>
              <w:rPr>
                <w:noProof/>
              </w:rPr>
            </w:pPr>
            <w:r>
              <w:rPr>
                <w:noProof/>
              </w:rPr>
              <w:t>Emitent</w:t>
            </w:r>
          </w:p>
          <w:p>
            <w:pPr>
              <w:numPr>
                <w:ilvl w:val="0"/>
                <w:numId w:val="18"/>
              </w:numPr>
              <w:ind w:left="312"/>
              <w:contextualSpacing/>
              <w:jc w:val="left"/>
              <w:rPr>
                <w:noProof/>
              </w:rPr>
            </w:pPr>
            <w:r>
              <w:rPr>
                <w:noProof/>
              </w:rPr>
              <w:t>Titulari de documente de securitate socială și solicitanți</w:t>
            </w:r>
          </w:p>
        </w:tc>
        <w:tc>
          <w:tcPr>
            <w:tcW w:w="1843" w:type="dxa"/>
            <w:vAlign w:val="center"/>
          </w:tcPr>
          <w:p>
            <w:pPr>
              <w:jc w:val="left"/>
              <w:rPr>
                <w:noProof/>
              </w:rPr>
            </w:pPr>
            <w:r>
              <w:rPr>
                <w:noProof/>
              </w:rPr>
              <w:t>Informarea cu privire la eliberarea și revocarea documentelor de securitate socială</w:t>
            </w:r>
          </w:p>
        </w:tc>
        <w:tc>
          <w:tcPr>
            <w:tcW w:w="2976" w:type="dxa"/>
            <w:vAlign w:val="center"/>
          </w:tcPr>
          <w:p>
            <w:pPr>
              <w:numPr>
                <w:ilvl w:val="0"/>
                <w:numId w:val="18"/>
              </w:numPr>
              <w:ind w:left="312"/>
              <w:contextualSpacing/>
              <w:jc w:val="left"/>
              <w:rPr>
                <w:noProof/>
              </w:rPr>
            </w:pPr>
            <w:r>
              <w:rPr>
                <w:noProof/>
              </w:rPr>
              <w:t>Date</w:t>
            </w:r>
          </w:p>
          <w:p>
            <w:pPr>
              <w:numPr>
                <w:ilvl w:val="0"/>
                <w:numId w:val="18"/>
              </w:numPr>
              <w:ind w:left="312"/>
              <w:contextualSpacing/>
              <w:jc w:val="left"/>
              <w:rPr>
                <w:noProof/>
              </w:rPr>
            </w:pPr>
            <w:r>
              <w:rPr>
                <w:noProof/>
              </w:rPr>
              <w:t>Digitalizarea și automatizarea proceselor</w:t>
            </w:r>
          </w:p>
          <w:p>
            <w:pPr>
              <w:numPr>
                <w:ilvl w:val="0"/>
                <w:numId w:val="18"/>
              </w:numPr>
              <w:ind w:left="312"/>
              <w:contextualSpacing/>
              <w:jc w:val="left"/>
              <w:rPr>
                <w:noProof/>
              </w:rPr>
            </w:pPr>
            <w:r>
              <w:rPr>
                <w:noProof/>
              </w:rPr>
              <w:t>Soluții digitale</w:t>
            </w:r>
          </w:p>
          <w:p>
            <w:pPr>
              <w:numPr>
                <w:ilvl w:val="0"/>
                <w:numId w:val="18"/>
              </w:numPr>
              <w:ind w:left="312"/>
              <w:contextualSpacing/>
              <w:jc w:val="left"/>
              <w:rPr>
                <w:noProof/>
              </w:rPr>
            </w:pPr>
            <w:r>
              <w:rPr>
                <w:noProof/>
              </w:rPr>
              <w:t>Serviciu (servicii) public(e) digital(e)</w:t>
            </w:r>
          </w:p>
        </w:tc>
      </w:tr>
      <w:tr>
        <w:trPr>
          <w:trHeight w:val="300"/>
        </w:trPr>
        <w:tc>
          <w:tcPr>
            <w:tcW w:w="1809" w:type="dxa"/>
            <w:vAlign w:val="center"/>
          </w:tcPr>
          <w:p>
            <w:pPr>
              <w:jc w:val="left"/>
              <w:rPr>
                <w:noProof/>
              </w:rPr>
            </w:pPr>
            <w:r>
              <w:rPr>
                <w:noProof/>
              </w:rPr>
              <w:t>R7</w:t>
            </w:r>
          </w:p>
          <w:p>
            <w:pPr>
              <w:jc w:val="left"/>
              <w:rPr>
                <w:noProof/>
              </w:rPr>
            </w:pPr>
            <w:r>
              <w:rPr>
                <w:noProof/>
              </w:rPr>
              <w:t xml:space="preserve">Articolul 7 alineatul (6) </w:t>
            </w:r>
          </w:p>
          <w:p>
            <w:pPr>
              <w:jc w:val="left"/>
              <w:rPr>
                <w:noProof/>
              </w:rPr>
            </w:pPr>
          </w:p>
        </w:tc>
        <w:tc>
          <w:tcPr>
            <w:tcW w:w="5158" w:type="dxa"/>
            <w:vAlign w:val="center"/>
          </w:tcPr>
          <w:p>
            <w:pPr>
              <w:spacing w:line="276" w:lineRule="auto"/>
              <w:rPr>
                <w:noProof/>
                <w:szCs w:val="24"/>
              </w:rPr>
            </w:pPr>
            <w:r>
              <w:rPr>
                <w:noProof/>
              </w:rPr>
              <w:t>Emitenții se asigură că o persoană poate primi și stoca, în propriul portofel european pentru identitatea digitală, documentele digitale de securitate socială ale copiilor săi minori și ale unei persoane fizice pe care o reprezintă legal.</w:t>
            </w:r>
          </w:p>
        </w:tc>
        <w:tc>
          <w:tcPr>
            <w:tcW w:w="2497" w:type="dxa"/>
            <w:vAlign w:val="center"/>
          </w:tcPr>
          <w:p>
            <w:pPr>
              <w:numPr>
                <w:ilvl w:val="0"/>
                <w:numId w:val="18"/>
              </w:numPr>
              <w:ind w:left="312"/>
              <w:contextualSpacing/>
              <w:jc w:val="left"/>
              <w:rPr>
                <w:noProof/>
              </w:rPr>
            </w:pPr>
            <w:r>
              <w:rPr>
                <w:noProof/>
              </w:rPr>
              <w:t>State membre</w:t>
            </w:r>
          </w:p>
        </w:tc>
        <w:tc>
          <w:tcPr>
            <w:tcW w:w="1843" w:type="dxa"/>
            <w:vAlign w:val="center"/>
          </w:tcPr>
          <w:p>
            <w:pPr>
              <w:jc w:val="left"/>
              <w:rPr>
                <w:noProof/>
              </w:rPr>
            </w:pPr>
            <w:r>
              <w:rPr>
                <w:noProof/>
              </w:rPr>
              <w:t>Eliberarea documentelor digitale de securitate socială ale persoanelor reprezentate legal</w:t>
            </w:r>
          </w:p>
        </w:tc>
        <w:tc>
          <w:tcPr>
            <w:tcW w:w="2976" w:type="dxa"/>
            <w:vAlign w:val="center"/>
          </w:tcPr>
          <w:p>
            <w:pPr>
              <w:numPr>
                <w:ilvl w:val="0"/>
                <w:numId w:val="18"/>
              </w:numPr>
              <w:ind w:left="312"/>
              <w:contextualSpacing/>
              <w:jc w:val="left"/>
              <w:rPr>
                <w:noProof/>
              </w:rPr>
            </w:pPr>
            <w:r>
              <w:rPr>
                <w:noProof/>
              </w:rPr>
              <w:t xml:space="preserve">Date </w:t>
            </w:r>
          </w:p>
          <w:p>
            <w:pPr>
              <w:numPr>
                <w:ilvl w:val="0"/>
                <w:numId w:val="18"/>
              </w:numPr>
              <w:ind w:left="312"/>
              <w:contextualSpacing/>
              <w:jc w:val="left"/>
              <w:rPr>
                <w:noProof/>
              </w:rPr>
            </w:pPr>
            <w:r>
              <w:rPr>
                <w:noProof/>
              </w:rPr>
              <w:t>Serviciu (servicii) public(e) digital(e)</w:t>
            </w:r>
          </w:p>
        </w:tc>
      </w:tr>
      <w:tr>
        <w:trPr>
          <w:trHeight w:val="300"/>
        </w:trPr>
        <w:tc>
          <w:tcPr>
            <w:tcW w:w="1809" w:type="dxa"/>
            <w:vAlign w:val="center"/>
          </w:tcPr>
          <w:p>
            <w:pPr>
              <w:jc w:val="left"/>
              <w:rPr>
                <w:noProof/>
              </w:rPr>
            </w:pPr>
            <w:r>
              <w:rPr>
                <w:noProof/>
              </w:rPr>
              <w:t xml:space="preserve">R8 </w:t>
            </w:r>
          </w:p>
          <w:p>
            <w:pPr>
              <w:jc w:val="left"/>
              <w:rPr>
                <w:noProof/>
              </w:rPr>
            </w:pPr>
            <w:r>
              <w:rPr>
                <w:noProof/>
              </w:rPr>
              <w:t>Articolul 7 alineatul (7)</w:t>
            </w:r>
          </w:p>
        </w:tc>
        <w:tc>
          <w:tcPr>
            <w:tcW w:w="5158" w:type="dxa"/>
            <w:vAlign w:val="center"/>
          </w:tcPr>
          <w:p>
            <w:pPr>
              <w:spacing w:line="276" w:lineRule="auto"/>
              <w:rPr>
                <w:noProof/>
                <w:szCs w:val="24"/>
              </w:rPr>
            </w:pPr>
            <w:r>
              <w:rPr>
                <w:noProof/>
              </w:rPr>
              <w:t>Documentele de securitate socială eliberate în temeiul alineatelor (1) și (2) de către un stat membru sunt recunoscute de verificatori în toate celelalte state membre.</w:t>
            </w:r>
          </w:p>
        </w:tc>
        <w:tc>
          <w:tcPr>
            <w:tcW w:w="2497" w:type="dxa"/>
            <w:vAlign w:val="center"/>
          </w:tcPr>
          <w:p>
            <w:pPr>
              <w:numPr>
                <w:ilvl w:val="0"/>
                <w:numId w:val="18"/>
              </w:numPr>
              <w:ind w:left="312"/>
              <w:contextualSpacing/>
              <w:jc w:val="left"/>
              <w:rPr>
                <w:noProof/>
              </w:rPr>
            </w:pPr>
            <w:r>
              <w:rPr>
                <w:noProof/>
              </w:rPr>
              <w:t>State membre</w:t>
            </w:r>
          </w:p>
          <w:p>
            <w:pPr>
              <w:numPr>
                <w:ilvl w:val="0"/>
                <w:numId w:val="18"/>
              </w:numPr>
              <w:ind w:left="312"/>
              <w:contextualSpacing/>
              <w:jc w:val="left"/>
              <w:rPr>
                <w:noProof/>
              </w:rPr>
            </w:pPr>
            <w:r>
              <w:rPr>
                <w:noProof/>
              </w:rPr>
              <w:t>Verificatori ai atestatelor de securitate socială</w:t>
            </w:r>
          </w:p>
          <w:p>
            <w:pPr>
              <w:numPr>
                <w:ilvl w:val="0"/>
                <w:numId w:val="18"/>
              </w:numPr>
              <w:ind w:left="312"/>
              <w:contextualSpacing/>
              <w:jc w:val="left"/>
              <w:rPr>
                <w:noProof/>
              </w:rPr>
            </w:pPr>
            <w:r>
              <w:rPr>
                <w:noProof/>
              </w:rPr>
              <w:t xml:space="preserve">Titulari de documente de securitate socială </w:t>
            </w:r>
          </w:p>
        </w:tc>
        <w:tc>
          <w:tcPr>
            <w:tcW w:w="1843" w:type="dxa"/>
            <w:vAlign w:val="center"/>
          </w:tcPr>
          <w:p>
            <w:pPr>
              <w:jc w:val="left"/>
              <w:rPr>
                <w:noProof/>
              </w:rPr>
            </w:pPr>
            <w:r>
              <w:rPr>
                <w:noProof/>
              </w:rPr>
              <w:t xml:space="preserve">Recunoașterea documentelor de securitate socială </w:t>
            </w:r>
          </w:p>
        </w:tc>
        <w:tc>
          <w:tcPr>
            <w:tcW w:w="2976" w:type="dxa"/>
            <w:vAlign w:val="center"/>
          </w:tcPr>
          <w:p>
            <w:pPr>
              <w:numPr>
                <w:ilvl w:val="0"/>
                <w:numId w:val="18"/>
              </w:numPr>
              <w:ind w:left="312"/>
              <w:contextualSpacing/>
              <w:jc w:val="left"/>
              <w:rPr>
                <w:noProof/>
              </w:rPr>
            </w:pPr>
            <w:r>
              <w:rPr>
                <w:noProof/>
              </w:rPr>
              <w:t>Date</w:t>
            </w:r>
          </w:p>
          <w:p>
            <w:pPr>
              <w:numPr>
                <w:ilvl w:val="0"/>
                <w:numId w:val="18"/>
              </w:numPr>
              <w:ind w:left="312"/>
              <w:contextualSpacing/>
              <w:jc w:val="left"/>
              <w:rPr>
                <w:noProof/>
              </w:rPr>
            </w:pPr>
            <w:r>
              <w:rPr>
                <w:noProof/>
              </w:rPr>
              <w:t>Soluții digitale</w:t>
            </w:r>
          </w:p>
          <w:p>
            <w:pPr>
              <w:numPr>
                <w:ilvl w:val="0"/>
                <w:numId w:val="18"/>
              </w:numPr>
              <w:ind w:left="312"/>
              <w:contextualSpacing/>
              <w:jc w:val="left"/>
              <w:rPr>
                <w:noProof/>
              </w:rPr>
            </w:pPr>
            <w:r>
              <w:rPr>
                <w:noProof/>
              </w:rPr>
              <w:t>Serviciu (servicii) public(e) digital(e)</w:t>
            </w:r>
          </w:p>
          <w:p>
            <w:pPr>
              <w:ind w:left="312"/>
              <w:contextualSpacing/>
              <w:jc w:val="left"/>
              <w:rPr>
                <w:noProof/>
                <w:lang w:eastAsia="en-GB"/>
              </w:rPr>
            </w:pPr>
          </w:p>
        </w:tc>
      </w:tr>
      <w:tr>
        <w:trPr>
          <w:trHeight w:val="300"/>
        </w:trPr>
        <w:tc>
          <w:tcPr>
            <w:tcW w:w="1809" w:type="dxa"/>
            <w:vAlign w:val="center"/>
          </w:tcPr>
          <w:p>
            <w:pPr>
              <w:rPr>
                <w:noProof/>
              </w:rPr>
            </w:pPr>
            <w:r>
              <w:rPr>
                <w:noProof/>
              </w:rPr>
              <w:t>R9</w:t>
            </w:r>
          </w:p>
          <w:p>
            <w:pPr>
              <w:rPr>
                <w:noProof/>
              </w:rPr>
            </w:pPr>
            <w:r>
              <w:rPr>
                <w:noProof/>
              </w:rPr>
              <w:t xml:space="preserve">Articolul 7 alineatul (8) </w:t>
            </w:r>
          </w:p>
          <w:p>
            <w:pPr>
              <w:rPr>
                <w:noProof/>
              </w:rPr>
            </w:pPr>
          </w:p>
        </w:tc>
        <w:tc>
          <w:tcPr>
            <w:tcW w:w="5158" w:type="dxa"/>
            <w:vAlign w:val="center"/>
          </w:tcPr>
          <w:p>
            <w:pPr>
              <w:rPr>
                <w:rFonts w:eastAsia="Calibri"/>
                <w:noProof/>
              </w:rPr>
            </w:pPr>
            <w:r>
              <w:rPr>
                <w:noProof/>
              </w:rPr>
              <w:t>Statele membre se asigură că verificatorii stabiliți pe teritoriul lor dispun de mijloacele tehnice necesare pentru a verifica documentele de securitate socială eliberate în temeiul prezentului articol, în vederea confirmării autenticității, integrității și valabilității acestora. Verificatorii trebuie să fie în măsură să verifice dacă:</w:t>
            </w:r>
          </w:p>
          <w:p>
            <w:pPr>
              <w:rPr>
                <w:rFonts w:eastAsia="Calibri"/>
                <w:noProof/>
              </w:rPr>
            </w:pPr>
            <w:r>
              <w:rPr>
                <w:noProof/>
              </w:rPr>
              <w:t>(a)</w:t>
            </w:r>
            <w:r>
              <w:rPr>
                <w:noProof/>
              </w:rPr>
              <w:tab/>
              <w:t xml:space="preserve">documentul a fost eliberat de un organism autorizat; </w:t>
            </w:r>
          </w:p>
          <w:p>
            <w:pPr>
              <w:rPr>
                <w:rFonts w:eastAsia="Calibri"/>
                <w:noProof/>
              </w:rPr>
            </w:pPr>
            <w:r>
              <w:rPr>
                <w:noProof/>
              </w:rPr>
              <w:t>(b)</w:t>
            </w:r>
            <w:r>
              <w:rPr>
                <w:noProof/>
              </w:rPr>
              <w:tab/>
              <w:t>datele conținute în document nu au fost modificate în mod fraudulos de la eliberare;</w:t>
            </w:r>
          </w:p>
          <w:p>
            <w:pPr>
              <w:rPr>
                <w:rFonts w:eastAsia="Calibri"/>
                <w:noProof/>
              </w:rPr>
            </w:pPr>
            <w:r>
              <w:rPr>
                <w:noProof/>
              </w:rPr>
              <w:t>(c)</w:t>
            </w:r>
            <w:r>
              <w:rPr>
                <w:noProof/>
              </w:rPr>
              <w:tab/>
              <w:t>documentul nu a expirat și nici nu a fost revocat.</w:t>
            </w:r>
          </w:p>
        </w:tc>
        <w:tc>
          <w:tcPr>
            <w:tcW w:w="2497" w:type="dxa"/>
            <w:vAlign w:val="center"/>
          </w:tcPr>
          <w:p>
            <w:pPr>
              <w:numPr>
                <w:ilvl w:val="0"/>
                <w:numId w:val="18"/>
              </w:numPr>
              <w:ind w:left="312"/>
              <w:contextualSpacing/>
              <w:jc w:val="left"/>
              <w:rPr>
                <w:noProof/>
              </w:rPr>
            </w:pPr>
            <w:r>
              <w:rPr>
                <w:noProof/>
              </w:rPr>
              <w:t xml:space="preserve">State membre </w:t>
            </w:r>
          </w:p>
          <w:p>
            <w:pPr>
              <w:numPr>
                <w:ilvl w:val="0"/>
                <w:numId w:val="18"/>
              </w:numPr>
              <w:ind w:left="312"/>
              <w:contextualSpacing/>
              <w:jc w:val="left"/>
              <w:rPr>
                <w:noProof/>
              </w:rPr>
            </w:pPr>
            <w:r>
              <w:rPr>
                <w:noProof/>
              </w:rPr>
              <w:t>Verificatorii</w:t>
            </w:r>
          </w:p>
          <w:p>
            <w:pPr>
              <w:numPr>
                <w:ilvl w:val="0"/>
                <w:numId w:val="18"/>
              </w:numPr>
              <w:ind w:left="312"/>
              <w:contextualSpacing/>
              <w:jc w:val="left"/>
              <w:rPr>
                <w:noProof/>
              </w:rPr>
            </w:pPr>
            <w:r>
              <w:rPr>
                <w:noProof/>
              </w:rPr>
              <w:t>Titulari de documente de securitate socială</w:t>
            </w:r>
          </w:p>
        </w:tc>
        <w:tc>
          <w:tcPr>
            <w:tcW w:w="1843" w:type="dxa"/>
            <w:vAlign w:val="center"/>
          </w:tcPr>
          <w:p>
            <w:pPr>
              <w:jc w:val="left"/>
              <w:rPr>
                <w:noProof/>
              </w:rPr>
            </w:pPr>
            <w:r>
              <w:rPr>
                <w:noProof/>
              </w:rPr>
              <w:t>Verificarea documentelor de securitate socială</w:t>
            </w:r>
          </w:p>
        </w:tc>
        <w:tc>
          <w:tcPr>
            <w:tcW w:w="2976" w:type="dxa"/>
            <w:vAlign w:val="center"/>
          </w:tcPr>
          <w:p>
            <w:pPr>
              <w:numPr>
                <w:ilvl w:val="0"/>
                <w:numId w:val="18"/>
              </w:numPr>
              <w:ind w:left="312"/>
              <w:contextualSpacing/>
              <w:jc w:val="left"/>
              <w:rPr>
                <w:noProof/>
              </w:rPr>
            </w:pPr>
            <w:r>
              <w:rPr>
                <w:noProof/>
              </w:rPr>
              <w:t>Date</w:t>
            </w:r>
          </w:p>
          <w:p>
            <w:pPr>
              <w:numPr>
                <w:ilvl w:val="0"/>
                <w:numId w:val="18"/>
              </w:numPr>
              <w:ind w:left="312"/>
              <w:contextualSpacing/>
              <w:jc w:val="left"/>
              <w:rPr>
                <w:noProof/>
              </w:rPr>
            </w:pPr>
            <w:r>
              <w:rPr>
                <w:noProof/>
              </w:rPr>
              <w:t>Digitalizarea și automatizarea proceselor</w:t>
            </w:r>
          </w:p>
          <w:p>
            <w:pPr>
              <w:numPr>
                <w:ilvl w:val="0"/>
                <w:numId w:val="18"/>
              </w:numPr>
              <w:ind w:left="312"/>
              <w:contextualSpacing/>
              <w:jc w:val="left"/>
              <w:rPr>
                <w:noProof/>
              </w:rPr>
            </w:pPr>
            <w:r>
              <w:rPr>
                <w:noProof/>
              </w:rPr>
              <w:t>Soluții digitale</w:t>
            </w:r>
          </w:p>
          <w:p>
            <w:pPr>
              <w:numPr>
                <w:ilvl w:val="0"/>
                <w:numId w:val="18"/>
              </w:numPr>
              <w:ind w:left="312"/>
              <w:contextualSpacing/>
              <w:jc w:val="left"/>
              <w:rPr>
                <w:noProof/>
              </w:rPr>
            </w:pPr>
            <w:r>
              <w:rPr>
                <w:noProof/>
              </w:rPr>
              <w:t>Serviciu (servicii) public(e) digital(e)</w:t>
            </w:r>
          </w:p>
        </w:tc>
      </w:tr>
      <w:tr>
        <w:trPr>
          <w:trHeight w:val="300"/>
        </w:trPr>
        <w:tc>
          <w:tcPr>
            <w:tcW w:w="1809" w:type="dxa"/>
            <w:vAlign w:val="center"/>
          </w:tcPr>
          <w:p>
            <w:pPr>
              <w:rPr>
                <w:noProof/>
              </w:rPr>
            </w:pPr>
            <w:r>
              <w:rPr>
                <w:noProof/>
              </w:rPr>
              <w:t>R10</w:t>
            </w:r>
          </w:p>
          <w:p>
            <w:pPr>
              <w:rPr>
                <w:noProof/>
              </w:rPr>
            </w:pPr>
            <w:r>
              <w:rPr>
                <w:noProof/>
              </w:rPr>
              <w:t>Articolul 9 alineatul (2)</w:t>
            </w:r>
          </w:p>
        </w:tc>
        <w:tc>
          <w:tcPr>
            <w:tcW w:w="5158" w:type="dxa"/>
            <w:vAlign w:val="center"/>
          </w:tcPr>
          <w:p>
            <w:pPr>
              <w:spacing w:line="276" w:lineRule="auto"/>
              <w:rPr>
                <w:noProof/>
              </w:rPr>
            </w:pPr>
            <w:r>
              <w:rPr>
                <w:noProof/>
              </w:rPr>
              <w:t>Începând cu [data intrării în vigoare plus 3 ani], statele membre se asigură că furnizorii de servicii medicale de pe teritoriul lor sunt în măsură să transmită pe cale electronică datele conținute în cardul european de asigurări sociale de sănătate al unui pacient dintr-un alt stat membru, precum și toate datele care trebuie transmise pentru procesul de rambursare, către organismele competente din statul membru în care se efectuează tratamentul.</w:t>
            </w:r>
          </w:p>
        </w:tc>
        <w:tc>
          <w:tcPr>
            <w:tcW w:w="2497" w:type="dxa"/>
            <w:vAlign w:val="center"/>
          </w:tcPr>
          <w:p>
            <w:pPr>
              <w:numPr>
                <w:ilvl w:val="0"/>
                <w:numId w:val="18"/>
              </w:numPr>
              <w:ind w:left="312"/>
              <w:contextualSpacing/>
              <w:jc w:val="left"/>
              <w:rPr>
                <w:noProof/>
              </w:rPr>
            </w:pPr>
            <w:r>
              <w:rPr>
                <w:noProof/>
              </w:rPr>
              <w:t xml:space="preserve">State membre </w:t>
            </w:r>
          </w:p>
          <w:p>
            <w:pPr>
              <w:numPr>
                <w:ilvl w:val="0"/>
                <w:numId w:val="18"/>
              </w:numPr>
              <w:ind w:left="312"/>
              <w:contextualSpacing/>
              <w:jc w:val="left"/>
              <w:rPr>
                <w:noProof/>
              </w:rPr>
            </w:pPr>
            <w:r>
              <w:rPr>
                <w:noProof/>
              </w:rPr>
              <w:t>Furnizori de servicii medicale</w:t>
            </w:r>
          </w:p>
          <w:p>
            <w:pPr>
              <w:numPr>
                <w:ilvl w:val="0"/>
                <w:numId w:val="18"/>
              </w:numPr>
              <w:ind w:left="312"/>
              <w:contextualSpacing/>
              <w:jc w:val="left"/>
              <w:rPr>
                <w:noProof/>
              </w:rPr>
            </w:pPr>
            <w:r>
              <w:rPr>
                <w:noProof/>
              </w:rPr>
              <w:t>Persoane asigurate care beneficiază de tratament</w:t>
            </w:r>
          </w:p>
        </w:tc>
        <w:tc>
          <w:tcPr>
            <w:tcW w:w="1843" w:type="dxa"/>
            <w:vAlign w:val="center"/>
          </w:tcPr>
          <w:p>
            <w:pPr>
              <w:jc w:val="left"/>
              <w:rPr>
                <w:noProof/>
              </w:rPr>
            </w:pPr>
            <w:r>
              <w:rPr>
                <w:noProof/>
              </w:rPr>
              <w:t>Transmiterea datelor pentru rambursarea costurilor în temeiul normelor UE de coordonare a securității sociale</w:t>
            </w:r>
          </w:p>
        </w:tc>
        <w:tc>
          <w:tcPr>
            <w:tcW w:w="2976" w:type="dxa"/>
            <w:vAlign w:val="center"/>
          </w:tcPr>
          <w:p>
            <w:pPr>
              <w:numPr>
                <w:ilvl w:val="0"/>
                <w:numId w:val="18"/>
              </w:numPr>
              <w:ind w:left="312"/>
              <w:contextualSpacing/>
              <w:jc w:val="left"/>
              <w:rPr>
                <w:noProof/>
              </w:rPr>
            </w:pPr>
            <w:r>
              <w:rPr>
                <w:noProof/>
              </w:rPr>
              <w:t>Date</w:t>
            </w:r>
          </w:p>
          <w:p>
            <w:pPr>
              <w:numPr>
                <w:ilvl w:val="0"/>
                <w:numId w:val="18"/>
              </w:numPr>
              <w:ind w:left="312"/>
              <w:contextualSpacing/>
              <w:jc w:val="left"/>
              <w:rPr>
                <w:noProof/>
              </w:rPr>
            </w:pPr>
            <w:r>
              <w:rPr>
                <w:noProof/>
              </w:rPr>
              <w:t>Digitalizarea și automatizarea proceselor</w:t>
            </w:r>
          </w:p>
          <w:p>
            <w:pPr>
              <w:numPr>
                <w:ilvl w:val="0"/>
                <w:numId w:val="18"/>
              </w:numPr>
              <w:ind w:left="312"/>
              <w:contextualSpacing/>
              <w:jc w:val="left"/>
              <w:rPr>
                <w:noProof/>
              </w:rPr>
            </w:pPr>
            <w:r>
              <w:rPr>
                <w:noProof/>
              </w:rPr>
              <w:t>Soluții digitale</w:t>
            </w:r>
          </w:p>
          <w:p>
            <w:pPr>
              <w:numPr>
                <w:ilvl w:val="0"/>
                <w:numId w:val="18"/>
              </w:numPr>
              <w:ind w:left="312"/>
              <w:contextualSpacing/>
              <w:jc w:val="left"/>
              <w:rPr>
                <w:noProof/>
              </w:rPr>
            </w:pPr>
            <w:r>
              <w:rPr>
                <w:noProof/>
              </w:rPr>
              <w:t>Serviciu (servicii) public(e) digital(e)</w:t>
            </w:r>
          </w:p>
        </w:tc>
      </w:tr>
      <w:tr>
        <w:trPr>
          <w:trHeight w:val="300"/>
        </w:trPr>
        <w:tc>
          <w:tcPr>
            <w:tcW w:w="1809" w:type="dxa"/>
            <w:vAlign w:val="center"/>
          </w:tcPr>
          <w:p>
            <w:pPr>
              <w:rPr>
                <w:noProof/>
              </w:rPr>
            </w:pPr>
            <w:r>
              <w:rPr>
                <w:noProof/>
              </w:rPr>
              <w:t>R11</w:t>
            </w:r>
          </w:p>
          <w:p>
            <w:pPr>
              <w:rPr>
                <w:noProof/>
              </w:rPr>
            </w:pPr>
            <w:r>
              <w:rPr>
                <w:noProof/>
              </w:rPr>
              <w:t xml:space="preserve">Articolul 8 </w:t>
            </w:r>
          </w:p>
          <w:p>
            <w:pPr>
              <w:rPr>
                <w:noProof/>
              </w:rPr>
            </w:pPr>
          </w:p>
        </w:tc>
        <w:tc>
          <w:tcPr>
            <w:tcW w:w="5158" w:type="dxa"/>
            <w:vAlign w:val="center"/>
          </w:tcPr>
          <w:p>
            <w:pPr>
              <w:spacing w:line="276" w:lineRule="auto"/>
              <w:rPr>
                <w:noProof/>
              </w:rPr>
            </w:pPr>
            <w:r>
              <w:rPr>
                <w:noProof/>
              </w:rPr>
              <w:t>Instituțiile competente eliberează documente de securitate socială persoanei în cauză și, după caz, angajatorului, cu respectarea termenelor stabilite în conformitate cu alineatul (2).</w:t>
            </w:r>
          </w:p>
        </w:tc>
        <w:tc>
          <w:tcPr>
            <w:tcW w:w="2497" w:type="dxa"/>
            <w:vAlign w:val="center"/>
          </w:tcPr>
          <w:p>
            <w:pPr>
              <w:numPr>
                <w:ilvl w:val="0"/>
                <w:numId w:val="18"/>
              </w:numPr>
              <w:ind w:left="312"/>
              <w:contextualSpacing/>
              <w:jc w:val="left"/>
              <w:rPr>
                <w:noProof/>
              </w:rPr>
            </w:pPr>
            <w:r>
              <w:rPr>
                <w:noProof/>
              </w:rPr>
              <w:t>Emitenți de documente de securitate socială</w:t>
            </w:r>
          </w:p>
          <w:p>
            <w:pPr>
              <w:numPr>
                <w:ilvl w:val="0"/>
                <w:numId w:val="18"/>
              </w:numPr>
              <w:ind w:left="312"/>
              <w:contextualSpacing/>
              <w:jc w:val="left"/>
              <w:rPr>
                <w:noProof/>
              </w:rPr>
            </w:pPr>
            <w:r>
              <w:rPr>
                <w:noProof/>
              </w:rPr>
              <w:t>Titulari de documente de securitate socială și solicitanți</w:t>
            </w:r>
          </w:p>
        </w:tc>
        <w:tc>
          <w:tcPr>
            <w:tcW w:w="1843" w:type="dxa"/>
            <w:vAlign w:val="center"/>
          </w:tcPr>
          <w:p>
            <w:pPr>
              <w:jc w:val="left"/>
              <w:rPr>
                <w:noProof/>
              </w:rPr>
            </w:pPr>
            <w:r>
              <w:rPr>
                <w:noProof/>
              </w:rPr>
              <w:t>Eliberarea documentelor de securitate socială</w:t>
            </w:r>
          </w:p>
        </w:tc>
        <w:tc>
          <w:tcPr>
            <w:tcW w:w="2976" w:type="dxa"/>
            <w:vAlign w:val="center"/>
          </w:tcPr>
          <w:p>
            <w:pPr>
              <w:numPr>
                <w:ilvl w:val="0"/>
                <w:numId w:val="18"/>
              </w:numPr>
              <w:ind w:left="312"/>
              <w:contextualSpacing/>
              <w:jc w:val="left"/>
              <w:rPr>
                <w:noProof/>
              </w:rPr>
            </w:pPr>
            <w:r>
              <w:rPr>
                <w:noProof/>
              </w:rPr>
              <w:t>Serviciu (servicii) public(e) digital(e)</w:t>
            </w:r>
          </w:p>
        </w:tc>
      </w:tr>
      <w:tr>
        <w:trPr>
          <w:trHeight w:val="300"/>
        </w:trPr>
        <w:tc>
          <w:tcPr>
            <w:tcW w:w="1809" w:type="dxa"/>
            <w:vAlign w:val="center"/>
          </w:tcPr>
          <w:p>
            <w:pPr>
              <w:jc w:val="left"/>
              <w:rPr>
                <w:noProof/>
              </w:rPr>
            </w:pPr>
            <w:r>
              <w:rPr>
                <w:noProof/>
              </w:rPr>
              <w:t>R12</w:t>
            </w:r>
          </w:p>
          <w:p>
            <w:pPr>
              <w:jc w:val="left"/>
              <w:rPr>
                <w:noProof/>
              </w:rPr>
            </w:pPr>
            <w:r>
              <w:rPr>
                <w:noProof/>
              </w:rPr>
              <w:t>Articolul 10 alineatul (2)</w:t>
            </w:r>
          </w:p>
        </w:tc>
        <w:tc>
          <w:tcPr>
            <w:tcW w:w="5158" w:type="dxa"/>
            <w:vAlign w:val="center"/>
          </w:tcPr>
          <w:p>
            <w:pPr>
              <w:spacing w:line="276" w:lineRule="auto"/>
              <w:rPr>
                <w:iCs/>
                <w:noProof/>
              </w:rPr>
            </w:pPr>
            <w:r>
              <w:rPr>
                <w:noProof/>
              </w:rPr>
              <w:t>Comisia stabilește, prin acte de punere în aplicare, un cadru tehnic comun care să asigure interoperabilitatea dintre portalurile naționale utilizate pentru a solicita documentul portabil A1 și interfețele publice conectate la Sistemul de informare al pieței interne (IMI), utilizate pentru declararea detașării lucrătorilor și pentru detașarea conducătorilor auto în sectorul transportului rutier, astfel cum se prevede la articolul 1 alineatul (11) din Directiva (UE) 2020/1057. Cadrul tehnic respectiv permite reutilizarea datelor relevante transmise în cadrul procedurilor de solicitare a documentului portabil A1 și de depunere a declarațiilor de detașare, în conformitate cu Regulamentele (UE) 2016/679 și (UE) 2018/1725 și cu principiul „doar o singură dată”.</w:t>
            </w:r>
          </w:p>
        </w:tc>
        <w:tc>
          <w:tcPr>
            <w:tcW w:w="2497" w:type="dxa"/>
            <w:vAlign w:val="center"/>
          </w:tcPr>
          <w:p>
            <w:pPr>
              <w:numPr>
                <w:ilvl w:val="0"/>
                <w:numId w:val="18"/>
              </w:numPr>
              <w:ind w:left="312"/>
              <w:contextualSpacing/>
              <w:jc w:val="left"/>
              <w:rPr>
                <w:noProof/>
              </w:rPr>
            </w:pPr>
            <w:r>
              <w:rPr>
                <w:noProof/>
              </w:rPr>
              <w:t>Comisia</w:t>
            </w:r>
          </w:p>
          <w:p>
            <w:pPr>
              <w:numPr>
                <w:ilvl w:val="0"/>
                <w:numId w:val="18"/>
              </w:numPr>
              <w:ind w:left="312"/>
              <w:contextualSpacing/>
              <w:jc w:val="left"/>
              <w:rPr>
                <w:noProof/>
              </w:rPr>
            </w:pPr>
            <w:r>
              <w:rPr>
                <w:noProof/>
              </w:rPr>
              <w:t>State membre</w:t>
            </w:r>
          </w:p>
          <w:p>
            <w:pPr>
              <w:numPr>
                <w:ilvl w:val="0"/>
                <w:numId w:val="18"/>
              </w:numPr>
              <w:ind w:left="312"/>
              <w:contextualSpacing/>
              <w:jc w:val="left"/>
              <w:rPr>
                <w:noProof/>
              </w:rPr>
            </w:pPr>
            <w:r>
              <w:rPr>
                <w:noProof/>
              </w:rPr>
              <w:t>Solicitanții documentului portabil A1</w:t>
            </w:r>
          </w:p>
        </w:tc>
        <w:tc>
          <w:tcPr>
            <w:tcW w:w="1843" w:type="dxa"/>
            <w:vAlign w:val="center"/>
          </w:tcPr>
          <w:p>
            <w:pPr>
              <w:jc w:val="left"/>
              <w:rPr>
                <w:noProof/>
              </w:rPr>
            </w:pPr>
            <w:r>
              <w:rPr>
                <w:noProof/>
              </w:rPr>
              <w:t xml:space="preserve">Solicitarea documentului portabil A1 </w:t>
            </w:r>
          </w:p>
        </w:tc>
        <w:tc>
          <w:tcPr>
            <w:tcW w:w="2976" w:type="dxa"/>
            <w:vAlign w:val="center"/>
          </w:tcPr>
          <w:p>
            <w:pPr>
              <w:numPr>
                <w:ilvl w:val="0"/>
                <w:numId w:val="18"/>
              </w:numPr>
              <w:ind w:left="312"/>
              <w:contextualSpacing/>
              <w:jc w:val="left"/>
              <w:rPr>
                <w:noProof/>
              </w:rPr>
            </w:pPr>
            <w:r>
              <w:rPr>
                <w:noProof/>
              </w:rPr>
              <w:t>Date</w:t>
            </w:r>
          </w:p>
          <w:p>
            <w:pPr>
              <w:numPr>
                <w:ilvl w:val="0"/>
                <w:numId w:val="18"/>
              </w:numPr>
              <w:ind w:left="312"/>
              <w:contextualSpacing/>
              <w:jc w:val="left"/>
              <w:rPr>
                <w:noProof/>
              </w:rPr>
            </w:pPr>
            <w:r>
              <w:rPr>
                <w:noProof/>
              </w:rPr>
              <w:t>Soluții digitale</w:t>
            </w:r>
          </w:p>
          <w:p>
            <w:pPr>
              <w:numPr>
                <w:ilvl w:val="0"/>
                <w:numId w:val="18"/>
              </w:numPr>
              <w:ind w:left="312"/>
              <w:contextualSpacing/>
              <w:jc w:val="left"/>
              <w:rPr>
                <w:noProof/>
              </w:rPr>
            </w:pPr>
            <w:r>
              <w:rPr>
                <w:noProof/>
              </w:rPr>
              <w:t>Serviciu (servicii) public(e) digital(e)</w:t>
            </w:r>
          </w:p>
        </w:tc>
      </w:tr>
      <w:tr>
        <w:trPr>
          <w:trHeight w:val="300"/>
        </w:trPr>
        <w:tc>
          <w:tcPr>
            <w:tcW w:w="1809" w:type="dxa"/>
            <w:vAlign w:val="center"/>
          </w:tcPr>
          <w:p>
            <w:pPr>
              <w:jc w:val="left"/>
              <w:rPr>
                <w:noProof/>
              </w:rPr>
            </w:pPr>
            <w:r>
              <w:rPr>
                <w:noProof/>
              </w:rPr>
              <w:t>R14</w:t>
            </w:r>
          </w:p>
          <w:p>
            <w:pPr>
              <w:jc w:val="left"/>
              <w:rPr>
                <w:noProof/>
              </w:rPr>
            </w:pPr>
            <w:r>
              <w:rPr>
                <w:noProof/>
              </w:rPr>
              <w:t>Articolul 14 alineatul (1)</w:t>
            </w:r>
          </w:p>
          <w:p>
            <w:pPr>
              <w:jc w:val="left"/>
              <w:rPr>
                <w:noProof/>
              </w:rPr>
            </w:pPr>
          </w:p>
        </w:tc>
        <w:tc>
          <w:tcPr>
            <w:tcW w:w="5158" w:type="dxa"/>
            <w:vAlign w:val="center"/>
          </w:tcPr>
          <w:p>
            <w:pPr>
              <w:spacing w:line="276" w:lineRule="auto"/>
              <w:rPr>
                <w:noProof/>
              </w:rPr>
            </w:pPr>
            <w:r>
              <w:rPr>
                <w:noProof/>
              </w:rPr>
              <w:t xml:space="preserve">Statele membre colectează și transmit Comisiei date privind punerea în aplicare a articolului 8 alineatul (1) și a articolului 11 alineatul (2). </w:t>
            </w:r>
          </w:p>
        </w:tc>
        <w:tc>
          <w:tcPr>
            <w:tcW w:w="2497" w:type="dxa"/>
            <w:vAlign w:val="center"/>
          </w:tcPr>
          <w:p>
            <w:pPr>
              <w:numPr>
                <w:ilvl w:val="0"/>
                <w:numId w:val="18"/>
              </w:numPr>
              <w:ind w:left="312"/>
              <w:contextualSpacing/>
              <w:jc w:val="left"/>
              <w:rPr>
                <w:noProof/>
              </w:rPr>
            </w:pPr>
            <w:r>
              <w:rPr>
                <w:noProof/>
              </w:rPr>
              <w:t xml:space="preserve">State membre </w:t>
            </w:r>
          </w:p>
          <w:p>
            <w:pPr>
              <w:numPr>
                <w:ilvl w:val="0"/>
                <w:numId w:val="18"/>
              </w:numPr>
              <w:ind w:left="312"/>
              <w:contextualSpacing/>
              <w:jc w:val="left"/>
              <w:rPr>
                <w:noProof/>
              </w:rPr>
            </w:pPr>
            <w:r>
              <w:rPr>
                <w:noProof/>
              </w:rPr>
              <w:t>Comisia</w:t>
            </w:r>
          </w:p>
        </w:tc>
        <w:tc>
          <w:tcPr>
            <w:tcW w:w="1843" w:type="dxa"/>
            <w:vAlign w:val="center"/>
          </w:tcPr>
          <w:p>
            <w:pPr>
              <w:jc w:val="left"/>
              <w:rPr>
                <w:noProof/>
              </w:rPr>
            </w:pPr>
            <w:r>
              <w:rPr>
                <w:noProof/>
              </w:rPr>
              <w:t>Raportul</w:t>
            </w:r>
          </w:p>
        </w:tc>
        <w:tc>
          <w:tcPr>
            <w:tcW w:w="2976" w:type="dxa"/>
            <w:vAlign w:val="center"/>
          </w:tcPr>
          <w:p>
            <w:pPr>
              <w:numPr>
                <w:ilvl w:val="0"/>
                <w:numId w:val="18"/>
              </w:numPr>
              <w:ind w:left="312"/>
              <w:contextualSpacing/>
              <w:jc w:val="left"/>
              <w:rPr>
                <w:noProof/>
              </w:rPr>
            </w:pPr>
            <w:r>
              <w:rPr>
                <w:noProof/>
              </w:rPr>
              <w:t>Date</w:t>
            </w:r>
          </w:p>
        </w:tc>
      </w:tr>
      <w:tr>
        <w:trPr>
          <w:trHeight w:val="300"/>
        </w:trPr>
        <w:tc>
          <w:tcPr>
            <w:tcW w:w="1809" w:type="dxa"/>
            <w:vAlign w:val="center"/>
          </w:tcPr>
          <w:p>
            <w:pPr>
              <w:spacing w:before="0" w:after="0"/>
              <w:jc w:val="left"/>
              <w:rPr>
                <w:noProof/>
                <w:color w:val="000000" w:themeColor="text1"/>
                <w:szCs w:val="24"/>
              </w:rPr>
            </w:pPr>
            <w:r>
              <w:rPr>
                <w:noProof/>
                <w:color w:val="000000" w:themeColor="text1"/>
              </w:rPr>
              <w:t>R15 – articolul 11 alineatele (1) și (2)</w:t>
            </w:r>
          </w:p>
          <w:p>
            <w:pPr>
              <w:jc w:val="left"/>
              <w:rPr>
                <w:noProof/>
              </w:rPr>
            </w:pPr>
          </w:p>
        </w:tc>
        <w:tc>
          <w:tcPr>
            <w:tcW w:w="5158" w:type="dxa"/>
            <w:vAlign w:val="center"/>
          </w:tcPr>
          <w:p>
            <w:pPr>
              <w:spacing w:before="0" w:after="0"/>
              <w:rPr>
                <w:noProof/>
                <w:color w:val="000000" w:themeColor="text1"/>
                <w:szCs w:val="24"/>
              </w:rPr>
            </w:pPr>
            <w:r>
              <w:rPr>
                <w:noProof/>
                <w:color w:val="000000" w:themeColor="text1"/>
              </w:rPr>
              <w:t>Statele membre fac schimb de date, accesează și prelucrează datele necesare pentru aplicarea Regulamentelor (CE) nr. 883/2004 și (CE) nr. 987/2009 prin intermediul Sistemului de schimb electronic de informații privind securitatea socială (EESSI), în conformitate cu specificațiile sale funcționale și tehnice stabilite în temeiul articolului 78 din Regulamentul (CE) nr. 987/2009. Atunci când fac schimb de date prin intermediul sistemului EESSI, statele membre respectă termenele maxime prevăzute în anexa I la prezentul regulament.</w:t>
            </w:r>
          </w:p>
        </w:tc>
        <w:tc>
          <w:tcPr>
            <w:tcW w:w="2497" w:type="dxa"/>
            <w:vAlign w:val="center"/>
          </w:tcPr>
          <w:p>
            <w:pPr>
              <w:jc w:val="left"/>
              <w:rPr>
                <w:noProof/>
              </w:rPr>
            </w:pPr>
            <w:r>
              <w:rPr>
                <w:noProof/>
              </w:rPr>
              <w:t>State membre</w:t>
            </w:r>
          </w:p>
        </w:tc>
        <w:tc>
          <w:tcPr>
            <w:tcW w:w="1843" w:type="dxa"/>
            <w:vAlign w:val="center"/>
          </w:tcPr>
          <w:p>
            <w:pPr>
              <w:spacing w:before="0" w:after="0"/>
              <w:jc w:val="left"/>
              <w:rPr>
                <w:noProof/>
                <w:color w:val="000000" w:themeColor="text1"/>
                <w:szCs w:val="24"/>
              </w:rPr>
            </w:pPr>
            <w:r>
              <w:rPr>
                <w:noProof/>
                <w:color w:val="000000" w:themeColor="text1"/>
              </w:rPr>
              <w:t>Schimbul transfrontalier de informații</w:t>
            </w:r>
          </w:p>
          <w:p>
            <w:pPr>
              <w:jc w:val="left"/>
              <w:rPr>
                <w:noProof/>
              </w:rPr>
            </w:pPr>
          </w:p>
        </w:tc>
        <w:tc>
          <w:tcPr>
            <w:tcW w:w="2976" w:type="dxa"/>
            <w:vAlign w:val="center"/>
          </w:tcPr>
          <w:p>
            <w:pPr>
              <w:jc w:val="left"/>
              <w:rPr>
                <w:noProof/>
              </w:rPr>
            </w:pPr>
            <w:r>
              <w:rPr>
                <w:noProof/>
              </w:rPr>
              <w:t>Date</w:t>
            </w:r>
          </w:p>
          <w:p>
            <w:pPr>
              <w:jc w:val="left"/>
              <w:rPr>
                <w:noProof/>
              </w:rPr>
            </w:pPr>
            <w:r>
              <w:rPr>
                <w:noProof/>
              </w:rPr>
              <w:t>Digitalizarea și automatizarea proceselor</w:t>
            </w:r>
          </w:p>
          <w:p>
            <w:pPr>
              <w:jc w:val="left"/>
              <w:rPr>
                <w:noProof/>
              </w:rPr>
            </w:pPr>
            <w:r>
              <w:rPr>
                <w:noProof/>
              </w:rPr>
              <w:t>Serviciul public digital</w:t>
            </w:r>
          </w:p>
        </w:tc>
      </w:tr>
      <w:tr>
        <w:trPr>
          <w:trHeight w:val="300"/>
        </w:trPr>
        <w:tc>
          <w:tcPr>
            <w:tcW w:w="1809" w:type="dxa"/>
            <w:vAlign w:val="center"/>
          </w:tcPr>
          <w:p>
            <w:pPr>
              <w:jc w:val="left"/>
              <w:rPr>
                <w:noProof/>
                <w:color w:val="000000" w:themeColor="text1"/>
                <w:szCs w:val="24"/>
              </w:rPr>
            </w:pPr>
            <w:r>
              <w:rPr>
                <w:noProof/>
                <w:color w:val="000000" w:themeColor="text1"/>
              </w:rPr>
              <w:t>R16 – articolul 7 alineatul (10)</w:t>
            </w:r>
          </w:p>
        </w:tc>
        <w:tc>
          <w:tcPr>
            <w:tcW w:w="5158" w:type="dxa"/>
            <w:vAlign w:val="center"/>
          </w:tcPr>
          <w:p>
            <w:pPr>
              <w:rPr>
                <w:noProof/>
                <w:color w:val="000000" w:themeColor="text1"/>
                <w:szCs w:val="24"/>
              </w:rPr>
            </w:pPr>
            <w:r>
              <w:rPr>
                <w:noProof/>
                <w:color w:val="000000" w:themeColor="text1"/>
              </w:rPr>
              <w:t>Interoperabilitatea ESSPASS cu EESSI și cu alte inițiative</w:t>
            </w:r>
          </w:p>
        </w:tc>
        <w:tc>
          <w:tcPr>
            <w:tcW w:w="2497" w:type="dxa"/>
            <w:vAlign w:val="center"/>
          </w:tcPr>
          <w:p>
            <w:pPr>
              <w:jc w:val="left"/>
              <w:rPr>
                <w:noProof/>
              </w:rPr>
            </w:pPr>
          </w:p>
        </w:tc>
        <w:tc>
          <w:tcPr>
            <w:tcW w:w="1843" w:type="dxa"/>
            <w:vAlign w:val="center"/>
          </w:tcPr>
          <w:p>
            <w:pPr>
              <w:jc w:val="left"/>
              <w:rPr>
                <w:noProof/>
                <w:color w:val="000000" w:themeColor="text1"/>
                <w:szCs w:val="24"/>
              </w:rPr>
            </w:pPr>
            <w:r>
              <w:rPr>
                <w:noProof/>
                <w:color w:val="000000" w:themeColor="text1"/>
              </w:rPr>
              <w:t>Interoperabilitate</w:t>
            </w:r>
          </w:p>
        </w:tc>
        <w:tc>
          <w:tcPr>
            <w:tcW w:w="2976" w:type="dxa"/>
            <w:vAlign w:val="center"/>
          </w:tcPr>
          <w:p>
            <w:pPr>
              <w:jc w:val="left"/>
              <w:rPr>
                <w:noProof/>
              </w:rPr>
            </w:pPr>
            <w:r>
              <w:rPr>
                <w:noProof/>
              </w:rPr>
              <w:t>Servicii publice digitale</w:t>
            </w:r>
          </w:p>
        </w:tc>
      </w:tr>
    </w:tbl>
    <w:p>
      <w:pPr>
        <w:rPr>
          <w:noProof/>
        </w:rPr>
      </w:pPr>
    </w:p>
    <w:p>
      <w:pPr>
        <w:rPr>
          <w:noProof/>
        </w:rPr>
      </w:pPr>
    </w:p>
    <w:p>
      <w:pPr>
        <w:rPr>
          <w:noProof/>
        </w:rPr>
      </w:pPr>
    </w:p>
    <w:p>
      <w:pPr>
        <w:keepNext/>
        <w:tabs>
          <w:tab w:val="left" w:pos="850"/>
        </w:tabs>
        <w:ind w:left="850" w:hanging="850"/>
        <w:outlineLvl w:val="1"/>
        <w:rPr>
          <w:b/>
          <w:noProof/>
        </w:rPr>
      </w:pPr>
      <w:bookmarkStart w:id="194" w:name="_Toc167220303"/>
      <w:bookmarkStart w:id="195" w:name="_Toc177549038"/>
      <w:r>
        <w:rPr>
          <w:b/>
          <w:noProof/>
        </w:rPr>
        <w:t>4.2.</w:t>
      </w:r>
      <w:r>
        <w:rPr>
          <w:noProof/>
        </w:rPr>
        <w:tab/>
      </w:r>
      <w:r>
        <w:rPr>
          <w:b/>
          <w:noProof/>
        </w:rPr>
        <w:t>Date</w:t>
      </w:r>
      <w:bookmarkEnd w:id="194"/>
      <w:bookmarkEnd w:id="195"/>
    </w:p>
    <w:p>
      <w:pPr>
        <w:rPr>
          <w:b/>
          <w:bCs/>
          <w:noProof/>
        </w:rPr>
      </w:pPr>
    </w:p>
    <w:p>
      <w:pPr>
        <w:keepNext/>
        <w:keepLines/>
        <w:rPr>
          <w:b/>
          <w:i/>
          <w:noProof/>
        </w:rPr>
      </w:pPr>
      <w:r>
        <w:rPr>
          <w:b/>
          <w:i/>
          <w:noProof/>
        </w:rPr>
        <w:t>Descriere generală a datelor vizate</w:t>
      </w:r>
    </w:p>
    <w:tbl>
      <w:tblPr>
        <w:tblStyle w:val="TableGrid"/>
        <w:tblW w:w="14222" w:type="dxa"/>
        <w:tblLook w:val="04A0" w:firstRow="1" w:lastRow="0" w:firstColumn="1" w:lastColumn="0" w:noHBand="0" w:noVBand="1"/>
      </w:tblPr>
      <w:tblGrid>
        <w:gridCol w:w="4667"/>
        <w:gridCol w:w="2881"/>
        <w:gridCol w:w="6674"/>
      </w:tblGrid>
      <w:tr>
        <w:trPr>
          <w:trHeight w:val="802"/>
        </w:trPr>
        <w:tc>
          <w:tcPr>
            <w:tcW w:w="4667" w:type="dxa"/>
          </w:tcPr>
          <w:p>
            <w:pPr>
              <w:jc w:val="left"/>
              <w:rPr>
                <w:b/>
                <w:noProof/>
              </w:rPr>
            </w:pPr>
            <w:r>
              <w:rPr>
                <w:b/>
                <w:noProof/>
              </w:rPr>
              <w:t xml:space="preserve">Tipul de date </w:t>
            </w:r>
          </w:p>
        </w:tc>
        <w:tc>
          <w:tcPr>
            <w:tcW w:w="2881" w:type="dxa"/>
          </w:tcPr>
          <w:p>
            <w:pPr>
              <w:jc w:val="left"/>
              <w:rPr>
                <w:b/>
                <w:noProof/>
              </w:rPr>
            </w:pPr>
            <w:r>
              <w:rPr>
                <w:b/>
                <w:noProof/>
              </w:rPr>
              <w:t>Trimitere la cerință (cerințe)</w:t>
            </w:r>
          </w:p>
        </w:tc>
        <w:tc>
          <w:tcPr>
            <w:tcW w:w="6674" w:type="dxa"/>
          </w:tcPr>
          <w:p>
            <w:pPr>
              <w:jc w:val="left"/>
              <w:rPr>
                <w:b/>
                <w:noProof/>
              </w:rPr>
            </w:pPr>
            <w:r>
              <w:rPr>
                <w:b/>
                <w:noProof/>
              </w:rPr>
              <w:t>Standard și/sau specificație (dacă este cazul)</w:t>
            </w:r>
          </w:p>
        </w:tc>
      </w:tr>
      <w:tr>
        <w:trPr>
          <w:trHeight w:val="3344"/>
        </w:trPr>
        <w:tc>
          <w:tcPr>
            <w:tcW w:w="4667" w:type="dxa"/>
          </w:tcPr>
          <w:p>
            <w:pPr>
              <w:jc w:val="left"/>
              <w:rPr>
                <w:noProof/>
              </w:rPr>
            </w:pPr>
            <w:r>
              <w:rPr>
                <w:noProof/>
              </w:rPr>
              <w:t xml:space="preserve">Datele cu caracter personal și datele fără caracter personal conținute în documentele digitale de securitate socială </w:t>
            </w:r>
          </w:p>
        </w:tc>
        <w:tc>
          <w:tcPr>
            <w:tcW w:w="2881" w:type="dxa"/>
          </w:tcPr>
          <w:p>
            <w:pPr>
              <w:jc w:val="left"/>
              <w:rPr>
                <w:noProof/>
              </w:rPr>
            </w:pPr>
            <w:r>
              <w:rPr>
                <w:noProof/>
              </w:rPr>
              <w:t>R2</w:t>
            </w:r>
          </w:p>
          <w:p>
            <w:pPr>
              <w:jc w:val="left"/>
              <w:rPr>
                <w:noProof/>
              </w:rPr>
            </w:pPr>
            <w:r>
              <w:rPr>
                <w:noProof/>
              </w:rPr>
              <w:t>R7</w:t>
            </w:r>
          </w:p>
          <w:p>
            <w:pPr>
              <w:jc w:val="left"/>
              <w:rPr>
                <w:noProof/>
              </w:rPr>
            </w:pPr>
            <w:r>
              <w:rPr>
                <w:noProof/>
              </w:rPr>
              <w:t>R8</w:t>
            </w:r>
          </w:p>
          <w:p>
            <w:pPr>
              <w:jc w:val="left"/>
              <w:rPr>
                <w:noProof/>
              </w:rPr>
            </w:pPr>
            <w:r>
              <w:rPr>
                <w:noProof/>
              </w:rPr>
              <w:t>R9</w:t>
            </w:r>
          </w:p>
          <w:p>
            <w:pPr>
              <w:jc w:val="left"/>
              <w:rPr>
                <w:noProof/>
              </w:rPr>
            </w:pPr>
            <w:r>
              <w:rPr>
                <w:noProof/>
              </w:rPr>
              <w:t>R10</w:t>
            </w:r>
          </w:p>
        </w:tc>
        <w:tc>
          <w:tcPr>
            <w:tcW w:w="6674" w:type="dxa"/>
          </w:tcPr>
          <w:p>
            <w:pPr>
              <w:jc w:val="left"/>
              <w:rPr>
                <w:noProof/>
              </w:rPr>
            </w:pPr>
            <w:r>
              <w:rPr>
                <w:noProof/>
              </w:rPr>
              <w:t xml:space="preserve">Astfel cum se prevede la articolul 7 alineatul (11), specificațiile privind datele pentru documentele digitale de securitate socială vor fi definite prin acte de punere în aplicare, în conformitate cu procedura de examinare menționată la articolul 5 din Regulamentul (UE) nr. 182/2011. Aceste specificații vor fi conforme cu standardele, schemele, formatele și specificațiile tehnice comune stabilite în cadrul european pentru identitatea digitală (EUDI). Ele se vor baza, de asemenea, pe activitatea desfășurată în cadrul proiectelor-pilot ESSPASS și pe recomandările grupului ad-hoc al Comisiei administrative privind ESSPASS. </w:t>
            </w:r>
          </w:p>
        </w:tc>
      </w:tr>
      <w:tr>
        <w:trPr>
          <w:trHeight w:val="2488"/>
        </w:trPr>
        <w:tc>
          <w:tcPr>
            <w:tcW w:w="4667" w:type="dxa"/>
          </w:tcPr>
          <w:p>
            <w:pPr>
              <w:jc w:val="left"/>
              <w:rPr>
                <w:noProof/>
              </w:rPr>
            </w:pPr>
            <w:r>
              <w:rPr>
                <w:noProof/>
              </w:rPr>
              <w:t xml:space="preserve">Date cu caracter personal și date fără caracter personal conținute în documentele de securitate socială în format fizic îmbunătățite prin caracteristici digitale </w:t>
            </w:r>
          </w:p>
        </w:tc>
        <w:tc>
          <w:tcPr>
            <w:tcW w:w="2881" w:type="dxa"/>
          </w:tcPr>
          <w:p>
            <w:pPr>
              <w:jc w:val="left"/>
              <w:rPr>
                <w:noProof/>
              </w:rPr>
            </w:pPr>
            <w:r>
              <w:rPr>
                <w:noProof/>
              </w:rPr>
              <w:t>R3</w:t>
            </w:r>
          </w:p>
          <w:p>
            <w:pPr>
              <w:jc w:val="left"/>
              <w:rPr>
                <w:noProof/>
              </w:rPr>
            </w:pPr>
            <w:r>
              <w:rPr>
                <w:noProof/>
              </w:rPr>
              <w:t>R8</w:t>
            </w:r>
          </w:p>
          <w:p>
            <w:pPr>
              <w:jc w:val="left"/>
              <w:rPr>
                <w:noProof/>
              </w:rPr>
            </w:pPr>
            <w:r>
              <w:rPr>
                <w:noProof/>
              </w:rPr>
              <w:t>R9</w:t>
            </w:r>
          </w:p>
          <w:p>
            <w:pPr>
              <w:jc w:val="left"/>
              <w:rPr>
                <w:noProof/>
              </w:rPr>
            </w:pPr>
            <w:r>
              <w:rPr>
                <w:noProof/>
              </w:rPr>
              <w:t>R10</w:t>
            </w:r>
          </w:p>
        </w:tc>
        <w:tc>
          <w:tcPr>
            <w:tcW w:w="6674" w:type="dxa"/>
          </w:tcPr>
          <w:p>
            <w:pPr>
              <w:jc w:val="left"/>
              <w:rPr>
                <w:noProof/>
              </w:rPr>
            </w:pPr>
            <w:r>
              <w:rPr>
                <w:noProof/>
              </w:rPr>
              <w:t>Astfel cum se prevede la articolul 7 alineatul (11), specificațiile privind datele pentru documentele de securitate socială în format fizic îmbunătățite vor fi definite prin acte de punere în aplicare, în conformitate cu procedura de examinare menționată la articolul 5 din Regulamentul (UE) nr. 182/2011. Aceste specificații se vor baza, de asemenea, pe activitatea desfășurată în cadrul proiectelor-pilot ESSPASS și pe recomandările grupului ad-hoc al Comisiei administrative privind ESSPASS.</w:t>
            </w:r>
          </w:p>
        </w:tc>
      </w:tr>
      <w:tr>
        <w:trPr>
          <w:trHeight w:val="710"/>
        </w:trPr>
        <w:tc>
          <w:tcPr>
            <w:tcW w:w="4667" w:type="dxa"/>
          </w:tcPr>
          <w:p>
            <w:pPr>
              <w:jc w:val="left"/>
              <w:rPr>
                <w:noProof/>
              </w:rPr>
            </w:pPr>
            <w:r>
              <w:rPr>
                <w:noProof/>
              </w:rPr>
              <w:t>Atributele datelor de identificare personală (PID) stocate în portofelul EUDI</w:t>
            </w:r>
          </w:p>
        </w:tc>
        <w:tc>
          <w:tcPr>
            <w:tcW w:w="2881" w:type="dxa"/>
          </w:tcPr>
          <w:p>
            <w:pPr>
              <w:rPr>
                <w:noProof/>
              </w:rPr>
            </w:pPr>
            <w:r>
              <w:rPr>
                <w:noProof/>
              </w:rPr>
              <w:t>R2</w:t>
            </w:r>
          </w:p>
          <w:p>
            <w:pPr>
              <w:rPr>
                <w:noProof/>
              </w:rPr>
            </w:pPr>
            <w:r>
              <w:rPr>
                <w:noProof/>
              </w:rPr>
              <w:t>R7</w:t>
            </w:r>
          </w:p>
          <w:p>
            <w:pPr>
              <w:rPr>
                <w:noProof/>
              </w:rPr>
            </w:pPr>
            <w:r>
              <w:rPr>
                <w:noProof/>
              </w:rPr>
              <w:t>R8</w:t>
            </w:r>
          </w:p>
          <w:p>
            <w:pPr>
              <w:rPr>
                <w:noProof/>
              </w:rPr>
            </w:pPr>
            <w:r>
              <w:rPr>
                <w:noProof/>
              </w:rPr>
              <w:t>R9</w:t>
            </w:r>
          </w:p>
          <w:p>
            <w:pPr>
              <w:rPr>
                <w:noProof/>
              </w:rPr>
            </w:pPr>
            <w:r>
              <w:rPr>
                <w:noProof/>
              </w:rPr>
              <w:t>R10</w:t>
            </w:r>
          </w:p>
        </w:tc>
        <w:tc>
          <w:tcPr>
            <w:tcW w:w="6674" w:type="dxa"/>
          </w:tcPr>
          <w:p>
            <w:pPr>
              <w:jc w:val="left"/>
              <w:rPr>
                <w:noProof/>
              </w:rPr>
            </w:pPr>
            <w:r>
              <w:rPr>
                <w:noProof/>
              </w:rPr>
              <w:t>Divulgarea atributelor PID către verificator se va efectua prin intermediul protocoalelor de prezentare a portofelelor EUDI definite în cadrul EUDI.</w:t>
            </w:r>
          </w:p>
        </w:tc>
      </w:tr>
      <w:tr>
        <w:trPr>
          <w:trHeight w:val="146"/>
        </w:trPr>
        <w:tc>
          <w:tcPr>
            <w:tcW w:w="4667" w:type="dxa"/>
          </w:tcPr>
          <w:p>
            <w:pPr>
              <w:jc w:val="left"/>
              <w:rPr>
                <w:noProof/>
              </w:rPr>
            </w:pPr>
            <w:r>
              <w:rPr>
                <w:noProof/>
              </w:rPr>
              <w:t>Date de identificare personală sau un identificator, precum și alte date necesare pentru solicitarea online a documentelor de securitate socială</w:t>
            </w:r>
          </w:p>
        </w:tc>
        <w:tc>
          <w:tcPr>
            <w:tcW w:w="2881" w:type="dxa"/>
          </w:tcPr>
          <w:p>
            <w:pPr>
              <w:jc w:val="left"/>
              <w:rPr>
                <w:noProof/>
              </w:rPr>
            </w:pPr>
            <w:r>
              <w:rPr>
                <w:noProof/>
              </w:rPr>
              <w:t>R1</w:t>
            </w:r>
          </w:p>
          <w:p>
            <w:pPr>
              <w:jc w:val="left"/>
              <w:rPr>
                <w:noProof/>
              </w:rPr>
            </w:pPr>
            <w:r>
              <w:rPr>
                <w:noProof/>
              </w:rPr>
              <w:t>R5</w:t>
            </w:r>
          </w:p>
        </w:tc>
        <w:tc>
          <w:tcPr>
            <w:tcW w:w="6674" w:type="dxa"/>
          </w:tcPr>
          <w:p>
            <w:pPr>
              <w:jc w:val="left"/>
              <w:rPr>
                <w:noProof/>
              </w:rPr>
            </w:pPr>
            <w:r>
              <w:rPr>
                <w:noProof/>
              </w:rPr>
              <w:t>Identificarea și autentificarea pe portalurile naționale și schimbul de informații pentru solicitarea documentelor de securitate socială vor respecta specificațiile și protocoalele utilizate în statele membre.</w:t>
            </w:r>
          </w:p>
        </w:tc>
      </w:tr>
      <w:tr>
        <w:trPr>
          <w:trHeight w:val="146"/>
        </w:trPr>
        <w:tc>
          <w:tcPr>
            <w:tcW w:w="4667" w:type="dxa"/>
          </w:tcPr>
          <w:p>
            <w:pPr>
              <w:jc w:val="left"/>
              <w:rPr>
                <w:noProof/>
              </w:rPr>
            </w:pPr>
            <w:r>
              <w:rPr>
                <w:noProof/>
              </w:rPr>
              <w:t>Date privind emitenții documentelor de securitate socială</w:t>
            </w:r>
          </w:p>
        </w:tc>
        <w:tc>
          <w:tcPr>
            <w:tcW w:w="2881" w:type="dxa"/>
          </w:tcPr>
          <w:p>
            <w:pPr>
              <w:jc w:val="left"/>
              <w:rPr>
                <w:noProof/>
              </w:rPr>
            </w:pPr>
            <w:r>
              <w:rPr>
                <w:noProof/>
              </w:rPr>
              <w:t>R4</w:t>
            </w:r>
          </w:p>
        </w:tc>
        <w:tc>
          <w:tcPr>
            <w:tcW w:w="6674" w:type="dxa"/>
          </w:tcPr>
          <w:p>
            <w:pPr>
              <w:jc w:val="left"/>
              <w:rPr>
                <w:noProof/>
              </w:rPr>
            </w:pPr>
            <w:r>
              <w:rPr>
                <w:noProof/>
              </w:rPr>
              <w:t xml:space="preserve">Înregistrarea emitenților pe listele de încredere se va face în conformitate cu specificațiile și protocoalele definite în cadrul EUDI </w:t>
            </w:r>
          </w:p>
        </w:tc>
      </w:tr>
      <w:tr>
        <w:trPr>
          <w:trHeight w:val="146"/>
        </w:trPr>
        <w:tc>
          <w:tcPr>
            <w:tcW w:w="4667" w:type="dxa"/>
          </w:tcPr>
          <w:p>
            <w:pPr>
              <w:jc w:val="left"/>
              <w:rPr>
                <w:noProof/>
              </w:rPr>
            </w:pPr>
            <w:r>
              <w:rPr>
                <w:noProof/>
              </w:rPr>
              <w:t>Date privind punerea în aplicare a articolului 8 alineatul (1) și a articolului 11 alineatul (2)</w:t>
            </w:r>
          </w:p>
        </w:tc>
        <w:tc>
          <w:tcPr>
            <w:tcW w:w="2881" w:type="dxa"/>
          </w:tcPr>
          <w:p>
            <w:pPr>
              <w:jc w:val="left"/>
              <w:rPr>
                <w:noProof/>
              </w:rPr>
            </w:pPr>
            <w:r>
              <w:rPr>
                <w:noProof/>
              </w:rPr>
              <w:t>R13</w:t>
            </w:r>
          </w:p>
        </w:tc>
        <w:tc>
          <w:tcPr>
            <w:tcW w:w="6674" w:type="dxa"/>
          </w:tcPr>
          <w:p>
            <w:pPr>
              <w:jc w:val="left"/>
              <w:rPr>
                <w:noProof/>
              </w:rPr>
            </w:pPr>
            <w:r>
              <w:rPr>
                <w:noProof/>
              </w:rPr>
              <w:t>Formatul și structura raportării vor fi definite prin acte de punere în aplicare, în conformitate cu procedura de examinare menționată la articolul 11 alineatul (2) din Regulamentul (UE) nr. 182/2011. </w:t>
            </w:r>
          </w:p>
        </w:tc>
      </w:tr>
      <w:tr>
        <w:trPr>
          <w:trHeight w:val="305"/>
        </w:trPr>
        <w:tc>
          <w:tcPr>
            <w:tcW w:w="4667" w:type="dxa"/>
          </w:tcPr>
          <w:p>
            <w:pPr>
              <w:spacing w:before="0" w:after="0"/>
              <w:jc w:val="left"/>
              <w:rPr>
                <w:noProof/>
                <w:color w:val="000000" w:themeColor="text1"/>
                <w:szCs w:val="24"/>
              </w:rPr>
            </w:pPr>
            <w:r>
              <w:rPr>
                <w:noProof/>
                <w:color w:val="000000" w:themeColor="text1"/>
              </w:rPr>
              <w:t>Date necesare pentru aplicarea Regulamentelor (CE) nr. 883/2004 și (CE) nr. 987/2009, care fac obiectul schimbului între organismele competente – date cu caracter personal și date fără caracter personal</w:t>
            </w:r>
          </w:p>
          <w:p>
            <w:pPr>
              <w:jc w:val="left"/>
              <w:rPr>
                <w:rFonts w:eastAsia="Calibri"/>
                <w:noProof/>
              </w:rPr>
            </w:pPr>
          </w:p>
        </w:tc>
        <w:tc>
          <w:tcPr>
            <w:tcW w:w="2881" w:type="dxa"/>
          </w:tcPr>
          <w:p>
            <w:pPr>
              <w:jc w:val="left"/>
              <w:rPr>
                <w:noProof/>
              </w:rPr>
            </w:pPr>
            <w:r>
              <w:rPr>
                <w:noProof/>
              </w:rPr>
              <w:t>R15</w:t>
            </w:r>
          </w:p>
        </w:tc>
        <w:tc>
          <w:tcPr>
            <w:tcW w:w="6674" w:type="dxa"/>
          </w:tcPr>
          <w:p>
            <w:pPr>
              <w:spacing w:before="0" w:after="0"/>
              <w:jc w:val="left"/>
              <w:rPr>
                <w:noProof/>
                <w:color w:val="000000" w:themeColor="text1"/>
                <w:szCs w:val="24"/>
              </w:rPr>
            </w:pPr>
            <w:r>
              <w:rPr>
                <w:noProof/>
                <w:color w:val="000000" w:themeColor="text1"/>
              </w:rPr>
              <w:t>Schimburile au loc prin intermediul sistemului EESSI, în conformitate cu specificațiile sale funcționale și tehnice stabilite în temeiul articolului 78 din Regulamentul (CE) nr. 987/2009.</w:t>
            </w:r>
          </w:p>
          <w:p>
            <w:pPr>
              <w:jc w:val="left"/>
              <w:rPr>
                <w:noProof/>
              </w:rPr>
            </w:pPr>
          </w:p>
        </w:tc>
      </w:tr>
    </w:tbl>
    <w:p>
      <w:pPr>
        <w:rPr>
          <w:noProof/>
        </w:rPr>
      </w:pPr>
    </w:p>
    <w:p>
      <w:pPr>
        <w:rPr>
          <w:b/>
          <w:i/>
          <w:noProof/>
        </w:rPr>
      </w:pPr>
      <w:r>
        <w:rPr>
          <w:b/>
          <w:i/>
          <w:noProof/>
        </w:rPr>
        <w:t>Alinierea la Strategia europeană privind datele</w:t>
      </w:r>
    </w:p>
    <w:p>
      <w:pPr>
        <w:rPr>
          <w:noProof/>
        </w:rPr>
      </w:pPr>
      <w:r>
        <w:rPr>
          <w:noProof/>
        </w:rPr>
        <w:t>Cerințele sunt în concordanță cu obiectivele Strategiei europene privind datele. Acestea facilitează accesul securizat și schimbul interoperabil de date standardizate între părțile interesate relevante în situații transfrontaliere.</w:t>
      </w:r>
    </w:p>
    <w:p>
      <w:pPr>
        <w:rPr>
          <w:noProof/>
        </w:rPr>
      </w:pPr>
      <w:r>
        <w:rPr>
          <w:noProof/>
        </w:rPr>
        <w:t xml:space="preserve">Cerințele respectă drepturile la viață privată și la protecția datelor garantate de Carta drepturilor fundamentale a Uniunii Europene, de Tratatul privind funcționarea Uniunii Europene, de Regulamentul general privind protecția datelor și de Regulamentul UE privind protecția datelor. </w:t>
      </w:r>
    </w:p>
    <w:p>
      <w:pPr>
        <w:rPr>
          <w:noProof/>
        </w:rPr>
      </w:pPr>
      <w:r>
        <w:rPr>
          <w:noProof/>
        </w:rPr>
        <w:t>Nu se prelucrează date deschise în temeiul acestor cerințe. Obligația de raportare prevăzută la articolul 14 generează date exclusiv în scopuri de monitorizare, fără a impune reutilizarea informațiilor raportate.</w:t>
      </w:r>
    </w:p>
    <w:p>
      <w:pPr>
        <w:rPr>
          <w:b/>
          <w:i/>
          <w:noProof/>
        </w:rPr>
      </w:pPr>
      <w:r>
        <w:rPr>
          <w:b/>
          <w:i/>
          <w:noProof/>
        </w:rPr>
        <w:t>Alinierea la principiul „doar o singură dată”</w:t>
      </w:r>
    </w:p>
    <w:p>
      <w:pPr>
        <w:rPr>
          <w:bCs/>
          <w:noProof/>
        </w:rPr>
      </w:pPr>
      <w:r>
        <w:rPr>
          <w:noProof/>
        </w:rPr>
        <w:t>Cerințele respectă principiul „doar o singură dată”: documentele de securitate socială, indiferent de format, sunt eliberate o singură dată de autoritățile naționale, ceea ce permite persoanelor fizice și întreprinderilor să le reutilizeze în format digital, în mod securizat, fără a furniza din nou aceleași date. Aceste documente sunt verificate la nivel transfrontalier după obținerea consimțământului.</w:t>
      </w:r>
    </w:p>
    <w:p>
      <w:pPr>
        <w:rPr>
          <w:bCs/>
          <w:noProof/>
        </w:rPr>
      </w:pPr>
      <w:r>
        <w:rPr>
          <w:noProof/>
        </w:rPr>
        <w:t xml:space="preserve">Articolul 10 alineatele (2) și (3) vizează punerea în aplicare a principiului „doar o singură dată” pentru a reduce sarcinile administrative și a elimina furnizarea repetată a acelorași date atunci când se solicită documentul portabil A1. </w:t>
      </w:r>
    </w:p>
    <w:p>
      <w:pPr>
        <w:tabs>
          <w:tab w:val="left" w:pos="5370"/>
        </w:tabs>
        <w:rPr>
          <w:b/>
          <w:i/>
          <w:noProof/>
        </w:rPr>
      </w:pPr>
      <w:r>
        <w:rPr>
          <w:b/>
          <w:i/>
          <w:noProof/>
        </w:rPr>
        <w:t>Descriere generală a fluxurilor de date</w:t>
      </w:r>
    </w:p>
    <w:p>
      <w:pPr>
        <w:rPr>
          <w:noProof/>
        </w:rPr>
      </w:pPr>
    </w:p>
    <w:tbl>
      <w:tblPr>
        <w:tblStyle w:val="TableGrid"/>
        <w:tblW w:w="14081" w:type="dxa"/>
        <w:tblLook w:val="04A0" w:firstRow="1" w:lastRow="0" w:firstColumn="1" w:lastColumn="0" w:noHBand="0" w:noVBand="1"/>
      </w:tblPr>
      <w:tblGrid>
        <w:gridCol w:w="3257"/>
        <w:gridCol w:w="2667"/>
        <w:gridCol w:w="2040"/>
        <w:gridCol w:w="1882"/>
        <w:gridCol w:w="2353"/>
        <w:gridCol w:w="1882"/>
      </w:tblGrid>
      <w:tr>
        <w:trPr>
          <w:trHeight w:val="302"/>
        </w:trPr>
        <w:tc>
          <w:tcPr>
            <w:tcW w:w="3257" w:type="dxa"/>
          </w:tcPr>
          <w:p>
            <w:pPr>
              <w:jc w:val="left"/>
              <w:rPr>
                <w:b/>
                <w:noProof/>
              </w:rPr>
            </w:pPr>
            <w:r>
              <w:rPr>
                <w:b/>
                <w:noProof/>
              </w:rPr>
              <w:t>Tipul de date</w:t>
            </w:r>
          </w:p>
        </w:tc>
        <w:tc>
          <w:tcPr>
            <w:tcW w:w="2667" w:type="dxa"/>
          </w:tcPr>
          <w:p>
            <w:pPr>
              <w:jc w:val="left"/>
              <w:rPr>
                <w:b/>
                <w:noProof/>
              </w:rPr>
            </w:pPr>
            <w:r>
              <w:rPr>
                <w:b/>
                <w:noProof/>
              </w:rPr>
              <w:t>Trimitere (trimiteri) la cerință (cerințe)</w:t>
            </w:r>
          </w:p>
        </w:tc>
        <w:tc>
          <w:tcPr>
            <w:tcW w:w="2040" w:type="dxa"/>
          </w:tcPr>
          <w:p>
            <w:pPr>
              <w:jc w:val="left"/>
              <w:rPr>
                <w:b/>
                <w:noProof/>
              </w:rPr>
            </w:pPr>
            <w:r>
              <w:rPr>
                <w:b/>
                <w:noProof/>
              </w:rPr>
              <w:t>Actori care furnizează datele</w:t>
            </w:r>
          </w:p>
        </w:tc>
        <w:tc>
          <w:tcPr>
            <w:tcW w:w="1882" w:type="dxa"/>
          </w:tcPr>
          <w:p>
            <w:pPr>
              <w:jc w:val="left"/>
              <w:rPr>
                <w:b/>
                <w:noProof/>
              </w:rPr>
            </w:pPr>
            <w:r>
              <w:rPr>
                <w:b/>
                <w:noProof/>
              </w:rPr>
              <w:t>Actori care primesc datele</w:t>
            </w:r>
          </w:p>
        </w:tc>
        <w:tc>
          <w:tcPr>
            <w:tcW w:w="2353" w:type="dxa"/>
          </w:tcPr>
          <w:p>
            <w:pPr>
              <w:jc w:val="left"/>
              <w:rPr>
                <w:b/>
                <w:noProof/>
              </w:rPr>
            </w:pPr>
            <w:r>
              <w:rPr>
                <w:b/>
                <w:noProof/>
              </w:rPr>
              <w:t>Factorul declanșator pentru schimbul de date</w:t>
            </w:r>
          </w:p>
        </w:tc>
        <w:tc>
          <w:tcPr>
            <w:tcW w:w="1882" w:type="dxa"/>
          </w:tcPr>
          <w:p>
            <w:pPr>
              <w:jc w:val="left"/>
              <w:rPr>
                <w:b/>
                <w:noProof/>
              </w:rPr>
            </w:pPr>
            <w:r>
              <w:rPr>
                <w:b/>
                <w:noProof/>
              </w:rPr>
              <w:t>Frecvența (dacă este cazul)</w:t>
            </w:r>
          </w:p>
        </w:tc>
      </w:tr>
      <w:tr>
        <w:trPr>
          <w:trHeight w:val="302"/>
        </w:trPr>
        <w:tc>
          <w:tcPr>
            <w:tcW w:w="3257" w:type="dxa"/>
          </w:tcPr>
          <w:p>
            <w:pPr>
              <w:rPr>
                <w:noProof/>
              </w:rPr>
            </w:pPr>
            <w:r>
              <w:rPr>
                <w:noProof/>
              </w:rPr>
              <w:t xml:space="preserve">Datele cu caracter personal și datele fără caracter personal conținute în documentele digitale de securitate socială </w:t>
            </w:r>
          </w:p>
        </w:tc>
        <w:tc>
          <w:tcPr>
            <w:tcW w:w="2667" w:type="dxa"/>
          </w:tcPr>
          <w:p>
            <w:pPr>
              <w:jc w:val="left"/>
              <w:rPr>
                <w:noProof/>
              </w:rPr>
            </w:pPr>
            <w:r>
              <w:rPr>
                <w:noProof/>
              </w:rPr>
              <w:t>R2</w:t>
            </w:r>
          </w:p>
          <w:p>
            <w:pPr>
              <w:jc w:val="left"/>
              <w:rPr>
                <w:noProof/>
              </w:rPr>
            </w:pPr>
            <w:r>
              <w:rPr>
                <w:noProof/>
              </w:rPr>
              <w:t>R7</w:t>
            </w:r>
          </w:p>
        </w:tc>
        <w:tc>
          <w:tcPr>
            <w:tcW w:w="2040" w:type="dxa"/>
          </w:tcPr>
          <w:p>
            <w:pPr>
              <w:jc w:val="left"/>
              <w:rPr>
                <w:noProof/>
              </w:rPr>
            </w:pPr>
            <w:r>
              <w:rPr>
                <w:noProof/>
              </w:rPr>
              <w:t xml:space="preserve">Emitenții </w:t>
            </w:r>
          </w:p>
        </w:tc>
        <w:tc>
          <w:tcPr>
            <w:tcW w:w="1882" w:type="dxa"/>
          </w:tcPr>
          <w:p>
            <w:pPr>
              <w:jc w:val="left"/>
              <w:rPr>
                <w:noProof/>
              </w:rPr>
            </w:pPr>
            <w:r>
              <w:rPr>
                <w:noProof/>
              </w:rPr>
              <w:t>Titularii documentelor și solicitanții</w:t>
            </w:r>
          </w:p>
        </w:tc>
        <w:tc>
          <w:tcPr>
            <w:tcW w:w="2353" w:type="dxa"/>
          </w:tcPr>
          <w:p>
            <w:pPr>
              <w:jc w:val="left"/>
              <w:rPr>
                <w:noProof/>
              </w:rPr>
            </w:pPr>
            <w:r>
              <w:rPr>
                <w:noProof/>
              </w:rPr>
              <w:t>Eliberarea documentelor digitale de securitate socială</w:t>
            </w:r>
          </w:p>
        </w:tc>
        <w:tc>
          <w:tcPr>
            <w:tcW w:w="1882" w:type="dxa"/>
          </w:tcPr>
          <w:p>
            <w:pPr>
              <w:jc w:val="left"/>
              <w:rPr>
                <w:noProof/>
              </w:rPr>
            </w:pPr>
          </w:p>
        </w:tc>
      </w:tr>
      <w:tr>
        <w:trPr>
          <w:trHeight w:val="302"/>
        </w:trPr>
        <w:tc>
          <w:tcPr>
            <w:tcW w:w="3257" w:type="dxa"/>
          </w:tcPr>
          <w:p>
            <w:pPr>
              <w:rPr>
                <w:rFonts w:eastAsia="Calibri"/>
                <w:noProof/>
              </w:rPr>
            </w:pPr>
            <w:r>
              <w:rPr>
                <w:noProof/>
              </w:rPr>
              <w:t xml:space="preserve">Date cu caracter personal și date fără caracter personal conținute în documentele de securitate socială în format fizic îmbunătățite prin caracteristici digitale </w:t>
            </w:r>
          </w:p>
        </w:tc>
        <w:tc>
          <w:tcPr>
            <w:tcW w:w="2667" w:type="dxa"/>
          </w:tcPr>
          <w:p>
            <w:pPr>
              <w:jc w:val="left"/>
              <w:rPr>
                <w:noProof/>
              </w:rPr>
            </w:pPr>
            <w:r>
              <w:rPr>
                <w:noProof/>
              </w:rPr>
              <w:t>R3</w:t>
            </w:r>
          </w:p>
        </w:tc>
        <w:tc>
          <w:tcPr>
            <w:tcW w:w="2040" w:type="dxa"/>
          </w:tcPr>
          <w:p>
            <w:pPr>
              <w:jc w:val="left"/>
              <w:rPr>
                <w:noProof/>
              </w:rPr>
            </w:pPr>
            <w:r>
              <w:rPr>
                <w:noProof/>
              </w:rPr>
              <w:t xml:space="preserve">Emitenții </w:t>
            </w:r>
          </w:p>
        </w:tc>
        <w:tc>
          <w:tcPr>
            <w:tcW w:w="1882" w:type="dxa"/>
          </w:tcPr>
          <w:p>
            <w:pPr>
              <w:jc w:val="left"/>
              <w:rPr>
                <w:noProof/>
              </w:rPr>
            </w:pPr>
            <w:r>
              <w:rPr>
                <w:noProof/>
              </w:rPr>
              <w:t>Titularii documentelor și solicitanții</w:t>
            </w:r>
          </w:p>
        </w:tc>
        <w:tc>
          <w:tcPr>
            <w:tcW w:w="2353" w:type="dxa"/>
          </w:tcPr>
          <w:p>
            <w:pPr>
              <w:jc w:val="left"/>
              <w:rPr>
                <w:noProof/>
              </w:rPr>
            </w:pPr>
            <w:r>
              <w:rPr>
                <w:noProof/>
              </w:rPr>
              <w:t xml:space="preserve">Eliberarea documentelor de securitate socială în format fizic îmbunătățite prin caracteristici digitale </w:t>
            </w:r>
          </w:p>
        </w:tc>
        <w:tc>
          <w:tcPr>
            <w:tcW w:w="1882" w:type="dxa"/>
          </w:tcPr>
          <w:p>
            <w:pPr>
              <w:jc w:val="left"/>
              <w:rPr>
                <w:noProof/>
              </w:rPr>
            </w:pPr>
          </w:p>
        </w:tc>
      </w:tr>
      <w:tr>
        <w:trPr>
          <w:trHeight w:val="302"/>
        </w:trPr>
        <w:tc>
          <w:tcPr>
            <w:tcW w:w="3257" w:type="dxa"/>
            <w:vAlign w:val="center"/>
          </w:tcPr>
          <w:p>
            <w:pPr>
              <w:jc w:val="left"/>
              <w:rPr>
                <w:noProof/>
              </w:rPr>
            </w:pPr>
            <w:r>
              <w:rPr>
                <w:noProof/>
              </w:rPr>
              <w:t>Atributele datelor de identificare personală (PID) stocate în portofelul EUDI</w:t>
            </w:r>
          </w:p>
        </w:tc>
        <w:tc>
          <w:tcPr>
            <w:tcW w:w="2667" w:type="dxa"/>
          </w:tcPr>
          <w:p>
            <w:pPr>
              <w:jc w:val="left"/>
              <w:rPr>
                <w:noProof/>
              </w:rPr>
            </w:pPr>
            <w:r>
              <w:rPr>
                <w:noProof/>
              </w:rPr>
              <w:t>R9</w:t>
            </w:r>
          </w:p>
        </w:tc>
        <w:tc>
          <w:tcPr>
            <w:tcW w:w="2040" w:type="dxa"/>
          </w:tcPr>
          <w:p>
            <w:pPr>
              <w:jc w:val="left"/>
              <w:rPr>
                <w:noProof/>
              </w:rPr>
            </w:pPr>
            <w:r>
              <w:rPr>
                <w:noProof/>
              </w:rPr>
              <w:t>Titularii documentelor</w:t>
            </w:r>
          </w:p>
        </w:tc>
        <w:tc>
          <w:tcPr>
            <w:tcW w:w="1882" w:type="dxa"/>
          </w:tcPr>
          <w:p>
            <w:pPr>
              <w:jc w:val="left"/>
              <w:rPr>
                <w:noProof/>
              </w:rPr>
            </w:pPr>
            <w:r>
              <w:rPr>
                <w:noProof/>
              </w:rPr>
              <w:t>Verificatorii</w:t>
            </w:r>
          </w:p>
        </w:tc>
        <w:tc>
          <w:tcPr>
            <w:tcW w:w="2353" w:type="dxa"/>
          </w:tcPr>
          <w:p>
            <w:pPr>
              <w:jc w:val="left"/>
              <w:rPr>
                <w:noProof/>
              </w:rPr>
            </w:pPr>
            <w:r>
              <w:rPr>
                <w:noProof/>
              </w:rPr>
              <w:t>Cererea verificatorilor și autorizarea explicită a titularilor</w:t>
            </w:r>
          </w:p>
        </w:tc>
        <w:tc>
          <w:tcPr>
            <w:tcW w:w="1882" w:type="dxa"/>
          </w:tcPr>
          <w:p>
            <w:pPr>
              <w:jc w:val="left"/>
              <w:rPr>
                <w:noProof/>
              </w:rPr>
            </w:pPr>
          </w:p>
        </w:tc>
      </w:tr>
      <w:tr>
        <w:trPr>
          <w:trHeight w:val="302"/>
        </w:trPr>
        <w:tc>
          <w:tcPr>
            <w:tcW w:w="3257" w:type="dxa"/>
          </w:tcPr>
          <w:p>
            <w:pPr>
              <w:rPr>
                <w:noProof/>
              </w:rPr>
            </w:pPr>
            <w:r>
              <w:rPr>
                <w:noProof/>
              </w:rPr>
              <w:t xml:space="preserve">Datele cu caracter personal și datele fără caracter personal conținute în documentele digitale de securitate socială </w:t>
            </w:r>
          </w:p>
        </w:tc>
        <w:tc>
          <w:tcPr>
            <w:tcW w:w="2667" w:type="dxa"/>
          </w:tcPr>
          <w:p>
            <w:pPr>
              <w:jc w:val="left"/>
              <w:rPr>
                <w:noProof/>
              </w:rPr>
            </w:pPr>
            <w:r>
              <w:rPr>
                <w:noProof/>
              </w:rPr>
              <w:t>R9</w:t>
            </w:r>
          </w:p>
        </w:tc>
        <w:tc>
          <w:tcPr>
            <w:tcW w:w="2040" w:type="dxa"/>
          </w:tcPr>
          <w:p>
            <w:pPr>
              <w:jc w:val="left"/>
              <w:rPr>
                <w:noProof/>
              </w:rPr>
            </w:pPr>
            <w:r>
              <w:rPr>
                <w:noProof/>
              </w:rPr>
              <w:t>Titularii documentelor</w:t>
            </w:r>
          </w:p>
        </w:tc>
        <w:tc>
          <w:tcPr>
            <w:tcW w:w="1882" w:type="dxa"/>
          </w:tcPr>
          <w:p>
            <w:pPr>
              <w:jc w:val="left"/>
              <w:rPr>
                <w:noProof/>
              </w:rPr>
            </w:pPr>
            <w:r>
              <w:rPr>
                <w:noProof/>
              </w:rPr>
              <w:t xml:space="preserve">Verificatorii </w:t>
            </w:r>
          </w:p>
        </w:tc>
        <w:tc>
          <w:tcPr>
            <w:tcW w:w="2353" w:type="dxa"/>
          </w:tcPr>
          <w:p>
            <w:pPr>
              <w:jc w:val="left"/>
              <w:rPr>
                <w:noProof/>
              </w:rPr>
            </w:pPr>
            <w:r>
              <w:rPr>
                <w:noProof/>
              </w:rPr>
              <w:t>Cererea verificatorilor și autorizarea explicită a titularilor</w:t>
            </w:r>
          </w:p>
        </w:tc>
        <w:tc>
          <w:tcPr>
            <w:tcW w:w="1882" w:type="dxa"/>
          </w:tcPr>
          <w:p>
            <w:pPr>
              <w:jc w:val="left"/>
              <w:rPr>
                <w:noProof/>
              </w:rPr>
            </w:pPr>
          </w:p>
        </w:tc>
      </w:tr>
      <w:tr>
        <w:trPr>
          <w:trHeight w:val="302"/>
        </w:trPr>
        <w:tc>
          <w:tcPr>
            <w:tcW w:w="3257" w:type="dxa"/>
          </w:tcPr>
          <w:p>
            <w:pPr>
              <w:rPr>
                <w:rFonts w:eastAsia="Calibri"/>
                <w:noProof/>
              </w:rPr>
            </w:pPr>
            <w:r>
              <w:rPr>
                <w:noProof/>
              </w:rPr>
              <w:t xml:space="preserve">Date cu caracter personal și date fără caracter personal conținute în documentele de securitate socială în format fizic îmbunătățite prin caracteristici digitale </w:t>
            </w:r>
          </w:p>
        </w:tc>
        <w:tc>
          <w:tcPr>
            <w:tcW w:w="2667" w:type="dxa"/>
          </w:tcPr>
          <w:p>
            <w:pPr>
              <w:jc w:val="left"/>
              <w:rPr>
                <w:noProof/>
              </w:rPr>
            </w:pPr>
            <w:r>
              <w:rPr>
                <w:noProof/>
              </w:rPr>
              <w:t>R9</w:t>
            </w:r>
          </w:p>
        </w:tc>
        <w:tc>
          <w:tcPr>
            <w:tcW w:w="2040" w:type="dxa"/>
          </w:tcPr>
          <w:p>
            <w:pPr>
              <w:jc w:val="left"/>
              <w:rPr>
                <w:noProof/>
              </w:rPr>
            </w:pPr>
            <w:r>
              <w:rPr>
                <w:noProof/>
              </w:rPr>
              <w:t>Titularii documentelor</w:t>
            </w:r>
          </w:p>
        </w:tc>
        <w:tc>
          <w:tcPr>
            <w:tcW w:w="1882" w:type="dxa"/>
          </w:tcPr>
          <w:p>
            <w:pPr>
              <w:jc w:val="left"/>
              <w:rPr>
                <w:noProof/>
              </w:rPr>
            </w:pPr>
            <w:r>
              <w:rPr>
                <w:noProof/>
              </w:rPr>
              <w:t>Verificatorii</w:t>
            </w:r>
          </w:p>
        </w:tc>
        <w:tc>
          <w:tcPr>
            <w:tcW w:w="2353" w:type="dxa"/>
          </w:tcPr>
          <w:p>
            <w:pPr>
              <w:jc w:val="left"/>
              <w:rPr>
                <w:noProof/>
              </w:rPr>
            </w:pPr>
            <w:r>
              <w:rPr>
                <w:noProof/>
              </w:rPr>
              <w:t>Cererea verificatorilor și prezentarea documentelor în format fizic de către titulari</w:t>
            </w:r>
          </w:p>
        </w:tc>
        <w:tc>
          <w:tcPr>
            <w:tcW w:w="1882" w:type="dxa"/>
          </w:tcPr>
          <w:p>
            <w:pPr>
              <w:jc w:val="left"/>
              <w:rPr>
                <w:noProof/>
              </w:rPr>
            </w:pPr>
          </w:p>
        </w:tc>
      </w:tr>
      <w:tr>
        <w:trPr>
          <w:trHeight w:val="302"/>
        </w:trPr>
        <w:tc>
          <w:tcPr>
            <w:tcW w:w="3257" w:type="dxa"/>
            <w:vAlign w:val="center"/>
          </w:tcPr>
          <w:p>
            <w:pPr>
              <w:jc w:val="left"/>
              <w:rPr>
                <w:noProof/>
              </w:rPr>
            </w:pPr>
            <w:r>
              <w:rPr>
                <w:noProof/>
              </w:rPr>
              <w:t>Date de identificare personală sau un identificator, precum și alte date necesare pentru solicitarea online a documentelor de securitate socială</w:t>
            </w:r>
          </w:p>
        </w:tc>
        <w:tc>
          <w:tcPr>
            <w:tcW w:w="2667" w:type="dxa"/>
          </w:tcPr>
          <w:p>
            <w:pPr>
              <w:jc w:val="left"/>
              <w:rPr>
                <w:noProof/>
              </w:rPr>
            </w:pPr>
            <w:r>
              <w:rPr>
                <w:noProof/>
              </w:rPr>
              <w:t>R1</w:t>
            </w:r>
          </w:p>
        </w:tc>
        <w:tc>
          <w:tcPr>
            <w:tcW w:w="2040" w:type="dxa"/>
          </w:tcPr>
          <w:p>
            <w:pPr>
              <w:jc w:val="left"/>
              <w:rPr>
                <w:noProof/>
              </w:rPr>
            </w:pPr>
            <w:r>
              <w:rPr>
                <w:noProof/>
              </w:rPr>
              <w:t>Solicitanții</w:t>
            </w:r>
          </w:p>
        </w:tc>
        <w:tc>
          <w:tcPr>
            <w:tcW w:w="1882" w:type="dxa"/>
          </w:tcPr>
          <w:p>
            <w:pPr>
              <w:jc w:val="left"/>
              <w:rPr>
                <w:noProof/>
              </w:rPr>
            </w:pPr>
            <w:r>
              <w:rPr>
                <w:noProof/>
              </w:rPr>
              <w:t>Portaluri naționale pentru solicitarea documentelor de securitate socială</w:t>
            </w:r>
          </w:p>
        </w:tc>
        <w:tc>
          <w:tcPr>
            <w:tcW w:w="2353" w:type="dxa"/>
          </w:tcPr>
          <w:p>
            <w:pPr>
              <w:jc w:val="left"/>
              <w:rPr>
                <w:noProof/>
              </w:rPr>
            </w:pPr>
            <w:r>
              <w:rPr>
                <w:noProof/>
              </w:rPr>
              <w:t xml:space="preserve">Cerere de eliberare a documentelor de securitate socială </w:t>
            </w:r>
          </w:p>
        </w:tc>
        <w:tc>
          <w:tcPr>
            <w:tcW w:w="1882" w:type="dxa"/>
          </w:tcPr>
          <w:p>
            <w:pPr>
              <w:jc w:val="left"/>
              <w:rPr>
                <w:noProof/>
              </w:rPr>
            </w:pPr>
          </w:p>
        </w:tc>
      </w:tr>
      <w:tr>
        <w:trPr>
          <w:trHeight w:val="302"/>
        </w:trPr>
        <w:tc>
          <w:tcPr>
            <w:tcW w:w="3257" w:type="dxa"/>
          </w:tcPr>
          <w:p>
            <w:pPr>
              <w:jc w:val="left"/>
              <w:rPr>
                <w:noProof/>
              </w:rPr>
            </w:pPr>
            <w:r>
              <w:rPr>
                <w:noProof/>
              </w:rPr>
              <w:t>Date privind emitenții documentelor de securitate socială</w:t>
            </w:r>
          </w:p>
        </w:tc>
        <w:tc>
          <w:tcPr>
            <w:tcW w:w="2667" w:type="dxa"/>
          </w:tcPr>
          <w:p>
            <w:pPr>
              <w:jc w:val="left"/>
              <w:rPr>
                <w:noProof/>
              </w:rPr>
            </w:pPr>
            <w:r>
              <w:rPr>
                <w:noProof/>
              </w:rPr>
              <w:t>R4</w:t>
            </w:r>
          </w:p>
        </w:tc>
        <w:tc>
          <w:tcPr>
            <w:tcW w:w="2040" w:type="dxa"/>
          </w:tcPr>
          <w:p>
            <w:pPr>
              <w:jc w:val="left"/>
              <w:rPr>
                <w:noProof/>
              </w:rPr>
            </w:pPr>
            <w:r>
              <w:rPr>
                <w:noProof/>
              </w:rPr>
              <w:t>Emitenții</w:t>
            </w:r>
          </w:p>
        </w:tc>
        <w:tc>
          <w:tcPr>
            <w:tcW w:w="1882" w:type="dxa"/>
          </w:tcPr>
          <w:p>
            <w:pPr>
              <w:jc w:val="left"/>
              <w:rPr>
                <w:noProof/>
              </w:rPr>
            </w:pPr>
            <w:r>
              <w:rPr>
                <w:noProof/>
              </w:rPr>
              <w:t>Comisia</w:t>
            </w:r>
          </w:p>
        </w:tc>
        <w:tc>
          <w:tcPr>
            <w:tcW w:w="2353" w:type="dxa"/>
          </w:tcPr>
          <w:p>
            <w:pPr>
              <w:jc w:val="left"/>
              <w:rPr>
                <w:noProof/>
              </w:rPr>
            </w:pPr>
            <w:r>
              <w:rPr>
                <w:noProof/>
              </w:rPr>
              <w:t xml:space="preserve">Comunicarea către Comisie a listelor de încredere ale emitenților, precum și a oricărei actualizări ulterioare </w:t>
            </w:r>
          </w:p>
        </w:tc>
        <w:tc>
          <w:tcPr>
            <w:tcW w:w="1882" w:type="dxa"/>
          </w:tcPr>
          <w:p>
            <w:pPr>
              <w:jc w:val="left"/>
              <w:rPr>
                <w:noProof/>
              </w:rPr>
            </w:pPr>
          </w:p>
        </w:tc>
      </w:tr>
      <w:tr>
        <w:trPr>
          <w:trHeight w:val="302"/>
        </w:trPr>
        <w:tc>
          <w:tcPr>
            <w:tcW w:w="3257" w:type="dxa"/>
            <w:vAlign w:val="center"/>
          </w:tcPr>
          <w:p>
            <w:pPr>
              <w:jc w:val="left"/>
              <w:rPr>
                <w:noProof/>
              </w:rPr>
            </w:pPr>
            <w:r>
              <w:rPr>
                <w:noProof/>
              </w:rPr>
              <w:t>Atributele datelor de identificare personală (PID) stocate în portofelul EUDI</w:t>
            </w:r>
          </w:p>
        </w:tc>
        <w:tc>
          <w:tcPr>
            <w:tcW w:w="2667" w:type="dxa"/>
          </w:tcPr>
          <w:p>
            <w:pPr>
              <w:jc w:val="left"/>
              <w:rPr>
                <w:noProof/>
              </w:rPr>
            </w:pPr>
            <w:r>
              <w:rPr>
                <w:noProof/>
              </w:rPr>
              <w:t>R10</w:t>
            </w:r>
          </w:p>
        </w:tc>
        <w:tc>
          <w:tcPr>
            <w:tcW w:w="2040" w:type="dxa"/>
          </w:tcPr>
          <w:p>
            <w:pPr>
              <w:jc w:val="left"/>
              <w:rPr>
                <w:noProof/>
              </w:rPr>
            </w:pPr>
            <w:r>
              <w:rPr>
                <w:noProof/>
              </w:rPr>
              <w:t>Verificatorii CEASS</w:t>
            </w:r>
          </w:p>
        </w:tc>
        <w:tc>
          <w:tcPr>
            <w:tcW w:w="1882" w:type="dxa"/>
          </w:tcPr>
          <w:p>
            <w:pPr>
              <w:jc w:val="left"/>
              <w:rPr>
                <w:noProof/>
              </w:rPr>
            </w:pPr>
            <w:r>
              <w:rPr>
                <w:noProof/>
              </w:rPr>
              <w:t>Autoritățile din statele membre în care se efectuează tratamentul</w:t>
            </w:r>
          </w:p>
        </w:tc>
        <w:tc>
          <w:tcPr>
            <w:tcW w:w="2353" w:type="dxa"/>
          </w:tcPr>
          <w:p>
            <w:pPr>
              <w:jc w:val="left"/>
              <w:rPr>
                <w:noProof/>
              </w:rPr>
            </w:pPr>
            <w:r>
              <w:rPr>
                <w:noProof/>
              </w:rPr>
              <w:t>Transferul datelor pentru prelucrarea rambursării</w:t>
            </w:r>
          </w:p>
        </w:tc>
        <w:tc>
          <w:tcPr>
            <w:tcW w:w="1882" w:type="dxa"/>
          </w:tcPr>
          <w:p>
            <w:pPr>
              <w:jc w:val="left"/>
              <w:rPr>
                <w:noProof/>
              </w:rPr>
            </w:pPr>
          </w:p>
        </w:tc>
      </w:tr>
      <w:tr>
        <w:trPr>
          <w:trHeight w:val="302"/>
        </w:trPr>
        <w:tc>
          <w:tcPr>
            <w:tcW w:w="3257" w:type="dxa"/>
          </w:tcPr>
          <w:p>
            <w:pPr>
              <w:rPr>
                <w:noProof/>
              </w:rPr>
            </w:pPr>
            <w:r>
              <w:rPr>
                <w:noProof/>
              </w:rPr>
              <w:t xml:space="preserve">Datele cu caracter personal și datele fără caracter personal conținute în documentele digitale de securitate socială </w:t>
            </w:r>
          </w:p>
        </w:tc>
        <w:tc>
          <w:tcPr>
            <w:tcW w:w="2667" w:type="dxa"/>
          </w:tcPr>
          <w:p>
            <w:pPr>
              <w:jc w:val="left"/>
              <w:rPr>
                <w:noProof/>
              </w:rPr>
            </w:pPr>
            <w:r>
              <w:rPr>
                <w:noProof/>
              </w:rPr>
              <w:t>R10</w:t>
            </w:r>
          </w:p>
        </w:tc>
        <w:tc>
          <w:tcPr>
            <w:tcW w:w="2040" w:type="dxa"/>
          </w:tcPr>
          <w:p>
            <w:pPr>
              <w:jc w:val="left"/>
              <w:rPr>
                <w:noProof/>
              </w:rPr>
            </w:pPr>
            <w:r>
              <w:rPr>
                <w:noProof/>
              </w:rPr>
              <w:t>Verificatorii CEASS</w:t>
            </w:r>
          </w:p>
        </w:tc>
        <w:tc>
          <w:tcPr>
            <w:tcW w:w="1882" w:type="dxa"/>
          </w:tcPr>
          <w:p>
            <w:pPr>
              <w:jc w:val="left"/>
              <w:rPr>
                <w:noProof/>
              </w:rPr>
            </w:pPr>
            <w:r>
              <w:rPr>
                <w:noProof/>
              </w:rPr>
              <w:t>Autoritățile din statele membre în care se efectuează tratamentul</w:t>
            </w:r>
          </w:p>
        </w:tc>
        <w:tc>
          <w:tcPr>
            <w:tcW w:w="2353" w:type="dxa"/>
          </w:tcPr>
          <w:p>
            <w:pPr>
              <w:jc w:val="left"/>
              <w:rPr>
                <w:noProof/>
              </w:rPr>
            </w:pPr>
            <w:r>
              <w:rPr>
                <w:noProof/>
              </w:rPr>
              <w:t>Transferul datelor pentru prelucrarea rambursării</w:t>
            </w:r>
          </w:p>
        </w:tc>
        <w:tc>
          <w:tcPr>
            <w:tcW w:w="1882" w:type="dxa"/>
          </w:tcPr>
          <w:p>
            <w:pPr>
              <w:jc w:val="left"/>
              <w:rPr>
                <w:noProof/>
              </w:rPr>
            </w:pPr>
          </w:p>
        </w:tc>
      </w:tr>
      <w:tr>
        <w:trPr>
          <w:trHeight w:val="302"/>
        </w:trPr>
        <w:tc>
          <w:tcPr>
            <w:tcW w:w="3257" w:type="dxa"/>
          </w:tcPr>
          <w:p>
            <w:pPr>
              <w:rPr>
                <w:rFonts w:eastAsia="Calibri"/>
                <w:noProof/>
              </w:rPr>
            </w:pPr>
            <w:r>
              <w:rPr>
                <w:noProof/>
              </w:rPr>
              <w:t xml:space="preserve">Date cu caracter personal și date fără caracter personal conținute în documentele de securitate socială în format fizic îmbunătățite prin caracteristici digitale </w:t>
            </w:r>
          </w:p>
        </w:tc>
        <w:tc>
          <w:tcPr>
            <w:tcW w:w="2667" w:type="dxa"/>
          </w:tcPr>
          <w:p>
            <w:pPr>
              <w:jc w:val="left"/>
              <w:rPr>
                <w:noProof/>
              </w:rPr>
            </w:pPr>
            <w:r>
              <w:rPr>
                <w:noProof/>
              </w:rPr>
              <w:t>R10</w:t>
            </w:r>
          </w:p>
        </w:tc>
        <w:tc>
          <w:tcPr>
            <w:tcW w:w="2040" w:type="dxa"/>
          </w:tcPr>
          <w:p>
            <w:pPr>
              <w:jc w:val="left"/>
              <w:rPr>
                <w:noProof/>
              </w:rPr>
            </w:pPr>
            <w:r>
              <w:rPr>
                <w:noProof/>
              </w:rPr>
              <w:t>Verificatorii CEASS</w:t>
            </w:r>
          </w:p>
        </w:tc>
        <w:tc>
          <w:tcPr>
            <w:tcW w:w="1882" w:type="dxa"/>
          </w:tcPr>
          <w:p>
            <w:pPr>
              <w:jc w:val="left"/>
              <w:rPr>
                <w:noProof/>
              </w:rPr>
            </w:pPr>
            <w:r>
              <w:rPr>
                <w:noProof/>
              </w:rPr>
              <w:t>Autoritățile din statele membre în care se efectuează tratamentul</w:t>
            </w:r>
          </w:p>
        </w:tc>
        <w:tc>
          <w:tcPr>
            <w:tcW w:w="2353" w:type="dxa"/>
          </w:tcPr>
          <w:p>
            <w:pPr>
              <w:jc w:val="left"/>
              <w:rPr>
                <w:noProof/>
              </w:rPr>
            </w:pPr>
            <w:r>
              <w:rPr>
                <w:noProof/>
              </w:rPr>
              <w:t>Transferul datelor pentru prelucrarea rambursării</w:t>
            </w:r>
          </w:p>
        </w:tc>
        <w:tc>
          <w:tcPr>
            <w:tcW w:w="1882" w:type="dxa"/>
          </w:tcPr>
          <w:p>
            <w:pPr>
              <w:jc w:val="left"/>
              <w:rPr>
                <w:noProof/>
              </w:rPr>
            </w:pPr>
          </w:p>
        </w:tc>
      </w:tr>
      <w:tr>
        <w:trPr>
          <w:trHeight w:val="302"/>
        </w:trPr>
        <w:tc>
          <w:tcPr>
            <w:tcW w:w="3257" w:type="dxa"/>
          </w:tcPr>
          <w:p>
            <w:pPr>
              <w:jc w:val="left"/>
              <w:rPr>
                <w:noProof/>
              </w:rPr>
            </w:pPr>
            <w:r>
              <w:rPr>
                <w:noProof/>
              </w:rPr>
              <w:t>Date privind punerea în aplicare a articolului 8 alineatul (1) și a articolului 11 alineatul (2)</w:t>
            </w:r>
          </w:p>
        </w:tc>
        <w:tc>
          <w:tcPr>
            <w:tcW w:w="2667" w:type="dxa"/>
          </w:tcPr>
          <w:p>
            <w:pPr>
              <w:jc w:val="left"/>
              <w:rPr>
                <w:noProof/>
              </w:rPr>
            </w:pPr>
            <w:r>
              <w:rPr>
                <w:noProof/>
              </w:rPr>
              <w:t xml:space="preserve">R13 </w:t>
            </w:r>
          </w:p>
        </w:tc>
        <w:tc>
          <w:tcPr>
            <w:tcW w:w="2040" w:type="dxa"/>
          </w:tcPr>
          <w:p>
            <w:pPr>
              <w:jc w:val="left"/>
              <w:rPr>
                <w:noProof/>
              </w:rPr>
            </w:pPr>
            <w:r>
              <w:rPr>
                <w:noProof/>
              </w:rPr>
              <w:t>State membre</w:t>
            </w:r>
          </w:p>
        </w:tc>
        <w:tc>
          <w:tcPr>
            <w:tcW w:w="1882" w:type="dxa"/>
          </w:tcPr>
          <w:p>
            <w:pPr>
              <w:jc w:val="left"/>
              <w:rPr>
                <w:noProof/>
              </w:rPr>
            </w:pPr>
            <w:r>
              <w:rPr>
                <w:noProof/>
              </w:rPr>
              <w:t>Comisia</w:t>
            </w:r>
          </w:p>
        </w:tc>
        <w:tc>
          <w:tcPr>
            <w:tcW w:w="2353" w:type="dxa"/>
          </w:tcPr>
          <w:p>
            <w:pPr>
              <w:jc w:val="left"/>
              <w:rPr>
                <w:noProof/>
              </w:rPr>
            </w:pPr>
            <w:r>
              <w:rPr>
                <w:noProof/>
              </w:rPr>
              <w:t>Obligație de raportare</w:t>
            </w:r>
          </w:p>
        </w:tc>
        <w:tc>
          <w:tcPr>
            <w:tcW w:w="1882" w:type="dxa"/>
          </w:tcPr>
          <w:p>
            <w:pPr>
              <w:jc w:val="left"/>
              <w:rPr>
                <w:noProof/>
              </w:rPr>
            </w:pPr>
          </w:p>
        </w:tc>
      </w:tr>
      <w:tr>
        <w:trPr>
          <w:trHeight w:val="302"/>
        </w:trPr>
        <w:tc>
          <w:tcPr>
            <w:tcW w:w="3257" w:type="dxa"/>
          </w:tcPr>
          <w:p>
            <w:pPr>
              <w:spacing w:before="0" w:after="0"/>
              <w:jc w:val="left"/>
              <w:rPr>
                <w:noProof/>
                <w:color w:val="000000" w:themeColor="text1"/>
                <w:szCs w:val="24"/>
              </w:rPr>
            </w:pPr>
            <w:r>
              <w:rPr>
                <w:noProof/>
                <w:color w:val="000000" w:themeColor="text1"/>
              </w:rPr>
              <w:t>Date necesare pentru aplicarea Regulamentelor (CE) nr. 883/2004 și (CE) nr. 987/2009</w:t>
            </w:r>
          </w:p>
        </w:tc>
        <w:tc>
          <w:tcPr>
            <w:tcW w:w="2667" w:type="dxa"/>
          </w:tcPr>
          <w:p>
            <w:pPr>
              <w:jc w:val="left"/>
              <w:rPr>
                <w:noProof/>
              </w:rPr>
            </w:pPr>
            <w:r>
              <w:rPr>
                <w:noProof/>
              </w:rPr>
              <w:t>R15</w:t>
            </w:r>
          </w:p>
        </w:tc>
        <w:tc>
          <w:tcPr>
            <w:tcW w:w="2040" w:type="dxa"/>
          </w:tcPr>
          <w:p>
            <w:pPr>
              <w:jc w:val="left"/>
              <w:rPr>
                <w:noProof/>
              </w:rPr>
            </w:pPr>
            <w:r>
              <w:rPr>
                <w:noProof/>
              </w:rPr>
              <w:t>State membre</w:t>
            </w:r>
          </w:p>
        </w:tc>
        <w:tc>
          <w:tcPr>
            <w:tcW w:w="1882" w:type="dxa"/>
          </w:tcPr>
          <w:p>
            <w:pPr>
              <w:jc w:val="left"/>
              <w:rPr>
                <w:noProof/>
              </w:rPr>
            </w:pPr>
            <w:r>
              <w:rPr>
                <w:noProof/>
              </w:rPr>
              <w:t>State membre</w:t>
            </w:r>
          </w:p>
        </w:tc>
        <w:tc>
          <w:tcPr>
            <w:tcW w:w="2353" w:type="dxa"/>
          </w:tcPr>
          <w:p>
            <w:pPr>
              <w:spacing w:before="0" w:after="0"/>
              <w:jc w:val="left"/>
              <w:rPr>
                <w:noProof/>
                <w:color w:val="000000" w:themeColor="text1"/>
                <w:szCs w:val="24"/>
              </w:rPr>
            </w:pPr>
            <w:r>
              <w:rPr>
                <w:noProof/>
              </w:rPr>
              <w:t>În funcție de necesități și c</w:t>
            </w:r>
            <w:r>
              <w:rPr>
                <w:noProof/>
                <w:color w:val="000000" w:themeColor="text1"/>
              </w:rPr>
              <w:t>u respectarea termenelor maxime prevăzute în anexa I</w:t>
            </w:r>
          </w:p>
          <w:p>
            <w:pPr>
              <w:jc w:val="left"/>
              <w:rPr>
                <w:noProof/>
              </w:rPr>
            </w:pPr>
          </w:p>
        </w:tc>
        <w:tc>
          <w:tcPr>
            <w:tcW w:w="1882" w:type="dxa"/>
          </w:tcPr>
          <w:p>
            <w:pPr>
              <w:jc w:val="left"/>
              <w:rPr>
                <w:noProof/>
              </w:rPr>
            </w:pPr>
            <w:r>
              <w:rPr>
                <w:noProof/>
              </w:rPr>
              <w:t>N/A</w:t>
            </w:r>
          </w:p>
        </w:tc>
      </w:tr>
    </w:tbl>
    <w:p>
      <w:pPr>
        <w:keepNext/>
        <w:tabs>
          <w:tab w:val="left" w:pos="850"/>
        </w:tabs>
        <w:spacing w:before="0" w:after="0"/>
        <w:outlineLvl w:val="1"/>
        <w:rPr>
          <w:b/>
          <w:noProof/>
          <w:sz w:val="20"/>
          <w:szCs w:val="18"/>
        </w:rPr>
      </w:pPr>
      <w:bookmarkStart w:id="196" w:name="_Toc167220305"/>
      <w:bookmarkStart w:id="197" w:name="_Toc177549039"/>
    </w:p>
    <w:p>
      <w:pPr>
        <w:spacing w:before="0" w:after="0"/>
        <w:ind w:left="850"/>
        <w:rPr>
          <w:noProof/>
          <w:sz w:val="20"/>
          <w:szCs w:val="18"/>
        </w:rPr>
      </w:pPr>
    </w:p>
    <w:p>
      <w:pPr>
        <w:keepNext/>
        <w:tabs>
          <w:tab w:val="left" w:pos="850"/>
        </w:tabs>
        <w:ind w:left="850" w:hanging="850"/>
        <w:outlineLvl w:val="1"/>
        <w:rPr>
          <w:b/>
          <w:noProof/>
        </w:rPr>
      </w:pPr>
      <w:r>
        <w:rPr>
          <w:b/>
          <w:noProof/>
        </w:rPr>
        <w:t>4.3.</w:t>
      </w:r>
      <w:r>
        <w:rPr>
          <w:noProof/>
        </w:rPr>
        <w:tab/>
      </w:r>
      <w:r>
        <w:rPr>
          <w:b/>
          <w:noProof/>
        </w:rPr>
        <w:t>Soluții digitale</w:t>
      </w:r>
      <w:bookmarkEnd w:id="196"/>
      <w:bookmarkEnd w:id="197"/>
    </w:p>
    <w:p>
      <w:pPr>
        <w:spacing w:after="0"/>
        <w:rPr>
          <w:noProof/>
          <w:sz w:val="20"/>
          <w:szCs w:val="18"/>
        </w:rPr>
      </w:pPr>
    </w:p>
    <w:p>
      <w:pPr>
        <w:rPr>
          <w:i/>
          <w:noProof/>
        </w:rPr>
      </w:pPr>
      <w:r>
        <w:rPr>
          <w:i/>
          <w:noProof/>
        </w:rPr>
        <w:t>Descriere generală a soluțiilor digitale</w:t>
      </w:r>
    </w:p>
    <w:tbl>
      <w:tblPr>
        <w:tblStyle w:val="TableGrid"/>
        <w:tblW w:w="14136" w:type="dxa"/>
        <w:tblLayout w:type="fixed"/>
        <w:tblLook w:val="04A0" w:firstRow="1" w:lastRow="0" w:firstColumn="1" w:lastColumn="0" w:noHBand="0" w:noVBand="1"/>
      </w:tblPr>
      <w:tblGrid>
        <w:gridCol w:w="1831"/>
        <w:gridCol w:w="1754"/>
        <w:gridCol w:w="1890"/>
        <w:gridCol w:w="1732"/>
        <w:gridCol w:w="2835"/>
        <w:gridCol w:w="2362"/>
        <w:gridCol w:w="1732"/>
      </w:tblGrid>
      <w:tr>
        <w:trPr>
          <w:trHeight w:val="293"/>
        </w:trPr>
        <w:tc>
          <w:tcPr>
            <w:tcW w:w="1831" w:type="dxa"/>
            <w:vAlign w:val="center"/>
          </w:tcPr>
          <w:p>
            <w:pPr>
              <w:keepNext/>
              <w:keepLines/>
              <w:spacing w:before="0" w:after="0"/>
              <w:jc w:val="center"/>
              <w:rPr>
                <w:b/>
                <w:noProof/>
                <w:color w:val="000000"/>
              </w:rPr>
            </w:pPr>
            <w:r>
              <w:rPr>
                <w:b/>
                <w:noProof/>
                <w:color w:val="000000"/>
              </w:rPr>
              <w:t>Soluție digitală</w:t>
            </w:r>
          </w:p>
        </w:tc>
        <w:tc>
          <w:tcPr>
            <w:tcW w:w="1754" w:type="dxa"/>
            <w:vAlign w:val="center"/>
          </w:tcPr>
          <w:p>
            <w:pPr>
              <w:keepNext/>
              <w:keepLines/>
              <w:jc w:val="center"/>
              <w:rPr>
                <w:b/>
                <w:bCs/>
                <w:noProof/>
                <w:szCs w:val="24"/>
              </w:rPr>
            </w:pPr>
            <w:r>
              <w:rPr>
                <w:b/>
                <w:noProof/>
              </w:rPr>
              <w:t>Trimitere (trimiteri) la cerință (cerințe)</w:t>
            </w:r>
          </w:p>
        </w:tc>
        <w:tc>
          <w:tcPr>
            <w:tcW w:w="1890" w:type="dxa"/>
            <w:vAlign w:val="center"/>
          </w:tcPr>
          <w:p>
            <w:pPr>
              <w:keepNext/>
              <w:keepLines/>
              <w:spacing w:before="0" w:after="0"/>
              <w:jc w:val="center"/>
              <w:rPr>
                <w:b/>
                <w:noProof/>
                <w:color w:val="000000"/>
              </w:rPr>
            </w:pPr>
            <w:r>
              <w:rPr>
                <w:b/>
                <w:noProof/>
                <w:color w:val="000000"/>
              </w:rPr>
              <w:t>Principalele funcționalități obligatorii</w:t>
            </w:r>
          </w:p>
        </w:tc>
        <w:tc>
          <w:tcPr>
            <w:tcW w:w="1732" w:type="dxa"/>
            <w:vAlign w:val="center"/>
          </w:tcPr>
          <w:p>
            <w:pPr>
              <w:keepNext/>
              <w:keepLines/>
              <w:jc w:val="center"/>
              <w:rPr>
                <w:b/>
                <w:bCs/>
                <w:noProof/>
                <w:color w:val="000000" w:themeColor="text1"/>
                <w:szCs w:val="24"/>
              </w:rPr>
            </w:pPr>
            <w:r>
              <w:rPr>
                <w:b/>
                <w:noProof/>
                <w:color w:val="000000" w:themeColor="text1"/>
              </w:rPr>
              <w:t>Organismul responsabil</w:t>
            </w:r>
          </w:p>
        </w:tc>
        <w:tc>
          <w:tcPr>
            <w:tcW w:w="2835" w:type="dxa"/>
            <w:vAlign w:val="center"/>
          </w:tcPr>
          <w:p>
            <w:pPr>
              <w:keepNext/>
              <w:keepLines/>
              <w:spacing w:before="0" w:after="0"/>
              <w:jc w:val="center"/>
              <w:rPr>
                <w:b/>
                <w:bCs/>
                <w:noProof/>
                <w:color w:val="000000"/>
                <w:szCs w:val="24"/>
              </w:rPr>
            </w:pPr>
            <w:r>
              <w:rPr>
                <w:b/>
                <w:noProof/>
                <w:color w:val="000000"/>
              </w:rPr>
              <w:t>Cum este asigurată accesibilitatea?</w:t>
            </w:r>
          </w:p>
        </w:tc>
        <w:tc>
          <w:tcPr>
            <w:tcW w:w="2362" w:type="dxa"/>
            <w:vAlign w:val="center"/>
          </w:tcPr>
          <w:p>
            <w:pPr>
              <w:keepNext/>
              <w:keepLines/>
              <w:spacing w:before="0" w:after="0"/>
              <w:jc w:val="center"/>
              <w:rPr>
                <w:b/>
                <w:bCs/>
                <w:noProof/>
                <w:color w:val="000000"/>
                <w:szCs w:val="24"/>
              </w:rPr>
            </w:pPr>
            <w:r>
              <w:rPr>
                <w:b/>
                <w:noProof/>
                <w:color w:val="000000"/>
              </w:rPr>
              <w:t>Cum se ia în considerare potențialul de reutilizare?</w:t>
            </w:r>
          </w:p>
        </w:tc>
        <w:tc>
          <w:tcPr>
            <w:tcW w:w="1732" w:type="dxa"/>
            <w:vAlign w:val="center"/>
          </w:tcPr>
          <w:p>
            <w:pPr>
              <w:keepNext/>
              <w:keepLines/>
              <w:spacing w:before="0" w:after="0"/>
              <w:jc w:val="center"/>
              <w:rPr>
                <w:b/>
                <w:bCs/>
                <w:noProof/>
                <w:color w:val="000000"/>
                <w:szCs w:val="24"/>
              </w:rPr>
            </w:pPr>
            <w:r>
              <w:rPr>
                <w:b/>
                <w:noProof/>
                <w:color w:val="000000"/>
              </w:rPr>
              <w:t>Utilizarea tehnologiilor IA (dacă este cazul)</w:t>
            </w:r>
          </w:p>
        </w:tc>
      </w:tr>
      <w:tr>
        <w:trPr>
          <w:trHeight w:val="293"/>
        </w:trPr>
        <w:tc>
          <w:tcPr>
            <w:tcW w:w="1831" w:type="dxa"/>
          </w:tcPr>
          <w:p>
            <w:pPr>
              <w:keepNext/>
              <w:keepLines/>
              <w:jc w:val="left"/>
              <w:rPr>
                <w:noProof/>
              </w:rPr>
            </w:pPr>
            <w:r>
              <w:rPr>
                <w:noProof/>
              </w:rPr>
              <w:t xml:space="preserve">Infrastructura de emitere a ESSPASS </w:t>
            </w:r>
          </w:p>
        </w:tc>
        <w:tc>
          <w:tcPr>
            <w:tcW w:w="1754" w:type="dxa"/>
          </w:tcPr>
          <w:p>
            <w:pPr>
              <w:keepNext/>
              <w:keepLines/>
              <w:jc w:val="left"/>
              <w:rPr>
                <w:noProof/>
              </w:rPr>
            </w:pPr>
            <w:r>
              <w:rPr>
                <w:noProof/>
              </w:rPr>
              <w:t>R2</w:t>
            </w:r>
          </w:p>
          <w:p>
            <w:pPr>
              <w:keepNext/>
              <w:keepLines/>
              <w:jc w:val="left"/>
              <w:rPr>
                <w:noProof/>
              </w:rPr>
            </w:pPr>
            <w:r>
              <w:rPr>
                <w:noProof/>
              </w:rPr>
              <w:t>R3</w:t>
            </w:r>
          </w:p>
        </w:tc>
        <w:tc>
          <w:tcPr>
            <w:tcW w:w="1890" w:type="dxa"/>
          </w:tcPr>
          <w:p>
            <w:pPr>
              <w:keepNext/>
              <w:keepLines/>
              <w:jc w:val="left"/>
              <w:rPr>
                <w:noProof/>
              </w:rPr>
            </w:pPr>
            <w:r>
              <w:rPr>
                <w:noProof/>
              </w:rPr>
              <w:t>Eliberarea, gestionarea și revocarea documentelor digitale de securitate socială și a documentelor de securitate socială în format fizic îmbunătățite prin caracteristici digitale</w:t>
            </w:r>
          </w:p>
          <w:p>
            <w:pPr>
              <w:keepNext/>
              <w:keepLines/>
              <w:jc w:val="left"/>
              <w:rPr>
                <w:noProof/>
              </w:rPr>
            </w:pPr>
          </w:p>
          <w:p>
            <w:pPr>
              <w:keepNext/>
              <w:keepLines/>
              <w:jc w:val="left"/>
              <w:rPr>
                <w:noProof/>
              </w:rPr>
            </w:pPr>
          </w:p>
        </w:tc>
        <w:tc>
          <w:tcPr>
            <w:tcW w:w="1732" w:type="dxa"/>
          </w:tcPr>
          <w:p>
            <w:pPr>
              <w:keepNext/>
              <w:keepLines/>
              <w:jc w:val="left"/>
              <w:rPr>
                <w:noProof/>
              </w:rPr>
            </w:pPr>
            <w:r>
              <w:rPr>
                <w:noProof/>
              </w:rPr>
              <w:t>Autoritățile competente din statele membre</w:t>
            </w:r>
          </w:p>
        </w:tc>
        <w:tc>
          <w:tcPr>
            <w:tcW w:w="2835" w:type="dxa"/>
          </w:tcPr>
          <w:p>
            <w:pPr>
              <w:keepNext/>
              <w:keepLines/>
              <w:jc w:val="left"/>
              <w:rPr>
                <w:noProof/>
              </w:rPr>
            </w:pPr>
            <w:r>
              <w:rPr>
                <w:noProof/>
              </w:rPr>
              <w:t>În ceea ce privește documentele digitale de securitate socială, accesibilitatea este asigurată prin implementarea de către statele membre a portofelelor EUDI [articolul 5a alineatul (21) din Regulamentul (UE) nr. 910/2014]. Pentru documentele în format fizic, cerințele de accesibilitate vor fi definite în specificațiile tehnice care urmează să fie adoptate printr-un act de punere în aplicare, în conformitate cu articolul 7 alineatul (11).</w:t>
            </w:r>
          </w:p>
          <w:p>
            <w:pPr>
              <w:keepNext/>
              <w:keepLines/>
              <w:jc w:val="left"/>
              <w:rPr>
                <w:noProof/>
              </w:rPr>
            </w:pPr>
          </w:p>
        </w:tc>
        <w:tc>
          <w:tcPr>
            <w:tcW w:w="2362" w:type="dxa"/>
          </w:tcPr>
          <w:p>
            <w:pPr>
              <w:keepNext/>
              <w:keepLines/>
              <w:jc w:val="left"/>
              <w:rPr>
                <w:noProof/>
              </w:rPr>
            </w:pPr>
            <w:r>
              <w:rPr>
                <w:noProof/>
              </w:rPr>
              <w:t xml:space="preserve">În ceea ce privește documentele digitale de securitate socială, soluția se bazează pe cadrul EUDI și reutilizează componentele sale de bază, cum ar fi cadrul de încredere al EUDI, portofelul EUDI, infrastructura de emitere a datelor de identificare personală (PID), registrele și listele de încredere, precum și specificațiile de interoperabilitate. </w:t>
            </w:r>
          </w:p>
          <w:p>
            <w:pPr>
              <w:keepNext/>
              <w:keepLines/>
              <w:jc w:val="left"/>
              <w:rPr>
                <w:noProof/>
              </w:rPr>
            </w:pPr>
            <w:r>
              <w:rPr>
                <w:noProof/>
              </w:rPr>
              <w:t>Este avută în vedere și reutilizarea cadrului de încredere EUDI pentru documentele de securitate socială în format fizic.</w:t>
            </w:r>
          </w:p>
          <w:p>
            <w:pPr>
              <w:keepNext/>
              <w:keepLines/>
              <w:jc w:val="left"/>
              <w:rPr>
                <w:noProof/>
              </w:rPr>
            </w:pPr>
          </w:p>
        </w:tc>
        <w:tc>
          <w:tcPr>
            <w:tcW w:w="1732" w:type="dxa"/>
          </w:tcPr>
          <w:p>
            <w:pPr>
              <w:keepNext/>
              <w:keepLines/>
              <w:jc w:val="left"/>
              <w:rPr>
                <w:noProof/>
              </w:rPr>
            </w:pPr>
            <w:r>
              <w:rPr>
                <w:noProof/>
              </w:rPr>
              <w:t>N/A</w:t>
            </w:r>
          </w:p>
        </w:tc>
      </w:tr>
      <w:tr>
        <w:trPr>
          <w:trHeight w:val="293"/>
        </w:trPr>
        <w:tc>
          <w:tcPr>
            <w:tcW w:w="1831" w:type="dxa"/>
          </w:tcPr>
          <w:p>
            <w:pPr>
              <w:jc w:val="left"/>
              <w:rPr>
                <w:noProof/>
              </w:rPr>
            </w:pPr>
            <w:r>
              <w:rPr>
                <w:noProof/>
              </w:rPr>
              <w:t>Aplicația (aplicațiile) de verificare ESSPASS</w:t>
            </w:r>
          </w:p>
        </w:tc>
        <w:tc>
          <w:tcPr>
            <w:tcW w:w="1754" w:type="dxa"/>
          </w:tcPr>
          <w:p>
            <w:pPr>
              <w:jc w:val="left"/>
              <w:rPr>
                <w:noProof/>
              </w:rPr>
            </w:pPr>
            <w:r>
              <w:rPr>
                <w:noProof/>
              </w:rPr>
              <w:t>R8</w:t>
            </w:r>
          </w:p>
          <w:p>
            <w:pPr>
              <w:jc w:val="left"/>
              <w:rPr>
                <w:noProof/>
              </w:rPr>
            </w:pPr>
            <w:r>
              <w:rPr>
                <w:noProof/>
              </w:rPr>
              <w:t>R9</w:t>
            </w:r>
          </w:p>
        </w:tc>
        <w:tc>
          <w:tcPr>
            <w:tcW w:w="1890" w:type="dxa"/>
          </w:tcPr>
          <w:p>
            <w:pPr>
              <w:jc w:val="left"/>
              <w:rPr>
                <w:noProof/>
              </w:rPr>
            </w:pPr>
            <w:r>
              <w:rPr>
                <w:noProof/>
              </w:rPr>
              <w:t>Verificarea documentelor digitale de securitate socială și a documentelor de securitate socială în format fizic îmbunătățite prin caracteristici digitale</w:t>
            </w:r>
          </w:p>
        </w:tc>
        <w:tc>
          <w:tcPr>
            <w:tcW w:w="1732" w:type="dxa"/>
          </w:tcPr>
          <w:p>
            <w:pPr>
              <w:jc w:val="left"/>
              <w:rPr>
                <w:noProof/>
              </w:rPr>
            </w:pPr>
            <w:r>
              <w:rPr>
                <w:noProof/>
              </w:rPr>
              <w:t>Autoritățile competente din statele membre</w:t>
            </w:r>
          </w:p>
        </w:tc>
        <w:tc>
          <w:tcPr>
            <w:tcW w:w="2835" w:type="dxa"/>
          </w:tcPr>
          <w:p>
            <w:pPr>
              <w:jc w:val="left"/>
              <w:rPr>
                <w:noProof/>
              </w:rPr>
            </w:pPr>
            <w:r>
              <w:rPr>
                <w:noProof/>
              </w:rPr>
              <w:t>Cerințele de accesibilitate pentru aplicația (aplicațiile) utilizată (utilizate) de verificatori vor fi definite prin acte de punere în aplicare, în conformitate cu articolul 7 alineatul (11).</w:t>
            </w:r>
          </w:p>
          <w:p>
            <w:pPr>
              <w:jc w:val="left"/>
              <w:rPr>
                <w:noProof/>
              </w:rPr>
            </w:pPr>
          </w:p>
        </w:tc>
        <w:tc>
          <w:tcPr>
            <w:tcW w:w="2362" w:type="dxa"/>
          </w:tcPr>
          <w:p>
            <w:pPr>
              <w:jc w:val="left"/>
              <w:rPr>
                <w:noProof/>
              </w:rPr>
            </w:pPr>
            <w:r>
              <w:rPr>
                <w:noProof/>
              </w:rPr>
              <w:t>Ca una dintre opțiunile de punere în aplicare, Comisia poate pune la dispoziție o implementare de referință a aplicației, pe care statele membre să o poată reutiliza și configura în mod voluntar. Această opțiune va fi discutată cu statele membre înainte de etapa de punere în aplicare. Detaliile aplicației de verificare vor fi definite prin acte de punere în aplicare, în conformitate cu articolul 7 alineatul (11).</w:t>
            </w:r>
          </w:p>
          <w:p>
            <w:pPr>
              <w:jc w:val="left"/>
              <w:rPr>
                <w:noProof/>
              </w:rPr>
            </w:pPr>
            <w:r>
              <w:rPr>
                <w:noProof/>
              </w:rPr>
              <w:t>Întrucât Spațiul european al datelor privind sănătatea prevede deja investiții și adaptări ale sistemelor digitale de sănătate, acestea ar trebui valorificate pentru a crea sinergii care să le maximizeze impactul și eficiența.</w:t>
            </w:r>
          </w:p>
        </w:tc>
        <w:tc>
          <w:tcPr>
            <w:tcW w:w="1732" w:type="dxa"/>
          </w:tcPr>
          <w:p>
            <w:pPr>
              <w:jc w:val="left"/>
              <w:rPr>
                <w:noProof/>
              </w:rPr>
            </w:pPr>
          </w:p>
        </w:tc>
      </w:tr>
      <w:tr>
        <w:trPr>
          <w:trHeight w:val="293"/>
        </w:trPr>
        <w:tc>
          <w:tcPr>
            <w:tcW w:w="1831" w:type="dxa"/>
          </w:tcPr>
          <w:p>
            <w:pPr>
              <w:jc w:val="left"/>
              <w:rPr>
                <w:noProof/>
              </w:rPr>
            </w:pPr>
            <w:r>
              <w:rPr>
                <w:noProof/>
              </w:rPr>
              <w:t>Portaluri online pentru solicitarea de documente de securitate socială</w:t>
            </w:r>
          </w:p>
        </w:tc>
        <w:tc>
          <w:tcPr>
            <w:tcW w:w="1754" w:type="dxa"/>
          </w:tcPr>
          <w:p>
            <w:pPr>
              <w:jc w:val="left"/>
              <w:rPr>
                <w:noProof/>
              </w:rPr>
            </w:pPr>
            <w:r>
              <w:rPr>
                <w:noProof/>
              </w:rPr>
              <w:t>R1</w:t>
            </w:r>
          </w:p>
        </w:tc>
        <w:tc>
          <w:tcPr>
            <w:tcW w:w="1890" w:type="dxa"/>
          </w:tcPr>
          <w:p>
            <w:pPr>
              <w:jc w:val="left"/>
              <w:rPr>
                <w:noProof/>
              </w:rPr>
            </w:pPr>
            <w:r>
              <w:rPr>
                <w:noProof/>
              </w:rPr>
              <w:t>Solicitarea documentelor de securitate socială</w:t>
            </w:r>
          </w:p>
        </w:tc>
        <w:tc>
          <w:tcPr>
            <w:tcW w:w="1732" w:type="dxa"/>
          </w:tcPr>
          <w:p>
            <w:pPr>
              <w:jc w:val="left"/>
              <w:rPr>
                <w:noProof/>
              </w:rPr>
            </w:pPr>
            <w:r>
              <w:rPr>
                <w:noProof/>
              </w:rPr>
              <w:t>Autoritățile competente din statele membre</w:t>
            </w:r>
          </w:p>
        </w:tc>
        <w:tc>
          <w:tcPr>
            <w:tcW w:w="2835" w:type="dxa"/>
          </w:tcPr>
          <w:p>
            <w:pPr>
              <w:jc w:val="left"/>
              <w:rPr>
                <w:noProof/>
              </w:rPr>
            </w:pPr>
            <w:r>
              <w:rPr>
                <w:noProof/>
              </w:rPr>
              <w:t>Responsabilitatea pentru asigurarea accesibilității portalurilor naționale revine statelor membre.</w:t>
            </w:r>
          </w:p>
          <w:p>
            <w:pPr>
              <w:jc w:val="left"/>
              <w:rPr>
                <w:noProof/>
              </w:rPr>
            </w:pPr>
            <w:r>
              <w:rPr>
                <w:noProof/>
              </w:rPr>
              <w:t>Articolul 6 alineatul (1) prevede că procedura de solicitare online trebuie să fie accesibilă</w:t>
            </w:r>
          </w:p>
        </w:tc>
        <w:tc>
          <w:tcPr>
            <w:tcW w:w="2362" w:type="dxa"/>
          </w:tcPr>
          <w:p>
            <w:pPr>
              <w:jc w:val="left"/>
              <w:rPr>
                <w:noProof/>
              </w:rPr>
            </w:pPr>
            <w:r>
              <w:rPr>
                <w:noProof/>
              </w:rPr>
              <w:t>În funcție de contextul digital și de structura organizațională a unui stat membru, portalurile existente ar putea fi actualizate pentru a permite și solicitarea online a altor documente de securitate socială.</w:t>
            </w:r>
          </w:p>
        </w:tc>
        <w:tc>
          <w:tcPr>
            <w:tcW w:w="1732" w:type="dxa"/>
          </w:tcPr>
          <w:p>
            <w:pPr>
              <w:jc w:val="left"/>
              <w:rPr>
                <w:noProof/>
              </w:rPr>
            </w:pPr>
          </w:p>
        </w:tc>
      </w:tr>
    </w:tbl>
    <w:p>
      <w:pPr>
        <w:rPr>
          <w:noProof/>
        </w:rPr>
      </w:pPr>
    </w:p>
    <w:p>
      <w:pPr>
        <w:rPr>
          <w:noProof/>
        </w:rPr>
      </w:pPr>
    </w:p>
    <w:p>
      <w:pPr>
        <w:rPr>
          <w:b/>
          <w:bCs/>
          <w:noProof/>
        </w:rPr>
      </w:pPr>
      <w:r>
        <w:rPr>
          <w:b/>
          <w:i/>
          <w:noProof/>
        </w:rPr>
        <w:t>Alinierea soluției digitale la politicile digitale și actele legislative aplicabile</w:t>
      </w:r>
    </w:p>
    <w:p>
      <w:pPr>
        <w:rPr>
          <w:b/>
          <w:noProof/>
          <w:u w:val="single"/>
        </w:rPr>
      </w:pPr>
      <w:r>
        <w:rPr>
          <w:b/>
          <w:noProof/>
          <w:u w:val="single"/>
        </w:rPr>
        <w:t>Infrastructura de emitere a ESSPASS</w:t>
      </w:r>
    </w:p>
    <w:tbl>
      <w:tblPr>
        <w:tblStyle w:val="TableGrid"/>
        <w:tblW w:w="14077" w:type="dxa"/>
        <w:tblLook w:val="04A0" w:firstRow="1" w:lastRow="0" w:firstColumn="1" w:lastColumn="0" w:noHBand="0" w:noVBand="1"/>
      </w:tblPr>
      <w:tblGrid>
        <w:gridCol w:w="5876"/>
        <w:gridCol w:w="8201"/>
      </w:tblGrid>
      <w:tr>
        <w:tc>
          <w:tcPr>
            <w:tcW w:w="1560" w:type="dxa"/>
          </w:tcPr>
          <w:p>
            <w:pPr>
              <w:jc w:val="left"/>
              <w:rPr>
                <w:b/>
                <w:noProof/>
              </w:rPr>
            </w:pPr>
            <w:r>
              <w:rPr>
                <w:b/>
                <w:noProof/>
              </w:rPr>
              <w:t>Politica digitală și/sau sectorială (atunci când sunt aplicabile)</w:t>
            </w:r>
          </w:p>
        </w:tc>
        <w:tc>
          <w:tcPr>
            <w:tcW w:w="2257" w:type="dxa"/>
          </w:tcPr>
          <w:p>
            <w:pPr>
              <w:jc w:val="left"/>
              <w:rPr>
                <w:b/>
                <w:noProof/>
              </w:rPr>
            </w:pPr>
            <w:r>
              <w:rPr>
                <w:b/>
                <w:noProof/>
              </w:rPr>
              <w:t>Explicații privind alinierea</w:t>
            </w:r>
          </w:p>
        </w:tc>
      </w:tr>
      <w:tr>
        <w:tc>
          <w:tcPr>
            <w:tcW w:w="1560" w:type="dxa"/>
          </w:tcPr>
          <w:p>
            <w:pPr>
              <w:jc w:val="left"/>
              <w:rPr>
                <w:b/>
                <w:i/>
                <w:noProof/>
              </w:rPr>
            </w:pPr>
            <w:r>
              <w:rPr>
                <w:b/>
                <w:i/>
                <w:noProof/>
              </w:rPr>
              <w:t>Regulamentul privind IA</w:t>
            </w:r>
          </w:p>
        </w:tc>
        <w:tc>
          <w:tcPr>
            <w:tcW w:w="2257" w:type="dxa"/>
          </w:tcPr>
          <w:p>
            <w:pPr>
              <w:jc w:val="left"/>
              <w:rPr>
                <w:noProof/>
              </w:rPr>
            </w:pPr>
            <w:r>
              <w:rPr>
                <w:noProof/>
              </w:rPr>
              <w:t>Regulamentul propus nu prevede nicio utilizare a IA.</w:t>
            </w:r>
          </w:p>
        </w:tc>
      </w:tr>
      <w:tr>
        <w:tc>
          <w:tcPr>
            <w:tcW w:w="1560" w:type="dxa"/>
          </w:tcPr>
          <w:p>
            <w:pPr>
              <w:jc w:val="left"/>
              <w:rPr>
                <w:b/>
                <w:i/>
                <w:noProof/>
              </w:rPr>
            </w:pPr>
            <w:r>
              <w:rPr>
                <w:b/>
                <w:i/>
                <w:noProof/>
              </w:rPr>
              <w:t>Cadrul UE privind securitatea cibernetică</w:t>
            </w:r>
          </w:p>
        </w:tc>
        <w:tc>
          <w:tcPr>
            <w:tcW w:w="2257" w:type="dxa"/>
          </w:tcPr>
          <w:p>
            <w:pPr>
              <w:rPr>
                <w:noProof/>
              </w:rPr>
            </w:pPr>
            <w:r>
              <w:rPr>
                <w:noProof/>
              </w:rPr>
              <w:t>Toate aspectele de securitate ale infrastructurii de emitere, inclusiv cerințele de securitate aplicabile emitenților de documente digitale de securitate socială, caracteristicile de securitate ale portofelului EUDI și protocoalele de comunicare dintre emitent și portofel, sunt reglementate de cadrul european pentru identitatea digitală. Aceleași cerințe de securitate pentru eliberarea documentelor digitale de securitate socială se vor aplica și documentelor în format fizic îmbunătățite prin caracteristici de securitate digitală. Aceste cerințe vor fi detaliate în continuare în specificațiile tehnice.</w:t>
            </w:r>
          </w:p>
        </w:tc>
      </w:tr>
      <w:tr>
        <w:tc>
          <w:tcPr>
            <w:tcW w:w="1560" w:type="dxa"/>
          </w:tcPr>
          <w:p>
            <w:pPr>
              <w:jc w:val="left"/>
              <w:rPr>
                <w:b/>
                <w:i/>
                <w:noProof/>
              </w:rPr>
            </w:pPr>
            <w:r>
              <w:rPr>
                <w:b/>
                <w:i/>
                <w:noProof/>
              </w:rPr>
              <w:t>eIDAS</w:t>
            </w:r>
          </w:p>
        </w:tc>
        <w:tc>
          <w:tcPr>
            <w:tcW w:w="2257" w:type="dxa"/>
          </w:tcPr>
          <w:p>
            <w:pPr>
              <w:rPr>
                <w:noProof/>
              </w:rPr>
            </w:pPr>
            <w:r>
              <w:rPr>
                <w:noProof/>
              </w:rPr>
              <w:t>Soluția are la bază cadrul EUDI și reutilizează componentele esențiale ale acestuia. Este avută în vedere și reutilizarea cadrului de încredere EUDI pentru documentele de securitate socială în format fizic. Aceste documente vor include semnături electronice conforme cu eIDAS, care oferă același nivel de asigurare ca documentele digitale de securitate socială.</w:t>
            </w:r>
          </w:p>
        </w:tc>
      </w:tr>
      <w:tr>
        <w:tc>
          <w:tcPr>
            <w:tcW w:w="1560" w:type="dxa"/>
          </w:tcPr>
          <w:p>
            <w:pPr>
              <w:jc w:val="left"/>
              <w:rPr>
                <w:b/>
                <w:i/>
                <w:noProof/>
              </w:rPr>
            </w:pPr>
            <w:r>
              <w:rPr>
                <w:b/>
                <w:i/>
                <w:noProof/>
              </w:rPr>
              <w:t>Portalul digital unic și IMI</w:t>
            </w:r>
          </w:p>
        </w:tc>
        <w:tc>
          <w:tcPr>
            <w:tcW w:w="2257" w:type="dxa"/>
          </w:tcPr>
          <w:p>
            <w:pPr>
              <w:rPr>
                <w:noProof/>
              </w:rPr>
            </w:pPr>
            <w:r>
              <w:rPr>
                <w:noProof/>
              </w:rPr>
              <w:t>Soluția se bazează pe cadrul stabilit de Regulamentul privind portalul digital unic (SDGR), care impune statelor membre să permită accesul integral online la procedurile administrative, cum ar fi cererile de eliberare a documentului portabil A1 și a CEASS, precum și cererile de pensie, asigurând în același timp eliberarea rezultatelor în format electronic. Soluția standardizează formatul acestor rezultate pentru a facilita verificarea transfrontalieră și extinde digitalizarea la toate documentele de securitate socială care intră în domeniul de aplicare al regulamentului propus.</w:t>
            </w:r>
          </w:p>
          <w:p>
            <w:pPr>
              <w:rPr>
                <w:noProof/>
              </w:rPr>
            </w:pPr>
          </w:p>
        </w:tc>
      </w:tr>
      <w:tr>
        <w:tc>
          <w:tcPr>
            <w:tcW w:w="1560" w:type="dxa"/>
          </w:tcPr>
          <w:p>
            <w:pPr>
              <w:jc w:val="left"/>
              <w:rPr>
                <w:b/>
                <w:i/>
                <w:noProof/>
              </w:rPr>
            </w:pPr>
            <w:r>
              <w:rPr>
                <w:b/>
                <w:i/>
                <w:noProof/>
              </w:rPr>
              <w:t>Altele</w:t>
            </w:r>
          </w:p>
        </w:tc>
        <w:tc>
          <w:tcPr>
            <w:tcW w:w="2257" w:type="dxa"/>
          </w:tcPr>
          <w:p>
            <w:pPr>
              <w:jc w:val="left"/>
              <w:rPr>
                <w:rFonts w:eastAsia="Calibri"/>
                <w:noProof/>
              </w:rPr>
            </w:pPr>
          </w:p>
        </w:tc>
      </w:tr>
    </w:tbl>
    <w:p>
      <w:pPr>
        <w:rPr>
          <w:i/>
          <w:noProof/>
        </w:rPr>
      </w:pPr>
    </w:p>
    <w:p>
      <w:pPr>
        <w:rPr>
          <w:b/>
          <w:noProof/>
          <w:u w:val="single"/>
        </w:rPr>
      </w:pPr>
      <w:r>
        <w:rPr>
          <w:b/>
          <w:noProof/>
          <w:u w:val="single"/>
        </w:rPr>
        <w:t>Aplicația de verificare</w:t>
      </w:r>
    </w:p>
    <w:tbl>
      <w:tblPr>
        <w:tblStyle w:val="TableGrid"/>
        <w:tblW w:w="14077" w:type="dxa"/>
        <w:tblLook w:val="04A0" w:firstRow="1" w:lastRow="0" w:firstColumn="1" w:lastColumn="0" w:noHBand="0" w:noVBand="1"/>
      </w:tblPr>
      <w:tblGrid>
        <w:gridCol w:w="5753"/>
        <w:gridCol w:w="8324"/>
      </w:tblGrid>
      <w:tr>
        <w:tc>
          <w:tcPr>
            <w:tcW w:w="5753" w:type="dxa"/>
          </w:tcPr>
          <w:p>
            <w:pPr>
              <w:jc w:val="left"/>
              <w:rPr>
                <w:b/>
                <w:noProof/>
              </w:rPr>
            </w:pPr>
            <w:r>
              <w:rPr>
                <w:b/>
                <w:noProof/>
              </w:rPr>
              <w:t>Politica digitală și/sau sectorială (atunci când sunt aplicabile)</w:t>
            </w:r>
          </w:p>
        </w:tc>
        <w:tc>
          <w:tcPr>
            <w:tcW w:w="8324" w:type="dxa"/>
          </w:tcPr>
          <w:p>
            <w:pPr>
              <w:jc w:val="left"/>
              <w:rPr>
                <w:b/>
                <w:noProof/>
              </w:rPr>
            </w:pPr>
            <w:r>
              <w:rPr>
                <w:b/>
                <w:noProof/>
              </w:rPr>
              <w:t>Explicații privind alinierea</w:t>
            </w:r>
          </w:p>
        </w:tc>
      </w:tr>
      <w:tr>
        <w:tc>
          <w:tcPr>
            <w:tcW w:w="5753" w:type="dxa"/>
          </w:tcPr>
          <w:p>
            <w:pPr>
              <w:jc w:val="left"/>
              <w:rPr>
                <w:noProof/>
              </w:rPr>
            </w:pPr>
            <w:r>
              <w:rPr>
                <w:b/>
                <w:i/>
                <w:noProof/>
              </w:rPr>
              <w:t>Regulamentul privind IA</w:t>
            </w:r>
          </w:p>
        </w:tc>
        <w:tc>
          <w:tcPr>
            <w:tcW w:w="8324" w:type="dxa"/>
          </w:tcPr>
          <w:p>
            <w:pPr>
              <w:rPr>
                <w:noProof/>
              </w:rPr>
            </w:pPr>
            <w:r>
              <w:rPr>
                <w:noProof/>
              </w:rPr>
              <w:t>Regulamentul propus nu prevede nicio utilizare a IA.</w:t>
            </w:r>
          </w:p>
        </w:tc>
      </w:tr>
      <w:tr>
        <w:tc>
          <w:tcPr>
            <w:tcW w:w="5753" w:type="dxa"/>
          </w:tcPr>
          <w:p>
            <w:pPr>
              <w:jc w:val="left"/>
              <w:rPr>
                <w:noProof/>
              </w:rPr>
            </w:pPr>
            <w:r>
              <w:rPr>
                <w:b/>
                <w:i/>
                <w:noProof/>
              </w:rPr>
              <w:t>Cadrul UE privind securitatea cibernetică</w:t>
            </w:r>
          </w:p>
        </w:tc>
        <w:tc>
          <w:tcPr>
            <w:tcW w:w="8324" w:type="dxa"/>
          </w:tcPr>
          <w:p>
            <w:pPr>
              <w:rPr>
                <w:noProof/>
              </w:rPr>
            </w:pPr>
            <w:r>
              <w:rPr>
                <w:noProof/>
              </w:rPr>
              <w:t>Toate aspectele de securitate ale aplicației de verificare, inclusiv protocoalele de verificare, vor fi conforme cu cerințele de securitate cibernetică definite în cadrul EUDI. Aceste cerințe vor fi detaliate în continuare în specificațiile tehnice.</w:t>
            </w:r>
          </w:p>
        </w:tc>
      </w:tr>
      <w:tr>
        <w:tc>
          <w:tcPr>
            <w:tcW w:w="5753" w:type="dxa"/>
          </w:tcPr>
          <w:p>
            <w:pPr>
              <w:jc w:val="left"/>
              <w:rPr>
                <w:noProof/>
              </w:rPr>
            </w:pPr>
            <w:r>
              <w:rPr>
                <w:b/>
                <w:i/>
                <w:noProof/>
              </w:rPr>
              <w:t>eIDAS</w:t>
            </w:r>
          </w:p>
        </w:tc>
        <w:tc>
          <w:tcPr>
            <w:tcW w:w="8324" w:type="dxa"/>
          </w:tcPr>
          <w:p>
            <w:pPr>
              <w:rPr>
                <w:noProof/>
              </w:rPr>
            </w:pPr>
            <w:r>
              <w:rPr>
                <w:noProof/>
              </w:rPr>
              <w:t>Verificarea documentelor digitale de securitate socială va respecta protocoalele și standardele EUDI, care sunt definite pentru a sprijini punerea în aplicare a eIDAS. Documentele în format fizic îmbunătățite prin caracteristici digitale vor include semnături electronice conforme cu eIDAS, care pot fi verificate prin intermediul aceleiași aplicații de verificare.</w:t>
            </w:r>
          </w:p>
        </w:tc>
      </w:tr>
      <w:tr>
        <w:tc>
          <w:tcPr>
            <w:tcW w:w="5753" w:type="dxa"/>
          </w:tcPr>
          <w:p>
            <w:pPr>
              <w:jc w:val="left"/>
              <w:rPr>
                <w:noProof/>
              </w:rPr>
            </w:pPr>
            <w:r>
              <w:rPr>
                <w:b/>
                <w:i/>
                <w:noProof/>
              </w:rPr>
              <w:t>Portalul digital unic și IMI</w:t>
            </w:r>
          </w:p>
        </w:tc>
        <w:tc>
          <w:tcPr>
            <w:tcW w:w="8324" w:type="dxa"/>
          </w:tcPr>
          <w:p>
            <w:pPr>
              <w:rPr>
                <w:noProof/>
              </w:rPr>
            </w:pPr>
            <w:r>
              <w:rPr>
                <w:noProof/>
              </w:rPr>
              <w:t>Interoperabilitatea cu IMI.</w:t>
            </w:r>
          </w:p>
        </w:tc>
      </w:tr>
      <w:tr>
        <w:tc>
          <w:tcPr>
            <w:tcW w:w="5753" w:type="dxa"/>
          </w:tcPr>
          <w:p>
            <w:pPr>
              <w:jc w:val="left"/>
              <w:rPr>
                <w:noProof/>
              </w:rPr>
            </w:pPr>
            <w:r>
              <w:rPr>
                <w:b/>
                <w:i/>
                <w:noProof/>
              </w:rPr>
              <w:t>Altele</w:t>
            </w:r>
          </w:p>
        </w:tc>
        <w:tc>
          <w:tcPr>
            <w:tcW w:w="8324" w:type="dxa"/>
          </w:tcPr>
          <w:p>
            <w:pPr>
              <w:jc w:val="left"/>
              <w:rPr>
                <w:rFonts w:eastAsia="Calibri"/>
                <w:noProof/>
              </w:rPr>
            </w:pPr>
          </w:p>
        </w:tc>
      </w:tr>
    </w:tbl>
    <w:p>
      <w:pPr>
        <w:rPr>
          <w:noProof/>
        </w:rPr>
      </w:pPr>
    </w:p>
    <w:p>
      <w:pPr>
        <w:rPr>
          <w:b/>
          <w:noProof/>
          <w:u w:val="single"/>
        </w:rPr>
      </w:pPr>
      <w:r>
        <w:rPr>
          <w:b/>
          <w:noProof/>
          <w:u w:val="single"/>
        </w:rPr>
        <w:t>Portaluri pentru solicitarea atestatelor ESSPASS</w:t>
      </w:r>
    </w:p>
    <w:tbl>
      <w:tblPr>
        <w:tblStyle w:val="TableGrid"/>
        <w:tblW w:w="14077" w:type="dxa"/>
        <w:tblLook w:val="04A0" w:firstRow="1" w:lastRow="0" w:firstColumn="1" w:lastColumn="0" w:noHBand="0" w:noVBand="1"/>
      </w:tblPr>
      <w:tblGrid>
        <w:gridCol w:w="5753"/>
        <w:gridCol w:w="8324"/>
      </w:tblGrid>
      <w:tr>
        <w:tc>
          <w:tcPr>
            <w:tcW w:w="5753" w:type="dxa"/>
          </w:tcPr>
          <w:p>
            <w:pPr>
              <w:jc w:val="left"/>
              <w:rPr>
                <w:b/>
                <w:noProof/>
              </w:rPr>
            </w:pPr>
            <w:r>
              <w:rPr>
                <w:b/>
                <w:noProof/>
              </w:rPr>
              <w:t>Politica digitală și/sau sectorială (atunci când sunt aplicabile)</w:t>
            </w:r>
          </w:p>
        </w:tc>
        <w:tc>
          <w:tcPr>
            <w:tcW w:w="8324" w:type="dxa"/>
          </w:tcPr>
          <w:p>
            <w:pPr>
              <w:jc w:val="left"/>
              <w:rPr>
                <w:b/>
                <w:noProof/>
              </w:rPr>
            </w:pPr>
            <w:r>
              <w:rPr>
                <w:b/>
                <w:noProof/>
              </w:rPr>
              <w:t>Explicații privind alinierea</w:t>
            </w:r>
          </w:p>
        </w:tc>
      </w:tr>
      <w:tr>
        <w:tc>
          <w:tcPr>
            <w:tcW w:w="5753" w:type="dxa"/>
          </w:tcPr>
          <w:p>
            <w:pPr>
              <w:jc w:val="left"/>
              <w:rPr>
                <w:noProof/>
              </w:rPr>
            </w:pPr>
            <w:r>
              <w:rPr>
                <w:b/>
                <w:i/>
                <w:noProof/>
              </w:rPr>
              <w:t>Regulamentul privind IA</w:t>
            </w:r>
          </w:p>
        </w:tc>
        <w:tc>
          <w:tcPr>
            <w:tcW w:w="8324" w:type="dxa"/>
          </w:tcPr>
          <w:p>
            <w:pPr>
              <w:rPr>
                <w:noProof/>
              </w:rPr>
            </w:pPr>
            <w:r>
              <w:rPr>
                <w:noProof/>
              </w:rPr>
              <w:t>Regulamentul propus nu prevede nicio utilizare a IA.</w:t>
            </w:r>
          </w:p>
        </w:tc>
      </w:tr>
      <w:tr>
        <w:tc>
          <w:tcPr>
            <w:tcW w:w="5753" w:type="dxa"/>
          </w:tcPr>
          <w:p>
            <w:pPr>
              <w:jc w:val="left"/>
              <w:rPr>
                <w:noProof/>
              </w:rPr>
            </w:pPr>
            <w:r>
              <w:rPr>
                <w:b/>
                <w:i/>
                <w:noProof/>
              </w:rPr>
              <w:t>Cadrul UE privind securitatea cibernetică</w:t>
            </w:r>
          </w:p>
        </w:tc>
        <w:tc>
          <w:tcPr>
            <w:tcW w:w="8324" w:type="dxa"/>
          </w:tcPr>
          <w:p>
            <w:pPr>
              <w:rPr>
                <w:noProof/>
              </w:rPr>
            </w:pPr>
            <w:r>
              <w:rPr>
                <w:noProof/>
              </w:rPr>
              <w:t xml:space="preserve">Regulamentul propus nu impune cerințe suplimentare în materie de securitate cibernetică. </w:t>
            </w:r>
          </w:p>
        </w:tc>
      </w:tr>
      <w:tr>
        <w:tc>
          <w:tcPr>
            <w:tcW w:w="5753" w:type="dxa"/>
          </w:tcPr>
          <w:p>
            <w:pPr>
              <w:jc w:val="left"/>
              <w:rPr>
                <w:noProof/>
              </w:rPr>
            </w:pPr>
            <w:r>
              <w:rPr>
                <w:b/>
                <w:i/>
                <w:noProof/>
              </w:rPr>
              <w:t>eIDAS</w:t>
            </w:r>
          </w:p>
        </w:tc>
        <w:tc>
          <w:tcPr>
            <w:tcW w:w="8324" w:type="dxa"/>
          </w:tcPr>
          <w:p>
            <w:pPr>
              <w:rPr>
                <w:noProof/>
              </w:rPr>
            </w:pPr>
            <w:r>
              <w:rPr>
                <w:noProof/>
              </w:rPr>
              <w:t>Portalurile ar trebui să permită autentificarea prin prezentarea datelor de identificare personală (PID) din portofelul EUDI.</w:t>
            </w:r>
          </w:p>
        </w:tc>
      </w:tr>
      <w:tr>
        <w:tc>
          <w:tcPr>
            <w:tcW w:w="5753" w:type="dxa"/>
          </w:tcPr>
          <w:p>
            <w:pPr>
              <w:jc w:val="left"/>
              <w:rPr>
                <w:noProof/>
              </w:rPr>
            </w:pPr>
            <w:r>
              <w:rPr>
                <w:b/>
                <w:i/>
                <w:noProof/>
              </w:rPr>
              <w:t>Portalul digital unic și IMI</w:t>
            </w:r>
          </w:p>
        </w:tc>
        <w:tc>
          <w:tcPr>
            <w:tcW w:w="8324" w:type="dxa"/>
          </w:tcPr>
          <w:p>
            <w:pPr>
              <w:rPr>
                <w:noProof/>
              </w:rPr>
            </w:pPr>
            <w:r>
              <w:rPr>
                <w:noProof/>
              </w:rPr>
              <w:t>Portalul „Your Europe” va putea servi drept punct unic de acces prin care persoanele interesate să solicite documentele de securitate socială care intră sub incidența Regulamentului privind portalul digital unic, fiind redirecționate către portalurile naționale competente.</w:t>
            </w:r>
          </w:p>
          <w:p>
            <w:pPr>
              <w:rPr>
                <w:noProof/>
              </w:rPr>
            </w:pPr>
            <w:r>
              <w:rPr>
                <w:noProof/>
              </w:rPr>
              <w:t>Articolul 10 din propunerea de regulament (R13) abordează interoperabilitatea dintre portalurile naționale pentru solicitarea documentului portabil A1 și interfețele publice conectate la Sistemul de informare al pieței interne pentru declararea detașării lucrătorilor, procedură care face în prezent obiectul negocierilor, precum și pentru detașarea conducătorilor auto în sectorul transportului rutier. </w:t>
            </w:r>
          </w:p>
        </w:tc>
      </w:tr>
      <w:tr>
        <w:tc>
          <w:tcPr>
            <w:tcW w:w="5753" w:type="dxa"/>
          </w:tcPr>
          <w:p>
            <w:pPr>
              <w:jc w:val="left"/>
              <w:rPr>
                <w:noProof/>
              </w:rPr>
            </w:pPr>
            <w:r>
              <w:rPr>
                <w:b/>
                <w:i/>
                <w:noProof/>
              </w:rPr>
              <w:t>Altele</w:t>
            </w:r>
          </w:p>
        </w:tc>
        <w:tc>
          <w:tcPr>
            <w:tcW w:w="8324" w:type="dxa"/>
          </w:tcPr>
          <w:p>
            <w:pPr>
              <w:jc w:val="left"/>
              <w:rPr>
                <w:rFonts w:eastAsia="Calibri"/>
                <w:noProof/>
              </w:rPr>
            </w:pPr>
          </w:p>
        </w:tc>
      </w:tr>
    </w:tbl>
    <w:p>
      <w:pPr>
        <w:rPr>
          <w:noProof/>
        </w:rPr>
      </w:pPr>
    </w:p>
    <w:p>
      <w:pPr>
        <w:rPr>
          <w:noProof/>
        </w:rPr>
      </w:pPr>
    </w:p>
    <w:p>
      <w:pPr>
        <w:keepNext/>
        <w:tabs>
          <w:tab w:val="left" w:pos="850"/>
        </w:tabs>
        <w:ind w:left="850" w:hanging="850"/>
        <w:outlineLvl w:val="1"/>
        <w:rPr>
          <w:b/>
          <w:bCs/>
          <w:i/>
          <w:iCs/>
          <w:noProof/>
        </w:rPr>
      </w:pPr>
      <w:bookmarkStart w:id="198" w:name="_Toc167220304"/>
      <w:bookmarkStart w:id="199" w:name="_Toc177549040"/>
      <w:r>
        <w:rPr>
          <w:b/>
          <w:i/>
          <w:noProof/>
        </w:rPr>
        <w:t>4.4.</w:t>
      </w:r>
      <w:r>
        <w:rPr>
          <w:noProof/>
        </w:rPr>
        <w:tab/>
      </w:r>
      <w:r>
        <w:rPr>
          <w:b/>
          <w:i/>
          <w:noProof/>
        </w:rPr>
        <w:t>Evaluarea interoperabilității</w:t>
      </w:r>
      <w:bookmarkEnd w:id="198"/>
      <w:bookmarkEnd w:id="199"/>
    </w:p>
    <w:p>
      <w:pPr>
        <w:rPr>
          <w:i/>
          <w:noProof/>
        </w:rPr>
      </w:pPr>
      <w:r>
        <w:rPr>
          <w:i/>
          <w:noProof/>
        </w:rPr>
        <w:t>Descriere generală a serviciului (serviciilor) public(e) digital(e) afectat(e) de cerințe</w:t>
      </w:r>
    </w:p>
    <w:tbl>
      <w:tblPr>
        <w:tblStyle w:val="TableGrid"/>
        <w:tblW w:w="14142" w:type="dxa"/>
        <w:tblLook w:val="04A0" w:firstRow="1" w:lastRow="0" w:firstColumn="1" w:lastColumn="0" w:noHBand="0" w:noVBand="1"/>
      </w:tblPr>
      <w:tblGrid>
        <w:gridCol w:w="2263"/>
        <w:gridCol w:w="3544"/>
        <w:gridCol w:w="2268"/>
        <w:gridCol w:w="2409"/>
        <w:gridCol w:w="3658"/>
      </w:tblGrid>
      <w:tr>
        <w:trPr>
          <w:trHeight w:val="300"/>
        </w:trPr>
        <w:tc>
          <w:tcPr>
            <w:tcW w:w="2263" w:type="dxa"/>
          </w:tcPr>
          <w:p>
            <w:pPr>
              <w:spacing w:before="0" w:after="0"/>
              <w:jc w:val="left"/>
              <w:rPr>
                <w:b/>
                <w:noProof/>
                <w:color w:val="000000"/>
              </w:rPr>
            </w:pPr>
            <w:r>
              <w:rPr>
                <w:b/>
                <w:noProof/>
                <w:color w:val="000000" w:themeColor="text1"/>
              </w:rPr>
              <w:t>Serviciul public digital sau categoria de servicii publice digitale</w:t>
            </w:r>
          </w:p>
        </w:tc>
        <w:tc>
          <w:tcPr>
            <w:tcW w:w="3544" w:type="dxa"/>
          </w:tcPr>
          <w:p>
            <w:pPr>
              <w:jc w:val="left"/>
              <w:rPr>
                <w:b/>
                <w:bCs/>
                <w:noProof/>
                <w:szCs w:val="24"/>
              </w:rPr>
            </w:pPr>
            <w:r>
              <w:rPr>
                <w:b/>
                <w:noProof/>
              </w:rPr>
              <w:t>Descriere</w:t>
            </w:r>
          </w:p>
        </w:tc>
        <w:tc>
          <w:tcPr>
            <w:tcW w:w="2268" w:type="dxa"/>
          </w:tcPr>
          <w:p>
            <w:pPr>
              <w:jc w:val="left"/>
              <w:rPr>
                <w:b/>
                <w:bCs/>
                <w:noProof/>
                <w:szCs w:val="24"/>
              </w:rPr>
            </w:pPr>
            <w:r>
              <w:rPr>
                <w:b/>
                <w:noProof/>
              </w:rPr>
              <w:t>Trimitere (trimiteri) la cerință (cerințe)</w:t>
            </w:r>
          </w:p>
        </w:tc>
        <w:tc>
          <w:tcPr>
            <w:tcW w:w="2409" w:type="dxa"/>
            <w:shd w:val="clear" w:color="auto" w:fill="7F7F7F" w:themeFill="text1" w:themeFillTint="80"/>
          </w:tcPr>
          <w:p>
            <w:pPr>
              <w:jc w:val="left"/>
              <w:rPr>
                <w:b/>
                <w:bCs/>
                <w:noProof/>
                <w:szCs w:val="24"/>
              </w:rPr>
            </w:pPr>
            <w:r>
              <w:rPr>
                <w:b/>
                <w:noProof/>
              </w:rPr>
              <w:t xml:space="preserve">Soluție (soluții) pentru Europa interoperabilă </w:t>
            </w:r>
          </w:p>
          <w:p>
            <w:pPr>
              <w:jc w:val="left"/>
              <w:rPr>
                <w:b/>
                <w:bCs/>
                <w:noProof/>
                <w:szCs w:val="24"/>
              </w:rPr>
            </w:pPr>
            <w:r>
              <w:rPr>
                <w:b/>
                <w:noProof/>
              </w:rPr>
              <w:t>(NU SE APLICĂ)</w:t>
            </w:r>
          </w:p>
        </w:tc>
        <w:tc>
          <w:tcPr>
            <w:tcW w:w="3658" w:type="dxa"/>
          </w:tcPr>
          <w:p>
            <w:pPr>
              <w:jc w:val="left"/>
              <w:rPr>
                <w:b/>
                <w:bCs/>
                <w:noProof/>
                <w:szCs w:val="24"/>
              </w:rPr>
            </w:pPr>
            <w:r>
              <w:rPr>
                <w:b/>
                <w:noProof/>
              </w:rPr>
              <w:t>Altă (alte) soluție (soluții) de interoperabilitate</w:t>
            </w:r>
          </w:p>
        </w:tc>
      </w:tr>
      <w:tr>
        <w:trPr>
          <w:trHeight w:val="300"/>
        </w:trPr>
        <w:tc>
          <w:tcPr>
            <w:tcW w:w="2263" w:type="dxa"/>
          </w:tcPr>
          <w:p>
            <w:pPr>
              <w:jc w:val="left"/>
              <w:rPr>
                <w:noProof/>
                <w:szCs w:val="24"/>
              </w:rPr>
            </w:pPr>
            <w:r>
              <w:rPr>
                <w:noProof/>
              </w:rPr>
              <w:t xml:space="preserve">ESSPASS – Solicitarea, eliberarea și revocarea documentelor de securitate socială </w:t>
            </w:r>
          </w:p>
        </w:tc>
        <w:tc>
          <w:tcPr>
            <w:tcW w:w="3544" w:type="dxa"/>
          </w:tcPr>
          <w:p>
            <w:pPr>
              <w:jc w:val="left"/>
              <w:rPr>
                <w:noProof/>
                <w:szCs w:val="24"/>
              </w:rPr>
            </w:pPr>
            <w:r>
              <w:rPr>
                <w:noProof/>
              </w:rPr>
              <w:t xml:space="preserve">Acest serviciu, furnizat de autoritățile competente din statele membre, le permite persoanelor interesate să solicite și să primească documente de securitate socială fie în format digital pentru a fi utilizate în portofelul EUDI, fie ca documente în format fizic îmbunătățite prin caracteristici digitale. </w:t>
            </w:r>
          </w:p>
          <w:p>
            <w:pPr>
              <w:jc w:val="left"/>
              <w:rPr>
                <w:noProof/>
                <w:szCs w:val="24"/>
              </w:rPr>
            </w:pPr>
          </w:p>
        </w:tc>
        <w:tc>
          <w:tcPr>
            <w:tcW w:w="2268" w:type="dxa"/>
          </w:tcPr>
          <w:p>
            <w:pPr>
              <w:jc w:val="left"/>
              <w:rPr>
                <w:noProof/>
              </w:rPr>
            </w:pPr>
            <w:r>
              <w:rPr>
                <w:noProof/>
              </w:rPr>
              <w:t>R2</w:t>
            </w:r>
          </w:p>
          <w:p>
            <w:pPr>
              <w:jc w:val="left"/>
              <w:rPr>
                <w:noProof/>
              </w:rPr>
            </w:pPr>
            <w:r>
              <w:rPr>
                <w:noProof/>
              </w:rPr>
              <w:t>R3</w:t>
            </w:r>
          </w:p>
          <w:p>
            <w:pPr>
              <w:jc w:val="left"/>
              <w:rPr>
                <w:noProof/>
              </w:rPr>
            </w:pPr>
            <w:r>
              <w:rPr>
                <w:noProof/>
              </w:rPr>
              <w:t>R7</w:t>
            </w:r>
          </w:p>
          <w:p>
            <w:pPr>
              <w:jc w:val="left"/>
              <w:rPr>
                <w:noProof/>
              </w:rPr>
            </w:pPr>
            <w:r>
              <w:rPr>
                <w:noProof/>
              </w:rPr>
              <w:t>R13</w:t>
            </w:r>
          </w:p>
        </w:tc>
        <w:tc>
          <w:tcPr>
            <w:tcW w:w="2409" w:type="dxa"/>
            <w:shd w:val="clear" w:color="auto" w:fill="7F7F7F" w:themeFill="text1" w:themeFillTint="80"/>
          </w:tcPr>
          <w:p>
            <w:pPr>
              <w:jc w:val="left"/>
              <w:rPr>
                <w:noProof/>
                <w:szCs w:val="24"/>
              </w:rPr>
            </w:pPr>
            <w:r>
              <w:rPr>
                <w:noProof/>
              </w:rPr>
              <w:t>//</w:t>
            </w:r>
          </w:p>
        </w:tc>
        <w:tc>
          <w:tcPr>
            <w:tcW w:w="3658" w:type="dxa"/>
          </w:tcPr>
          <w:p>
            <w:pPr>
              <w:jc w:val="left"/>
              <w:rPr>
                <w:noProof/>
                <w:szCs w:val="24"/>
              </w:rPr>
            </w:pPr>
            <w:r>
              <w:rPr>
                <w:noProof/>
              </w:rPr>
              <w:t>Cadrul și portofelul EUDI</w:t>
            </w:r>
          </w:p>
        </w:tc>
      </w:tr>
      <w:tr>
        <w:trPr>
          <w:trHeight w:val="300"/>
        </w:trPr>
        <w:tc>
          <w:tcPr>
            <w:tcW w:w="2263" w:type="dxa"/>
          </w:tcPr>
          <w:p>
            <w:pPr>
              <w:jc w:val="left"/>
              <w:rPr>
                <w:noProof/>
                <w:szCs w:val="24"/>
              </w:rPr>
            </w:pPr>
            <w:r>
              <w:rPr>
                <w:noProof/>
              </w:rPr>
              <w:t>ESSPASS – Verificarea documentelor de securitate socială</w:t>
            </w:r>
          </w:p>
        </w:tc>
        <w:tc>
          <w:tcPr>
            <w:tcW w:w="3544" w:type="dxa"/>
          </w:tcPr>
          <w:p>
            <w:pPr>
              <w:jc w:val="left"/>
              <w:rPr>
                <w:noProof/>
                <w:szCs w:val="24"/>
              </w:rPr>
            </w:pPr>
            <w:r>
              <w:rPr>
                <w:noProof/>
              </w:rPr>
              <w:t>Acest serviciu, furnizat de verificatori, le permite titularilor de documente de securitate socială să obțină verificarea și validarea instantanee a documentelor lor prin mijloace digitale (cu ajutorul aplicației de verificare).</w:t>
            </w:r>
          </w:p>
          <w:p>
            <w:pPr>
              <w:jc w:val="left"/>
              <w:rPr>
                <w:noProof/>
                <w:szCs w:val="24"/>
              </w:rPr>
            </w:pPr>
          </w:p>
          <w:p>
            <w:pPr>
              <w:jc w:val="left"/>
              <w:rPr>
                <w:noProof/>
                <w:szCs w:val="24"/>
              </w:rPr>
            </w:pPr>
            <w:r>
              <w:rPr>
                <w:noProof/>
              </w:rPr>
              <w:t>În cazul documentelor digitale de securitate socială, serviciul permite, de asemenea, titularilor să confirme dacă verificatorul este autorizat să solicite și să verifice documentul.</w:t>
            </w:r>
          </w:p>
          <w:p>
            <w:pPr>
              <w:jc w:val="left"/>
              <w:rPr>
                <w:noProof/>
                <w:szCs w:val="24"/>
              </w:rPr>
            </w:pPr>
          </w:p>
        </w:tc>
        <w:tc>
          <w:tcPr>
            <w:tcW w:w="2268" w:type="dxa"/>
          </w:tcPr>
          <w:p>
            <w:pPr>
              <w:jc w:val="left"/>
              <w:rPr>
                <w:noProof/>
              </w:rPr>
            </w:pPr>
            <w:r>
              <w:rPr>
                <w:noProof/>
              </w:rPr>
              <w:t>R8</w:t>
            </w:r>
          </w:p>
          <w:p>
            <w:pPr>
              <w:jc w:val="left"/>
              <w:rPr>
                <w:noProof/>
              </w:rPr>
            </w:pPr>
            <w:r>
              <w:rPr>
                <w:noProof/>
              </w:rPr>
              <w:t>R9</w:t>
            </w:r>
          </w:p>
          <w:p>
            <w:pPr>
              <w:jc w:val="left"/>
              <w:rPr>
                <w:noProof/>
                <w:szCs w:val="24"/>
              </w:rPr>
            </w:pPr>
          </w:p>
        </w:tc>
        <w:tc>
          <w:tcPr>
            <w:tcW w:w="2409" w:type="dxa"/>
            <w:shd w:val="clear" w:color="auto" w:fill="7F7F7F" w:themeFill="text1" w:themeFillTint="80"/>
          </w:tcPr>
          <w:p>
            <w:pPr>
              <w:jc w:val="left"/>
              <w:rPr>
                <w:noProof/>
                <w:szCs w:val="24"/>
              </w:rPr>
            </w:pPr>
          </w:p>
        </w:tc>
        <w:tc>
          <w:tcPr>
            <w:tcW w:w="3658" w:type="dxa"/>
          </w:tcPr>
          <w:p>
            <w:pPr>
              <w:jc w:val="left"/>
              <w:rPr>
                <w:noProof/>
                <w:szCs w:val="24"/>
              </w:rPr>
            </w:pPr>
            <w:r>
              <w:rPr>
                <w:noProof/>
              </w:rPr>
              <w:t>Cadrul și portofelul EUDI</w:t>
            </w:r>
          </w:p>
        </w:tc>
      </w:tr>
    </w:tbl>
    <w:p>
      <w:pPr>
        <w:rPr>
          <w:noProof/>
        </w:rPr>
      </w:pPr>
    </w:p>
    <w:p>
      <w:pPr>
        <w:rPr>
          <w:b/>
          <w:bCs/>
          <w:noProof/>
          <w:szCs w:val="24"/>
          <w:u w:val="single"/>
        </w:rPr>
      </w:pPr>
      <w:r>
        <w:rPr>
          <w:b/>
          <w:i/>
          <w:noProof/>
        </w:rPr>
        <w:t>Impactul cerinței (cerințelor) asupra interoperabilității transfrontaliere din perspectiva serviciului public digital</w:t>
      </w:r>
    </w:p>
    <w:p>
      <w:pPr>
        <w:rPr>
          <w:b/>
          <w:noProof/>
          <w:u w:val="single"/>
        </w:rPr>
      </w:pPr>
      <w:r>
        <w:rPr>
          <w:b/>
          <w:noProof/>
          <w:u w:val="single"/>
        </w:rPr>
        <w:t xml:space="preserve">Solicitarea, eliberarea și revocarea documentelor de securitate socială </w:t>
      </w:r>
    </w:p>
    <w:tbl>
      <w:tblPr>
        <w:tblStyle w:val="TableGrid"/>
        <w:tblW w:w="14142" w:type="dxa"/>
        <w:tblLook w:val="04A0" w:firstRow="1" w:lastRow="0" w:firstColumn="1" w:lastColumn="0" w:noHBand="0" w:noVBand="1"/>
      </w:tblPr>
      <w:tblGrid>
        <w:gridCol w:w="3964"/>
        <w:gridCol w:w="4626"/>
        <w:gridCol w:w="5552"/>
      </w:tblGrid>
      <w:tr>
        <w:tc>
          <w:tcPr>
            <w:tcW w:w="3964" w:type="dxa"/>
          </w:tcPr>
          <w:p>
            <w:pPr>
              <w:jc w:val="left"/>
              <w:rPr>
                <w:b/>
                <w:bCs/>
                <w:noProof/>
                <w:szCs w:val="24"/>
              </w:rPr>
            </w:pPr>
            <w:r>
              <w:rPr>
                <w:b/>
                <w:noProof/>
              </w:rPr>
              <w:t>Evaluare</w:t>
            </w:r>
          </w:p>
        </w:tc>
        <w:tc>
          <w:tcPr>
            <w:tcW w:w="4626" w:type="dxa"/>
          </w:tcPr>
          <w:p>
            <w:pPr>
              <w:jc w:val="left"/>
              <w:rPr>
                <w:b/>
                <w:bCs/>
                <w:noProof/>
                <w:szCs w:val="24"/>
              </w:rPr>
            </w:pPr>
            <w:r>
              <w:rPr>
                <w:b/>
                <w:noProof/>
              </w:rPr>
              <w:t>Măsură (măsuri)</w:t>
            </w:r>
          </w:p>
        </w:tc>
        <w:tc>
          <w:tcPr>
            <w:tcW w:w="5552" w:type="dxa"/>
          </w:tcPr>
          <w:p>
            <w:pPr>
              <w:jc w:val="left"/>
              <w:rPr>
                <w:b/>
                <w:bCs/>
                <w:noProof/>
                <w:szCs w:val="24"/>
              </w:rPr>
            </w:pPr>
            <w:r>
              <w:rPr>
                <w:b/>
                <w:noProof/>
              </w:rPr>
              <w:t>Obstacole potențiale rămase (dacă este cazul)</w:t>
            </w:r>
          </w:p>
        </w:tc>
      </w:tr>
      <w:tr>
        <w:tc>
          <w:tcPr>
            <w:tcW w:w="3964" w:type="dxa"/>
          </w:tcPr>
          <w:p>
            <w:pPr>
              <w:spacing w:before="0"/>
              <w:jc w:val="left"/>
              <w:rPr>
                <w:b/>
                <w:noProof/>
              </w:rPr>
            </w:pPr>
            <w:r>
              <w:rPr>
                <w:b/>
                <w:noProof/>
              </w:rPr>
              <w:t xml:space="preserve">Alinierea la politicile digitale și sectoriale existente </w:t>
            </w:r>
          </w:p>
          <w:p>
            <w:pPr>
              <w:spacing w:before="0"/>
              <w:jc w:val="left"/>
              <w:rPr>
                <w:b/>
                <w:noProof/>
              </w:rPr>
            </w:pPr>
            <w:r>
              <w:rPr>
                <w:b/>
                <w:noProof/>
              </w:rPr>
              <w:t>Vă rugăm să enumerați politicile digitale și sectoriale aplicabile identificate</w:t>
            </w:r>
          </w:p>
        </w:tc>
        <w:tc>
          <w:tcPr>
            <w:tcW w:w="4626" w:type="dxa"/>
          </w:tcPr>
          <w:p>
            <w:pPr>
              <w:numPr>
                <w:ilvl w:val="0"/>
                <w:numId w:val="19"/>
              </w:numPr>
              <w:spacing w:before="0"/>
              <w:contextualSpacing/>
              <w:jc w:val="left"/>
              <w:rPr>
                <w:noProof/>
                <w:szCs w:val="24"/>
              </w:rPr>
            </w:pPr>
            <w:r>
              <w:rPr>
                <w:noProof/>
              </w:rPr>
              <w:t>Adoptarea tehnologiilor și a standardelor prevăzute în Regulamentul privind identitatea digitală europeană</w:t>
            </w:r>
          </w:p>
          <w:p>
            <w:pPr>
              <w:numPr>
                <w:ilvl w:val="0"/>
                <w:numId w:val="19"/>
              </w:numPr>
              <w:spacing w:before="0"/>
              <w:contextualSpacing/>
              <w:jc w:val="left"/>
              <w:rPr>
                <w:noProof/>
                <w:szCs w:val="24"/>
              </w:rPr>
            </w:pPr>
            <w:r>
              <w:rPr>
                <w:noProof/>
              </w:rPr>
              <w:t>Utilizarea semnăturilor electronice în conformitate cu Regulamentul eIDAS (pentru documentele de securitate socială în format fizic îmbunătățite prin caracteristici digitale)</w:t>
            </w:r>
          </w:p>
          <w:p>
            <w:pPr>
              <w:numPr>
                <w:ilvl w:val="0"/>
                <w:numId w:val="19"/>
              </w:numPr>
              <w:spacing w:before="0"/>
              <w:contextualSpacing/>
              <w:jc w:val="left"/>
              <w:rPr>
                <w:noProof/>
                <w:szCs w:val="24"/>
              </w:rPr>
            </w:pPr>
            <w:r>
              <w:rPr>
                <w:noProof/>
              </w:rPr>
              <w:t>Respectarea RGPD</w:t>
            </w:r>
          </w:p>
          <w:p>
            <w:pPr>
              <w:numPr>
                <w:ilvl w:val="0"/>
                <w:numId w:val="19"/>
              </w:numPr>
              <w:spacing w:before="0"/>
              <w:contextualSpacing/>
              <w:jc w:val="left"/>
              <w:rPr>
                <w:noProof/>
                <w:szCs w:val="24"/>
              </w:rPr>
            </w:pPr>
            <w:r>
              <w:rPr>
                <w:noProof/>
              </w:rPr>
              <w:t>Sinergii cu procesele legate de EESSI (R15)</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Măsurile organizatorice pentru furnizarea fără sincope a serviciilor publice digitale la nivel transfrontalier</w:t>
            </w:r>
          </w:p>
          <w:p>
            <w:pPr>
              <w:jc w:val="left"/>
              <w:rPr>
                <w:b/>
                <w:bCs/>
                <w:noProof/>
                <w:szCs w:val="24"/>
              </w:rPr>
            </w:pPr>
            <w:r>
              <w:rPr>
                <w:b/>
                <w:noProof/>
              </w:rPr>
              <w:t>Vă rugăm să enumerați măsurile de guvernanță prevăzute</w:t>
            </w:r>
          </w:p>
        </w:tc>
        <w:tc>
          <w:tcPr>
            <w:tcW w:w="4626" w:type="dxa"/>
          </w:tcPr>
          <w:p>
            <w:pPr>
              <w:numPr>
                <w:ilvl w:val="0"/>
                <w:numId w:val="19"/>
              </w:numPr>
              <w:contextualSpacing/>
              <w:jc w:val="left"/>
              <w:rPr>
                <w:noProof/>
                <w:szCs w:val="24"/>
              </w:rPr>
            </w:pPr>
            <w:r>
              <w:rPr>
                <w:noProof/>
              </w:rPr>
              <w:t>Crearea unei structuri de guvernanță moderne și eficiente, care să cuprindă un comitet instituit în temeiul Regulamentului (UE) nr. 182/2011 pentru a sprijini Comisia în adoptarea actelor de punere în aplicare și Grupul privind digitalizarea, cu rol consultativ, care să ofere consiliere tehnică, sprijin operațional și o comunitate de practică pentru schimbul de experiență și de cunoștințe.</w:t>
            </w:r>
          </w:p>
          <w:p>
            <w:pPr>
              <w:numPr>
                <w:ilvl w:val="0"/>
                <w:numId w:val="19"/>
              </w:numPr>
              <w:contextualSpacing/>
              <w:jc w:val="left"/>
              <w:rPr>
                <w:noProof/>
                <w:szCs w:val="24"/>
              </w:rPr>
            </w:pPr>
            <w:r>
              <w:rPr>
                <w:noProof/>
              </w:rPr>
              <w:t>Înregistrarea emitenților de încredere în cadrul de încredere și notificarea către Comisie a listelor de încredere corespunzătoare.</w:t>
            </w:r>
          </w:p>
          <w:p>
            <w:pPr>
              <w:numPr>
                <w:ilvl w:val="0"/>
                <w:numId w:val="19"/>
              </w:numPr>
              <w:contextualSpacing/>
              <w:jc w:val="left"/>
              <w:rPr>
                <w:noProof/>
                <w:szCs w:val="24"/>
              </w:rPr>
            </w:pPr>
            <w:r>
              <w:rPr>
                <w:noProof/>
              </w:rPr>
              <w:t>Recunoașterea reciprocă a documentelor de securitate socială</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Măsurile luate pentru a asigura o înțelegere comună a datelor</w:t>
            </w:r>
          </w:p>
          <w:p>
            <w:pPr>
              <w:jc w:val="left"/>
              <w:rPr>
                <w:b/>
                <w:noProof/>
              </w:rPr>
            </w:pPr>
            <w:r>
              <w:rPr>
                <w:b/>
                <w:noProof/>
              </w:rPr>
              <w:t>Vă rugăm să enumerați măsurile respective</w:t>
            </w:r>
          </w:p>
        </w:tc>
        <w:tc>
          <w:tcPr>
            <w:tcW w:w="4626" w:type="dxa"/>
          </w:tcPr>
          <w:p>
            <w:pPr>
              <w:numPr>
                <w:ilvl w:val="0"/>
                <w:numId w:val="19"/>
              </w:numPr>
              <w:spacing w:before="0"/>
              <w:contextualSpacing/>
              <w:jc w:val="left"/>
              <w:rPr>
                <w:noProof/>
                <w:szCs w:val="24"/>
              </w:rPr>
            </w:pPr>
            <w:r>
              <w:rPr>
                <w:noProof/>
              </w:rPr>
              <w:t xml:space="preserve">Specificații comune adoptate prin acte de punere în aplicare, în conformitate cu procedura de examinare menționată la articolul 5 din Regulamentul (UE) nr. 182/2011. </w:t>
            </w:r>
          </w:p>
          <w:p>
            <w:pPr>
              <w:numPr>
                <w:ilvl w:val="0"/>
                <w:numId w:val="19"/>
              </w:numPr>
              <w:spacing w:before="0"/>
              <w:contextualSpacing/>
              <w:jc w:val="left"/>
              <w:rPr>
                <w:noProof/>
                <w:szCs w:val="24"/>
              </w:rPr>
            </w:pPr>
            <w:r>
              <w:rPr>
                <w:noProof/>
              </w:rPr>
              <w:t>Grupul consultativ care oferă Comisiei expertiză în etapa inițială de pregătire a actelor de punere în aplicare, înainte ca acestea să fie prezentate comitetului.</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Utilizarea specificațiilor și standardelor tehnice deschise stabilite de comun acord</w:t>
            </w:r>
          </w:p>
          <w:p>
            <w:pPr>
              <w:jc w:val="left"/>
              <w:rPr>
                <w:b/>
                <w:noProof/>
              </w:rPr>
            </w:pPr>
            <w:r>
              <w:rPr>
                <w:b/>
                <w:noProof/>
              </w:rPr>
              <w:t>Vă rugăm să enumerați măsurile respective</w:t>
            </w:r>
          </w:p>
        </w:tc>
        <w:tc>
          <w:tcPr>
            <w:tcW w:w="4626" w:type="dxa"/>
          </w:tcPr>
          <w:p>
            <w:pPr>
              <w:numPr>
                <w:ilvl w:val="0"/>
                <w:numId w:val="19"/>
              </w:numPr>
              <w:spacing w:before="0"/>
              <w:contextualSpacing/>
              <w:jc w:val="left"/>
              <w:rPr>
                <w:noProof/>
                <w:szCs w:val="24"/>
              </w:rPr>
            </w:pPr>
            <w:r>
              <w:rPr>
                <w:noProof/>
              </w:rPr>
              <w:t xml:space="preserve">Adoptarea specificațiilor tehnice pentru documentele digitale de securitate socială, astfel cum se prevede la articolul 7 alineatul (1) </w:t>
            </w:r>
          </w:p>
          <w:p>
            <w:pPr>
              <w:numPr>
                <w:ilvl w:val="0"/>
                <w:numId w:val="19"/>
              </w:numPr>
              <w:spacing w:before="0"/>
              <w:contextualSpacing/>
              <w:jc w:val="left"/>
              <w:rPr>
                <w:noProof/>
                <w:szCs w:val="24"/>
              </w:rPr>
            </w:pPr>
            <w:r>
              <w:rPr>
                <w:noProof/>
              </w:rPr>
              <w:t>Adoptarea specificațiilor tehnice pentru documentele de securitate socială în format fizic îmbunătățite prin caracteristici digitale, astfel cum se prevede la articolul 7 alineatul (2)</w:t>
            </w:r>
          </w:p>
        </w:tc>
        <w:tc>
          <w:tcPr>
            <w:tcW w:w="5552" w:type="dxa"/>
          </w:tcPr>
          <w:p>
            <w:pPr>
              <w:tabs>
                <w:tab w:val="left" w:pos="5678"/>
              </w:tabs>
              <w:spacing w:before="0"/>
              <w:jc w:val="left"/>
              <w:rPr>
                <w:noProof/>
                <w:szCs w:val="24"/>
              </w:rPr>
            </w:pPr>
            <w:r>
              <w:rPr>
                <w:noProof/>
              </w:rPr>
              <w:t>Impact potențial ridicat asupra autorităților cu niveluri mai scăzute de maturitate tehnologică</w:t>
            </w:r>
          </w:p>
        </w:tc>
      </w:tr>
    </w:tbl>
    <w:p>
      <w:pPr>
        <w:rPr>
          <w:noProof/>
        </w:rPr>
      </w:pPr>
    </w:p>
    <w:p>
      <w:pPr>
        <w:rPr>
          <w:b/>
          <w:noProof/>
          <w:u w:val="single"/>
        </w:rPr>
      </w:pPr>
      <w:r>
        <w:rPr>
          <w:b/>
          <w:noProof/>
          <w:u w:val="single"/>
        </w:rPr>
        <w:t xml:space="preserve">Verificarea documentelor de securitate socială </w:t>
      </w:r>
    </w:p>
    <w:tbl>
      <w:tblPr>
        <w:tblStyle w:val="TableGrid"/>
        <w:tblW w:w="14142" w:type="dxa"/>
        <w:tblLook w:val="04A0" w:firstRow="1" w:lastRow="0" w:firstColumn="1" w:lastColumn="0" w:noHBand="0" w:noVBand="1"/>
      </w:tblPr>
      <w:tblGrid>
        <w:gridCol w:w="3964"/>
        <w:gridCol w:w="4626"/>
        <w:gridCol w:w="5552"/>
      </w:tblGrid>
      <w:tr>
        <w:tc>
          <w:tcPr>
            <w:tcW w:w="3964" w:type="dxa"/>
          </w:tcPr>
          <w:p>
            <w:pPr>
              <w:jc w:val="left"/>
              <w:rPr>
                <w:b/>
                <w:bCs/>
                <w:noProof/>
                <w:szCs w:val="24"/>
              </w:rPr>
            </w:pPr>
            <w:r>
              <w:rPr>
                <w:b/>
                <w:noProof/>
              </w:rPr>
              <w:t>Evaluare</w:t>
            </w:r>
          </w:p>
        </w:tc>
        <w:tc>
          <w:tcPr>
            <w:tcW w:w="4626" w:type="dxa"/>
          </w:tcPr>
          <w:p>
            <w:pPr>
              <w:jc w:val="left"/>
              <w:rPr>
                <w:b/>
                <w:bCs/>
                <w:noProof/>
                <w:szCs w:val="24"/>
              </w:rPr>
            </w:pPr>
            <w:r>
              <w:rPr>
                <w:b/>
                <w:noProof/>
              </w:rPr>
              <w:t>Măsură (măsuri)</w:t>
            </w:r>
          </w:p>
        </w:tc>
        <w:tc>
          <w:tcPr>
            <w:tcW w:w="5552" w:type="dxa"/>
          </w:tcPr>
          <w:p>
            <w:pPr>
              <w:jc w:val="left"/>
              <w:rPr>
                <w:b/>
                <w:bCs/>
                <w:noProof/>
                <w:szCs w:val="24"/>
              </w:rPr>
            </w:pPr>
            <w:r>
              <w:rPr>
                <w:b/>
                <w:noProof/>
              </w:rPr>
              <w:t>Obstacole potențiale rămase (dacă este cazul)</w:t>
            </w:r>
          </w:p>
        </w:tc>
      </w:tr>
      <w:tr>
        <w:tc>
          <w:tcPr>
            <w:tcW w:w="3964" w:type="dxa"/>
          </w:tcPr>
          <w:p>
            <w:pPr>
              <w:spacing w:before="0"/>
              <w:jc w:val="left"/>
              <w:rPr>
                <w:b/>
                <w:noProof/>
              </w:rPr>
            </w:pPr>
            <w:r>
              <w:rPr>
                <w:b/>
                <w:noProof/>
              </w:rPr>
              <w:t xml:space="preserve">Alinierea la politicile digitale și sectoriale existente </w:t>
            </w:r>
          </w:p>
          <w:p>
            <w:pPr>
              <w:spacing w:before="0"/>
              <w:jc w:val="left"/>
              <w:rPr>
                <w:b/>
                <w:noProof/>
              </w:rPr>
            </w:pPr>
            <w:r>
              <w:rPr>
                <w:b/>
                <w:noProof/>
              </w:rPr>
              <w:t>Vă rugăm să enumerați politicile digitale și sectoriale aplicabile identificate</w:t>
            </w:r>
          </w:p>
        </w:tc>
        <w:tc>
          <w:tcPr>
            <w:tcW w:w="4626" w:type="dxa"/>
          </w:tcPr>
          <w:p>
            <w:pPr>
              <w:numPr>
                <w:ilvl w:val="0"/>
                <w:numId w:val="19"/>
              </w:numPr>
              <w:spacing w:before="0"/>
              <w:contextualSpacing/>
              <w:jc w:val="left"/>
              <w:rPr>
                <w:noProof/>
                <w:szCs w:val="24"/>
              </w:rPr>
            </w:pPr>
            <w:r>
              <w:rPr>
                <w:noProof/>
              </w:rPr>
              <w:t>Adoptarea tehnologiilor și a standardelor prevăzute în Regulamentul privind identitatea digitală europeană</w:t>
            </w:r>
          </w:p>
          <w:p>
            <w:pPr>
              <w:numPr>
                <w:ilvl w:val="0"/>
                <w:numId w:val="19"/>
              </w:numPr>
              <w:spacing w:before="0"/>
              <w:contextualSpacing/>
              <w:jc w:val="left"/>
              <w:rPr>
                <w:noProof/>
                <w:szCs w:val="24"/>
              </w:rPr>
            </w:pPr>
            <w:r>
              <w:rPr>
                <w:noProof/>
              </w:rPr>
              <w:t>Utilizarea semnăturilor electronice în conformitate cu Regulamentul eIDAS (pentru documentele de securitate socială în format fizic îmbunătățite prin caracteristici digitale)</w:t>
            </w:r>
          </w:p>
          <w:p>
            <w:pPr>
              <w:numPr>
                <w:ilvl w:val="0"/>
                <w:numId w:val="19"/>
              </w:numPr>
              <w:spacing w:before="0"/>
              <w:contextualSpacing/>
              <w:jc w:val="left"/>
              <w:rPr>
                <w:noProof/>
                <w:szCs w:val="24"/>
              </w:rPr>
            </w:pPr>
            <w:r>
              <w:rPr>
                <w:noProof/>
              </w:rPr>
              <w:t xml:space="preserve">Sinergii cu inițiativele de e-sănătate care utilizează portofelele EUDI </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Măsurile organizatorice pentru furnizarea fără sincope a serviciilor publice digitale la nivel transfrontalier</w:t>
            </w:r>
          </w:p>
          <w:p>
            <w:pPr>
              <w:jc w:val="left"/>
              <w:rPr>
                <w:b/>
                <w:bCs/>
                <w:noProof/>
                <w:szCs w:val="24"/>
              </w:rPr>
            </w:pPr>
            <w:r>
              <w:rPr>
                <w:b/>
                <w:noProof/>
              </w:rPr>
              <w:t>Vă rugăm să enumerați măsurile de guvernanță prevăzute</w:t>
            </w:r>
          </w:p>
        </w:tc>
        <w:tc>
          <w:tcPr>
            <w:tcW w:w="4626" w:type="dxa"/>
          </w:tcPr>
          <w:p>
            <w:pPr>
              <w:numPr>
                <w:ilvl w:val="0"/>
                <w:numId w:val="19"/>
              </w:numPr>
              <w:contextualSpacing/>
              <w:jc w:val="left"/>
              <w:rPr>
                <w:noProof/>
                <w:szCs w:val="24"/>
              </w:rPr>
            </w:pPr>
            <w:r>
              <w:rPr>
                <w:noProof/>
              </w:rPr>
              <w:t>Crearea unei structuri de guvernanță moderne și eficiente, care să cuprindă un comitet instituit în temeiul Regulamentului (UE) nr. 182/2011 pentru a sprijini Comisia în adoptarea actelor de punere în aplicare și Grupul privind digitalizarea, cu rol consultativ, care să ofere consiliere tehnică, sprijin operațional și o comunitate de practică pentru schimbul de experiență și de cunoștințe.</w:t>
            </w:r>
          </w:p>
          <w:p>
            <w:pPr>
              <w:numPr>
                <w:ilvl w:val="0"/>
                <w:numId w:val="19"/>
              </w:numPr>
              <w:contextualSpacing/>
              <w:jc w:val="left"/>
              <w:rPr>
                <w:noProof/>
                <w:szCs w:val="24"/>
              </w:rPr>
            </w:pPr>
            <w:r>
              <w:rPr>
                <w:noProof/>
              </w:rPr>
              <w:t>Înregistrarea verificatorilor autorizați cu respectarea cadrului de încredere al EUDI.</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Măsurile luate pentru a asigura o înțelegere comună a datelor</w:t>
            </w:r>
          </w:p>
          <w:p>
            <w:pPr>
              <w:jc w:val="left"/>
              <w:rPr>
                <w:b/>
                <w:noProof/>
              </w:rPr>
            </w:pPr>
            <w:r>
              <w:rPr>
                <w:b/>
                <w:noProof/>
              </w:rPr>
              <w:t>Vă rugăm să enumerați măsurile respective</w:t>
            </w:r>
          </w:p>
        </w:tc>
        <w:tc>
          <w:tcPr>
            <w:tcW w:w="4626" w:type="dxa"/>
          </w:tcPr>
          <w:p>
            <w:pPr>
              <w:numPr>
                <w:ilvl w:val="0"/>
                <w:numId w:val="19"/>
              </w:numPr>
              <w:spacing w:before="0"/>
              <w:contextualSpacing/>
              <w:jc w:val="left"/>
              <w:rPr>
                <w:noProof/>
                <w:szCs w:val="24"/>
              </w:rPr>
            </w:pPr>
            <w:r>
              <w:rPr>
                <w:noProof/>
              </w:rPr>
              <w:t xml:space="preserve">Specificații comune adoptate prin acte de punere în aplicare, în conformitate cu procedura de examinare menționată la articolul 5 din Regulamentul (UE) nr. 182/2011. </w:t>
            </w:r>
          </w:p>
          <w:p>
            <w:pPr>
              <w:numPr>
                <w:ilvl w:val="0"/>
                <w:numId w:val="19"/>
              </w:numPr>
              <w:spacing w:before="0"/>
              <w:contextualSpacing/>
              <w:jc w:val="left"/>
              <w:rPr>
                <w:noProof/>
                <w:szCs w:val="24"/>
              </w:rPr>
            </w:pPr>
            <w:r>
              <w:rPr>
                <w:noProof/>
              </w:rPr>
              <w:t>Grupul consultativ care oferă Comisiei expertiză în etapa inițială de pregătire a actelor de punere în aplicare, înainte ca acestea să fie prezentate comitetului.</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Utilizarea specificațiilor și standardelor tehnice deschise stabilite de comun acord</w:t>
            </w:r>
          </w:p>
          <w:p>
            <w:pPr>
              <w:jc w:val="left"/>
              <w:rPr>
                <w:b/>
                <w:noProof/>
              </w:rPr>
            </w:pPr>
            <w:r>
              <w:rPr>
                <w:b/>
                <w:noProof/>
              </w:rPr>
              <w:t>Vă rugăm să enumerați măsurile respective</w:t>
            </w:r>
          </w:p>
        </w:tc>
        <w:tc>
          <w:tcPr>
            <w:tcW w:w="4626" w:type="dxa"/>
          </w:tcPr>
          <w:p>
            <w:pPr>
              <w:numPr>
                <w:ilvl w:val="0"/>
                <w:numId w:val="19"/>
              </w:numPr>
              <w:spacing w:before="0"/>
              <w:contextualSpacing/>
              <w:jc w:val="left"/>
              <w:rPr>
                <w:noProof/>
                <w:szCs w:val="24"/>
              </w:rPr>
            </w:pPr>
            <w:r>
              <w:rPr>
                <w:noProof/>
              </w:rPr>
              <w:t>Adoptarea specificațiilor tehnice pentru verificarea documentelor de securitate socială, indiferent de format, astfel cum se prevede la articolul 7 alineatul (11)</w:t>
            </w:r>
          </w:p>
        </w:tc>
        <w:tc>
          <w:tcPr>
            <w:tcW w:w="5552" w:type="dxa"/>
          </w:tcPr>
          <w:p>
            <w:pPr>
              <w:tabs>
                <w:tab w:val="left" w:pos="5678"/>
              </w:tabs>
              <w:spacing w:before="0"/>
              <w:ind w:left="360"/>
              <w:contextualSpacing/>
              <w:jc w:val="left"/>
              <w:rPr>
                <w:noProof/>
                <w:szCs w:val="24"/>
                <w:lang w:eastAsia="en-GB"/>
              </w:rPr>
            </w:pPr>
          </w:p>
        </w:tc>
      </w:tr>
    </w:tbl>
    <w:p>
      <w:pPr>
        <w:rPr>
          <w:noProof/>
        </w:rPr>
      </w:pPr>
    </w:p>
    <w:p>
      <w:pPr>
        <w:keepNext/>
        <w:tabs>
          <w:tab w:val="left" w:pos="850"/>
        </w:tabs>
        <w:ind w:left="850" w:hanging="850"/>
        <w:outlineLvl w:val="1"/>
        <w:rPr>
          <w:b/>
          <w:noProof/>
        </w:rPr>
      </w:pPr>
      <w:bookmarkStart w:id="200" w:name="_Toc167220306"/>
      <w:bookmarkStart w:id="201" w:name="_Toc177549041"/>
      <w:r>
        <w:rPr>
          <w:b/>
          <w:noProof/>
        </w:rPr>
        <w:t>4.5.</w:t>
      </w:r>
      <w:r>
        <w:rPr>
          <w:noProof/>
        </w:rPr>
        <w:tab/>
      </w:r>
      <w:r>
        <w:rPr>
          <w:b/>
          <w:noProof/>
        </w:rPr>
        <w:t>Măsuri de sprijinire a implementării digitale</w:t>
      </w:r>
      <w:bookmarkEnd w:id="200"/>
      <w:bookmarkEnd w:id="201"/>
    </w:p>
    <w:p>
      <w:pPr>
        <w:rPr>
          <w:noProof/>
        </w:rPr>
      </w:pPr>
    </w:p>
    <w:p>
      <w:pPr>
        <w:rPr>
          <w:b/>
          <w:bCs/>
          <w:i/>
          <w:iCs/>
          <w:noProof/>
          <w:szCs w:val="24"/>
        </w:rPr>
      </w:pPr>
      <w:r>
        <w:rPr>
          <w:b/>
          <w:i/>
          <w:noProof/>
        </w:rPr>
        <w:t>Descriere generală a măsurilor de sprijinire a implementării digitale</w:t>
      </w:r>
    </w:p>
    <w:tbl>
      <w:tblPr>
        <w:tblStyle w:val="TableGrid"/>
        <w:tblW w:w="13887" w:type="dxa"/>
        <w:tblLook w:val="04A0" w:firstRow="1" w:lastRow="0" w:firstColumn="1" w:lastColumn="0" w:noHBand="0" w:noVBand="1"/>
      </w:tblPr>
      <w:tblGrid>
        <w:gridCol w:w="4248"/>
        <w:gridCol w:w="3544"/>
        <w:gridCol w:w="1843"/>
        <w:gridCol w:w="1842"/>
        <w:gridCol w:w="2410"/>
      </w:tblGrid>
      <w:tr>
        <w:trPr>
          <w:trHeight w:val="300"/>
        </w:trPr>
        <w:tc>
          <w:tcPr>
            <w:tcW w:w="4248" w:type="dxa"/>
            <w:vAlign w:val="bottom"/>
          </w:tcPr>
          <w:p>
            <w:pPr>
              <w:jc w:val="left"/>
              <w:rPr>
                <w:b/>
                <w:noProof/>
                <w:color w:val="000000"/>
              </w:rPr>
            </w:pPr>
            <w:r>
              <w:rPr>
                <w:b/>
                <w:noProof/>
              </w:rPr>
              <w:t>Descrierea</w:t>
            </w:r>
            <w:r>
              <w:rPr>
                <w:b/>
                <w:noProof/>
                <w:color w:val="000000"/>
              </w:rPr>
              <w:t xml:space="preserve"> măsurii</w:t>
            </w:r>
          </w:p>
        </w:tc>
        <w:tc>
          <w:tcPr>
            <w:tcW w:w="3544" w:type="dxa"/>
          </w:tcPr>
          <w:p>
            <w:pPr>
              <w:jc w:val="left"/>
              <w:rPr>
                <w:b/>
                <w:bCs/>
                <w:noProof/>
                <w:szCs w:val="24"/>
              </w:rPr>
            </w:pPr>
            <w:r>
              <w:rPr>
                <w:b/>
                <w:noProof/>
              </w:rPr>
              <w:t xml:space="preserve">Trimitere (trimiteri) la cerință (cerințe) </w:t>
            </w:r>
          </w:p>
        </w:tc>
        <w:tc>
          <w:tcPr>
            <w:tcW w:w="1843" w:type="dxa"/>
          </w:tcPr>
          <w:p>
            <w:pPr>
              <w:jc w:val="left"/>
              <w:rPr>
                <w:b/>
                <w:bCs/>
                <w:noProof/>
                <w:szCs w:val="24"/>
              </w:rPr>
            </w:pPr>
            <w:r>
              <w:rPr>
                <w:b/>
                <w:noProof/>
              </w:rPr>
              <w:t xml:space="preserve">Rolul Comisiei </w:t>
            </w:r>
          </w:p>
          <w:p>
            <w:pPr>
              <w:jc w:val="left"/>
              <w:rPr>
                <w:b/>
                <w:bCs/>
                <w:noProof/>
                <w:szCs w:val="24"/>
              </w:rPr>
            </w:pPr>
            <w:r>
              <w:rPr>
                <w:noProof/>
              </w:rPr>
              <w:t>(dacă este cazul)</w:t>
            </w:r>
          </w:p>
        </w:tc>
        <w:tc>
          <w:tcPr>
            <w:tcW w:w="1842" w:type="dxa"/>
          </w:tcPr>
          <w:p>
            <w:pPr>
              <w:jc w:val="left"/>
              <w:rPr>
                <w:b/>
                <w:bCs/>
                <w:noProof/>
                <w:szCs w:val="24"/>
              </w:rPr>
            </w:pPr>
            <w:r>
              <w:rPr>
                <w:b/>
                <w:noProof/>
              </w:rPr>
              <w:t>Actorii care urmează să fie implicați</w:t>
            </w:r>
          </w:p>
          <w:p>
            <w:pPr>
              <w:jc w:val="left"/>
              <w:rPr>
                <w:noProof/>
                <w:szCs w:val="24"/>
              </w:rPr>
            </w:pPr>
            <w:r>
              <w:rPr>
                <w:noProof/>
              </w:rPr>
              <w:t>(dacă</w:t>
            </w:r>
            <w:r>
              <w:rPr>
                <w:rStyle w:val="FootnoteReference"/>
                <w:noProof/>
              </w:rPr>
              <w:footnoteReference w:id="42"/>
            </w:r>
            <w:r>
              <w:rPr>
                <w:noProof/>
              </w:rPr>
              <w:t xml:space="preserve"> este cazul)</w:t>
            </w:r>
          </w:p>
        </w:tc>
        <w:tc>
          <w:tcPr>
            <w:tcW w:w="2410" w:type="dxa"/>
          </w:tcPr>
          <w:p>
            <w:pPr>
              <w:jc w:val="left"/>
              <w:rPr>
                <w:b/>
                <w:bCs/>
                <w:noProof/>
                <w:szCs w:val="24"/>
              </w:rPr>
            </w:pPr>
            <w:r>
              <w:rPr>
                <w:b/>
                <w:noProof/>
              </w:rPr>
              <w:t>Calendarul preconizat</w:t>
            </w:r>
          </w:p>
          <w:p>
            <w:pPr>
              <w:jc w:val="left"/>
              <w:rPr>
                <w:noProof/>
                <w:szCs w:val="24"/>
              </w:rPr>
            </w:pPr>
            <w:r>
              <w:rPr>
                <w:noProof/>
              </w:rPr>
              <w:t>(dacă este cazul)</w:t>
            </w:r>
          </w:p>
        </w:tc>
      </w:tr>
      <w:tr>
        <w:trPr>
          <w:trHeight w:val="300"/>
        </w:trPr>
        <w:tc>
          <w:tcPr>
            <w:tcW w:w="4248" w:type="dxa"/>
          </w:tcPr>
          <w:p>
            <w:pPr>
              <w:jc w:val="left"/>
              <w:rPr>
                <w:noProof/>
              </w:rPr>
            </w:pPr>
            <w:r>
              <w:rPr>
                <w:noProof/>
              </w:rPr>
              <w:t>Adoptarea actelor de punere în aplicare privind specificațiile funcționale, operaționale și tehnice, astfel cum se prevede la articolul 7 alineatele (1), (2) și (11).</w:t>
            </w:r>
          </w:p>
        </w:tc>
        <w:tc>
          <w:tcPr>
            <w:tcW w:w="3544" w:type="dxa"/>
          </w:tcPr>
          <w:p>
            <w:pPr>
              <w:jc w:val="left"/>
              <w:rPr>
                <w:noProof/>
              </w:rPr>
            </w:pPr>
            <w:r>
              <w:rPr>
                <w:noProof/>
              </w:rPr>
              <w:t>R2</w:t>
            </w:r>
          </w:p>
          <w:p>
            <w:pPr>
              <w:jc w:val="left"/>
              <w:rPr>
                <w:noProof/>
              </w:rPr>
            </w:pPr>
            <w:r>
              <w:rPr>
                <w:noProof/>
              </w:rPr>
              <w:t>R3</w:t>
            </w:r>
          </w:p>
          <w:p>
            <w:pPr>
              <w:jc w:val="left"/>
              <w:rPr>
                <w:noProof/>
              </w:rPr>
            </w:pPr>
            <w:r>
              <w:rPr>
                <w:noProof/>
              </w:rPr>
              <w:t>R7</w:t>
            </w:r>
          </w:p>
          <w:p>
            <w:pPr>
              <w:jc w:val="left"/>
              <w:rPr>
                <w:noProof/>
              </w:rPr>
            </w:pPr>
            <w:r>
              <w:rPr>
                <w:noProof/>
              </w:rPr>
              <w:t>R8</w:t>
            </w:r>
          </w:p>
          <w:p>
            <w:pPr>
              <w:jc w:val="left"/>
              <w:rPr>
                <w:noProof/>
              </w:rPr>
            </w:pPr>
            <w:r>
              <w:rPr>
                <w:noProof/>
              </w:rPr>
              <w:t>R9</w:t>
            </w:r>
          </w:p>
          <w:p>
            <w:pPr>
              <w:jc w:val="left"/>
              <w:rPr>
                <w:noProof/>
              </w:rPr>
            </w:pPr>
          </w:p>
        </w:tc>
        <w:tc>
          <w:tcPr>
            <w:tcW w:w="1843" w:type="dxa"/>
          </w:tcPr>
          <w:p>
            <w:pPr>
              <w:jc w:val="left"/>
              <w:rPr>
                <w:noProof/>
              </w:rPr>
            </w:pPr>
            <w:r>
              <w:rPr>
                <w:noProof/>
              </w:rPr>
              <w:t>Pregătirea și adoptarea actelor de punere în aplicare</w:t>
            </w:r>
          </w:p>
        </w:tc>
        <w:tc>
          <w:tcPr>
            <w:tcW w:w="1842" w:type="dxa"/>
          </w:tcPr>
          <w:p>
            <w:pPr>
              <w:jc w:val="left"/>
              <w:rPr>
                <w:noProof/>
              </w:rPr>
            </w:pPr>
            <w:r>
              <w:rPr>
                <w:noProof/>
              </w:rPr>
              <w:t>Comisia, comitetul compus din reprezentanți ai statelor membre</w:t>
            </w:r>
          </w:p>
        </w:tc>
        <w:tc>
          <w:tcPr>
            <w:tcW w:w="2410" w:type="dxa"/>
          </w:tcPr>
          <w:p>
            <w:pPr>
              <w:jc w:val="left"/>
              <w:rPr>
                <w:noProof/>
              </w:rPr>
            </w:pPr>
          </w:p>
        </w:tc>
      </w:tr>
    </w:tbl>
    <w:p>
      <w:pPr>
        <w:rPr>
          <w:noProof/>
        </w:rPr>
      </w:pPr>
      <w:bookmarkStart w:id="202" w:name="_Toc95A3C1CF5638408B985E05BC1A4EE434"/>
      <w:bookmarkEnd w:id="191"/>
      <w:bookmarkEnd w:id="202"/>
    </w:p>
    <w:sectPr>
      <w:headerReference w:type="default" r:id="rId32"/>
      <w:footerReference w:type="default" r:id="rId33"/>
      <w:pgSz w:w="16840" w:h="11907" w:orient="landscape" w:code="9"/>
      <w:pgMar w:top="1418"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Regulamentul (CE) nr. 883/2004 privind coordonarea sistemelor de securitate socială și Regulamentul (CE) nr. 987/2009 de stabilire a procedurii de punere în aplicare a Regulamentului (CE) nr. 883/2004. Aceste regulamente se aplică, de asemenea, Norvegiei, Islandei, Liechtensteinului și Elveției. În acordurile cu Regatul Unit sunt prevăzute norme specifice.</w:t>
      </w:r>
    </w:p>
  </w:footnote>
  <w:footnote w:id="2">
    <w:p>
      <w:pPr>
        <w:pStyle w:val="FootnoteText"/>
      </w:pPr>
      <w:r>
        <w:rPr>
          <w:rStyle w:val="FootnoteReference"/>
        </w:rPr>
        <w:footnoteRef/>
      </w:r>
      <w:r>
        <w:tab/>
        <w:t>Parlamentul European a aprobat acordul provizoriu la 7 iulie 2026, iar adoptarea formală de către Consiliu urmează încă să aibă loc.</w:t>
      </w:r>
    </w:p>
  </w:footnote>
  <w:footnote w:id="3">
    <w:p>
      <w:pPr>
        <w:pStyle w:val="FootnoteText"/>
      </w:pPr>
      <w:r>
        <w:rPr>
          <w:rStyle w:val="FootnoteReference"/>
        </w:rPr>
        <w:footnoteRef/>
      </w:r>
      <w:r>
        <w:tab/>
        <w:t xml:space="preserve">A se vedea raportul SMET din 2024: </w:t>
      </w:r>
      <w:hyperlink r:id="rId1" w:history="1">
        <w:r>
          <w:rPr>
            <w:rStyle w:val="Hyperlink"/>
          </w:rPr>
          <w:t>https://ec.europa.eu/internal_market/smet/_docs/2024/smet-report-2024_en.pdf</w:t>
        </w:r>
      </w:hyperlink>
      <w:r>
        <w:t xml:space="preserve">, p. 12. </w:t>
      </w:r>
    </w:p>
  </w:footnote>
  <w:footnote w:id="4">
    <w:p>
      <w:pPr>
        <w:pStyle w:val="FootnoteText"/>
      </w:pPr>
      <w:r>
        <w:rPr>
          <w:rStyle w:val="FootnoteReference"/>
        </w:rPr>
        <w:footnoteRef/>
      </w:r>
      <w:r>
        <w:tab/>
        <w:t xml:space="preserve">Documentul de poziție al BusinessEurope: </w:t>
      </w:r>
      <w:hyperlink r:id="rId2" w:history="1">
        <w:r>
          <w:rPr>
            <w:rStyle w:val="Hyperlink"/>
          </w:rPr>
          <w:t>Stepping up EU simplification efforts in the field of social affairs</w:t>
        </w:r>
      </w:hyperlink>
      <w:r>
        <w:t xml:space="preserve"> (Intensificarea eforturilor UE de simplificare în domeniul afacerilor sociale), contribuția CES la consultarea publică. </w:t>
      </w:r>
    </w:p>
  </w:footnote>
  <w:footnote w:id="5">
    <w:p>
      <w:pPr>
        <w:pStyle w:val="FootnoteText"/>
      </w:pPr>
      <w:r>
        <w:rPr>
          <w:rStyle w:val="FootnoteReference"/>
        </w:rPr>
        <w:footnoteRef/>
      </w:r>
      <w:r>
        <w:tab/>
        <w:t xml:space="preserve">Proiectul EESSI a fost lansat în 2008, iar sistemul a devenit operațional în 2019. Pentru informații suplimentare, a se vedea: </w:t>
      </w:r>
      <w:hyperlink r:id="rId3" w:history="1">
        <w:r>
          <w:rPr>
            <w:rStyle w:val="Hyperlink"/>
          </w:rPr>
          <w:t>Schimbul electronic de informații privind securitatea socială (EESSI) – Ocuparea forței de muncă, afaceri sociale și incluziune</w:t>
        </w:r>
      </w:hyperlink>
      <w:r>
        <w:t xml:space="preserve">. </w:t>
      </w:r>
    </w:p>
  </w:footnote>
  <w:footnote w:id="6">
    <w:p>
      <w:pPr>
        <w:pStyle w:val="FootnoteText"/>
      </w:pPr>
      <w:r>
        <w:rPr>
          <w:rStyle w:val="FootnoteReference"/>
        </w:rPr>
        <w:footnoteRef/>
      </w:r>
      <w:r>
        <w:tab/>
        <w:t>Obstacolele administrative legate de procedurile de detașare a lucrătorilor sunt considerate unele dintre cele mai importante obstacole care împiedică întreprinderile să își extindă activitatea în alte state membre, potrivit Strategiei privind piața unică din 2025. A se vedea, de asemenea, raportul SMET, pagina 12.</w:t>
      </w:r>
    </w:p>
  </w:footnote>
  <w:footnote w:id="7">
    <w:p>
      <w:pPr>
        <w:pStyle w:val="FootnoteText"/>
      </w:pPr>
      <w:r>
        <w:rPr>
          <w:rStyle w:val="FootnoteReference"/>
        </w:rPr>
        <w:footnoteRef/>
      </w:r>
      <w:r>
        <w:tab/>
        <w:t xml:space="preserve">Raportul Draghi subliniază că temerile legate de pierderea accesului la protecție socială sau de dificultățile de acces la securitatea socială în alte state membre descurajează persoanele să se mute – chiar dacă legislația UE garantează portabilitatea drepturilor în materie de securitate socială. </w:t>
      </w:r>
    </w:p>
  </w:footnote>
  <w:footnote w:id="8">
    <w:p>
      <w:pPr>
        <w:pStyle w:val="FootnoteText"/>
      </w:pPr>
      <w:r>
        <w:rPr>
          <w:rStyle w:val="FootnoteReference"/>
        </w:rPr>
        <w:footnoteRef/>
      </w:r>
      <w:r>
        <w:tab/>
        <w:t>Documentul portabil A1 atestă care este statul membru a cărui legislație în materie de securitate socială se aplică unei persoane aflate într-o situație de muncă transfrontalieră.</w:t>
      </w:r>
    </w:p>
  </w:footnote>
  <w:footnote w:id="9">
    <w:p>
      <w:pPr>
        <w:pStyle w:val="FootnoteText"/>
      </w:pPr>
      <w:r>
        <w:rPr>
          <w:rStyle w:val="FootnoteReference"/>
        </w:rPr>
        <w:footnoteRef/>
      </w:r>
      <w:r>
        <w:tab/>
        <w:t xml:space="preserve">Proiectul </w:t>
      </w:r>
      <w:hyperlink r:id="rId4" w:history="1">
        <w:r>
          <w:rPr>
            <w:rStyle w:val="Hyperlink"/>
          </w:rPr>
          <w:t>DC4EU</w:t>
        </w:r>
      </w:hyperlink>
      <w:r>
        <w:t xml:space="preserve"> a testat utilizarea cadrului european pentru identitatea digitală. La proiect au participat 80 de organisme din 22 de țări, dintre care 15 țări (AT, DE, DK, PL, BE, NL, FR, LU, BG, CZ, ES, PT, IT, FI, CH) au fost implicate în pachetele de lucru privind coordonarea securității sociale. </w:t>
      </w:r>
    </w:p>
    <w:p>
      <w:pPr>
        <w:pStyle w:val="FootnoteText"/>
        <w:ind w:firstLine="0"/>
      </w:pPr>
      <w:r>
        <w:t xml:space="preserve">Proiectul </w:t>
      </w:r>
      <w:hyperlink r:id="rId5" w:history="1">
        <w:r>
          <w:rPr>
            <w:rStyle w:val="Hyperlink"/>
          </w:rPr>
          <w:t>EBSI-Vector</w:t>
        </w:r>
      </w:hyperlink>
      <w:r>
        <w:t xml:space="preserve"> a explorat o soluție bazată pe tehnologiile blockchain, la care au participat 52 de parteneri din 20 de țări, dintre care cinci țări (AT, BE, DE, IT, NL) au fost implicate în cazurile de utilizare privind coordonarea securității sociale. Aceste proiecte au beneficiat de sprijin financiar prin programul Europa digitală.</w:t>
      </w:r>
    </w:p>
  </w:footnote>
  <w:footnote w:id="10">
    <w:p>
      <w:pPr>
        <w:pStyle w:val="FootnoteText"/>
      </w:pPr>
      <w:r>
        <w:rPr>
          <w:rStyle w:val="FootnoteReference"/>
        </w:rPr>
        <w:footnoteRef/>
      </w:r>
      <w:r>
        <w:tab/>
        <w:t>Regulamentul (CE) nr. 883/2004 al Parlamentului European și al Consiliului din 29 aprilie 2004 privind coordonarea sistemelor de securitate socială (JO L 166, 30.4.2004, p. 1, ELI: </w:t>
      </w:r>
      <w:hyperlink r:id="rId6" w:history="1">
        <w:r>
          <w:rPr>
            <w:rStyle w:val="Hyperlink"/>
          </w:rPr>
          <w:t>http://data.europa.eu/eli/reg/2004/883/oj</w:t>
        </w:r>
      </w:hyperlink>
      <w:r>
        <w:t xml:space="preserve">). </w:t>
      </w:r>
    </w:p>
  </w:footnote>
  <w:footnote w:id="11">
    <w:p>
      <w:pPr>
        <w:pStyle w:val="FootnoteText"/>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hyperlink r:id="rId7" w:history="1">
        <w:r>
          <w:rPr>
            <w:rStyle w:val="Hyperlink"/>
          </w:rPr>
          <w:t>http://data.europa.eu/eli/reg/2011/182/oj</w:t>
        </w:r>
      </w:hyperlink>
      <w:r>
        <w:t>).</w:t>
      </w:r>
    </w:p>
  </w:footnote>
  <w:footnote w:id="12">
    <w:p>
      <w:pPr>
        <w:pStyle w:val="FootnoteText"/>
      </w:pPr>
      <w:r>
        <w:rPr>
          <w:rStyle w:val="FootnoteReference"/>
        </w:rPr>
        <w:footnoteRef/>
      </w:r>
      <w:r>
        <w:tab/>
        <w:t xml:space="preserve">Regulamentul (UE) nr. 1231/2010 al Parlamentului European și al Consiliului din 24 noiembrie 2010 de extindere a Regulamentului (CE) nr. 883/2004 și a Regulamentului (CE) nr. 987/2009 la resortisanții țărilor terțe care nu fac obiectul regulamentelor respective exclusiv pe motive de cetățenie (JO L 344, 29.12.2010, p. 1, ELI: </w:t>
      </w:r>
      <w:hyperlink r:id="rId8" w:history="1">
        <w:r>
          <w:rPr>
            <w:rStyle w:val="Hyperlink"/>
          </w:rPr>
          <w:t>https://eur-lex.europa.eu/eli/reg/2010/1231/oj</w:t>
        </w:r>
      </w:hyperlink>
      <w:r>
        <w:t>).</w:t>
      </w:r>
    </w:p>
  </w:footnote>
  <w:footnote w:id="13">
    <w:p>
      <w:pPr>
        <w:pStyle w:val="FootnoteText"/>
      </w:pPr>
      <w:r>
        <w:rPr>
          <w:rStyle w:val="FootnoteReference"/>
        </w:rPr>
        <w:footnoteRef/>
      </w:r>
      <w:r>
        <w:tab/>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 ELI: </w:t>
      </w:r>
      <w:hyperlink r:id="rId9" w:history="1">
        <w:r>
          <w:rPr>
            <w:rStyle w:val="Hyperlink"/>
          </w:rPr>
          <w:t>http://data.europa.eu/eli/reg/2018/1724/oj</w:t>
        </w:r>
      </w:hyperlink>
      <w:r>
        <w:t>).</w:t>
      </w:r>
    </w:p>
  </w:footnote>
  <w:footnote w:id="14">
    <w:p>
      <w:pPr>
        <w:pStyle w:val="FootnoteText"/>
      </w:pPr>
      <w:r>
        <w:rPr>
          <w:rStyle w:val="FootnoteReference"/>
        </w:rPr>
        <w:footnoteRef/>
      </w:r>
      <w:r>
        <w:tab/>
        <w:t xml:space="preserve">Declarația europeană privind drepturile și principiile digitale. </w:t>
      </w:r>
    </w:p>
  </w:footnote>
  <w:footnote w:id="15">
    <w:p>
      <w:pPr>
        <w:pStyle w:val="FootnoteText"/>
      </w:pPr>
      <w:r>
        <w:rPr>
          <w:rStyle w:val="FootnoteReference"/>
        </w:rPr>
        <w:footnoteRef/>
      </w:r>
      <w:r>
        <w:tab/>
        <w:t>Se fac trimiteri la sectorul transportului rutier, deoarece acesta este singurul mod de transport pentru care a fost creat un portal specific al UE pentru declarațiile de detașare. Nu există un sistem echivalent pentru celelalte moduri de transport.</w:t>
      </w:r>
    </w:p>
  </w:footnote>
  <w:footnote w:id="16">
    <w:p>
      <w:pPr>
        <w:pStyle w:val="FootnoteText"/>
      </w:pPr>
      <w:r>
        <w:rPr>
          <w:rStyle w:val="FootnoteReference"/>
        </w:rPr>
        <w:footnoteRef/>
      </w:r>
      <w:r>
        <w:tab/>
        <w:t xml:space="preserve">Regulamentul (UE) 2025/327 al Parlamentului European și al Consiliului din 11 februarie 2025 privind </w:t>
      </w:r>
    </w:p>
    <w:p>
      <w:pPr>
        <w:pStyle w:val="FootnoteText"/>
        <w:ind w:firstLine="0"/>
      </w:pPr>
      <w:r>
        <w:t xml:space="preserve">Spațiul european al datelor privind sănătatea și de modificare a Directivei 2011/24/UE și a Regulamentului (UE) 2024/2847 (JO L, 2025/327, 5.3.2025, ELI: </w:t>
      </w:r>
      <w:hyperlink r:id="rId10" w:history="1">
        <w:r>
          <w:rPr>
            <w:rStyle w:val="Hyperlink"/>
          </w:rPr>
          <w:t>http://data.europa.eu/eli/reg/2025/327/oj</w:t>
        </w:r>
      </w:hyperlink>
      <w:r>
        <w:t>).</w:t>
      </w:r>
    </w:p>
    <w:p>
      <w:pPr>
        <w:pStyle w:val="FootnoteText"/>
        <w:ind w:firstLine="0"/>
      </w:pPr>
    </w:p>
  </w:footnote>
  <w:footnote w:id="17">
    <w:p>
      <w:pPr>
        <w:pStyle w:val="FootnoteText"/>
      </w:pPr>
      <w:r>
        <w:rPr>
          <w:rStyle w:val="FootnoteReference"/>
        </w:rPr>
        <w:footnoteRef/>
      </w:r>
      <w:r>
        <w:tab/>
        <w:t>SWD (2026) …</w:t>
      </w:r>
    </w:p>
  </w:footnote>
  <w:footnote w:id="18">
    <w:p>
      <w:pPr>
        <w:pStyle w:val="FootnoteText"/>
      </w:pPr>
      <w:r>
        <w:rPr>
          <w:rStyle w:val="FootnoteReference"/>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w:t>
      </w:r>
      <w:hyperlink r:id="rId11" w:history="1">
        <w:r>
          <w:rPr>
            <w:rStyle w:val="Hyperlink"/>
          </w:rPr>
          <w:t>http://data.europa.eu/eli/reg/2016/679/oj</w:t>
        </w:r>
      </w:hyperlink>
      <w:r>
        <w:rPr>
          <w:rStyle w:val="Hyperlink"/>
          <w:color w:val="auto"/>
          <w:u w:val="none"/>
        </w:rPr>
        <w:t>)</w:t>
      </w:r>
      <w:r>
        <w:t xml:space="preserve">. </w:t>
      </w:r>
    </w:p>
  </w:footnote>
  <w:footnote w:id="19">
    <w:p>
      <w:pPr>
        <w:pStyle w:val="FootnoteText"/>
      </w:pPr>
      <w:r>
        <w:rPr>
          <w:rStyle w:val="FootnoteReference"/>
        </w:rPr>
        <w:footnoteRef/>
      </w:r>
      <w:r>
        <w:tab/>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 ELI: </w:t>
      </w:r>
      <w:hyperlink r:id="rId12" w:tooltip="Oferă acces la acest document prin identificatorul său uniform de resurse ELI." w:history="1">
        <w:r>
          <w:rPr>
            <w:rStyle w:val="Hyperlink"/>
          </w:rPr>
          <w:t>http://data.europa.eu/eli/reg/2018/1724/oj</w:t>
        </w:r>
      </w:hyperlink>
      <w:r>
        <w:t xml:space="preserve">). </w:t>
      </w:r>
    </w:p>
  </w:footnote>
  <w:footnote w:id="20">
    <w:p>
      <w:pPr>
        <w:pStyle w:val="FootnoteText"/>
      </w:pPr>
      <w:r>
        <w:rPr>
          <w:rStyle w:val="FootnoteReference"/>
        </w:rPr>
        <w:footnoteRef/>
      </w:r>
      <w:r>
        <w:tab/>
        <w:t>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(JO L 159, 28.5.2014, p. 11, ELI: </w:t>
      </w:r>
      <w:hyperlink r:id="rId13" w:history="1">
        <w:r>
          <w:rPr>
            <w:rStyle w:val="Hyperlink"/>
          </w:rPr>
          <w:t>http://data.europa.eu/eli/dir/2014/67/oj</w:t>
        </w:r>
      </w:hyperlink>
      <w:r>
        <w:t xml:space="preserve">). </w:t>
      </w:r>
    </w:p>
  </w:footnote>
  <w:footnote w:id="21">
    <w:p>
      <w:pPr>
        <w:pStyle w:val="FootnoteText"/>
      </w:pPr>
      <w:r>
        <w:rPr>
          <w:rStyle w:val="FootnoteReference"/>
        </w:rPr>
        <w:footnoteRef/>
      </w:r>
      <w: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hyperlink r:id="rId14" w:history="1">
        <w:r>
          <w:rPr>
            <w:rStyle w:val="Hyperlink"/>
          </w:rPr>
          <w:t>http://data.europa.eu/eli/reg/2018/1725/oj</w:t>
        </w:r>
      </w:hyperlink>
      <w:r>
        <w:t>).</w:t>
      </w:r>
    </w:p>
  </w:footnote>
  <w:footnote w:id="22">
    <w:p>
      <w:pPr>
        <w:pStyle w:val="FootnoteText"/>
      </w:pPr>
      <w:r>
        <w:rPr>
          <w:rStyle w:val="FootnoteReference"/>
        </w:rPr>
        <w:footnoteRef/>
      </w:r>
      <w:r>
        <w:tab/>
        <w:t>Regulamentul (CE) nr. 883/2004 al Parlamentului European și al Consiliului din 29 aprilie 2004 privind coordonarea sistemelor de securitate socială (JO L 166, 30.4.2004, p. 1, ELI: </w:t>
      </w:r>
      <w:hyperlink r:id="rId15" w:tooltip="Oferă acces la acest document prin identificatorul său uniform de resurse ELI." w:history="1">
        <w:r>
          <w:rPr>
            <w:rStyle w:val="Hyperlink"/>
          </w:rPr>
          <w:t>http://data.europa.eu/eli/reg/2004/883/oj</w:t>
        </w:r>
      </w:hyperlink>
      <w:r>
        <w:t xml:space="preserve">). </w:t>
      </w:r>
    </w:p>
  </w:footnote>
  <w:footnote w:id="23">
    <w:p>
      <w:pPr>
        <w:ind w:left="720" w:hanging="720"/>
        <w:rPr>
          <w:sz w:val="20"/>
          <w:szCs w:val="20"/>
        </w:rPr>
      </w:pPr>
      <w:r>
        <w:rPr>
          <w:rStyle w:val="FootnoteReference"/>
        </w:rPr>
        <w:footnoteRef/>
      </w:r>
      <w:r>
        <w:rPr>
          <w:sz w:val="20"/>
          <w:szCs w:val="20"/>
        </w:rPr>
        <w:tab/>
        <w:t xml:space="preserve">Regulamentul (CE) nr. 987/2009 al Parlamentului European și al Consiliului din 16 septembrie 2009 de stabilire a procedurii de punere în aplicare a Regulamentului (CE) nr. 883/2004 privind coordonarea sistemelor de securitate socială (JO L 284, 30.10.2009, p. 1, ELI: </w:t>
      </w:r>
      <w:hyperlink r:id="rId16" w:history="1">
        <w:r>
          <w:rPr>
            <w:rStyle w:val="Hyperlink"/>
            <w:sz w:val="20"/>
            <w:szCs w:val="20"/>
          </w:rPr>
          <w:t>http://data.europa.eu/eli/reg/2009/987/oj</w:t>
        </w:r>
      </w:hyperlink>
      <w:r>
        <w:rPr>
          <w:sz w:val="20"/>
          <w:szCs w:val="20"/>
        </w:rPr>
        <w:t>).</w:t>
      </w:r>
    </w:p>
    <w:p>
      <w:pPr>
        <w:pStyle w:val="FootnoteText"/>
      </w:pPr>
    </w:p>
  </w:footnote>
  <w:footnote w:id="24">
    <w:p>
      <w:pPr>
        <w:pStyle w:val="FootnoteText"/>
        <w:rPr>
          <w:i/>
        </w:rPr>
      </w:pPr>
      <w:r>
        <w:rPr>
          <w:rStyle w:val="FootnoteReference"/>
        </w:rPr>
        <w:footnoteRef/>
      </w:r>
      <w:r>
        <w:tab/>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 ELI: </w:t>
      </w:r>
      <w:hyperlink r:id="rId17" w:tooltip="Oferă acces la acest document prin identificatorul său uniform de resurse ELI." w:history="1">
        <w:r>
          <w:rPr>
            <w:rStyle w:val="Hyperlink"/>
          </w:rPr>
          <w:t>http://data.europa.eu/eli/reg/2018/1724/oj</w:t>
        </w:r>
      </w:hyperlink>
      <w:r>
        <w:t xml:space="preserve">). </w:t>
      </w:r>
    </w:p>
  </w:footnote>
  <w:footnote w:id="25">
    <w:p>
      <w:pPr>
        <w:pStyle w:val="FootnoteText"/>
      </w:pPr>
      <w:r>
        <w:rPr>
          <w:rStyle w:val="FootnoteReference"/>
        </w:rPr>
        <w:footnoteRef/>
      </w:r>
      <w:r>
        <w:tab/>
        <w:t xml:space="preserve">Regulamentul (UE) 2024/903 al Parlamentului European și al Consiliului din 13 martie 2024 de stabilire a unor măsuri pentru un nivel ridicat de interoperabilitate a sectorului public în întreaga Uniune (Regulamentul privind Europa interoperabilă) (JO L, 2024/903, 22.3.2024, ELI: </w:t>
      </w:r>
      <w:hyperlink r:id="rId18" w:tgtFrame="_blank" w:tooltip="Oferă acces la acest document prin identificatorul său uniform de resurse ELI." w:history="1">
        <w:r>
          <w:rPr>
            <w:rStyle w:val="Hyperlink"/>
          </w:rPr>
          <w:t>http://data.europa.eu/eli/reg/2024/903/oj</w:t>
        </w:r>
      </w:hyperlink>
      <w:r>
        <w:t>).</w:t>
      </w:r>
    </w:p>
  </w:footnote>
  <w:footnote w:id="26">
    <w:p>
      <w:pPr>
        <w:pStyle w:val="FootnoteText"/>
        <w:rPr>
          <w:i/>
        </w:rPr>
      </w:pPr>
      <w:r>
        <w:rPr>
          <w:rStyle w:val="FootnoteReference"/>
        </w:rPr>
        <w:footnoteRef/>
      </w:r>
      <w:r>
        <w:tab/>
        <w:t>Regulamentul (UE) nr. 910/2014 al Parlamentului European și al Consiliului din 23 iulie 2014 privind identificarea electronică și serviciile de încredere pentru tranzacțiile electronice pe piața internă și de abrogare a Directivei 1999/93/CE (JO L 257, 28.8.2014, p. 73, ELI: </w:t>
      </w:r>
      <w:hyperlink r:id="rId19" w:history="1">
        <w:r>
          <w:rPr>
            <w:rStyle w:val="Hyperlink"/>
          </w:rPr>
          <w:t>http://data.europa.eu/eli/reg/2014/910/oj</w:t>
        </w:r>
      </w:hyperlink>
      <w:r>
        <w:t>.</w:t>
      </w:r>
    </w:p>
  </w:footnote>
  <w:footnote w:id="27">
    <w:p>
      <w:pPr>
        <w:pStyle w:val="FootnoteText"/>
        <w:rPr>
          <w:i/>
        </w:rPr>
      </w:pPr>
      <w:r>
        <w:rPr>
          <w:rStyle w:val="FootnoteReference"/>
        </w:rPr>
        <w:footnoteRef/>
      </w:r>
      <w:r>
        <w:tab/>
        <w:t xml:space="preserve">Directiva (UE) 2016/2102 a Parlamentului European și a Consiliului din 26 octombrie 2016 privind accesibilitatea site-urilor web și a aplicațiilor mobile ale organismelor din sectorul public (JO L 327, 2.12.2016, p. 1, ELI: </w:t>
      </w:r>
      <w:hyperlink r:id="rId20" w:tooltip="Oferă acces la acest document prin identificatorul său uniform de resurse ELI." w:history="1">
        <w:r>
          <w:rPr>
            <w:rStyle w:val="Hyperlink"/>
          </w:rPr>
          <w:t>http://data.europa.eu/eli/dir/2016/2102/oj</w:t>
        </w:r>
      </w:hyperlink>
      <w:r>
        <w:t>).</w:t>
      </w:r>
    </w:p>
  </w:footnote>
  <w:footnote w:id="28">
    <w:p>
      <w:pPr>
        <w:pStyle w:val="FootnoteText"/>
      </w:pPr>
      <w:r>
        <w:rPr>
          <w:rStyle w:val="FootnoteReference"/>
        </w:rPr>
        <w:footnoteRef/>
      </w:r>
      <w:r>
        <w:tab/>
        <w:t>Directiva (UE) 2019/882 a Parlamentului European și a Consiliului din 17 aprilie 2019 privind cerințele de accesibilitate aplicabile produselor și serviciilor (JO L 151, 7.6.2019, p. 70, ELI: </w:t>
      </w:r>
      <w:hyperlink r:id="rId21" w:tooltip="Oferă acces la acest document prin identificatorul său uniform de resurse ELI." w:history="1">
        <w:r>
          <w:rPr>
            <w:rStyle w:val="Hyperlink"/>
          </w:rPr>
          <w:t>http://data.europa.eu/eli/dir/2019/882/oj</w:t>
        </w:r>
      </w:hyperlink>
      <w:r>
        <w:t>).</w:t>
      </w:r>
    </w:p>
  </w:footnote>
  <w:footnote w:id="29">
    <w:p>
      <w:pPr>
        <w:pStyle w:val="FootnoteText"/>
      </w:pPr>
      <w:r>
        <w:rPr>
          <w:rStyle w:val="FootnoteReference"/>
        </w:rPr>
        <w:footnoteRef/>
      </w:r>
      <w:r>
        <w:tab/>
        <w:t xml:space="preserve">Directiva 2002/58/CE a Parlamentului European și a Consiliului din 12 iulie 2002 privind prelucrarea datelor cu caracter personal și protecția vieții private în sectorul comunicațiilor electronice (Directiva privind viața privată și comunicațiile electronice) (JO L 201, 31.7.2002, p. 37). </w:t>
      </w:r>
    </w:p>
  </w:footnote>
  <w:footnote w:id="30">
    <w:p>
      <w:pPr>
        <w:pStyle w:val="FootnoteText"/>
      </w:pPr>
      <w:r>
        <w:rPr>
          <w:rStyle w:val="FootnoteReference"/>
        </w:rPr>
        <w:footnoteRef/>
      </w:r>
      <w:r>
        <w:tab/>
        <w:t xml:space="preserve">JO L 123, 12.5.2016, p. 1, ELI: </w:t>
      </w:r>
      <w:hyperlink r:id="rId22" w:history="1">
        <w:r>
          <w:rPr>
            <w:rStyle w:val="Hyperlink"/>
          </w:rPr>
          <w:t>http://data.europa.eu/eli/agree_interinstit/2016/512/oj</w:t>
        </w:r>
      </w:hyperlink>
      <w:r>
        <w:t xml:space="preserve">. </w:t>
      </w:r>
    </w:p>
  </w:footnote>
  <w:footnote w:id="31">
    <w:p>
      <w:pPr>
        <w:pStyle w:val="FootnoteText"/>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hyperlink r:id="rId23">
        <w:r>
          <w:rPr>
            <w:rStyle w:val="Hyperlink"/>
          </w:rPr>
          <w:t>http://data.europa.eu/eli/reg/2011/182/oj</w:t>
        </w:r>
      </w:hyperlink>
      <w:r>
        <w:t>).</w:t>
      </w:r>
    </w:p>
  </w:footnote>
  <w:footnote w:id="32">
    <w:p>
      <w:pPr>
        <w:pStyle w:val="title-bold"/>
        <w:ind w:left="720" w:hanging="720"/>
        <w:jc w:val="both"/>
        <w:rPr>
          <w:color w:val="333333"/>
          <w:sz w:val="20"/>
          <w:szCs w:val="20"/>
        </w:rPr>
      </w:pPr>
      <w:r>
        <w:rPr>
          <w:rStyle w:val="FootnoteReference"/>
        </w:rPr>
        <w:footnoteRef/>
      </w:r>
      <w:r>
        <w:rPr>
          <w:sz w:val="20"/>
          <w:szCs w:val="20"/>
        </w:rP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 ELI:</w:t>
      </w:r>
      <w:r>
        <w:rPr>
          <w:color w:val="333333"/>
          <w:sz w:val="20"/>
          <w:szCs w:val="20"/>
        </w:rPr>
        <w:t xml:space="preserve"> </w:t>
      </w:r>
      <w:hyperlink r:id="rId24" w:tooltip="Oferă acces la acest document prin identificatorul său uniform de resurse ELI." w:history="1">
        <w:r>
          <w:rPr>
            <w:rStyle w:val="Hyperlink"/>
            <w:sz w:val="20"/>
            <w:szCs w:val="20"/>
          </w:rPr>
          <w:t>http://data.europa.eu/eli/dir/2016/680/oj</w:t>
        </w:r>
      </w:hyperlink>
      <w:r>
        <w:rPr>
          <w:color w:val="333333"/>
          <w:sz w:val="20"/>
          <w:szCs w:val="20"/>
        </w:rPr>
        <w:t>).</w:t>
      </w:r>
    </w:p>
    <w:p>
      <w:pPr>
        <w:pStyle w:val="FootnoteText"/>
      </w:pPr>
      <w:r>
        <w:tab/>
      </w:r>
    </w:p>
  </w:footnote>
  <w:footnote w:id="33">
    <w:p>
      <w:pPr>
        <w:pStyle w:val="FootnoteText"/>
      </w:pPr>
      <w:r>
        <w:rPr>
          <w:rStyle w:val="FootnoteReference"/>
        </w:rPr>
        <w:footnoteRef/>
      </w:r>
      <w:r>
        <w:tab/>
        <w:t>Regulamentul (UE) nr. 1024/2012 al Parlamentului European și al Consiliului din 25 octombrie 2012 privind cooperarea administrativă prin intermediul Sistemului de informare al pieței interne și de abrogare a Deciziei 2008/49/CE a Comisiei („Regulamentul IMI”) (JO L 316, 14.11.2012, p. 1, ELI: </w:t>
      </w:r>
      <w:hyperlink r:id="rId25" w:tooltip="Oferă acces la acest document prin identificatorul său uniform de resurse ELI." w:history="1">
        <w:r>
          <w:rPr>
            <w:rStyle w:val="Hyperlink"/>
          </w:rPr>
          <w:t>http://data.europa.eu/eli/reg/2012/1024/oj</w:t>
        </w:r>
      </w:hyperlink>
      <w:r>
        <w:t xml:space="preserve">). </w:t>
      </w:r>
    </w:p>
  </w:footnote>
  <w:footnote w:id="34">
    <w:p>
      <w:pPr>
        <w:pStyle w:val="FootnoteText"/>
      </w:pPr>
      <w:r>
        <w:rPr>
          <w:rStyle w:val="FootnoteReference"/>
        </w:rPr>
        <w:footnoteRef/>
      </w:r>
      <w:r>
        <w:tab/>
        <w:t>Astfel cum se menționează la articolul 58 alineatul (2) litera (a) sau (b) din Regulamentul financiar.</w:t>
      </w:r>
    </w:p>
  </w:footnote>
  <w:footnote w:id="35">
    <w:p>
      <w:pPr>
        <w:pStyle w:val="FootnoteText"/>
      </w:pPr>
      <w:r>
        <w:rPr>
          <w:rStyle w:val="FootnoteReference"/>
        </w:rPr>
        <w:footnoteRef/>
      </w:r>
      <w:r>
        <w:tab/>
        <w:t>Dif. = credite diferențiate / Nedif. = credite nediferențiate.</w:t>
      </w:r>
    </w:p>
  </w:footnote>
  <w:footnote w:id="36">
    <w:p>
      <w:pPr>
        <w:pStyle w:val="FootnoteText"/>
      </w:pPr>
      <w:r>
        <w:rPr>
          <w:rStyle w:val="FootnoteReference"/>
        </w:rPr>
        <w:footnoteRef/>
      </w:r>
      <w:r>
        <w:tab/>
        <w:t xml:space="preserve">AELS: Asociația Europeană a Liberului Schimb. </w:t>
      </w:r>
    </w:p>
  </w:footnote>
  <w:footnote w:id="37">
    <w:p>
      <w:pPr>
        <w:pStyle w:val="FootnoteText"/>
      </w:pPr>
      <w:r>
        <w:rPr>
          <w:rStyle w:val="FootnoteReference"/>
        </w:rPr>
        <w:footnoteRef/>
      </w:r>
      <w:r>
        <w:tab/>
        <w:t>Țările candidate și, după caz, candidații potențiali din Balcanii de Vest.</w:t>
      </w:r>
    </w:p>
  </w:footnote>
  <w:footnote w:id="38">
    <w:p>
      <w:pPr>
        <w:pStyle w:val="FootnoteText"/>
        <w:rPr>
          <w:sz w:val="18"/>
          <w:szCs w:val="18"/>
        </w:rPr>
      </w:pPr>
      <w:r>
        <w:rPr>
          <w:rStyle w:val="FootnoteReference"/>
        </w:rPr>
        <w:footnoteRef/>
      </w:r>
      <w:r>
        <w:tab/>
      </w:r>
      <w:r>
        <w:rPr>
          <w:color w:val="000000"/>
          <w:sz w:val="18"/>
          <w:szCs w:val="18"/>
        </w:rPr>
        <w:t>Asistență tehnică și/sau administrativă și cheltuieli de sprijin pentru punerea în aplicare a programelor și/sau a acțiunilor UE (fostele linii „BA”), cercetare indirectă și cercetare directă.</w:t>
      </w:r>
    </w:p>
  </w:footnote>
  <w:footnote w:id="39">
    <w:p>
      <w:pPr>
        <w:pStyle w:val="FootnoteText"/>
        <w:rPr>
          <w:sz w:val="18"/>
          <w:szCs w:val="18"/>
        </w:rPr>
      </w:pPr>
      <w:r>
        <w:rPr>
          <w:rStyle w:val="FootnoteReference"/>
        </w:rPr>
        <w:footnoteRef/>
      </w:r>
      <w:r>
        <w:tab/>
      </w:r>
      <w:r>
        <w:rPr>
          <w:color w:val="374151"/>
          <w:sz w:val="18"/>
          <w:szCs w:val="18"/>
        </w:rPr>
        <w:t>Pentru determinarea creditelor necesare, ar trebui utilizate cifrele anuale privind costurile medii disponibile pe pagina web corespunzătoare din BUDGpedia.</w:t>
      </w:r>
    </w:p>
  </w:footnote>
  <w:footnote w:id="40">
    <w:p>
      <w:pPr>
        <w:pStyle w:val="FootnoteText"/>
      </w:pPr>
      <w:r>
        <w:rPr>
          <w:rStyle w:val="FootnoteReference"/>
        </w:rPr>
        <w:footnoteRef/>
      </w:r>
      <w:r>
        <w:tab/>
        <w:t>Realizările se referă la produsele și serviciile care trebuie furnizate (de ex.: numărul de schimburi de studenți finanțate, numărul de km de drumuri construiți etc.).</w:t>
      </w:r>
    </w:p>
  </w:footnote>
  <w:footnote w:id="41">
    <w:p>
      <w:pPr>
        <w:pStyle w:val="FootnoteText"/>
      </w:pPr>
      <w:r>
        <w:rPr>
          <w:rStyle w:val="FootnoteReference"/>
        </w:rPr>
        <w:footnoteRef/>
      </w:r>
      <w:r>
        <w:tab/>
        <w:t>Conform descrierii din secțiunea 1.3.2. „Obiectiv(e) specific(e)…”.</w:t>
      </w:r>
    </w:p>
  </w:footnote>
  <w:footnote w:id="42">
    <w:p>
      <w:pPr>
        <w:pStyle w:val="FootnoteText"/>
      </w:pPr>
      <w:r>
        <w:rPr>
          <w:rStyle w:val="FootnoteReference"/>
        </w:rPr>
        <w:footnoteRef/>
      </w:r>
      <w: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7EACFB"/>
    <w:multiLevelType w:val="hybridMultilevel"/>
    <w:tmpl w:val="BFCC969C"/>
    <w:lvl w:ilvl="0" w:tplc="73E44BA4">
      <w:start w:val="1"/>
      <w:numFmt w:val="decimal"/>
      <w:lvlText w:val="%1)"/>
      <w:lvlJc w:val="left"/>
      <w:pPr>
        <w:ind w:left="1210" w:hanging="360"/>
      </w:pPr>
    </w:lvl>
    <w:lvl w:ilvl="1" w:tplc="3DBA8352">
      <w:start w:val="1"/>
      <w:numFmt w:val="lowerLetter"/>
      <w:lvlText w:val="%2."/>
      <w:lvlJc w:val="left"/>
      <w:pPr>
        <w:ind w:left="1930" w:hanging="360"/>
      </w:pPr>
    </w:lvl>
    <w:lvl w:ilvl="2" w:tplc="71D207D6">
      <w:start w:val="1"/>
      <w:numFmt w:val="lowerRoman"/>
      <w:lvlText w:val="%3."/>
      <w:lvlJc w:val="right"/>
      <w:pPr>
        <w:ind w:left="2650" w:hanging="180"/>
      </w:pPr>
    </w:lvl>
    <w:lvl w:ilvl="3" w:tplc="F230C7F2">
      <w:start w:val="1"/>
      <w:numFmt w:val="decimal"/>
      <w:lvlText w:val="%4."/>
      <w:lvlJc w:val="left"/>
      <w:pPr>
        <w:ind w:left="3370" w:hanging="360"/>
      </w:pPr>
    </w:lvl>
    <w:lvl w:ilvl="4" w:tplc="2EF6E014">
      <w:start w:val="1"/>
      <w:numFmt w:val="lowerLetter"/>
      <w:lvlText w:val="%5."/>
      <w:lvlJc w:val="left"/>
      <w:pPr>
        <w:ind w:left="4090" w:hanging="360"/>
      </w:pPr>
    </w:lvl>
    <w:lvl w:ilvl="5" w:tplc="128CC5CE">
      <w:start w:val="1"/>
      <w:numFmt w:val="lowerRoman"/>
      <w:lvlText w:val="%6."/>
      <w:lvlJc w:val="right"/>
      <w:pPr>
        <w:ind w:left="4810" w:hanging="180"/>
      </w:pPr>
    </w:lvl>
    <w:lvl w:ilvl="6" w:tplc="058AF11E">
      <w:start w:val="1"/>
      <w:numFmt w:val="decimal"/>
      <w:lvlText w:val="%7."/>
      <w:lvlJc w:val="left"/>
      <w:pPr>
        <w:ind w:left="5530" w:hanging="360"/>
      </w:pPr>
    </w:lvl>
    <w:lvl w:ilvl="7" w:tplc="D2AEFB30">
      <w:start w:val="1"/>
      <w:numFmt w:val="lowerLetter"/>
      <w:lvlText w:val="%8."/>
      <w:lvlJc w:val="left"/>
      <w:pPr>
        <w:ind w:left="6250" w:hanging="360"/>
      </w:pPr>
    </w:lvl>
    <w:lvl w:ilvl="8" w:tplc="E5DCAB54">
      <w:start w:val="1"/>
      <w:numFmt w:val="lowerRoman"/>
      <w:lvlText w:val="%9."/>
      <w:lvlJc w:val="right"/>
      <w:pPr>
        <w:ind w:left="6970" w:hanging="18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3BC6DE4"/>
    <w:multiLevelType w:val="hybridMultilevel"/>
    <w:tmpl w:val="0CBCC7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4" w15:restartNumberingAfterBreak="0">
    <w:nsid w:val="7D8067EC"/>
    <w:multiLevelType w:val="hybridMultilevel"/>
    <w:tmpl w:val="239425EC"/>
    <w:lvl w:ilvl="0" w:tplc="C632135C">
      <w:start w:val="4"/>
      <w:numFmt w:val="bullet"/>
      <w:lvlText w:val="-"/>
      <w:lvlJc w:val="left"/>
      <w:pPr>
        <w:ind w:left="360" w:hanging="360"/>
      </w:pPr>
      <w:rPr>
        <w:rFonts w:ascii="Calibri" w:eastAsia="Times New Roman"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0"/>
  </w:num>
  <w:num w:numId="2">
    <w:abstractNumId w:val="21"/>
  </w:num>
  <w:num w:numId="3">
    <w:abstractNumId w:val="9"/>
  </w:num>
  <w:num w:numId="4">
    <w:abstractNumId w:val="18"/>
  </w:num>
  <w:num w:numId="5">
    <w:abstractNumId w:val="17"/>
  </w:num>
  <w:num w:numId="6">
    <w:abstractNumId w:val="30"/>
  </w:num>
  <w:num w:numId="7">
    <w:abstractNumId w:val="26"/>
  </w:num>
  <w:num w:numId="8">
    <w:abstractNumId w:val="31"/>
  </w:num>
  <w:num w:numId="9">
    <w:abstractNumId w:val="32"/>
  </w:num>
  <w:num w:numId="10">
    <w:abstractNumId w:val="2"/>
  </w:num>
  <w:num w:numId="11">
    <w:abstractNumId w:val="11"/>
  </w:num>
  <w:num w:numId="12">
    <w:abstractNumId w:val="3"/>
  </w:num>
  <w:num w:numId="13">
    <w:abstractNumId w:val="12"/>
  </w:num>
  <w:num w:numId="14">
    <w:abstractNumId w:val="10"/>
  </w:num>
  <w:num w:numId="15">
    <w:abstractNumId w:val="19"/>
  </w:num>
  <w:num w:numId="16">
    <w:abstractNumId w:val="8"/>
  </w:num>
  <w:num w:numId="17">
    <w:abstractNumId w:val="25"/>
  </w:num>
  <w:num w:numId="18">
    <w:abstractNumId w:val="27"/>
  </w:num>
  <w:num w:numId="19">
    <w:abstractNumId w:val="34"/>
  </w:num>
  <w:num w:numId="20">
    <w:abstractNumId w:val="1"/>
  </w:num>
  <w:num w:numId="21">
    <w:abstractNumId w:val="16"/>
    <w:lvlOverride w:ilvl="0">
      <w:startOverride w:val="1"/>
    </w:lvlOverride>
  </w:num>
  <w:num w:numId="22">
    <w:abstractNumId w:val="24"/>
    <w:lvlOverride w:ilvl="0">
      <w:startOverride w:val="1"/>
    </w:lvlOverride>
  </w:num>
  <w:num w:numId="23">
    <w:abstractNumId w:val="16"/>
    <w:lvlOverride w:ilvl="0">
      <w:startOverride w:val="1"/>
    </w:lvlOverride>
  </w:num>
  <w:num w:numId="24">
    <w:abstractNumId w:val="24"/>
  </w:num>
  <w:num w:numId="25">
    <w:abstractNumId w:val="13"/>
  </w:num>
  <w:num w:numId="26">
    <w:abstractNumId w:val="29"/>
  </w:num>
  <w:num w:numId="27">
    <w:abstractNumId w:val="7"/>
  </w:num>
  <w:num w:numId="28">
    <w:abstractNumId w:val="14"/>
  </w:num>
  <w:num w:numId="29">
    <w:abstractNumId w:val="15"/>
  </w:num>
  <w:num w:numId="30">
    <w:abstractNumId w:val="5"/>
  </w:num>
  <w:num w:numId="31">
    <w:abstractNumId w:val="28"/>
  </w:num>
  <w:num w:numId="32">
    <w:abstractNumId w:val="4"/>
  </w:num>
  <w:num w:numId="33">
    <w:abstractNumId w:val="16"/>
  </w:num>
  <w:num w:numId="34">
    <w:abstractNumId w:val="22"/>
  </w:num>
  <w:num w:numId="35">
    <w:abstractNumId w:val="23"/>
  </w:num>
  <w:num w:numId="36">
    <w:abstractNumId w:val="6"/>
  </w:num>
  <w:num w:numId="37">
    <w:abstractNumId w:val="20"/>
  </w:num>
  <w:num w:numId="38">
    <w:abstractNumId w:val="3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22 10:33: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A4EFEEB-0119-4916-8C46-776EEB917EE3"/>
    <w:docVar w:name="LW_COVERPAGE_TYPE" w:val="1"/>
    <w:docVar w:name="LW_CreatedUtc" w:val="2026-08-12T14:18:12.5834419Z"/>
    <w:docVar w:name="LW_CROSSREFERENCE" w:val="{SEC(2026) 980 final} - {SWD(2026) 981 final} - {SWD(2026) 982 final} - {SWD(2026) 983 final}"/>
    <w:docVar w:name="LW_DocType" w:val="COM"/>
    <w:docVar w:name="LW_EMISSION" w:val="15.9.2026"/>
    <w:docVar w:name="LW_EMISSION_ISODATE" w:val="2026-09-15"/>
    <w:docVar w:name="LW_EMISSION_LOCATION" w:val="STR"/>
    <w:docVar w:name="LW_EMISSION_PREFIX" w:val="Strasbourg,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71"/>
    <w:docVar w:name="LW_REF.II.NEW.CP_YEAR" w:val="2026"/>
    <w:docVar w:name="LW_REF.INST.NEW" w:val="COM"/>
    <w:docVar w:name="LW_REF.INST.NEW_ADOPTED" w:val="final"/>
    <w:docVar w:name="LW_REF.INST.NEW_TEXT" w:val="(2026) 9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digitalizarea coordon\u259?rii sistemelor de securitate social\u259?, de stabilire a unui cadru pentru Pa\u537?aportul european de securitate social\u259? (ESSPASS) \u537?i de modificare a Regulamentelor (CE) nr. 883/2004, (CE) nr. 987/2009 \u537?i (UE) 2018/1724"/>
    <w:docVar w:name="LW_TYPE.DOC.CP" w:val="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34C9A2F-3B4F-432C-8A58-9B71EF66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paragraph" w:styleId="Heading8">
    <w:name w:val="heading 8"/>
    <w:basedOn w:val="Normal"/>
    <w:next w:val="Normal"/>
    <w:link w:val="Heading8Char"/>
    <w:uiPriority w:val="9"/>
    <w:semiHidden/>
    <w:unhideWhenUsed/>
    <w:qFormat/>
    <w:pPr>
      <w:keepNext/>
      <w:keepLines/>
      <w:spacing w:before="0"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pPr>
      <w:keepNext/>
      <w:keepLines/>
      <w:spacing w:before="0"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Sommario 0"/>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aliases w:val="SOURCE"/>
    <w:uiPriority w:val="99"/>
    <w:qFormat/>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kern w:val="2"/>
      <w:sz w:val="24"/>
      <w:szCs w:val="24"/>
      <w:lang w:val="ro-RO"/>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kern w:val="2"/>
      <w:sz w:val="24"/>
      <w:szCs w:val="24"/>
      <w:lang w:val="ro-RO"/>
      <w14:ligatures w14:val="standardContextual"/>
    </w:rPr>
  </w:style>
  <w:style w:type="paragraph" w:customStyle="1" w:styleId="Article">
    <w:name w:val="Article"/>
    <w:basedOn w:val="Normal"/>
  </w:style>
  <w:style w:type="paragraph" w:customStyle="1" w:styleId="Titlearticle">
    <w:name w:val="Title article"/>
    <w:basedOn w:val="Titrearticle"/>
  </w:style>
  <w:style w:type="paragraph" w:customStyle="1" w:styleId="Articletitle">
    <w:name w:val="Article title"/>
    <w:basedOn w:val="Article"/>
  </w:style>
  <w:style w:type="paragraph" w:customStyle="1" w:styleId="article0">
    <w:name w:val="article"/>
    <w:basedOn w:val="Normal"/>
    <w:pPr>
      <w:spacing w:before="0" w:after="160" w:line="278" w:lineRule="auto"/>
      <w:jc w:val="center"/>
    </w:pPr>
    <w:rPr>
      <w:rFonts w:asciiTheme="minorHAnsi" w:hAnsiTheme="minorHAnsi" w:cstheme="minorBidi"/>
      <w:b/>
      <w:bCs/>
      <w:kern w:val="2"/>
      <w:szCs w:val="24"/>
      <w14:ligatures w14:val="standardContextual"/>
    </w:r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cf01">
    <w:name w:val="cf01"/>
    <w:basedOn w:val="DefaultParagraphFont"/>
    <w:rPr>
      <w:rFonts w:ascii="Segoe UI" w:hAnsi="Segoe UI" w:cs="Segoe UI" w:hint="default"/>
      <w:sz w:val="18"/>
      <w:szCs w:val="18"/>
    </w:rPr>
  </w:style>
  <w:style w:type="paragraph" w:styleId="Title">
    <w:name w:val="Title"/>
    <w:basedOn w:val="Normal"/>
    <w:next w:val="Normal"/>
    <w:link w:val="TitleChar"/>
    <w:uiPriority w:val="10"/>
    <w:qFormat/>
    <w:pPr>
      <w:spacing w:before="0"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14:ligatures w14:val="standardContextual"/>
    </w:rPr>
  </w:style>
  <w:style w:type="paragraph" w:styleId="Subtitle">
    <w:name w:val="Subtitle"/>
    <w:basedOn w:val="Normal"/>
    <w:next w:val="Normal"/>
    <w:link w:val="SubtitleChar"/>
    <w:uiPriority w:val="11"/>
    <w:qFormat/>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kern w:val="2"/>
      <w:sz w:val="28"/>
      <w:szCs w:val="28"/>
      <w:lang w:val="ro-RO"/>
      <w14:ligatures w14:val="standardContextual"/>
    </w:rPr>
  </w:style>
  <w:style w:type="paragraph" w:styleId="Quote">
    <w:name w:val="Quote"/>
    <w:basedOn w:val="Normal"/>
    <w:next w:val="Normal"/>
    <w:link w:val="QuoteChar"/>
    <w:uiPriority w:val="29"/>
    <w:qFormat/>
    <w:pPr>
      <w:spacing w:before="160" w:after="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Pr>
      <w:i/>
      <w:iCs/>
      <w:color w:val="404040" w:themeColor="text1" w:themeTint="BF"/>
      <w:kern w:val="2"/>
      <w:sz w:val="24"/>
      <w:szCs w:val="24"/>
      <w:lang w:val="ro-RO"/>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Pr>
      <w:i/>
      <w:iCs/>
      <w:color w:val="365F91" w:themeColor="accent1" w:themeShade="BF"/>
      <w:kern w:val="2"/>
      <w:sz w:val="24"/>
      <w:szCs w:val="24"/>
      <w:lang w:val="ro-RO"/>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italic1">
    <w:name w:val="italic1"/>
    <w:rPr>
      <w:i/>
      <w:iCs/>
    </w:rPr>
  </w:style>
  <w:style w:type="paragraph" w:customStyle="1" w:styleId="title-bold">
    <w:name w:val="title-bold"/>
    <w:basedOn w:val="Normal"/>
    <w:pPr>
      <w:spacing w:before="100" w:beforeAutospacing="1" w:after="100" w:afterAutospacing="1"/>
      <w:jc w:val="left"/>
    </w:pPr>
    <w:rPr>
      <w:rFonts w:eastAsia="Times New Roman"/>
      <w:szCs w:val="24"/>
      <w:lang w:eastAsia="en-IE"/>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europarl.europa.eu/doceo/document/TA-9-2021-0473_RO.htm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eur-lex.europa.eu/legal-content/RO/TXT/PDF/?uri=CELEX:52025DC0500"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eur-lex.europa.eu/legal-content/RO/TXT/?uri=CELEX:52025DC0270" TargetMode="External"/><Relationship Id="rId25" Type="http://schemas.openxmlformats.org/officeDocument/2006/relationships/footer" Target="footer4.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https://eur-lex.europa.eu/legal-content/RO/TXT/HTML/?uri=COM:2026:46:FIN" TargetMode="External"/><Relationship Id="rId20" Type="http://schemas.openxmlformats.org/officeDocument/2006/relationships/hyperlink" Target="https://data.consilium.europa.eu/doc/document/ST-15594-2023-INIT/ro/pdf"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s://commission.europa.eu/topics/eu-competitiveness/draghi-report_en" TargetMode="External"/><Relationship Id="rId23" Type="http://schemas.openxmlformats.org/officeDocument/2006/relationships/header" Target="header1.xm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ur-lex.europa.eu/legal-content/RO/TXT/?uri=celex:52023DC0501" TargetMode="Externa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silium.europa.eu/media/ny3j24sm/much-more-than-a-market-report-by-enrico-letta.pdf" TargetMode="External"/><Relationship Id="rId22" Type="http://schemas.openxmlformats.org/officeDocument/2006/relationships/hyperlink" Target="https://commission.europa.eu/strategy-and-policy/strategy-documents/commission-work-programme/commission-work-programme-2026_en" TargetMode="Externa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2010/1231/oj" TargetMode="External"/><Relationship Id="rId13" Type="http://schemas.openxmlformats.org/officeDocument/2006/relationships/hyperlink" Target="http://data.europa.eu/eli/dir/2014/67/oj" TargetMode="External"/><Relationship Id="rId18" Type="http://schemas.openxmlformats.org/officeDocument/2006/relationships/hyperlink" Target="http://data.europa.eu/eli/reg/2024/903/oj" TargetMode="External"/><Relationship Id="rId3" Type="http://schemas.openxmlformats.org/officeDocument/2006/relationships/hyperlink" Target="https://employment-social-affairs.ec.europa.eu/policies-and-activities/moving-working-europe/eu-social-security-coordination/digitalisation-social-security-coordination/electronic-exchange-social-security-information-eessi_en" TargetMode="External"/><Relationship Id="rId21" Type="http://schemas.openxmlformats.org/officeDocument/2006/relationships/hyperlink" Target="http://data.europa.eu/eli/dir/2019/882/oj" TargetMode="External"/><Relationship Id="rId7" Type="http://schemas.openxmlformats.org/officeDocument/2006/relationships/hyperlink" Target="http://data.europa.eu/eli/reg/2011/182/oj" TargetMode="External"/><Relationship Id="rId12" Type="http://schemas.openxmlformats.org/officeDocument/2006/relationships/hyperlink" Target="http://data.europa.eu/eli/reg/2018/1724/oj" TargetMode="External"/><Relationship Id="rId17" Type="http://schemas.openxmlformats.org/officeDocument/2006/relationships/hyperlink" Target="http://data.europa.eu/eli/reg/2018/1724/oj" TargetMode="External"/><Relationship Id="rId25" Type="http://schemas.openxmlformats.org/officeDocument/2006/relationships/hyperlink" Target="http://data.europa.eu/eli/reg/2012/1024/oj" TargetMode="External"/><Relationship Id="rId2" Type="http://schemas.openxmlformats.org/officeDocument/2006/relationships/hyperlink" Target="https://www.businesseurope.eu/wp-content/uploads/2026/02/2026-02-18-Stepping-Up-Eu-Simplification-Efforts-In-The-Field-Of-Social-Affairs.pdf" TargetMode="External"/><Relationship Id="rId16" Type="http://schemas.openxmlformats.org/officeDocument/2006/relationships/hyperlink" Target="http://data.europa.eu/eli/reg/2009/987/oj" TargetMode="External"/><Relationship Id="rId20" Type="http://schemas.openxmlformats.org/officeDocument/2006/relationships/hyperlink" Target="http://data.europa.eu/eli/dir/2016/2102/oj" TargetMode="External"/><Relationship Id="rId1" Type="http://schemas.openxmlformats.org/officeDocument/2006/relationships/hyperlink" Target="https://ec.europa.eu/internal_market/smet/_docs/2024/smet-report-2024_en.pdf" TargetMode="External"/><Relationship Id="rId6" Type="http://schemas.openxmlformats.org/officeDocument/2006/relationships/hyperlink" Target="http://data.europa.eu/eli/reg/2004/883/oj" TargetMode="External"/><Relationship Id="rId11" Type="http://schemas.openxmlformats.org/officeDocument/2006/relationships/hyperlink" Target="http://data.europa.eu/eli/reg/2016/679/oj" TargetMode="External"/><Relationship Id="rId24" Type="http://schemas.openxmlformats.org/officeDocument/2006/relationships/hyperlink" Target="http://data.europa.eu/eli/dir/2016/680/oj" TargetMode="External"/><Relationship Id="rId5" Type="http://schemas.openxmlformats.org/officeDocument/2006/relationships/hyperlink" Target="https://www.ebsi-vector.eu/en/" TargetMode="External"/><Relationship Id="rId15" Type="http://schemas.openxmlformats.org/officeDocument/2006/relationships/hyperlink" Target="http://data.europa.eu/eli/reg/2004/883/oj" TargetMode="External"/><Relationship Id="rId23" Type="http://schemas.openxmlformats.org/officeDocument/2006/relationships/hyperlink" Target="http://data.europa.eu/eli/reg/2011/182/oj" TargetMode="External"/><Relationship Id="rId10" Type="http://schemas.openxmlformats.org/officeDocument/2006/relationships/hyperlink" Target="http://data.europa.eu/eli/reg/2025/327/oj" TargetMode="External"/><Relationship Id="rId19" Type="http://schemas.openxmlformats.org/officeDocument/2006/relationships/hyperlink" Target="http://data.europa.eu/eli/reg/2014/910/oj" TargetMode="External"/><Relationship Id="rId4" Type="http://schemas.openxmlformats.org/officeDocument/2006/relationships/hyperlink" Target="https://www.dc4eu.eu/" TargetMode="External"/><Relationship Id="rId9" Type="http://schemas.openxmlformats.org/officeDocument/2006/relationships/hyperlink" Target="http://data.europa.eu/eli/reg/2018/1724/oj" TargetMode="External"/><Relationship Id="rId14" Type="http://schemas.openxmlformats.org/officeDocument/2006/relationships/hyperlink" Target="http://data.europa.eu/eli/reg/2018/1725/oj" TargetMode="External"/><Relationship Id="rId22" Type="http://schemas.openxmlformats.org/officeDocument/2006/relationships/hyperlink" Target="http://data.europa.eu/eli/agree_interinstit/2016/5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maine xmlns="fb6c068c-bc2d-4620-b517-6a4d82a7e161">
      <Value>EC internal</Value>
    </Domaine>
    <_ip_UnifiedCompliancePolicyUIAction xmlns="http://schemas.microsoft.com/sharepoint/v3" xsi:nil="true"/>
    <Casehandler_x002f_responsible xmlns="fb6c068c-bc2d-4620-b517-6a4d82a7e161">
      <Value>Ines</Value>
      <Value>Lode</Value>
      <Value>Simona</Value>
    </Casehandler_x002f_responsible>
    <SensitivitySSC xmlns="fb6c068c-bc2d-4620-b517-6a4d82a7e161">Commission use</SensitivitySSC>
    <Link xmlns="fb6c068c-bc2d-4620-b517-6a4d82a7e161">
      <Url xsi:nil="true"/>
      <Description xsi:nil="true"/>
    </Link>
    <Area xmlns="fb6c068c-bc2d-4620-b517-6a4d82a7e161">
      <Value>ESSPASS-EUwallet</Value>
    </Area>
    <Documenttype xmlns="fb6c068c-bc2d-4620-b517-6a4d82a7e161">Legal act</Documenttype>
    <_ip_UnifiedCompliancePolicyProperties xmlns="http://schemas.microsoft.com/sharepoint/v3" xsi:nil="true"/>
    <TaxCatchAll xmlns="604b4288-15a6-4b36-801c-a9875e40b072" xsi:nil="true"/>
    <Docstatus xmlns="fb6c068c-bc2d-4620-b517-6a4d82a7e161">Final</Docstatus>
    <CountrySSC xmlns="fb6c068c-bc2d-4620-b517-6a4d82a7e161">
      <Value>EU</Value>
    </CountrySSC>
    <Year_x0028_s_x0029_ xmlns="fb6c068c-bc2d-4620-b517-6a4d82a7e161">2026</Year_x0028_s_x0029_>
    <Reference_x002d_keywords xmlns="fb6c068c-bc2d-4620-b517-6a4d82a7e161" xsi:nil="true"/>
    <lcf76f155ced4ddcb4097134ff3c332f xmlns="fb6c068c-bc2d-4620-b517-6a4d82a7e16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35" ma:contentTypeDescription="Create a new document." ma:contentTypeScope="" ma:versionID="95aeff1d65c00f464c807c49d2af2e6a">
  <xsd:schema xmlns:xsd="http://www.w3.org/2001/XMLSchema" xmlns:xs="http://www.w3.org/2001/XMLSchema" xmlns:p="http://schemas.microsoft.com/office/2006/metadata/properties" xmlns:ns1="http://schemas.microsoft.com/sharepoint/v3" xmlns:ns2="fb6c068c-bc2d-4620-b517-6a4d82a7e161" xmlns:ns3="604b4288-15a6-4b36-801c-a9875e40b072" targetNamespace="http://schemas.microsoft.com/office/2006/metadata/properties" ma:root="true" ma:fieldsID="a46173269f8e64739a56b224cd4ed6ac" ns1:_="" ns2:_="" ns3:_="">
    <xsd:import namespace="http://schemas.microsoft.com/sharepoint/v3"/>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SearchProperties" minOccurs="0"/>
                <xsd:element ref="ns2:Domaine" minOccurs="0"/>
                <xsd:element ref="ns2:Area" minOccurs="0"/>
                <xsd:element ref="ns2:MediaServiceLocation" minOccurs="0"/>
                <xsd:element ref="ns2:Documenttype"/>
                <xsd:element ref="ns2:Docstatus"/>
                <xsd:element ref="ns2:CountrySSC" minOccurs="0"/>
                <xsd:element ref="ns2:Casehandler_x002f_responsible" minOccurs="0"/>
                <xsd:element ref="ns2:SensitivitySSC" minOccurs="0"/>
                <xsd:element ref="ns2:Year_x0028_s_x0029_"/>
                <xsd:element ref="ns2:Reference_x002d_keyword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Domaine" ma:index="27" nillable="true" ma:displayName="Gov.body / procedure" ma:format="Dropdown" ma:internalName="Domaine" ma:requiredMultiChoice="true">
      <xsd:complexType>
        <xsd:complexContent>
          <xsd:extension base="dms:MultiChoice">
            <xsd:sequence>
              <xsd:element name="Value" maxOccurs="unbounded" minOccurs="0" nillable="true">
                <xsd:simpleType>
                  <xsd:restriction base="dms:Choice">
                    <xsd:enumeration value="AC"/>
                    <xsd:enumeration value="Access to documents"/>
                    <xsd:enumeration value="Advisory Committee"/>
                    <xsd:enumeration value="Audit Board"/>
                    <xsd:enumeration value="CJEU-EFTA-national courts"/>
                    <xsd:enumeration value="Complaint"/>
                    <xsd:enumeration value="Conciliation Panel"/>
                    <xsd:enumeration value="cooperation with other DGs"/>
                    <xsd:enumeration value="EC internal"/>
                    <xsd:enumeration value="E2 internal"/>
                    <xsd:enumeration value="EDCC"/>
                    <xsd:enumeration value="ELA"/>
                    <xsd:enumeration value="EU-Pilot"/>
                    <xsd:enumeration value="Evaluation"/>
                    <xsd:enumeration value="F&amp;E SC"/>
                    <xsd:enumeration value="Infringement"/>
                    <xsd:enumeration value="Legislation"/>
                    <xsd:enumeration value="Mission"/>
                    <xsd:enumeration value="MOVEs"/>
                    <xsd:enumeration value="NCP network"/>
                    <xsd:enumeration value="Other / n.a."/>
                    <xsd:enumeration value="Parliamentary question"/>
                    <xsd:enumeration value="Petition"/>
                    <xsd:enumeration value="Recruitment"/>
                    <xsd:enumeration value="Revision - legislation"/>
                    <xsd:enumeration value="sectoral AHGs"/>
                    <xsd:enumeration value="SOLVIT"/>
                    <xsd:enumeration value="Specialised committee"/>
                    <xsd:enumeration value="Statistical network"/>
                    <xsd:enumeration value="TC"/>
                    <xsd:enumeration value="Training"/>
                    <xsd:enumeration value="Translation"/>
                    <xsd:enumeration value="Your Europe Advice"/>
                    <xsd:enumeration value="AC-WP"/>
                    <xsd:enumeration value="CCB"/>
                    <xsd:enumeration value="Enlargement"/>
                  </xsd:restriction>
                </xsd:simpleType>
              </xsd:element>
            </xsd:sequence>
          </xsd:extension>
        </xsd:complexContent>
      </xsd:complexType>
    </xsd:element>
    <xsd:element name="Area" ma:index="28" nillable="true" ma:displayName="Area" ma:format="Dropdown" ma:internalName="Area" ma:requiredMultiChoice="true">
      <xsd:complexType>
        <xsd:complexContent>
          <xsd:extension base="dms:MultiChoice">
            <xsd:sequence>
              <xsd:element name="Value" maxOccurs="unbounded" minOccurs="0" nillable="true">
                <xsd:simpleType>
                  <xsd:restriction base="dms:Choice">
                    <xsd:enumeration value="Accidents at work / Occup.disease"/>
                    <xsd:enumeration value="Administration - HR"/>
                    <xsd:enumeration value="Data protection"/>
                    <xsd:enumeration value="Death grants"/>
                    <xsd:enumeration value="EESSI"/>
                    <xsd:enumeration value="ESSPASS-EUwallet"/>
                    <xsd:enumeration value="EU staff"/>
                    <xsd:enumeration value="Family benefits"/>
                    <xsd:enumeration value="Finances"/>
                    <xsd:enumeration value="Fraud&amp;Error"/>
                    <xsd:enumeration value="General enforcement"/>
                    <xsd:enumeration value="International relations"/>
                    <xsd:enumeration value="Invalidity benefits"/>
                    <xsd:enumeration value="Legislation applicable"/>
                    <xsd:enumeration value="Meetings / events"/>
                    <xsd:enumeration value="Old age / survivor's pension"/>
                    <xsd:enumeration value="Other"/>
                    <xsd:enumeration value="Other digital initiatives"/>
                    <xsd:enumeration value="Pre-retirement benefits"/>
                    <xsd:enumeration value="Sickness, maternity &amp; parental benefits"/>
                    <xsd:enumeration value="SNCBs"/>
                    <xsd:enumeration value="SSC horizontal"/>
                    <xsd:enumeration value="Taxation"/>
                    <xsd:enumeration value="Third country nationals"/>
                    <xsd:enumeration value="Unemployment benefits"/>
                    <xsd:enumeration value="Long-term care"/>
                    <xsd:enumeration value="Statistics"/>
                  </xsd:restriction>
                </xsd:simpleType>
              </xsd:element>
            </xsd:sequence>
          </xsd:extension>
        </xsd:complexContent>
      </xsd:complexType>
    </xsd:element>
    <xsd:element name="MediaServiceLocation" ma:index="29" nillable="true" ma:displayName="Location" ma:indexed="true" ma:internalName="MediaServiceLocation" ma:readOnly="true">
      <xsd:simpleType>
        <xsd:restriction base="dms:Text"/>
      </xsd:simpleType>
    </xsd:element>
    <xsd:element name="Documenttype" ma:index="30" ma:displayName="Document type" ma:format="Dropdown" ma:internalName="Documenttype">
      <xsd:simpleType>
        <xsd:restriction base="dms:Choice">
          <xsd:enumeration value="Article"/>
          <xsd:enumeration value="Briefing"/>
          <xsd:enumeration value="Case-law"/>
          <xsd:enumeration value="Communication / email"/>
          <xsd:enumeration value="EC letter / Decision"/>
          <xsd:enumeration value="Guideline / Template / Specifications"/>
          <xsd:enumeration value="Invitation / Agenda"/>
          <xsd:enumeration value="Legal act"/>
          <xsd:enumeration value="Minutes / Aide-memoire"/>
          <xsd:enumeration value="Note (incl. annexes) / Fiche"/>
          <xsd:enumeration value="Observations"/>
          <xsd:enumeration value="Other"/>
          <xsd:enumeration value="Presentation"/>
          <xsd:enumeration value="Procedure"/>
          <xsd:enumeration value="Reply"/>
          <xsd:enumeration value="Report"/>
          <xsd:enumeration value="Summary / background"/>
          <xsd:enumeration value="Request / form / order"/>
        </xsd:restriction>
      </xsd:simpleType>
    </xsd:element>
    <xsd:element name="Docstatus" ma:index="31" ma:displayName="Doc status" ma:format="Dropdown" ma:internalName="Docstatus">
      <xsd:simpleType>
        <xsd:restriction base="dms:Choice">
          <xsd:enumeration value="Draft"/>
          <xsd:enumeration value="Under revision"/>
          <xsd:enumeration value="Final"/>
        </xsd:restriction>
      </xsd:simpleType>
    </xsd:element>
    <xsd:element name="CountrySSC" ma:index="32" nillable="true" ma:displayName="Country" ma:format="Dropdown" ma:internalName="CountrySSC" ma:requiredMultiChoice="true">
      <xsd:complexType>
        <xsd:complexContent>
          <xsd:extension base="dms:MultiChoice">
            <xsd:sequence>
              <xsd:element name="Value" maxOccurs="unbounded" minOccurs="0" nillable="true">
                <xsd:simpleType>
                  <xsd:restriction base="dms:Choice">
                    <xsd:enumeration value="EU"/>
                    <xsd:enumeration value="Austria"/>
                    <xsd:enumeration value="Belgium"/>
                    <xsd:enumeration value="Bulgaria"/>
                    <xsd:enumeration value="Croatia"/>
                    <xsd:enumeration value="Cyprus"/>
                    <xsd:enumeration value="Czechia"/>
                    <xsd:enumeration value="Denmark"/>
                    <xsd:enumeration value="Estonia"/>
                    <xsd:enumeration value="Finland"/>
                    <xsd:enumeration value="France"/>
                    <xsd:enumeration value="Germany"/>
                    <xsd:enumeration value="Greece"/>
                    <xsd:enumeration value="Hungary"/>
                    <xsd:enumeration value="Ireland"/>
                    <xsd:enumeration value="Italy"/>
                    <xsd:enumeration value="Latvia"/>
                    <xsd:enumeration value="Lithuania"/>
                    <xsd:enumeration value="Luxembourg"/>
                    <xsd:enumeration value="Malta"/>
                    <xsd:enumeration value="Netherlands"/>
                    <xsd:enumeration value="Poland"/>
                    <xsd:enumeration value="Portugal"/>
                    <xsd:enumeration value="Romania"/>
                    <xsd:enumeration value="Slovakia"/>
                    <xsd:enumeration value="Slovenia"/>
                    <xsd:enumeration value="Spain"/>
                    <xsd:enumeration value="Sweden"/>
                    <xsd:enumeration value="EFTA"/>
                    <xsd:enumeration value="Iceland"/>
                    <xsd:enumeration value="Liechtenstein"/>
                    <xsd:enumeration value="Norway"/>
                    <xsd:enumeration value="Switzerland"/>
                    <xsd:enumeration value="UK"/>
                    <xsd:enumeration value="Albania"/>
                    <xsd:enumeration value="Bosnia&amp;Hercegovina"/>
                    <xsd:enumeration value="Georgia"/>
                    <xsd:enumeration value="Kosovo"/>
                    <xsd:enumeration value="Moldova"/>
                    <xsd:enumeration value="Montenegro"/>
                    <xsd:enumeration value="North Macedonia"/>
                    <xsd:enumeration value="Serbia"/>
                    <xsd:enumeration value="Ukraine"/>
                    <xsd:enumeration value="other / more countries"/>
                  </xsd:restriction>
                </xsd:simpleType>
              </xsd:element>
            </xsd:sequence>
          </xsd:extension>
        </xsd:complexContent>
      </xsd:complexType>
    </xsd:element>
    <xsd:element name="Casehandler_x002f_responsible" ma:index="33" nillable="true" ma:displayName="Case handler / responsible" ma:description="For non-cases, the person which is responsible for the content.&#10;If just a messanger, then &quot;n.a. / other&quot; value to be chosen." ma:format="Dropdown" ma:internalName="Casehandler_x002f_responsible" ma:requiredMultiChoice="true">
      <xsd:complexType>
        <xsd:complexContent>
          <xsd:extension base="dms:MultiChoice">
            <xsd:sequence>
              <xsd:element name="Value" maxOccurs="unbounded" minOccurs="0" nillable="true">
                <xsd:simpleType>
                  <xsd:restriction base="dms:Choice">
                    <xsd:enumeration value="Ondra"/>
                    <xsd:enumeration value="Florence"/>
                    <xsd:enumeration value="Elsa"/>
                    <xsd:enumeration value="Pedro"/>
                    <xsd:enumeration value="Johannes"/>
                    <xsd:enumeration value="Ruben"/>
                    <xsd:enumeration value="Anne-Pascale"/>
                    <xsd:enumeration value="Adam"/>
                    <xsd:enumeration value="Katrin"/>
                    <xsd:enumeration value="Simona"/>
                    <xsd:enumeration value="Reetta"/>
                    <xsd:enumeration value="Silvia"/>
                    <xsd:enumeration value="Jorg"/>
                    <xsd:enumeration value="Benoit"/>
                    <xsd:enumeration value="Els"/>
                    <xsd:enumeration value="Eli"/>
                    <xsd:enumeration value="Tomasz"/>
                    <xsd:enumeration value="Pekka"/>
                    <xsd:enumeration value="Gillian"/>
                    <xsd:enumeration value="Eva"/>
                    <xsd:enumeration value="Elisa"/>
                    <xsd:enumeration value="Sandra"/>
                    <xsd:enumeration value="Kristiane"/>
                    <xsd:enumeration value="Stephanie"/>
                    <xsd:enumeration value="Ilias"/>
                    <xsd:enumeration value="Ines"/>
                    <xsd:enumeration value="Lode"/>
                    <xsd:enumeration value="Renos"/>
                    <xsd:enumeration value="n.a. / other"/>
                  </xsd:restriction>
                </xsd:simpleType>
              </xsd:element>
            </xsd:sequence>
          </xsd:extension>
        </xsd:complexContent>
      </xsd:complexType>
    </xsd:element>
    <xsd:element name="SensitivitySSC" ma:index="34" nillable="true" ma:displayName="SensitivitySSC" ma:default="Commission use" ma:format="Dropdown" ma:internalName="SensitivitySSC">
      <xsd:simpleType>
        <xsd:restriction base="dms:Choice">
          <xsd:enumeration value="Commission use"/>
          <xsd:enumeration value="Public"/>
          <xsd:enumeration value="SNC"/>
        </xsd:restriction>
      </xsd:simpleType>
    </xsd:element>
    <xsd:element name="Year_x0028_s_x0029_" ma:index="35" ma:displayName="Year(s)" ma:format="Dropdown" ma:internalName="Year_x0028_s_x0029_">
      <xsd:simpleType>
        <xsd:restriction base="dms:Choice">
          <xsd:enumeration value="2026"/>
          <xsd:enumeration value="2025"/>
          <xsd:enumeration value="2024"/>
          <xsd:enumeration value="2023"/>
          <xsd:enumeration value="2022"/>
          <xsd:enumeration value="2021"/>
          <xsd:enumeration value="2020"/>
          <xsd:enumeration value="2015-2019"/>
          <xsd:enumeration value="2010-2014"/>
          <xsd:enumeration value="2005-2009"/>
          <xsd:enumeration value="2000-2004"/>
          <xsd:enumeration value="pre-2000"/>
          <xsd:enumeration value="Choice 13"/>
        </xsd:restriction>
      </xsd:simpleType>
    </xsd:element>
    <xsd:element name="Reference_x002d_keywords" ma:index="36" nillable="true" ma:displayName="Reference - keywords" ma:description="This column may contain one or more values which then can be used to filter.&#10;Please DO NOT REPEAT values in other columns." ma:format="Dropdown" ma:internalName="Reference_x002d_keywords">
      <xsd:complexType>
        <xsd:complexContent>
          <xsd:extension base="dms:MultiChoiceFillIn">
            <xsd:sequence>
              <xsd:element name="Value" maxOccurs="unbounded" minOccurs="0" nillable="true">
                <xsd:simpleType>
                  <xsd:union memberTypes="dms:Text">
                    <xsd:simpleType>
                      <xsd:restriction base="dms:Choice">
                        <xsd:enumeration value="EASE 2026/1117"/>
                        <xsd:enumeration value="Artists"/>
                      </xsd:restriction>
                    </xsd:simpleType>
                  </xsd:union>
                </xsd:simpleType>
              </xsd:element>
            </xsd:sequence>
          </xsd:extension>
        </xsd:complexContent>
      </xsd:complexType>
    </xsd:element>
    <xsd:element name="Link" ma:index="37"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ed64dc7-e9c8-476d-848a-7efe6d3eed39}"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540E9C-31FE-4821-8F4B-DD40E3961A79}">
  <ds:schemaRefs>
    <ds:schemaRef ds:uri="http://schemas.microsoft.com/office/2006/metadata/properties"/>
    <ds:schemaRef ds:uri="http://schemas.microsoft.com/office/infopath/2007/PartnerControls"/>
    <ds:schemaRef ds:uri="fb6c068c-bc2d-4620-b517-6a4d82a7e161"/>
    <ds:schemaRef ds:uri="http://schemas.microsoft.com/sharepoint/v3"/>
    <ds:schemaRef ds:uri="604b4288-15a6-4b36-801c-a9875e40b072"/>
  </ds:schemaRefs>
</ds:datastoreItem>
</file>

<file path=customXml/itemProps2.xml><?xml version="1.0" encoding="utf-8"?>
<ds:datastoreItem xmlns:ds="http://schemas.openxmlformats.org/officeDocument/2006/customXml" ds:itemID="{8486E581-BF6D-4481-9F2F-84CEDAB36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7B38CC-2593-4205-889E-29D7EC8D5E80}">
  <ds:schemaRefs>
    <ds:schemaRef ds:uri="http://schemas.openxmlformats.org/officeDocument/2006/bibliography"/>
  </ds:schemaRefs>
</ds:datastoreItem>
</file>

<file path=customXml/itemProps4.xml><?xml version="1.0" encoding="utf-8"?>
<ds:datastoreItem xmlns:ds="http://schemas.openxmlformats.org/officeDocument/2006/customXml" ds:itemID="{521524F0-1CF7-47B9-BFF5-5872241E53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61</TotalTime>
  <Pages>40</Pages>
  <Words>26194</Words>
  <Characters>149309</Characters>
  <Application>Microsoft Office Word</Application>
  <DocSecurity>0</DocSecurity>
  <Lines>1244</Lines>
  <Paragraphs>350</Paragraphs>
  <ScaleCrop>false</ScaleCrop>
  <Manager/>
  <Company/>
  <LinksUpToDate>false</LinksUpToDate>
  <CharactersWithSpaces>175153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35</cp:revision>
  <dcterms:created xsi:type="dcterms:W3CDTF">2026-09-10T09:13:00Z</dcterms:created>
  <dcterms:modified xsi:type="dcterms:W3CDTF">2026-09-22T08:33:00Z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2026-09-10T09:13:16Z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5442d50e-4dec-403a-95c8-569b0d52f96d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0x010100D920D94BF79903409A44EFD8C6ED4DE5</vt:lpwstr>
  </property>
  <property fmtid="{D5CDD505-2E9C-101B-9397-08002B2CF9AE}" pid="12" name="MediaServiceImageTags">
    <vt:lpwstr/>
  </property>
  <property fmtid="{D5CDD505-2E9C-101B-9397-08002B2CF9AE}" pid="13" name="Category">
    <vt:lpwstr>COM/PL/ORG</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LWTemplateID">
    <vt:lpwstr>SJ-023</vt:lpwstr>
  </property>
  <property fmtid="{D5CDD505-2E9C-101B-9397-08002B2CF9AE}" pid="18" name="DQCStatus">
    <vt:lpwstr>Green (DQC version 03)</vt:lpwstr>
  </property>
</Properties>
</file>