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608" w:rsidRDefault="00BF09E5" w:rsidP="00BF09E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42C5CBD-1735-48F5-80FF-3C376014D435" style="width:455.25pt;height:371.25pt">
            <v:imagedata r:id="rId8" o:title=""/>
          </v:shape>
        </w:pict>
      </w:r>
    </w:p>
    <w:p w:rsidR="00570608" w:rsidRDefault="00570608" w:rsidP="00570608">
      <w:pPr>
        <w:rPr>
          <w:noProof/>
        </w:rPr>
        <w:sectPr w:rsidR="00570608" w:rsidSect="00BF09E5">
          <w:footerReference w:type="even" r:id="rId9"/>
          <w:footerReference w:type="default" r:id="rId10"/>
          <w:pgSz w:w="11907" w:h="16839"/>
          <w:pgMar w:top="1134" w:right="1417" w:bottom="1134" w:left="1417" w:header="709" w:footer="709" w:gutter="0"/>
          <w:pgNumType w:start="0"/>
          <w:cols w:space="720"/>
          <w:docGrid w:linePitch="360"/>
        </w:sectPr>
      </w:pPr>
    </w:p>
    <w:p w:rsidR="00570608" w:rsidRDefault="00570608" w:rsidP="009D52A1">
      <w:pPr>
        <w:pStyle w:val="Exposdesmotifstitre"/>
        <w:rPr>
          <w:noProof/>
        </w:rPr>
      </w:pPr>
      <w:bookmarkStart w:id="0" w:name="_GoBack"/>
      <w:bookmarkEnd w:id="0"/>
      <w:r w:rsidRPr="006F770D">
        <w:rPr>
          <w:noProof/>
        </w:rPr>
        <w:lastRenderedPageBreak/>
        <w:t>EXPLANATORY MEMORANDUM</w:t>
      </w:r>
    </w:p>
    <w:p w:rsidR="00570608" w:rsidRPr="00E34F04" w:rsidRDefault="00570608" w:rsidP="006E3DF8">
      <w:pPr>
        <w:pStyle w:val="ManualHeading1"/>
        <w:rPr>
          <w:rFonts w:eastAsia="Arial Unicode MS"/>
          <w:noProof/>
        </w:rPr>
      </w:pPr>
      <w:r>
        <w:rPr>
          <w:noProof/>
        </w:rPr>
        <w:t>1.</w:t>
      </w:r>
      <w:r>
        <w:rPr>
          <w:noProof/>
        </w:rPr>
        <w:tab/>
      </w:r>
      <w:r w:rsidRPr="00E34F04">
        <w:rPr>
          <w:rFonts w:eastAsia="Arial Unicode MS"/>
          <w:noProof/>
        </w:rPr>
        <w:t>Subject matter of the proposal</w:t>
      </w:r>
    </w:p>
    <w:p w:rsidR="00570608" w:rsidRPr="00E34F04" w:rsidRDefault="00570608" w:rsidP="009D52A1">
      <w:pPr>
        <w:rPr>
          <w:rFonts w:eastAsia="Arial Unicode MS"/>
          <w:noProof/>
        </w:rPr>
      </w:pPr>
      <w:r w:rsidRPr="00E34F04">
        <w:rPr>
          <w:rFonts w:eastAsia="Arial Unicode MS"/>
          <w:noProof/>
        </w:rPr>
        <w:t>This proposal concerns the decision establishing the position to be taken on the Union's behalf in the</w:t>
      </w:r>
      <w:r w:rsidR="00B65E64">
        <w:rPr>
          <w:rFonts w:eastAsia="Arial Unicode MS"/>
          <w:noProof/>
        </w:rPr>
        <w:t xml:space="preserve"> Organisation for International Carriage by Rail (OTIF) Committee of Experts for the Carriage of Dangerous Goods (RID Expert Committee)</w:t>
      </w:r>
      <w:r w:rsidR="00A20F0A">
        <w:rPr>
          <w:rFonts w:eastAsia="Arial Unicode MS"/>
          <w:noProof/>
        </w:rPr>
        <w:t>. It relates to</w:t>
      </w:r>
      <w:r w:rsidRPr="00E34F04">
        <w:rPr>
          <w:rFonts w:eastAsia="Arial Unicode MS"/>
          <w:noProof/>
        </w:rPr>
        <w:t xml:space="preserve"> the envisaged adoption of</w:t>
      </w:r>
      <w:r w:rsidR="00B65E64">
        <w:rPr>
          <w:rFonts w:eastAsia="Arial Unicode MS"/>
          <w:noProof/>
        </w:rPr>
        <w:t xml:space="preserve"> certain amendments to the technical and administrative provisions contained in the Annex to Appendix C to the Convention concerning International Carriage by Rail (COTIF)</w:t>
      </w:r>
      <w:r w:rsidR="00A20F0A">
        <w:rPr>
          <w:rFonts w:eastAsia="Arial Unicode MS"/>
          <w:noProof/>
        </w:rPr>
        <w:t xml:space="preserve">. These amendments </w:t>
      </w:r>
      <w:r w:rsidR="00B65E64">
        <w:rPr>
          <w:rFonts w:eastAsia="Arial Unicode MS"/>
          <w:noProof/>
        </w:rPr>
        <w:t>are due to be decided by the said committee.</w:t>
      </w:r>
    </w:p>
    <w:p w:rsidR="00570608" w:rsidRDefault="00570608" w:rsidP="009D52A1">
      <w:pPr>
        <w:pStyle w:val="ManualHeading1"/>
        <w:rPr>
          <w:noProof/>
        </w:rPr>
      </w:pPr>
      <w:r>
        <w:rPr>
          <w:noProof/>
        </w:rPr>
        <w:t>2.</w:t>
      </w:r>
      <w:r>
        <w:rPr>
          <w:noProof/>
        </w:rPr>
        <w:tab/>
      </w:r>
      <w:r w:rsidRPr="00E34F04">
        <w:rPr>
          <w:noProof/>
        </w:rPr>
        <w:t>Context of the proposal</w:t>
      </w:r>
    </w:p>
    <w:p w:rsidR="00DC79D7" w:rsidRPr="00DC79D7" w:rsidRDefault="00DC79D7" w:rsidP="00DC79D7">
      <w:pPr>
        <w:pStyle w:val="Text1"/>
        <w:rPr>
          <w:noProof/>
        </w:rPr>
      </w:pPr>
    </w:p>
    <w:p w:rsidR="005C0A39" w:rsidRDefault="005C0A39" w:rsidP="005C0A39">
      <w:pPr>
        <w:pStyle w:val="ManualHeading2"/>
        <w:rPr>
          <w:noProof/>
        </w:rPr>
      </w:pPr>
      <w:r>
        <w:rPr>
          <w:noProof/>
        </w:rPr>
        <w:t>2.1.</w:t>
      </w:r>
      <w:r>
        <w:rPr>
          <w:noProof/>
        </w:rPr>
        <w:tab/>
        <w:t xml:space="preserve">Convention </w:t>
      </w:r>
      <w:r w:rsidR="00A20F0A">
        <w:rPr>
          <w:rFonts w:eastAsia="Arial Unicode MS"/>
          <w:noProof/>
        </w:rPr>
        <w:t xml:space="preserve">concerning </w:t>
      </w:r>
      <w:r>
        <w:rPr>
          <w:rFonts w:eastAsia="Arial Unicode MS"/>
          <w:noProof/>
        </w:rPr>
        <w:t>International Carriage by Rail (COTIF)</w:t>
      </w:r>
    </w:p>
    <w:p w:rsidR="005C0A39" w:rsidRDefault="005C0A39" w:rsidP="005C0A39">
      <w:pPr>
        <w:rPr>
          <w:rFonts w:eastAsia="Arial Unicode MS"/>
          <w:noProof/>
        </w:rPr>
      </w:pPr>
      <w:r>
        <w:rPr>
          <w:noProof/>
        </w:rPr>
        <w:t xml:space="preserve">The </w:t>
      </w:r>
      <w:r>
        <w:rPr>
          <w:rFonts w:eastAsia="Arial Unicode MS"/>
          <w:noProof/>
        </w:rPr>
        <w:t>Convention concerning International Carriage by Rail of 9 May 1980, as amended by the Vilnius Protocol of 3 June 1999,</w:t>
      </w:r>
      <w:r>
        <w:rPr>
          <w:noProof/>
        </w:rPr>
        <w:t xml:space="preserve"> is a</w:t>
      </w:r>
      <w:r w:rsidR="00E92B8F">
        <w:rPr>
          <w:noProof/>
        </w:rPr>
        <w:t>n international</w:t>
      </w:r>
      <w:r>
        <w:rPr>
          <w:noProof/>
        </w:rPr>
        <w:t xml:space="preserve"> agreement where both the Union and 2</w:t>
      </w:r>
      <w:r w:rsidR="00A20F0A">
        <w:rPr>
          <w:noProof/>
        </w:rPr>
        <w:t>5</w:t>
      </w:r>
      <w:r>
        <w:rPr>
          <w:noProof/>
        </w:rPr>
        <w:t xml:space="preserve"> Member States are Contracting Parties</w:t>
      </w:r>
      <w:r w:rsidR="00E92B8F">
        <w:rPr>
          <w:noProof/>
        </w:rPr>
        <w:t xml:space="preserve"> (only Cyprus and Malta are not)</w:t>
      </w:r>
      <w:r>
        <w:rPr>
          <w:noProof/>
        </w:rPr>
        <w:t xml:space="preserve">. </w:t>
      </w:r>
    </w:p>
    <w:p w:rsidR="005C0A39" w:rsidRDefault="005C0A39" w:rsidP="005C0A39">
      <w:pPr>
        <w:rPr>
          <w:rFonts w:eastAsia="Arial Unicode MS"/>
          <w:noProof/>
        </w:rPr>
      </w:pPr>
      <w:r>
        <w:rPr>
          <w:rFonts w:eastAsia="Arial Unicode MS"/>
          <w:noProof/>
        </w:rPr>
        <w:t>The European Union acceded to the COTIF by means of Council Decision 2013/103/EU of 16 June 2011</w:t>
      </w:r>
      <w:r w:rsidRPr="00E34F04">
        <w:rPr>
          <w:rStyle w:val="FootnoteReference"/>
          <w:rFonts w:eastAsia="Arial Unicode MS"/>
          <w:noProof/>
        </w:rPr>
        <w:footnoteReference w:id="1"/>
      </w:r>
      <w:r>
        <w:rPr>
          <w:rFonts w:eastAsia="Arial Unicode MS"/>
          <w:noProof/>
        </w:rPr>
        <w:t xml:space="preserve">. </w:t>
      </w:r>
    </w:p>
    <w:p w:rsidR="005C0A39" w:rsidRPr="005C0A39" w:rsidRDefault="005C0A39" w:rsidP="004172EC">
      <w:pPr>
        <w:pStyle w:val="Text1"/>
        <w:ind w:left="0"/>
        <w:rPr>
          <w:noProof/>
        </w:rPr>
      </w:pPr>
    </w:p>
    <w:p w:rsidR="00570608" w:rsidRPr="00E34F04" w:rsidRDefault="005C0A39" w:rsidP="00B65E64">
      <w:pPr>
        <w:pStyle w:val="ManualHeading2"/>
        <w:rPr>
          <w:noProof/>
        </w:rPr>
      </w:pPr>
      <w:r>
        <w:rPr>
          <w:noProof/>
        </w:rPr>
        <w:t>2.2.</w:t>
      </w:r>
      <w:r>
        <w:rPr>
          <w:noProof/>
        </w:rPr>
        <w:tab/>
        <w:t xml:space="preserve">The </w:t>
      </w:r>
      <w:r w:rsidR="00B65E64" w:rsidRPr="00B65E64">
        <w:rPr>
          <w:noProof/>
        </w:rPr>
        <w:t>Regulation concerning the International Carriage of Dangerous Goods by Rail (RID)</w:t>
      </w:r>
      <w:r w:rsidR="00570608" w:rsidRPr="00E34F04">
        <w:rPr>
          <w:noProof/>
        </w:rPr>
        <w:t xml:space="preserve"> </w:t>
      </w:r>
    </w:p>
    <w:p w:rsidR="004636CD" w:rsidRDefault="00A20F0A" w:rsidP="00174C3E">
      <w:pPr>
        <w:rPr>
          <w:rFonts w:eastAsia="Arial Unicode MS"/>
          <w:noProof/>
        </w:rPr>
      </w:pPr>
      <w:r>
        <w:rPr>
          <w:rFonts w:eastAsia="Arial Unicode MS"/>
          <w:noProof/>
        </w:rPr>
        <w:t xml:space="preserve">Under </w:t>
      </w:r>
      <w:r w:rsidR="004636CD">
        <w:rPr>
          <w:rFonts w:eastAsia="Arial Unicode MS"/>
          <w:noProof/>
        </w:rPr>
        <w:t xml:space="preserve">its Article 7, the COTIF also covers, </w:t>
      </w:r>
      <w:r w:rsidR="004636CD" w:rsidRPr="004172EC">
        <w:rPr>
          <w:rFonts w:eastAsia="Arial Unicode MS"/>
          <w:i/>
          <w:noProof/>
        </w:rPr>
        <w:t>inter alia</w:t>
      </w:r>
      <w:r w:rsidR="004636CD">
        <w:rPr>
          <w:rFonts w:eastAsia="Arial Unicode MS"/>
          <w:noProof/>
        </w:rPr>
        <w:t xml:space="preserve">, the Appendices referred to in its Article 6. This includes the </w:t>
      </w:r>
      <w:r>
        <w:rPr>
          <w:rFonts w:eastAsia="Arial Unicode MS"/>
          <w:noProof/>
        </w:rPr>
        <w:t>’</w:t>
      </w:r>
      <w:r w:rsidR="004636CD">
        <w:rPr>
          <w:rFonts w:eastAsia="Arial Unicode MS"/>
          <w:noProof/>
        </w:rPr>
        <w:t>Regulation concerning the International Carriage of Dangerous Goods by Rail (RID)</w:t>
      </w:r>
      <w:r>
        <w:rPr>
          <w:rFonts w:eastAsia="Arial Unicode MS"/>
          <w:noProof/>
        </w:rPr>
        <w:t>’</w:t>
      </w:r>
      <w:r w:rsidR="004636CD">
        <w:rPr>
          <w:rFonts w:eastAsia="Arial Unicode MS"/>
          <w:noProof/>
        </w:rPr>
        <w:t>, forming Appendix</w:t>
      </w:r>
      <w:r w:rsidR="005C0A39">
        <w:rPr>
          <w:rFonts w:eastAsia="Arial Unicode MS"/>
          <w:noProof/>
        </w:rPr>
        <w:t> </w:t>
      </w:r>
      <w:r w:rsidR="004636CD">
        <w:rPr>
          <w:rFonts w:eastAsia="Arial Unicode MS"/>
          <w:noProof/>
        </w:rPr>
        <w:t xml:space="preserve">C to the Convention. </w:t>
      </w:r>
      <w:r w:rsidR="00492E41">
        <w:rPr>
          <w:rFonts w:eastAsia="Arial Unicode MS"/>
          <w:noProof/>
        </w:rPr>
        <w:t>RID</w:t>
      </w:r>
      <w:r w:rsidR="004636CD">
        <w:rPr>
          <w:rFonts w:eastAsia="Arial Unicode MS"/>
          <w:noProof/>
        </w:rPr>
        <w:t xml:space="preserve"> applies </w:t>
      </w:r>
      <w:r>
        <w:rPr>
          <w:rFonts w:eastAsia="Arial Unicode MS"/>
          <w:noProof/>
        </w:rPr>
        <w:t>in</w:t>
      </w:r>
      <w:r w:rsidR="004636CD">
        <w:rPr>
          <w:rFonts w:eastAsia="Arial Unicode MS"/>
          <w:noProof/>
        </w:rPr>
        <w:t>sofar as declarations are not made in accordance with the relevant provisions of the COTIF</w:t>
      </w:r>
      <w:r w:rsidR="004636CD">
        <w:rPr>
          <w:rStyle w:val="FootnoteReference"/>
          <w:rFonts w:eastAsia="Arial Unicode MS"/>
          <w:noProof/>
        </w:rPr>
        <w:footnoteReference w:id="2"/>
      </w:r>
      <w:r w:rsidR="004636CD">
        <w:rPr>
          <w:rFonts w:eastAsia="Arial Unicode MS"/>
          <w:noProof/>
        </w:rPr>
        <w:t xml:space="preserve">. </w:t>
      </w:r>
    </w:p>
    <w:p w:rsidR="00843CB8" w:rsidRDefault="004636CD" w:rsidP="00E00B6E">
      <w:pPr>
        <w:rPr>
          <w:rFonts w:eastAsia="Arial Unicode MS"/>
          <w:noProof/>
        </w:rPr>
      </w:pPr>
      <w:r>
        <w:rPr>
          <w:rFonts w:eastAsia="Arial Unicode MS"/>
          <w:noProof/>
        </w:rPr>
        <w:t xml:space="preserve">RID </w:t>
      </w:r>
      <w:r w:rsidRPr="00E34F04">
        <w:rPr>
          <w:rFonts w:eastAsia="Arial Unicode MS"/>
          <w:noProof/>
        </w:rPr>
        <w:t>aims to</w:t>
      </w:r>
      <w:r w:rsidRPr="002157E7">
        <w:rPr>
          <w:rFonts w:eastAsia="Arial Unicode MS"/>
          <w:noProof/>
        </w:rPr>
        <w:t xml:space="preserve"> </w:t>
      </w:r>
      <w:r>
        <w:rPr>
          <w:noProof/>
        </w:rPr>
        <w:t>regulate the international transport of dangerous goods by rail between the OTIF Member States that apply RID rules (RID Contracting States)</w:t>
      </w:r>
      <w:r w:rsidR="0062089B">
        <w:rPr>
          <w:rStyle w:val="FootnoteReference"/>
          <w:noProof/>
        </w:rPr>
        <w:footnoteReference w:id="3"/>
      </w:r>
      <w:r>
        <w:rPr>
          <w:rFonts w:eastAsia="Arial Unicode MS"/>
          <w:noProof/>
        </w:rPr>
        <w:t>.</w:t>
      </w:r>
      <w:r w:rsidR="00E00B6E">
        <w:rPr>
          <w:rFonts w:eastAsia="Arial Unicode MS"/>
          <w:noProof/>
        </w:rPr>
        <w:t xml:space="preserve"> </w:t>
      </w:r>
    </w:p>
    <w:p w:rsidR="00E00B6E" w:rsidRDefault="00E00B6E" w:rsidP="00E00B6E">
      <w:pPr>
        <w:rPr>
          <w:rFonts w:eastAsia="Arial Unicode MS"/>
          <w:noProof/>
        </w:rPr>
      </w:pPr>
      <w:r>
        <w:rPr>
          <w:rFonts w:eastAsia="Arial Unicode MS"/>
          <w:noProof/>
        </w:rPr>
        <w:t>Directive 2008/68/EC on inland transport of dangerous goods</w:t>
      </w:r>
      <w:r>
        <w:rPr>
          <w:rStyle w:val="FootnoteReference"/>
          <w:rFonts w:eastAsia="Arial Unicode MS"/>
          <w:noProof/>
        </w:rPr>
        <w:footnoteReference w:id="4"/>
      </w:r>
      <w:r>
        <w:rPr>
          <w:rFonts w:eastAsia="Arial Unicode MS"/>
          <w:noProof/>
        </w:rPr>
        <w:t xml:space="preserve"> stipulates that RID </w:t>
      </w:r>
      <w:r w:rsidR="00A20F0A">
        <w:rPr>
          <w:rFonts w:eastAsia="Arial Unicode MS"/>
          <w:noProof/>
        </w:rPr>
        <w:t>also</w:t>
      </w:r>
      <w:r>
        <w:rPr>
          <w:rFonts w:eastAsia="Arial Unicode MS"/>
          <w:noProof/>
        </w:rPr>
        <w:t xml:space="preserve"> appl</w:t>
      </w:r>
      <w:r w:rsidR="00A20F0A">
        <w:rPr>
          <w:rFonts w:eastAsia="Arial Unicode MS"/>
          <w:noProof/>
        </w:rPr>
        <w:t>ies</w:t>
      </w:r>
      <w:r>
        <w:rPr>
          <w:rFonts w:eastAsia="Arial Unicode MS"/>
          <w:noProof/>
        </w:rPr>
        <w:t xml:space="preserve"> to carriage performed within EU Member States. </w:t>
      </w:r>
    </w:p>
    <w:p w:rsidR="004636CD" w:rsidRPr="00174C3E" w:rsidRDefault="004636CD" w:rsidP="00174C3E">
      <w:pPr>
        <w:rPr>
          <w:rFonts w:eastAsia="Arial Unicode MS"/>
          <w:noProof/>
        </w:rPr>
      </w:pPr>
    </w:p>
    <w:p w:rsidR="00570608" w:rsidRPr="00E34F04" w:rsidRDefault="00570608" w:rsidP="009D52A1">
      <w:pPr>
        <w:pStyle w:val="ManualHeading2"/>
        <w:rPr>
          <w:noProof/>
        </w:rPr>
      </w:pPr>
      <w:r>
        <w:rPr>
          <w:noProof/>
        </w:rPr>
        <w:t>2.3.</w:t>
      </w:r>
      <w:r>
        <w:rPr>
          <w:noProof/>
        </w:rPr>
        <w:tab/>
      </w:r>
      <w:r w:rsidRPr="00E34F04">
        <w:rPr>
          <w:noProof/>
        </w:rPr>
        <w:t>The</w:t>
      </w:r>
      <w:r w:rsidR="002157E7" w:rsidRPr="002157E7">
        <w:rPr>
          <w:rFonts w:eastAsia="Arial Unicode MS"/>
          <w:noProof/>
        </w:rPr>
        <w:t xml:space="preserve"> </w:t>
      </w:r>
      <w:r w:rsidR="002157E7">
        <w:rPr>
          <w:rFonts w:eastAsia="Arial Unicode MS"/>
          <w:noProof/>
        </w:rPr>
        <w:t>RID Expert Committee</w:t>
      </w:r>
    </w:p>
    <w:p w:rsidR="002157E7" w:rsidRDefault="00570608" w:rsidP="009D52A1">
      <w:pPr>
        <w:rPr>
          <w:rFonts w:eastAsia="Arial Unicode MS"/>
          <w:noProof/>
        </w:rPr>
      </w:pPr>
      <w:r w:rsidRPr="00E34F04">
        <w:rPr>
          <w:rFonts w:eastAsia="Arial Unicode MS"/>
          <w:noProof/>
        </w:rPr>
        <w:t>The</w:t>
      </w:r>
      <w:r w:rsidR="002157E7" w:rsidRPr="002157E7">
        <w:rPr>
          <w:rFonts w:eastAsia="Arial Unicode MS"/>
          <w:noProof/>
        </w:rPr>
        <w:t xml:space="preserve"> </w:t>
      </w:r>
      <w:r w:rsidR="002157E7">
        <w:rPr>
          <w:rFonts w:eastAsia="Arial Unicode MS"/>
          <w:noProof/>
        </w:rPr>
        <w:t>RID Expert Committee</w:t>
      </w:r>
      <w:r w:rsidR="002157E7">
        <w:rPr>
          <w:noProof/>
        </w:rPr>
        <w:t xml:space="preserve"> </w:t>
      </w:r>
      <w:r w:rsidR="00D855EE" w:rsidRPr="00E34F04">
        <w:rPr>
          <w:noProof/>
        </w:rPr>
        <w:t xml:space="preserve">is a body set up </w:t>
      </w:r>
      <w:r w:rsidR="0056316C">
        <w:rPr>
          <w:noProof/>
        </w:rPr>
        <w:t>under</w:t>
      </w:r>
      <w:r w:rsidR="00D855EE" w:rsidRPr="00E34F04">
        <w:rPr>
          <w:noProof/>
        </w:rPr>
        <w:t xml:space="preserve"> </w:t>
      </w:r>
      <w:r w:rsidR="004636CD">
        <w:rPr>
          <w:noProof/>
        </w:rPr>
        <w:t>Article 13(1)</w:t>
      </w:r>
      <w:r w:rsidR="0056316C">
        <w:rPr>
          <w:noProof/>
        </w:rPr>
        <w:t>(</w:t>
      </w:r>
      <w:r w:rsidR="004636CD">
        <w:rPr>
          <w:noProof/>
        </w:rPr>
        <w:t xml:space="preserve">d) of the COTIF. </w:t>
      </w:r>
      <w:r w:rsidR="0056316C">
        <w:rPr>
          <w:noProof/>
        </w:rPr>
        <w:t>In a</w:t>
      </w:r>
      <w:r w:rsidR="004636CD">
        <w:rPr>
          <w:noProof/>
        </w:rPr>
        <w:t>ccord</w:t>
      </w:r>
      <w:r w:rsidR="0056316C">
        <w:rPr>
          <w:noProof/>
        </w:rPr>
        <w:t>ance</w:t>
      </w:r>
      <w:r w:rsidR="004636CD">
        <w:rPr>
          <w:noProof/>
        </w:rPr>
        <w:t xml:space="preserve"> </w:t>
      </w:r>
      <w:r w:rsidR="0056316C">
        <w:rPr>
          <w:noProof/>
        </w:rPr>
        <w:t xml:space="preserve">with </w:t>
      </w:r>
      <w:r w:rsidR="004636CD">
        <w:rPr>
          <w:noProof/>
        </w:rPr>
        <w:t>Article 18 of the COTIF, the RID Expert Committee take</w:t>
      </w:r>
      <w:r w:rsidR="00843CB8">
        <w:rPr>
          <w:noProof/>
        </w:rPr>
        <w:t>s</w:t>
      </w:r>
      <w:r w:rsidR="004636CD">
        <w:rPr>
          <w:noProof/>
        </w:rPr>
        <w:t xml:space="preserve"> decisions about proposals aiming to </w:t>
      </w:r>
      <w:r w:rsidR="0056316C">
        <w:rPr>
          <w:noProof/>
        </w:rPr>
        <w:t>amend</w:t>
      </w:r>
      <w:r w:rsidR="004636CD">
        <w:rPr>
          <w:noProof/>
        </w:rPr>
        <w:t xml:space="preserve"> the Convention.</w:t>
      </w:r>
      <w:r w:rsidR="004172EC">
        <w:rPr>
          <w:noProof/>
        </w:rPr>
        <w:t xml:space="preserve"> </w:t>
      </w:r>
      <w:r w:rsidR="002157E7">
        <w:rPr>
          <w:noProof/>
        </w:rPr>
        <w:t xml:space="preserve">It is made up </w:t>
      </w:r>
      <w:r w:rsidR="0056316C">
        <w:rPr>
          <w:noProof/>
        </w:rPr>
        <w:t>of</w:t>
      </w:r>
      <w:r w:rsidR="002157E7">
        <w:rPr>
          <w:noProof/>
        </w:rPr>
        <w:t xml:space="preserve"> representatives of OTIF Member States that apply RID and of the </w:t>
      </w:r>
      <w:r w:rsidR="00D855EE">
        <w:rPr>
          <w:noProof/>
        </w:rPr>
        <w:t xml:space="preserve">European </w:t>
      </w:r>
      <w:r w:rsidR="002157E7">
        <w:rPr>
          <w:noProof/>
        </w:rPr>
        <w:t xml:space="preserve">Union. </w:t>
      </w:r>
    </w:p>
    <w:p w:rsidR="00570608" w:rsidRPr="00E34F04" w:rsidRDefault="00570608" w:rsidP="009D52A1">
      <w:pPr>
        <w:pStyle w:val="ManualHeading2"/>
        <w:rPr>
          <w:noProof/>
        </w:rPr>
      </w:pPr>
      <w:r>
        <w:rPr>
          <w:noProof/>
        </w:rPr>
        <w:lastRenderedPageBreak/>
        <w:t>2.4.</w:t>
      </w:r>
      <w:r>
        <w:rPr>
          <w:noProof/>
        </w:rPr>
        <w:tab/>
      </w:r>
      <w:r w:rsidRPr="00E34F04">
        <w:rPr>
          <w:noProof/>
        </w:rPr>
        <w:t>The envisaged act of the</w:t>
      </w:r>
      <w:r w:rsidR="00174C3E" w:rsidRPr="00174C3E">
        <w:rPr>
          <w:rFonts w:eastAsia="Arial Unicode MS"/>
          <w:noProof/>
        </w:rPr>
        <w:t xml:space="preserve"> </w:t>
      </w:r>
      <w:r w:rsidR="00174C3E">
        <w:rPr>
          <w:rFonts w:eastAsia="Arial Unicode MS"/>
          <w:noProof/>
        </w:rPr>
        <w:t>RID Expert Committee</w:t>
      </w:r>
    </w:p>
    <w:p w:rsidR="00570608" w:rsidRDefault="00570608" w:rsidP="009D52A1">
      <w:pPr>
        <w:rPr>
          <w:rFonts w:eastAsia="Arial Unicode MS"/>
          <w:noProof/>
        </w:rPr>
      </w:pPr>
      <w:r w:rsidRPr="00734196">
        <w:rPr>
          <w:rFonts w:eastAsia="Arial Unicode MS"/>
          <w:noProof/>
        </w:rPr>
        <w:t>On</w:t>
      </w:r>
      <w:r w:rsidR="00174C3E" w:rsidRPr="00734196">
        <w:rPr>
          <w:rFonts w:eastAsia="Arial Unicode MS"/>
          <w:noProof/>
        </w:rPr>
        <w:t xml:space="preserve"> 2</w:t>
      </w:r>
      <w:r w:rsidR="004616CE">
        <w:rPr>
          <w:rFonts w:eastAsia="Arial Unicode MS"/>
          <w:noProof/>
        </w:rPr>
        <w:t>8</w:t>
      </w:r>
      <w:r w:rsidR="00174C3E" w:rsidRPr="00734196">
        <w:rPr>
          <w:rFonts w:eastAsia="Arial Unicode MS"/>
          <w:noProof/>
        </w:rPr>
        <w:t xml:space="preserve"> May 202</w:t>
      </w:r>
      <w:r w:rsidR="004616CE">
        <w:rPr>
          <w:rFonts w:eastAsia="Arial Unicode MS"/>
          <w:noProof/>
        </w:rPr>
        <w:t>6</w:t>
      </w:r>
      <w:r w:rsidR="00174C3E" w:rsidRPr="00734196">
        <w:rPr>
          <w:rFonts w:eastAsia="Arial Unicode MS"/>
          <w:noProof/>
        </w:rPr>
        <w:t>,</w:t>
      </w:r>
      <w:r w:rsidR="00174C3E">
        <w:rPr>
          <w:rFonts w:eastAsia="Arial Unicode MS"/>
          <w:noProof/>
        </w:rPr>
        <w:t xml:space="preserve"> </w:t>
      </w:r>
      <w:r w:rsidRPr="00E34F04">
        <w:rPr>
          <w:rFonts w:eastAsia="Arial Unicode MS"/>
          <w:noProof/>
        </w:rPr>
        <w:t>during its</w:t>
      </w:r>
      <w:r w:rsidR="00174C3E">
        <w:rPr>
          <w:rFonts w:eastAsia="Arial Unicode MS"/>
          <w:noProof/>
        </w:rPr>
        <w:t xml:space="preserve"> 5</w:t>
      </w:r>
      <w:r w:rsidR="004616CE">
        <w:rPr>
          <w:rFonts w:eastAsia="Arial Unicode MS"/>
          <w:noProof/>
        </w:rPr>
        <w:t>9</w:t>
      </w:r>
      <w:r w:rsidR="00174C3E">
        <w:rPr>
          <w:rFonts w:eastAsia="Arial Unicode MS"/>
          <w:noProof/>
        </w:rPr>
        <w:t>th</w:t>
      </w:r>
      <w:r w:rsidRPr="00E34F04">
        <w:rPr>
          <w:rFonts w:eastAsia="Arial Unicode MS"/>
          <w:noProof/>
        </w:rPr>
        <w:t xml:space="preserve"> session, the </w:t>
      </w:r>
      <w:r w:rsidR="00174C3E">
        <w:rPr>
          <w:rFonts w:eastAsia="Arial Unicode MS"/>
          <w:noProof/>
        </w:rPr>
        <w:t xml:space="preserve">RID Expert Committee </w:t>
      </w:r>
      <w:r w:rsidRPr="00E34F04">
        <w:rPr>
          <w:rFonts w:eastAsia="Arial Unicode MS"/>
          <w:noProof/>
        </w:rPr>
        <w:t xml:space="preserve">is </w:t>
      </w:r>
      <w:r w:rsidR="00D855EE">
        <w:rPr>
          <w:rFonts w:eastAsia="Arial Unicode MS"/>
          <w:noProof/>
        </w:rPr>
        <w:t xml:space="preserve">expected </w:t>
      </w:r>
      <w:r w:rsidRPr="00E34F04">
        <w:rPr>
          <w:rFonts w:eastAsia="Arial Unicode MS"/>
          <w:noProof/>
        </w:rPr>
        <w:t>to adopt a</w:t>
      </w:r>
      <w:r w:rsidR="00174C3E">
        <w:rPr>
          <w:rFonts w:eastAsia="Arial Unicode MS"/>
          <w:noProof/>
        </w:rPr>
        <w:t xml:space="preserve"> set of amendments updating the Annex to RID</w:t>
      </w:r>
      <w:r w:rsidRPr="00E34F04">
        <w:rPr>
          <w:rFonts w:eastAsia="Arial Unicode MS"/>
          <w:noProof/>
        </w:rPr>
        <w:t xml:space="preserve"> (‘the envisaged act’)</w:t>
      </w:r>
      <w:r w:rsidR="00483863">
        <w:rPr>
          <w:rFonts w:eastAsia="Arial Unicode MS"/>
          <w:noProof/>
        </w:rPr>
        <w:t xml:space="preserve"> in light of technical and scientific progress</w:t>
      </w:r>
      <w:r w:rsidRPr="00E34F04">
        <w:rPr>
          <w:rFonts w:eastAsia="Arial Unicode MS"/>
          <w:noProof/>
        </w:rPr>
        <w:t>.</w:t>
      </w:r>
    </w:p>
    <w:p w:rsidR="00174C3E" w:rsidRDefault="00570608" w:rsidP="009D52A1">
      <w:pPr>
        <w:rPr>
          <w:rFonts w:eastAsia="Arial Unicode MS"/>
          <w:noProof/>
        </w:rPr>
      </w:pPr>
      <w:r w:rsidRPr="00857007">
        <w:rPr>
          <w:rFonts w:eastAsia="Arial Unicode MS"/>
          <w:noProof/>
        </w:rPr>
        <w:t>The purpose of the envisaged act is to</w:t>
      </w:r>
      <w:r w:rsidR="00174C3E" w:rsidRPr="00857007">
        <w:rPr>
          <w:rFonts w:eastAsia="Arial Unicode MS"/>
          <w:noProof/>
        </w:rPr>
        <w:t xml:space="preserve"> ensure safe and secure transport of dangerous goods by rail</w:t>
      </w:r>
      <w:r w:rsidR="001C7D57" w:rsidRPr="00857007">
        <w:rPr>
          <w:rFonts w:eastAsia="Arial Unicode MS"/>
          <w:noProof/>
        </w:rPr>
        <w:t xml:space="preserve">, by </w:t>
      </w:r>
      <w:r w:rsidR="00DF553F" w:rsidRPr="00857007">
        <w:rPr>
          <w:rFonts w:eastAsia="Arial Unicode MS"/>
          <w:noProof/>
        </w:rPr>
        <w:t xml:space="preserve">updating </w:t>
      </w:r>
      <w:r w:rsidR="00483863">
        <w:rPr>
          <w:rFonts w:eastAsia="Arial Unicode MS"/>
          <w:noProof/>
        </w:rPr>
        <w:t xml:space="preserve">certain provisions. These would include </w:t>
      </w:r>
      <w:r w:rsidR="001C7D57" w:rsidRPr="00857007">
        <w:rPr>
          <w:rFonts w:eastAsia="Arial Unicode MS"/>
          <w:noProof/>
        </w:rPr>
        <w:t xml:space="preserve">among others </w:t>
      </w:r>
      <w:r w:rsidR="00DF553F" w:rsidRPr="00857007">
        <w:rPr>
          <w:rFonts w:eastAsia="Arial Unicode MS"/>
          <w:noProof/>
        </w:rPr>
        <w:t>the list of dangerous goods admitted for carriage, the packing instructions, the list of applicable standards</w:t>
      </w:r>
      <w:r w:rsidR="00483863">
        <w:rPr>
          <w:rFonts w:eastAsia="Arial Unicode MS"/>
          <w:noProof/>
        </w:rPr>
        <w:t>, and</w:t>
      </w:r>
      <w:r w:rsidR="00DF553F" w:rsidRPr="00857007">
        <w:rPr>
          <w:rFonts w:eastAsia="Arial Unicode MS"/>
          <w:noProof/>
        </w:rPr>
        <w:t xml:space="preserve"> other technical requirements applicable for </w:t>
      </w:r>
      <w:r w:rsidR="00483863">
        <w:rPr>
          <w:rFonts w:eastAsia="Arial Unicode MS"/>
          <w:noProof/>
        </w:rPr>
        <w:t xml:space="preserve">various </w:t>
      </w:r>
      <w:r w:rsidR="00DF553F" w:rsidRPr="00857007">
        <w:rPr>
          <w:rFonts w:eastAsia="Arial Unicode MS"/>
          <w:noProof/>
        </w:rPr>
        <w:t>means of containment.</w:t>
      </w:r>
    </w:p>
    <w:p w:rsidR="00174C3E" w:rsidRDefault="00843CB8" w:rsidP="00174C3E">
      <w:pPr>
        <w:rPr>
          <w:noProof/>
        </w:rPr>
      </w:pPr>
      <w:r>
        <w:rPr>
          <w:rFonts w:eastAsia="Arial Unicode MS"/>
          <w:noProof/>
        </w:rPr>
        <w:t>It could be noted that t</w:t>
      </w:r>
      <w:r w:rsidR="00174C3E">
        <w:rPr>
          <w:rFonts w:eastAsia="Arial Unicode MS"/>
          <w:noProof/>
        </w:rPr>
        <w:t xml:space="preserve">he international provisions </w:t>
      </w:r>
      <w:r w:rsidR="00483863">
        <w:rPr>
          <w:rFonts w:eastAsia="Arial Unicode MS"/>
          <w:noProof/>
        </w:rPr>
        <w:t xml:space="preserve">on </w:t>
      </w:r>
      <w:r w:rsidR="00174C3E">
        <w:rPr>
          <w:rFonts w:eastAsia="Arial Unicode MS"/>
          <w:noProof/>
        </w:rPr>
        <w:t xml:space="preserve">the transport of </w:t>
      </w:r>
      <w:r w:rsidR="00174C3E">
        <w:rPr>
          <w:noProof/>
        </w:rPr>
        <w:t>dangerous goods are established in various international organisations, such as OTIF</w:t>
      </w:r>
      <w:r w:rsidR="00483863">
        <w:rPr>
          <w:noProof/>
        </w:rPr>
        <w:t>. These include the</w:t>
      </w:r>
      <w:r w:rsidR="004636CD">
        <w:rPr>
          <w:noProof/>
        </w:rPr>
        <w:t xml:space="preserve"> </w:t>
      </w:r>
      <w:r w:rsidR="00174C3E">
        <w:rPr>
          <w:noProof/>
        </w:rPr>
        <w:t>United Nations Economic Commission for Europe (UNECE) and various specialised bodies of the United Nations</w:t>
      </w:r>
      <w:r w:rsidR="00D855EE">
        <w:rPr>
          <w:noProof/>
        </w:rPr>
        <w:t xml:space="preserve">, such as the </w:t>
      </w:r>
      <w:r w:rsidR="00D855EE" w:rsidRPr="00D855EE">
        <w:rPr>
          <w:noProof/>
        </w:rPr>
        <w:t>Economic and Social Council</w:t>
      </w:r>
      <w:r w:rsidR="00D855EE">
        <w:rPr>
          <w:noProof/>
        </w:rPr>
        <w:t xml:space="preserve">’s (ECOSOC) Sub-Committee of Experts on </w:t>
      </w:r>
      <w:r w:rsidR="00483863">
        <w:rPr>
          <w:noProof/>
        </w:rPr>
        <w:t xml:space="preserve">the </w:t>
      </w:r>
      <w:r w:rsidR="00D855EE">
        <w:rPr>
          <w:noProof/>
        </w:rPr>
        <w:t>Transport of Dangerous Goods</w:t>
      </w:r>
      <w:r w:rsidR="00174C3E">
        <w:rPr>
          <w:noProof/>
        </w:rPr>
        <w:t>. Since rules need to be compatible, a complex international system for coordination and harmonisation has been developed</w:t>
      </w:r>
      <w:r w:rsidR="00483863">
        <w:rPr>
          <w:noProof/>
        </w:rPr>
        <w:t xml:space="preserve"> among</w:t>
      </w:r>
      <w:r w:rsidR="00174C3E">
        <w:rPr>
          <w:noProof/>
        </w:rPr>
        <w:t xml:space="preserve"> the organisations involved in this work. The provisions are adapted following a </w:t>
      </w:r>
      <w:r w:rsidR="00483863">
        <w:rPr>
          <w:noProof/>
        </w:rPr>
        <w:t>2</w:t>
      </w:r>
      <w:r w:rsidR="00174C3E">
        <w:rPr>
          <w:noProof/>
        </w:rPr>
        <w:t xml:space="preserve">-year cycle. </w:t>
      </w:r>
    </w:p>
    <w:p w:rsidR="00174C3E" w:rsidRDefault="00174C3E" w:rsidP="00174C3E">
      <w:pPr>
        <w:rPr>
          <w:noProof/>
        </w:rPr>
      </w:pPr>
      <w:r>
        <w:rPr>
          <w:noProof/>
        </w:rPr>
        <w:t xml:space="preserve">A </w:t>
      </w:r>
      <w:r w:rsidR="0091047A">
        <w:rPr>
          <w:noProof/>
        </w:rPr>
        <w:t xml:space="preserve">wide </w:t>
      </w:r>
      <w:r>
        <w:rPr>
          <w:noProof/>
        </w:rPr>
        <w:t xml:space="preserve">range of public and private sector experts has been consulted during the preparation of these amendments. The following technical meetings </w:t>
      </w:r>
      <w:r w:rsidR="0091047A">
        <w:rPr>
          <w:noProof/>
        </w:rPr>
        <w:t xml:space="preserve">took place </w:t>
      </w:r>
      <w:r>
        <w:rPr>
          <w:noProof/>
        </w:rPr>
        <w:t xml:space="preserve">during the </w:t>
      </w:r>
      <w:r w:rsidR="0091047A">
        <w:rPr>
          <w:noProof/>
        </w:rPr>
        <w:t xml:space="preserve">preparation </w:t>
      </w:r>
      <w:r>
        <w:rPr>
          <w:noProof/>
        </w:rPr>
        <w:t xml:space="preserve">of these amendments: </w:t>
      </w:r>
    </w:p>
    <w:p w:rsidR="00174C3E" w:rsidRPr="00AD401A" w:rsidRDefault="00174C3E" w:rsidP="006E3DF8">
      <w:pPr>
        <w:pStyle w:val="Tiret0"/>
        <w:numPr>
          <w:ilvl w:val="0"/>
          <w:numId w:val="8"/>
        </w:numPr>
        <w:rPr>
          <w:noProof/>
        </w:rPr>
      </w:pPr>
      <w:r>
        <w:rPr>
          <w:noProof/>
        </w:rPr>
        <w:t xml:space="preserve">UN </w:t>
      </w:r>
      <w:r w:rsidRPr="00AD401A">
        <w:rPr>
          <w:noProof/>
        </w:rPr>
        <w:t xml:space="preserve">ECOSOC Sub-Committee of Experts on Transport </w:t>
      </w:r>
      <w:r w:rsidR="00466421">
        <w:rPr>
          <w:noProof/>
        </w:rPr>
        <w:t>of Dangerous Goods</w:t>
      </w:r>
      <w:r w:rsidRPr="00AD401A">
        <w:rPr>
          <w:noProof/>
        </w:rPr>
        <w:t xml:space="preserve">: </w:t>
      </w:r>
    </w:p>
    <w:p w:rsidR="00174C3E" w:rsidRPr="00AD401A" w:rsidRDefault="004616CE" w:rsidP="006E3DF8">
      <w:pPr>
        <w:pStyle w:val="Point0"/>
        <w:rPr>
          <w:noProof/>
        </w:rPr>
      </w:pPr>
      <w:r>
        <w:rPr>
          <w:noProof/>
        </w:rPr>
        <w:t>(1)</w:t>
      </w:r>
      <w:r>
        <w:rPr>
          <w:noProof/>
        </w:rPr>
        <w:tab/>
        <w:t>62</w:t>
      </w:r>
      <w:r w:rsidRPr="004616CE">
        <w:rPr>
          <w:noProof/>
          <w:vertAlign w:val="superscript"/>
        </w:rPr>
        <w:t>nd</w:t>
      </w:r>
      <w:r>
        <w:rPr>
          <w:noProof/>
        </w:rPr>
        <w:t xml:space="preserve"> </w:t>
      </w:r>
      <w:r w:rsidR="00174C3E" w:rsidRPr="00AD401A">
        <w:rPr>
          <w:noProof/>
        </w:rPr>
        <w:t xml:space="preserve">session in Geneva, </w:t>
      </w:r>
      <w:r>
        <w:rPr>
          <w:noProof/>
        </w:rPr>
        <w:t>3-7 July</w:t>
      </w:r>
      <w:r w:rsidR="00174C3E" w:rsidRPr="00AD401A">
        <w:rPr>
          <w:noProof/>
        </w:rPr>
        <w:t xml:space="preserve"> 20</w:t>
      </w:r>
      <w:r w:rsidR="00967237">
        <w:rPr>
          <w:noProof/>
        </w:rPr>
        <w:t>2</w:t>
      </w:r>
      <w:r>
        <w:rPr>
          <w:noProof/>
        </w:rPr>
        <w:t>3</w:t>
      </w:r>
      <w:r w:rsidR="00174C3E" w:rsidRPr="00AD401A">
        <w:rPr>
          <w:noProof/>
        </w:rPr>
        <w:t>;</w:t>
      </w:r>
    </w:p>
    <w:p w:rsidR="00174C3E" w:rsidRPr="00AD401A" w:rsidRDefault="004616CE" w:rsidP="00174C3E">
      <w:pPr>
        <w:pStyle w:val="Point0"/>
        <w:rPr>
          <w:noProof/>
        </w:rPr>
      </w:pPr>
      <w:r>
        <w:rPr>
          <w:noProof/>
        </w:rPr>
        <w:t>(2)</w:t>
      </w:r>
      <w:r>
        <w:rPr>
          <w:noProof/>
        </w:rPr>
        <w:tab/>
        <w:t>63</w:t>
      </w:r>
      <w:r w:rsidRPr="004616CE">
        <w:rPr>
          <w:noProof/>
          <w:vertAlign w:val="superscript"/>
        </w:rPr>
        <w:t>rd</w:t>
      </w:r>
      <w:r>
        <w:rPr>
          <w:noProof/>
        </w:rPr>
        <w:t xml:space="preserve"> </w:t>
      </w:r>
      <w:r w:rsidR="00174C3E" w:rsidRPr="00AD401A">
        <w:rPr>
          <w:noProof/>
        </w:rPr>
        <w:t xml:space="preserve">session in Geneva, </w:t>
      </w:r>
      <w:r w:rsidR="00967237">
        <w:rPr>
          <w:noProof/>
        </w:rPr>
        <w:t>2</w:t>
      </w:r>
      <w:r>
        <w:rPr>
          <w:noProof/>
        </w:rPr>
        <w:t>7</w:t>
      </w:r>
      <w:r w:rsidR="00967237">
        <w:rPr>
          <w:noProof/>
        </w:rPr>
        <w:t xml:space="preserve"> November to </w:t>
      </w:r>
      <w:r>
        <w:rPr>
          <w:noProof/>
        </w:rPr>
        <w:t>6</w:t>
      </w:r>
      <w:r w:rsidR="00174C3E" w:rsidRPr="00AD401A">
        <w:rPr>
          <w:noProof/>
        </w:rPr>
        <w:t xml:space="preserve"> December 20</w:t>
      </w:r>
      <w:r w:rsidR="00967237">
        <w:rPr>
          <w:noProof/>
        </w:rPr>
        <w:t>2</w:t>
      </w:r>
      <w:r>
        <w:rPr>
          <w:noProof/>
        </w:rPr>
        <w:t>3</w:t>
      </w:r>
      <w:r w:rsidR="00174C3E" w:rsidRPr="00AD401A">
        <w:rPr>
          <w:noProof/>
        </w:rPr>
        <w:t xml:space="preserve">; </w:t>
      </w:r>
    </w:p>
    <w:p w:rsidR="00174C3E" w:rsidRDefault="00967237" w:rsidP="00AD401A">
      <w:pPr>
        <w:pStyle w:val="Point0"/>
        <w:rPr>
          <w:noProof/>
        </w:rPr>
      </w:pPr>
      <w:r>
        <w:rPr>
          <w:noProof/>
        </w:rPr>
        <w:t>(3)</w:t>
      </w:r>
      <w:r>
        <w:rPr>
          <w:noProof/>
        </w:rPr>
        <w:tab/>
        <w:t>6</w:t>
      </w:r>
      <w:r w:rsidR="004616CE">
        <w:rPr>
          <w:noProof/>
        </w:rPr>
        <w:t>4</w:t>
      </w:r>
      <w:r w:rsidR="000901F1" w:rsidRPr="00AD401A">
        <w:rPr>
          <w:noProof/>
          <w:vertAlign w:val="superscript"/>
        </w:rPr>
        <w:t>th</w:t>
      </w:r>
      <w:r w:rsidR="00AD401A" w:rsidRPr="00AD401A">
        <w:rPr>
          <w:noProof/>
          <w:vertAlign w:val="superscript"/>
        </w:rPr>
        <w:t xml:space="preserve"> </w:t>
      </w:r>
      <w:r w:rsidR="00174C3E" w:rsidRPr="00AD401A">
        <w:rPr>
          <w:noProof/>
        </w:rPr>
        <w:t>session in Geneva, 2</w:t>
      </w:r>
      <w:r w:rsidR="004616CE">
        <w:rPr>
          <w:noProof/>
        </w:rPr>
        <w:t>4</w:t>
      </w:r>
      <w:r w:rsidR="00174C3E" w:rsidRPr="00AD401A">
        <w:rPr>
          <w:noProof/>
        </w:rPr>
        <w:t xml:space="preserve"> </w:t>
      </w:r>
      <w:r>
        <w:rPr>
          <w:noProof/>
        </w:rPr>
        <w:t xml:space="preserve">June to </w:t>
      </w:r>
      <w:r w:rsidR="004616CE">
        <w:rPr>
          <w:noProof/>
        </w:rPr>
        <w:t>3</w:t>
      </w:r>
      <w:r>
        <w:rPr>
          <w:noProof/>
        </w:rPr>
        <w:t xml:space="preserve"> July 202</w:t>
      </w:r>
      <w:r w:rsidR="004616CE">
        <w:rPr>
          <w:noProof/>
        </w:rPr>
        <w:t>4</w:t>
      </w:r>
      <w:r w:rsidR="00174C3E" w:rsidRPr="00AD401A">
        <w:rPr>
          <w:noProof/>
        </w:rPr>
        <w:t xml:space="preserve">; </w:t>
      </w:r>
    </w:p>
    <w:p w:rsidR="00967237" w:rsidRDefault="00967237" w:rsidP="00AD401A">
      <w:pPr>
        <w:pStyle w:val="Point0"/>
        <w:rPr>
          <w:noProof/>
        </w:rPr>
      </w:pPr>
      <w:r>
        <w:rPr>
          <w:noProof/>
        </w:rPr>
        <w:t>(4)</w:t>
      </w:r>
      <w:r>
        <w:rPr>
          <w:noProof/>
        </w:rPr>
        <w:tab/>
        <w:t>6</w:t>
      </w:r>
      <w:r w:rsidR="004616CE">
        <w:rPr>
          <w:noProof/>
        </w:rPr>
        <w:t>5</w:t>
      </w:r>
      <w:r w:rsidR="004616CE" w:rsidRPr="004616CE">
        <w:rPr>
          <w:noProof/>
          <w:vertAlign w:val="superscript"/>
        </w:rPr>
        <w:t>th</w:t>
      </w:r>
      <w:r w:rsidR="004616CE">
        <w:rPr>
          <w:noProof/>
        </w:rPr>
        <w:t xml:space="preserve"> </w:t>
      </w:r>
      <w:r>
        <w:rPr>
          <w:noProof/>
        </w:rPr>
        <w:t>session in Geneva, 2</w:t>
      </w:r>
      <w:r w:rsidR="004616CE">
        <w:rPr>
          <w:noProof/>
        </w:rPr>
        <w:t>5</w:t>
      </w:r>
      <w:r>
        <w:rPr>
          <w:noProof/>
        </w:rPr>
        <w:t xml:space="preserve"> November to </w:t>
      </w:r>
      <w:r w:rsidR="004616CE">
        <w:rPr>
          <w:noProof/>
        </w:rPr>
        <w:t>3</w:t>
      </w:r>
      <w:r>
        <w:rPr>
          <w:noProof/>
        </w:rPr>
        <w:t xml:space="preserve"> December 202</w:t>
      </w:r>
      <w:r w:rsidR="004616CE">
        <w:rPr>
          <w:noProof/>
        </w:rPr>
        <w:t>4</w:t>
      </w:r>
      <w:r>
        <w:rPr>
          <w:noProof/>
        </w:rPr>
        <w:t>;</w:t>
      </w:r>
    </w:p>
    <w:p w:rsidR="00967237" w:rsidRPr="00AD401A" w:rsidRDefault="00967237" w:rsidP="00AD401A">
      <w:pPr>
        <w:pStyle w:val="Point0"/>
        <w:rPr>
          <w:noProof/>
        </w:rPr>
      </w:pPr>
      <w:r>
        <w:rPr>
          <w:noProof/>
        </w:rPr>
        <w:t>(5)</w:t>
      </w:r>
      <w:r>
        <w:rPr>
          <w:noProof/>
        </w:rPr>
        <w:tab/>
        <w:t>6</w:t>
      </w:r>
      <w:r w:rsidR="004616CE">
        <w:rPr>
          <w:noProof/>
        </w:rPr>
        <w:t>6</w:t>
      </w:r>
      <w:r w:rsidR="004616CE" w:rsidRPr="004616CE">
        <w:rPr>
          <w:noProof/>
          <w:vertAlign w:val="superscript"/>
        </w:rPr>
        <w:t>th</w:t>
      </w:r>
      <w:r w:rsidR="004616CE">
        <w:rPr>
          <w:noProof/>
        </w:rPr>
        <w:t xml:space="preserve"> </w:t>
      </w:r>
      <w:r>
        <w:rPr>
          <w:noProof/>
        </w:rPr>
        <w:t>session in Geneva, 3</w:t>
      </w:r>
      <w:r w:rsidR="004616CE">
        <w:rPr>
          <w:noProof/>
        </w:rPr>
        <w:t>0 June to 4</w:t>
      </w:r>
      <w:r>
        <w:rPr>
          <w:noProof/>
        </w:rPr>
        <w:t xml:space="preserve"> July 202</w:t>
      </w:r>
      <w:r w:rsidR="004616CE">
        <w:rPr>
          <w:noProof/>
        </w:rPr>
        <w:t>5</w:t>
      </w:r>
      <w:r>
        <w:rPr>
          <w:noProof/>
        </w:rPr>
        <w:t>;</w:t>
      </w:r>
    </w:p>
    <w:p w:rsidR="00174C3E" w:rsidRPr="00AD401A" w:rsidRDefault="00466421" w:rsidP="00174C3E">
      <w:pPr>
        <w:pStyle w:val="Tiret0"/>
        <w:rPr>
          <w:noProof/>
        </w:rPr>
      </w:pPr>
      <w:r>
        <w:rPr>
          <w:noProof/>
        </w:rPr>
        <w:t>UNECE</w:t>
      </w:r>
      <w:r w:rsidR="00174C3E" w:rsidRPr="00AD401A">
        <w:rPr>
          <w:noProof/>
        </w:rPr>
        <w:t xml:space="preserve"> Joint meeting of the RID Committee </w:t>
      </w:r>
      <w:r>
        <w:rPr>
          <w:noProof/>
        </w:rPr>
        <w:t xml:space="preserve">of </w:t>
      </w:r>
      <w:r w:rsidRPr="00AD401A">
        <w:rPr>
          <w:noProof/>
        </w:rPr>
        <w:t>Expert</w:t>
      </w:r>
      <w:r>
        <w:rPr>
          <w:noProof/>
        </w:rPr>
        <w:t>s</w:t>
      </w:r>
      <w:r w:rsidRPr="00AD401A">
        <w:rPr>
          <w:noProof/>
        </w:rPr>
        <w:t xml:space="preserve"> </w:t>
      </w:r>
      <w:r w:rsidR="00174C3E" w:rsidRPr="00AD401A">
        <w:rPr>
          <w:noProof/>
        </w:rPr>
        <w:t xml:space="preserve">and the Working Party on the Transport of Dangerous Goods: </w:t>
      </w:r>
    </w:p>
    <w:p w:rsidR="00174C3E" w:rsidRPr="00AD401A" w:rsidRDefault="00174C3E" w:rsidP="006E3DF8">
      <w:pPr>
        <w:pStyle w:val="Point0"/>
        <w:rPr>
          <w:noProof/>
        </w:rPr>
      </w:pPr>
      <w:r>
        <w:rPr>
          <w:noProof/>
        </w:rPr>
        <w:t>(1)</w:t>
      </w:r>
      <w:r>
        <w:rPr>
          <w:noProof/>
        </w:rPr>
        <w:tab/>
      </w:r>
      <w:r w:rsidRPr="00AD401A">
        <w:rPr>
          <w:noProof/>
        </w:rPr>
        <w:t>spring 20</w:t>
      </w:r>
      <w:r w:rsidR="000901F1" w:rsidRPr="00AD401A">
        <w:rPr>
          <w:noProof/>
        </w:rPr>
        <w:t>2</w:t>
      </w:r>
      <w:r w:rsidR="004616CE">
        <w:rPr>
          <w:noProof/>
        </w:rPr>
        <w:t>4</w:t>
      </w:r>
      <w:r w:rsidR="00B61DB0">
        <w:rPr>
          <w:noProof/>
        </w:rPr>
        <w:t xml:space="preserve"> </w:t>
      </w:r>
      <w:r w:rsidRPr="00AD401A">
        <w:rPr>
          <w:noProof/>
        </w:rPr>
        <w:t xml:space="preserve">session in Bern, </w:t>
      </w:r>
      <w:r w:rsidR="004616CE">
        <w:rPr>
          <w:noProof/>
        </w:rPr>
        <w:t>25-28</w:t>
      </w:r>
      <w:r w:rsidRPr="00AD401A">
        <w:rPr>
          <w:noProof/>
        </w:rPr>
        <w:t xml:space="preserve"> March 20</w:t>
      </w:r>
      <w:r w:rsidR="00AD401A" w:rsidRPr="00AD401A">
        <w:rPr>
          <w:noProof/>
        </w:rPr>
        <w:t>2</w:t>
      </w:r>
      <w:r w:rsidR="004616CE">
        <w:rPr>
          <w:noProof/>
        </w:rPr>
        <w:t>4</w:t>
      </w:r>
      <w:r w:rsidRPr="00AD401A">
        <w:rPr>
          <w:noProof/>
        </w:rPr>
        <w:t xml:space="preserve">; </w:t>
      </w:r>
    </w:p>
    <w:p w:rsidR="00174C3E" w:rsidRDefault="00174C3E" w:rsidP="006E3DF8">
      <w:pPr>
        <w:pStyle w:val="Point0"/>
        <w:rPr>
          <w:noProof/>
        </w:rPr>
      </w:pPr>
      <w:r>
        <w:rPr>
          <w:noProof/>
        </w:rPr>
        <w:t>(2)</w:t>
      </w:r>
      <w:r>
        <w:rPr>
          <w:noProof/>
        </w:rPr>
        <w:tab/>
      </w:r>
      <w:r w:rsidRPr="00AD401A">
        <w:rPr>
          <w:noProof/>
        </w:rPr>
        <w:t>autumn 20</w:t>
      </w:r>
      <w:r w:rsidR="000901F1" w:rsidRPr="00AD401A">
        <w:rPr>
          <w:noProof/>
        </w:rPr>
        <w:t>2</w:t>
      </w:r>
      <w:r w:rsidR="004616CE">
        <w:rPr>
          <w:noProof/>
        </w:rPr>
        <w:t>4</w:t>
      </w:r>
      <w:r w:rsidRPr="00AD401A">
        <w:rPr>
          <w:noProof/>
        </w:rPr>
        <w:t xml:space="preserve"> session in Geneva, </w:t>
      </w:r>
      <w:r w:rsidR="00777B93">
        <w:rPr>
          <w:noProof/>
        </w:rPr>
        <w:t>1</w:t>
      </w:r>
      <w:r w:rsidR="004616CE">
        <w:rPr>
          <w:noProof/>
        </w:rPr>
        <w:t>0</w:t>
      </w:r>
      <w:r w:rsidR="00777B93">
        <w:rPr>
          <w:noProof/>
        </w:rPr>
        <w:t>-1</w:t>
      </w:r>
      <w:r w:rsidR="004616CE">
        <w:rPr>
          <w:noProof/>
        </w:rPr>
        <w:t>3</w:t>
      </w:r>
      <w:r w:rsidR="00777B93">
        <w:rPr>
          <w:noProof/>
        </w:rPr>
        <w:t xml:space="preserve"> </w:t>
      </w:r>
      <w:r w:rsidRPr="00AD401A">
        <w:rPr>
          <w:noProof/>
        </w:rPr>
        <w:t>September 20</w:t>
      </w:r>
      <w:r w:rsidR="00AD401A" w:rsidRPr="00AD401A">
        <w:rPr>
          <w:noProof/>
        </w:rPr>
        <w:t>2</w:t>
      </w:r>
      <w:r w:rsidR="004616CE">
        <w:rPr>
          <w:noProof/>
        </w:rPr>
        <w:t>4</w:t>
      </w:r>
      <w:r w:rsidRPr="00AD401A">
        <w:rPr>
          <w:noProof/>
        </w:rPr>
        <w:t xml:space="preserve">; </w:t>
      </w:r>
    </w:p>
    <w:p w:rsidR="00777B93" w:rsidRPr="00AD401A" w:rsidRDefault="00777B93" w:rsidP="00777B93">
      <w:pPr>
        <w:pStyle w:val="Point0"/>
        <w:rPr>
          <w:noProof/>
        </w:rPr>
      </w:pPr>
      <w:r>
        <w:rPr>
          <w:noProof/>
        </w:rPr>
        <w:t>(3)</w:t>
      </w:r>
      <w:r>
        <w:rPr>
          <w:noProof/>
        </w:rPr>
        <w:tab/>
      </w:r>
      <w:r w:rsidRPr="00AD401A">
        <w:rPr>
          <w:noProof/>
        </w:rPr>
        <w:t>spring 202</w:t>
      </w:r>
      <w:r w:rsidR="004616CE">
        <w:rPr>
          <w:noProof/>
        </w:rPr>
        <w:t>5</w:t>
      </w:r>
      <w:r>
        <w:rPr>
          <w:noProof/>
        </w:rPr>
        <w:t xml:space="preserve"> </w:t>
      </w:r>
      <w:r w:rsidRPr="00AD401A">
        <w:rPr>
          <w:noProof/>
        </w:rPr>
        <w:t xml:space="preserve">session in Bern, </w:t>
      </w:r>
      <w:r>
        <w:rPr>
          <w:noProof/>
        </w:rPr>
        <w:t>2</w:t>
      </w:r>
      <w:r w:rsidR="004616CE">
        <w:rPr>
          <w:noProof/>
        </w:rPr>
        <w:t>4</w:t>
      </w:r>
      <w:r w:rsidRPr="00AD401A">
        <w:rPr>
          <w:noProof/>
        </w:rPr>
        <w:t>-</w:t>
      </w:r>
      <w:r>
        <w:rPr>
          <w:noProof/>
        </w:rPr>
        <w:t>2</w:t>
      </w:r>
      <w:r w:rsidR="004616CE">
        <w:rPr>
          <w:noProof/>
        </w:rPr>
        <w:t>8</w:t>
      </w:r>
      <w:r w:rsidRPr="00AD401A">
        <w:rPr>
          <w:noProof/>
        </w:rPr>
        <w:t xml:space="preserve"> March 202</w:t>
      </w:r>
      <w:r w:rsidR="004616CE">
        <w:rPr>
          <w:noProof/>
        </w:rPr>
        <w:t>5</w:t>
      </w:r>
      <w:r w:rsidRPr="00AD401A">
        <w:rPr>
          <w:noProof/>
        </w:rPr>
        <w:t xml:space="preserve">; </w:t>
      </w:r>
    </w:p>
    <w:p w:rsidR="00777B93" w:rsidRDefault="00777B93" w:rsidP="00777B93">
      <w:pPr>
        <w:pStyle w:val="Point0"/>
        <w:rPr>
          <w:noProof/>
        </w:rPr>
      </w:pPr>
      <w:r>
        <w:rPr>
          <w:noProof/>
        </w:rPr>
        <w:t>(4)</w:t>
      </w:r>
      <w:r>
        <w:rPr>
          <w:noProof/>
        </w:rPr>
        <w:tab/>
      </w:r>
      <w:r w:rsidRPr="00AD401A">
        <w:rPr>
          <w:noProof/>
        </w:rPr>
        <w:t>autumn 202</w:t>
      </w:r>
      <w:r w:rsidR="004616CE">
        <w:rPr>
          <w:noProof/>
        </w:rPr>
        <w:t>5</w:t>
      </w:r>
      <w:r w:rsidRPr="00AD401A">
        <w:rPr>
          <w:noProof/>
        </w:rPr>
        <w:t xml:space="preserve"> session in Geneva, </w:t>
      </w:r>
      <w:r>
        <w:rPr>
          <w:noProof/>
        </w:rPr>
        <w:t>1</w:t>
      </w:r>
      <w:r w:rsidR="004616CE">
        <w:rPr>
          <w:noProof/>
        </w:rPr>
        <w:t>7</w:t>
      </w:r>
      <w:r>
        <w:rPr>
          <w:noProof/>
        </w:rPr>
        <w:t xml:space="preserve"> to 2</w:t>
      </w:r>
      <w:r w:rsidR="004616CE">
        <w:rPr>
          <w:noProof/>
        </w:rPr>
        <w:t>5</w:t>
      </w:r>
      <w:r>
        <w:rPr>
          <w:noProof/>
        </w:rPr>
        <w:t xml:space="preserve"> </w:t>
      </w:r>
      <w:r w:rsidRPr="00AD401A">
        <w:rPr>
          <w:noProof/>
        </w:rPr>
        <w:t>September 202</w:t>
      </w:r>
      <w:r w:rsidR="004616CE">
        <w:rPr>
          <w:noProof/>
        </w:rPr>
        <w:t>5</w:t>
      </w:r>
      <w:r w:rsidRPr="00AD401A">
        <w:rPr>
          <w:noProof/>
        </w:rPr>
        <w:t xml:space="preserve">; </w:t>
      </w:r>
    </w:p>
    <w:p w:rsidR="00174C3E" w:rsidRPr="00AD401A" w:rsidRDefault="00174C3E" w:rsidP="006E3DF8">
      <w:pPr>
        <w:pStyle w:val="Point0"/>
        <w:rPr>
          <w:noProof/>
        </w:rPr>
      </w:pPr>
      <w:r>
        <w:rPr>
          <w:noProof/>
        </w:rPr>
        <w:t>(5)</w:t>
      </w:r>
      <w:r>
        <w:rPr>
          <w:noProof/>
        </w:rPr>
        <w:tab/>
      </w:r>
      <w:r w:rsidRPr="00AD401A">
        <w:rPr>
          <w:noProof/>
        </w:rPr>
        <w:t xml:space="preserve">another session of the Joint Meeting </w:t>
      </w:r>
      <w:r w:rsidR="002E4886" w:rsidRPr="00AD401A">
        <w:rPr>
          <w:noProof/>
        </w:rPr>
        <w:t xml:space="preserve">will take place </w:t>
      </w:r>
      <w:r w:rsidRPr="00AD401A">
        <w:rPr>
          <w:noProof/>
        </w:rPr>
        <w:t xml:space="preserve">in Bern, </w:t>
      </w:r>
      <w:r w:rsidR="002E4886" w:rsidRPr="00AD401A">
        <w:rPr>
          <w:noProof/>
        </w:rPr>
        <w:t xml:space="preserve">on </w:t>
      </w:r>
      <w:r w:rsidR="00967237">
        <w:rPr>
          <w:noProof/>
        </w:rPr>
        <w:t>2</w:t>
      </w:r>
      <w:r w:rsidR="004616CE">
        <w:rPr>
          <w:noProof/>
        </w:rPr>
        <w:t>4</w:t>
      </w:r>
      <w:r w:rsidRPr="00AD401A">
        <w:rPr>
          <w:noProof/>
        </w:rPr>
        <w:t>-</w:t>
      </w:r>
      <w:r w:rsidR="00967237">
        <w:rPr>
          <w:noProof/>
        </w:rPr>
        <w:t>2</w:t>
      </w:r>
      <w:r w:rsidR="004616CE">
        <w:rPr>
          <w:noProof/>
        </w:rPr>
        <w:t>7</w:t>
      </w:r>
      <w:r w:rsidRPr="00AD401A">
        <w:rPr>
          <w:noProof/>
        </w:rPr>
        <w:t xml:space="preserve"> March 202</w:t>
      </w:r>
      <w:r w:rsidR="004616CE">
        <w:rPr>
          <w:noProof/>
        </w:rPr>
        <w:t>6</w:t>
      </w:r>
      <w:r w:rsidR="002E4886" w:rsidRPr="00AD401A">
        <w:rPr>
          <w:noProof/>
        </w:rPr>
        <w:t>;</w:t>
      </w:r>
    </w:p>
    <w:p w:rsidR="00174C3E" w:rsidRPr="00AD401A" w:rsidRDefault="00174C3E" w:rsidP="00174C3E">
      <w:pPr>
        <w:pStyle w:val="Tiret0"/>
        <w:rPr>
          <w:noProof/>
        </w:rPr>
      </w:pPr>
      <w:r w:rsidRPr="00AD401A">
        <w:rPr>
          <w:noProof/>
        </w:rPr>
        <w:t>Standing Working Group of the</w:t>
      </w:r>
      <w:r w:rsidR="00466421">
        <w:rPr>
          <w:noProof/>
        </w:rPr>
        <w:t xml:space="preserve"> RID Committee of Experts</w:t>
      </w:r>
      <w:r w:rsidRPr="00AD401A">
        <w:rPr>
          <w:noProof/>
        </w:rPr>
        <w:t xml:space="preserve">: </w:t>
      </w:r>
    </w:p>
    <w:p w:rsidR="00174C3E" w:rsidRPr="00AD401A" w:rsidRDefault="00174C3E" w:rsidP="006E3DF8">
      <w:pPr>
        <w:pStyle w:val="Point0"/>
        <w:rPr>
          <w:noProof/>
        </w:rPr>
      </w:pPr>
      <w:r>
        <w:rPr>
          <w:noProof/>
        </w:rPr>
        <w:t>(1)</w:t>
      </w:r>
      <w:r>
        <w:rPr>
          <w:noProof/>
        </w:rPr>
        <w:tab/>
      </w:r>
      <w:r w:rsidRPr="00AD401A">
        <w:rPr>
          <w:noProof/>
        </w:rPr>
        <w:t>1</w:t>
      </w:r>
      <w:r w:rsidR="004403C6">
        <w:rPr>
          <w:noProof/>
        </w:rPr>
        <w:t>8</w:t>
      </w:r>
      <w:r w:rsidRPr="00AD401A">
        <w:rPr>
          <w:noProof/>
          <w:vertAlign w:val="superscript"/>
        </w:rPr>
        <w:t>th</w:t>
      </w:r>
      <w:r w:rsidRPr="00AD401A">
        <w:rPr>
          <w:noProof/>
        </w:rPr>
        <w:t xml:space="preserve"> session in </w:t>
      </w:r>
      <w:r w:rsidR="004616CE">
        <w:rPr>
          <w:noProof/>
        </w:rPr>
        <w:t>Madrid</w:t>
      </w:r>
      <w:r w:rsidRPr="00AD401A">
        <w:rPr>
          <w:noProof/>
        </w:rPr>
        <w:t>, 2</w:t>
      </w:r>
      <w:r w:rsidR="004403C6">
        <w:rPr>
          <w:noProof/>
        </w:rPr>
        <w:t>0</w:t>
      </w:r>
      <w:r w:rsidRPr="00AD401A">
        <w:rPr>
          <w:noProof/>
        </w:rPr>
        <w:t>-2</w:t>
      </w:r>
      <w:r w:rsidR="004403C6">
        <w:rPr>
          <w:noProof/>
        </w:rPr>
        <w:t>1</w:t>
      </w:r>
      <w:r w:rsidRPr="00AD401A">
        <w:rPr>
          <w:noProof/>
        </w:rPr>
        <w:t xml:space="preserve"> November 20</w:t>
      </w:r>
      <w:r w:rsidR="000901F1" w:rsidRPr="00AD401A">
        <w:rPr>
          <w:noProof/>
        </w:rPr>
        <w:t>2</w:t>
      </w:r>
      <w:r w:rsidR="004616CE">
        <w:rPr>
          <w:noProof/>
        </w:rPr>
        <w:t>4</w:t>
      </w:r>
      <w:r w:rsidRPr="00AD401A">
        <w:rPr>
          <w:noProof/>
        </w:rPr>
        <w:t>;</w:t>
      </w:r>
    </w:p>
    <w:p w:rsidR="009308AB" w:rsidRPr="00AD401A" w:rsidRDefault="00174C3E" w:rsidP="009F3BAB">
      <w:pPr>
        <w:pStyle w:val="Point0"/>
        <w:rPr>
          <w:noProof/>
        </w:rPr>
      </w:pPr>
      <w:r>
        <w:rPr>
          <w:noProof/>
        </w:rPr>
        <w:t>(2)</w:t>
      </w:r>
      <w:r>
        <w:rPr>
          <w:noProof/>
        </w:rPr>
        <w:tab/>
      </w:r>
      <w:r w:rsidRPr="00AD401A">
        <w:rPr>
          <w:noProof/>
        </w:rPr>
        <w:t>1</w:t>
      </w:r>
      <w:r w:rsidR="004403C6">
        <w:rPr>
          <w:noProof/>
        </w:rPr>
        <w:t>9</w:t>
      </w:r>
      <w:r w:rsidRPr="00AD401A">
        <w:rPr>
          <w:noProof/>
          <w:vertAlign w:val="superscript"/>
        </w:rPr>
        <w:t>th</w:t>
      </w:r>
      <w:r w:rsidRPr="00AD401A">
        <w:rPr>
          <w:noProof/>
        </w:rPr>
        <w:t xml:space="preserve"> session in</w:t>
      </w:r>
      <w:r w:rsidR="002B2C7C" w:rsidRPr="00AD401A">
        <w:rPr>
          <w:noProof/>
        </w:rPr>
        <w:t xml:space="preserve"> </w:t>
      </w:r>
      <w:r w:rsidR="004616CE">
        <w:rPr>
          <w:noProof/>
        </w:rPr>
        <w:t>Luxemburg</w:t>
      </w:r>
      <w:r w:rsidR="002B2C7C" w:rsidRPr="00AD401A">
        <w:rPr>
          <w:noProof/>
        </w:rPr>
        <w:t xml:space="preserve">, </w:t>
      </w:r>
      <w:r w:rsidR="004403C6">
        <w:rPr>
          <w:noProof/>
        </w:rPr>
        <w:t>18-21</w:t>
      </w:r>
      <w:r w:rsidR="002B2C7C" w:rsidRPr="00AD401A">
        <w:rPr>
          <w:noProof/>
        </w:rPr>
        <w:t xml:space="preserve"> November 20</w:t>
      </w:r>
      <w:r w:rsidR="000901F1" w:rsidRPr="00AD401A">
        <w:rPr>
          <w:noProof/>
        </w:rPr>
        <w:t>2</w:t>
      </w:r>
      <w:r w:rsidR="004616CE">
        <w:rPr>
          <w:noProof/>
        </w:rPr>
        <w:t>5</w:t>
      </w:r>
      <w:r w:rsidR="002B2C7C" w:rsidRPr="00AD401A">
        <w:rPr>
          <w:noProof/>
        </w:rPr>
        <w:t>.</w:t>
      </w:r>
    </w:p>
    <w:p w:rsidR="004636CD" w:rsidRDefault="00174C3E" w:rsidP="009F3BAB">
      <w:pPr>
        <w:rPr>
          <w:noProof/>
        </w:rPr>
      </w:pPr>
      <w:r w:rsidRPr="00AD401A">
        <w:rPr>
          <w:noProof/>
        </w:rPr>
        <w:t>In these meetings, the individual proposal</w:t>
      </w:r>
      <w:r w:rsidR="00DF553F" w:rsidRPr="00AD401A">
        <w:rPr>
          <w:noProof/>
        </w:rPr>
        <w:t>s</w:t>
      </w:r>
      <w:r w:rsidRPr="00AD401A">
        <w:rPr>
          <w:noProof/>
        </w:rPr>
        <w:t xml:space="preserve"> for amendments have been analysed and processed by the expert</w:t>
      </w:r>
      <w:r w:rsidR="00DC79D7">
        <w:rPr>
          <w:noProof/>
        </w:rPr>
        <w:t>s</w:t>
      </w:r>
      <w:r w:rsidRPr="00AD401A">
        <w:rPr>
          <w:noProof/>
        </w:rPr>
        <w:t xml:space="preserve"> </w:t>
      </w:r>
      <w:r w:rsidR="00466421">
        <w:rPr>
          <w:noProof/>
        </w:rPr>
        <w:t>of the above-mention</w:t>
      </w:r>
      <w:r w:rsidR="00AD57BE" w:rsidRPr="00AD401A">
        <w:rPr>
          <w:noProof/>
        </w:rPr>
        <w:t xml:space="preserve">ed </w:t>
      </w:r>
      <w:r w:rsidRPr="00AD401A">
        <w:rPr>
          <w:noProof/>
        </w:rPr>
        <w:t xml:space="preserve">committees. In most cases, the recommended action has been </w:t>
      </w:r>
      <w:r w:rsidR="00492E41" w:rsidRPr="00AD401A">
        <w:rPr>
          <w:noProof/>
        </w:rPr>
        <w:t>supported</w:t>
      </w:r>
      <w:r w:rsidRPr="00AD401A">
        <w:rPr>
          <w:noProof/>
        </w:rPr>
        <w:t xml:space="preserve"> unanimously. </w:t>
      </w:r>
      <w:r w:rsidR="0091047A">
        <w:rPr>
          <w:noProof/>
        </w:rPr>
        <w:t>For c</w:t>
      </w:r>
      <w:r w:rsidRPr="00AD401A">
        <w:rPr>
          <w:noProof/>
        </w:rPr>
        <w:t>ertain</w:t>
      </w:r>
      <w:r>
        <w:rPr>
          <w:noProof/>
        </w:rPr>
        <w:t xml:space="preserve"> proposals</w:t>
      </w:r>
      <w:r w:rsidR="0091047A">
        <w:rPr>
          <w:noProof/>
        </w:rPr>
        <w:t>,</w:t>
      </w:r>
      <w:r>
        <w:rPr>
          <w:noProof/>
        </w:rPr>
        <w:t xml:space="preserve"> </w:t>
      </w:r>
      <w:r w:rsidR="0091047A">
        <w:rPr>
          <w:noProof/>
        </w:rPr>
        <w:t xml:space="preserve">the </w:t>
      </w:r>
      <w:r>
        <w:rPr>
          <w:noProof/>
        </w:rPr>
        <w:t>recommend</w:t>
      </w:r>
      <w:r w:rsidR="0091047A">
        <w:rPr>
          <w:noProof/>
        </w:rPr>
        <w:t>ations</w:t>
      </w:r>
      <w:r>
        <w:rPr>
          <w:noProof/>
        </w:rPr>
        <w:t xml:space="preserve"> </w:t>
      </w:r>
      <w:r w:rsidR="0091047A">
        <w:rPr>
          <w:noProof/>
        </w:rPr>
        <w:t xml:space="preserve">are supported </w:t>
      </w:r>
      <w:r>
        <w:rPr>
          <w:noProof/>
        </w:rPr>
        <w:t xml:space="preserve">by a majority of the experts. </w:t>
      </w:r>
    </w:p>
    <w:p w:rsidR="00843CB8" w:rsidRDefault="005C0A39" w:rsidP="00843CB8">
      <w:pPr>
        <w:rPr>
          <w:noProof/>
        </w:rPr>
      </w:pPr>
      <w:r>
        <w:rPr>
          <w:noProof/>
        </w:rPr>
        <w:t xml:space="preserve">In accordance with Article 35 of </w:t>
      </w:r>
      <w:r w:rsidR="00B95C3F">
        <w:rPr>
          <w:noProof/>
        </w:rPr>
        <w:t xml:space="preserve">the </w:t>
      </w:r>
      <w:r>
        <w:rPr>
          <w:noProof/>
        </w:rPr>
        <w:t xml:space="preserve">COTIF, once decided upon by the RID </w:t>
      </w:r>
      <w:r>
        <w:rPr>
          <w:noProof/>
          <w:lang w:val="mt-MT"/>
        </w:rPr>
        <w:t xml:space="preserve">Expert </w:t>
      </w:r>
      <w:r>
        <w:rPr>
          <w:noProof/>
        </w:rPr>
        <w:t xml:space="preserve">Committee, the amendments enter into force for all Contracting Parties on the first day of the sixth month following that during which the Secretary General has given notice of them to the </w:t>
      </w:r>
      <w:r>
        <w:rPr>
          <w:noProof/>
        </w:rPr>
        <w:lastRenderedPageBreak/>
        <w:t>Contracting Parties. A Contracting Party may formulate an objection within the period of four months from the day of the notification. In the case of objection by one</w:t>
      </w:r>
      <w:r w:rsidR="00B95C3F">
        <w:rPr>
          <w:noProof/>
        </w:rPr>
        <w:t xml:space="preserve"> </w:t>
      </w:r>
      <w:r>
        <w:rPr>
          <w:noProof/>
        </w:rPr>
        <w:t xml:space="preserve">quarter of the Contracting Parties, the amendment </w:t>
      </w:r>
      <w:r w:rsidR="00B95C3F">
        <w:rPr>
          <w:noProof/>
        </w:rPr>
        <w:t xml:space="preserve">does </w:t>
      </w:r>
      <w:r w:rsidR="00DC79D7">
        <w:rPr>
          <w:noProof/>
        </w:rPr>
        <w:t xml:space="preserve">not </w:t>
      </w:r>
      <w:r>
        <w:rPr>
          <w:noProof/>
        </w:rPr>
        <w:t xml:space="preserve">enter into force. </w:t>
      </w:r>
    </w:p>
    <w:p w:rsidR="005C0A39" w:rsidRDefault="00843CB8" w:rsidP="005C0A39">
      <w:pPr>
        <w:rPr>
          <w:noProof/>
        </w:rPr>
      </w:pPr>
      <w:r>
        <w:rPr>
          <w:noProof/>
        </w:rPr>
        <w:t xml:space="preserve">Article 38 of COTIF </w:t>
      </w:r>
      <w:r w:rsidR="00B95C3F">
        <w:rPr>
          <w:noProof/>
        </w:rPr>
        <w:t xml:space="preserve">lays down </w:t>
      </w:r>
      <w:r>
        <w:rPr>
          <w:noProof/>
        </w:rPr>
        <w:t>that</w:t>
      </w:r>
      <w:r w:rsidR="00B95C3F">
        <w:rPr>
          <w:noProof/>
        </w:rPr>
        <w:t>,</w:t>
      </w:r>
      <w:r>
        <w:rPr>
          <w:noProof/>
        </w:rPr>
        <w:t xml:space="preserve"> for the purposes of exercis</w:t>
      </w:r>
      <w:r w:rsidR="00B95C3F">
        <w:rPr>
          <w:noProof/>
        </w:rPr>
        <w:t>ing</w:t>
      </w:r>
      <w:r>
        <w:rPr>
          <w:noProof/>
        </w:rPr>
        <w:t xml:space="preserve"> the right to vote and the right to object provided for </w:t>
      </w:r>
      <w:r w:rsidR="00B95C3F">
        <w:rPr>
          <w:noProof/>
        </w:rPr>
        <w:t>under</w:t>
      </w:r>
      <w:r>
        <w:rPr>
          <w:noProof/>
        </w:rPr>
        <w:t xml:space="preserve"> Article 35</w:t>
      </w:r>
      <w:r w:rsidR="00B95C3F">
        <w:rPr>
          <w:noProof/>
        </w:rPr>
        <w:t>(</w:t>
      </w:r>
      <w:r>
        <w:rPr>
          <w:noProof/>
        </w:rPr>
        <w:t>4</w:t>
      </w:r>
      <w:r w:rsidR="00B95C3F">
        <w:rPr>
          <w:noProof/>
        </w:rPr>
        <w:t>)</w:t>
      </w:r>
      <w:r>
        <w:rPr>
          <w:noProof/>
        </w:rPr>
        <w:t xml:space="preserve">, a regional economic integration organisation </w:t>
      </w:r>
      <w:r w:rsidR="00B95C3F">
        <w:rPr>
          <w:noProof/>
        </w:rPr>
        <w:t xml:space="preserve">such </w:t>
      </w:r>
      <w:r>
        <w:rPr>
          <w:noProof/>
        </w:rPr>
        <w:t xml:space="preserve">as the European Union </w:t>
      </w:r>
      <w:r w:rsidR="00B95C3F">
        <w:rPr>
          <w:noProof/>
        </w:rPr>
        <w:t>‘</w:t>
      </w:r>
      <w:r>
        <w:rPr>
          <w:noProof/>
        </w:rPr>
        <w:t>shall enjoy the number of votes equal to those of its members which are also Member States of the Organisation</w:t>
      </w:r>
      <w:r w:rsidR="00B95C3F">
        <w:rPr>
          <w:noProof/>
        </w:rPr>
        <w:t>’</w:t>
      </w:r>
      <w:r>
        <w:rPr>
          <w:noProof/>
        </w:rPr>
        <w:t>.</w:t>
      </w:r>
    </w:p>
    <w:p w:rsidR="004636CD" w:rsidRDefault="005C0A39" w:rsidP="009F3BAB">
      <w:pPr>
        <w:rPr>
          <w:noProof/>
        </w:rPr>
      </w:pPr>
      <w:r>
        <w:rPr>
          <w:noProof/>
        </w:rPr>
        <w:t>Unless a sufficient number of objections are raised by the parties, the amendments concerned under this proposal are expected to enter into force on 1 January 202</w:t>
      </w:r>
      <w:r w:rsidR="004403C6">
        <w:rPr>
          <w:noProof/>
        </w:rPr>
        <w:t>7</w:t>
      </w:r>
      <w:r>
        <w:rPr>
          <w:noProof/>
        </w:rPr>
        <w:t xml:space="preserve"> and become binding on the Union and the Member States, forming an integral part of the Union </w:t>
      </w:r>
      <w:r>
        <w:rPr>
          <w:i/>
          <w:noProof/>
        </w:rPr>
        <w:t>acquis</w:t>
      </w:r>
      <w:r>
        <w:rPr>
          <w:noProof/>
        </w:rPr>
        <w:t xml:space="preserve">. </w:t>
      </w:r>
    </w:p>
    <w:p w:rsidR="00570608" w:rsidRPr="00E34F04" w:rsidRDefault="00570608" w:rsidP="00570608">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174C3E" w:rsidRDefault="00174C3E" w:rsidP="00174C3E">
      <w:pPr>
        <w:rPr>
          <w:noProof/>
        </w:rPr>
      </w:pPr>
    </w:p>
    <w:p w:rsidR="005C0A39" w:rsidRDefault="005C0A39" w:rsidP="004172EC">
      <w:pPr>
        <w:pStyle w:val="ManualHeading2"/>
        <w:rPr>
          <w:noProof/>
        </w:rPr>
      </w:pPr>
      <w:r>
        <w:rPr>
          <w:noProof/>
        </w:rPr>
        <w:t>3.1.</w:t>
      </w:r>
      <w:r>
        <w:rPr>
          <w:noProof/>
        </w:rPr>
        <w:tab/>
        <w:t>Exclusive competence of the Un</w:t>
      </w:r>
      <w:r w:rsidR="004F1CA9">
        <w:rPr>
          <w:noProof/>
        </w:rPr>
        <w:t>ion</w:t>
      </w:r>
    </w:p>
    <w:p w:rsidR="00B56172" w:rsidRDefault="00B56172" w:rsidP="005C0A39">
      <w:pPr>
        <w:rPr>
          <w:noProof/>
        </w:rPr>
      </w:pPr>
      <w:r>
        <w:rPr>
          <w:noProof/>
        </w:rPr>
        <w:t>The Union is a full Contracting Party to COTIF.</w:t>
      </w:r>
    </w:p>
    <w:p w:rsidR="005C0A39" w:rsidRDefault="00B56172" w:rsidP="005C0A39">
      <w:pPr>
        <w:rPr>
          <w:noProof/>
        </w:rPr>
      </w:pPr>
      <w:r>
        <w:rPr>
          <w:noProof/>
        </w:rPr>
        <w:t xml:space="preserve">In addition, </w:t>
      </w:r>
      <w:r w:rsidR="005C0A39" w:rsidRPr="00174C3E">
        <w:rPr>
          <w:noProof/>
        </w:rPr>
        <w:t xml:space="preserve">Article 1 of Directive 2008/68/EC </w:t>
      </w:r>
      <w:r w:rsidR="00E61672">
        <w:rPr>
          <w:noProof/>
        </w:rPr>
        <w:t>on the inland transport of dangerous goods</w:t>
      </w:r>
      <w:r w:rsidR="00E61672">
        <w:rPr>
          <w:rStyle w:val="FootnoteReference"/>
          <w:noProof/>
        </w:rPr>
        <w:footnoteReference w:id="5"/>
      </w:r>
      <w:r w:rsidR="00E61672">
        <w:rPr>
          <w:noProof/>
        </w:rPr>
        <w:t xml:space="preserve"> </w:t>
      </w:r>
      <w:r w:rsidR="005C0A39" w:rsidRPr="00174C3E">
        <w:rPr>
          <w:noProof/>
        </w:rPr>
        <w:t>provides that the Annex to RID</w:t>
      </w:r>
      <w:r w:rsidR="00844E2F">
        <w:rPr>
          <w:noProof/>
        </w:rPr>
        <w:t xml:space="preserve"> is to</w:t>
      </w:r>
      <w:r w:rsidR="005C0A39" w:rsidRPr="00174C3E">
        <w:rPr>
          <w:noProof/>
        </w:rPr>
        <w:t xml:space="preserve"> apply to the transport of dangerous goods by rail within or between Member States, with the exception of those Member States that do not h</w:t>
      </w:r>
      <w:r w:rsidR="005C0A39">
        <w:rPr>
          <w:noProof/>
        </w:rPr>
        <w:t xml:space="preserve">ave a railway system. </w:t>
      </w:r>
      <w:r w:rsidR="005C0A39" w:rsidRPr="00174C3E">
        <w:rPr>
          <w:noProof/>
        </w:rPr>
        <w:t>Article 4 of Directive 2008/68/EC</w:t>
      </w:r>
      <w:r w:rsidR="00844E2F">
        <w:rPr>
          <w:noProof/>
        </w:rPr>
        <w:t>,</w:t>
      </w:r>
      <w:r w:rsidR="005C0A39" w:rsidRPr="00174C3E">
        <w:rPr>
          <w:noProof/>
        </w:rPr>
        <w:t xml:space="preserve"> </w:t>
      </w:r>
      <w:r w:rsidR="00844E2F">
        <w:rPr>
          <w:noProof/>
        </w:rPr>
        <w:t>on</w:t>
      </w:r>
      <w:r w:rsidR="005C0A39" w:rsidRPr="00174C3E">
        <w:rPr>
          <w:noProof/>
        </w:rPr>
        <w:t xml:space="preserve"> third countries</w:t>
      </w:r>
      <w:r w:rsidR="00844E2F">
        <w:rPr>
          <w:noProof/>
        </w:rPr>
        <w:t>,</w:t>
      </w:r>
      <w:r w:rsidR="005C0A39" w:rsidRPr="00174C3E">
        <w:rPr>
          <w:noProof/>
        </w:rPr>
        <w:t xml:space="preserve"> provides that 'the transport of dangerous goods between Member States and third countries shall be authorised in so far as it complies with the requirements of the ADR</w:t>
      </w:r>
      <w:r w:rsidR="005C0A39">
        <w:rPr>
          <w:rStyle w:val="FootnoteReference"/>
          <w:noProof/>
        </w:rPr>
        <w:footnoteReference w:id="6"/>
      </w:r>
      <w:r w:rsidR="005C0A39" w:rsidRPr="00174C3E">
        <w:rPr>
          <w:noProof/>
        </w:rPr>
        <w:t>, RID or ADN</w:t>
      </w:r>
      <w:r w:rsidR="005C0A39">
        <w:rPr>
          <w:rStyle w:val="FootnoteReference"/>
          <w:noProof/>
        </w:rPr>
        <w:footnoteReference w:id="7"/>
      </w:r>
      <w:r w:rsidR="005C0A39" w:rsidRPr="00174C3E">
        <w:rPr>
          <w:noProof/>
        </w:rPr>
        <w:t xml:space="preserve">, unless otherwise indicated in </w:t>
      </w:r>
      <w:r w:rsidR="004172EC">
        <w:rPr>
          <w:noProof/>
        </w:rPr>
        <w:t>its</w:t>
      </w:r>
      <w:r w:rsidR="004172EC" w:rsidRPr="00174C3E">
        <w:rPr>
          <w:noProof/>
        </w:rPr>
        <w:t xml:space="preserve"> </w:t>
      </w:r>
      <w:r w:rsidR="005C0A39" w:rsidRPr="00174C3E">
        <w:rPr>
          <w:noProof/>
        </w:rPr>
        <w:t xml:space="preserve">Annexes'. </w:t>
      </w:r>
      <w:r w:rsidR="005C0A39">
        <w:rPr>
          <w:noProof/>
        </w:rPr>
        <w:t xml:space="preserve"> </w:t>
      </w:r>
    </w:p>
    <w:p w:rsidR="005C0A39" w:rsidRDefault="004172EC" w:rsidP="00174C3E">
      <w:pPr>
        <w:rPr>
          <w:noProof/>
        </w:rPr>
      </w:pPr>
      <w:r>
        <w:rPr>
          <w:noProof/>
        </w:rPr>
        <w:t xml:space="preserve">To this end, the Commission </w:t>
      </w:r>
      <w:r w:rsidR="00AD57BE">
        <w:rPr>
          <w:noProof/>
        </w:rPr>
        <w:t>has been empowered to</w:t>
      </w:r>
      <w:r w:rsidR="00AB69A8">
        <w:rPr>
          <w:noProof/>
        </w:rPr>
        <w:t xml:space="preserve"> </w:t>
      </w:r>
      <w:r w:rsidR="004E4F94">
        <w:rPr>
          <w:noProof/>
        </w:rPr>
        <w:t>adapt</w:t>
      </w:r>
      <w:r>
        <w:rPr>
          <w:noProof/>
        </w:rPr>
        <w:t xml:space="preserve"> Annex II, Section II.1 to Directive 2008/68/EC by </w:t>
      </w:r>
      <w:r w:rsidR="00ED5BF1">
        <w:rPr>
          <w:noProof/>
        </w:rPr>
        <w:t xml:space="preserve">means </w:t>
      </w:r>
      <w:r>
        <w:rPr>
          <w:noProof/>
        </w:rPr>
        <w:t>of a delegat</w:t>
      </w:r>
      <w:r w:rsidR="00921300">
        <w:rPr>
          <w:noProof/>
        </w:rPr>
        <w:t>ed</w:t>
      </w:r>
      <w:r>
        <w:rPr>
          <w:noProof/>
        </w:rPr>
        <w:t xml:space="preserve"> act, pursuant to Article 8 of the Directive. </w:t>
      </w:r>
    </w:p>
    <w:p w:rsidR="00843CB8" w:rsidRDefault="00843CB8" w:rsidP="00843CB8">
      <w:pPr>
        <w:rPr>
          <w:noProof/>
        </w:rPr>
      </w:pPr>
      <w:r>
        <w:rPr>
          <w:noProof/>
        </w:rPr>
        <w:t xml:space="preserve">It could also be noted that Directive 2008/68/EC </w:t>
      </w:r>
      <w:r w:rsidR="00F27578">
        <w:rPr>
          <w:noProof/>
        </w:rPr>
        <w:t xml:space="preserve">is on the </w:t>
      </w:r>
      <w:r>
        <w:rPr>
          <w:noProof/>
        </w:rPr>
        <w:t>list of Union instruments t</w:t>
      </w:r>
      <w:r w:rsidR="00B56172">
        <w:rPr>
          <w:noProof/>
        </w:rPr>
        <w:t>h</w:t>
      </w:r>
      <w:r>
        <w:rPr>
          <w:noProof/>
        </w:rPr>
        <w:t>rough which the Union has exercised its competence and that were in force at the time of the conclusion of the Agree</w:t>
      </w:r>
      <w:r w:rsidR="00E61672">
        <w:rPr>
          <w:noProof/>
        </w:rPr>
        <w:t>ment</w:t>
      </w:r>
      <w:r>
        <w:rPr>
          <w:noProof/>
        </w:rPr>
        <w:t>nt between the EU and OTIF</w:t>
      </w:r>
      <w:r w:rsidR="00F27578">
        <w:rPr>
          <w:rStyle w:val="FootnoteReference"/>
          <w:noProof/>
        </w:rPr>
        <w:footnoteReference w:id="8"/>
      </w:r>
      <w:r>
        <w:rPr>
          <w:noProof/>
        </w:rPr>
        <w:t xml:space="preserve">. </w:t>
      </w:r>
    </w:p>
    <w:p w:rsidR="00843CB8" w:rsidRDefault="00843CB8" w:rsidP="00174C3E">
      <w:pPr>
        <w:rPr>
          <w:noProof/>
        </w:rPr>
      </w:pPr>
    </w:p>
    <w:p w:rsidR="004E4F94" w:rsidRDefault="004E4F94" w:rsidP="004E4F94">
      <w:pPr>
        <w:pStyle w:val="ManualHeading2"/>
        <w:rPr>
          <w:noProof/>
        </w:rPr>
      </w:pPr>
      <w:r>
        <w:rPr>
          <w:noProof/>
        </w:rPr>
        <w:t>3.2.</w:t>
      </w:r>
      <w:r>
        <w:rPr>
          <w:noProof/>
        </w:rPr>
        <w:tab/>
        <w:t xml:space="preserve">Position to be taken </w:t>
      </w:r>
    </w:p>
    <w:p w:rsidR="003A2250" w:rsidRPr="00AB69A8" w:rsidRDefault="003A2250" w:rsidP="00D82D10">
      <w:pPr>
        <w:rPr>
          <w:b/>
          <w:noProof/>
        </w:rPr>
      </w:pPr>
      <w:r w:rsidRPr="00AB69A8">
        <w:rPr>
          <w:noProof/>
        </w:rPr>
        <w:t>A</w:t>
      </w:r>
      <w:r w:rsidR="00174C3E" w:rsidRPr="00AB69A8">
        <w:rPr>
          <w:noProof/>
        </w:rPr>
        <w:t>mendments to RID fall entirely within exclusive Union competence</w:t>
      </w:r>
      <w:r w:rsidR="00492E41" w:rsidRPr="00AB69A8">
        <w:rPr>
          <w:noProof/>
        </w:rPr>
        <w:t xml:space="preserve"> and it is necessary to establish a position of the Union</w:t>
      </w:r>
      <w:r w:rsidR="00174C3E" w:rsidRPr="00AB69A8">
        <w:rPr>
          <w:noProof/>
        </w:rPr>
        <w:t>.</w:t>
      </w:r>
    </w:p>
    <w:p w:rsidR="002E4886" w:rsidRDefault="00174C3E" w:rsidP="00174C3E">
      <w:pPr>
        <w:rPr>
          <w:noProof/>
        </w:rPr>
      </w:pPr>
      <w:r>
        <w:rPr>
          <w:noProof/>
        </w:rPr>
        <w:t>The envisaged amendments are considered to be appropriate for the safe transport of dangerous goods in a cost</w:t>
      </w:r>
      <w:r w:rsidR="00921300">
        <w:rPr>
          <w:noProof/>
        </w:rPr>
        <w:t>-</w:t>
      </w:r>
      <w:r>
        <w:rPr>
          <w:noProof/>
        </w:rPr>
        <w:t xml:space="preserve">effective manner, taking into account technological progress, and can therefore be supported.     </w:t>
      </w:r>
    </w:p>
    <w:p w:rsidR="00570608" w:rsidRDefault="00570608" w:rsidP="009D52A1">
      <w:pPr>
        <w:pStyle w:val="ManualHeading1"/>
        <w:rPr>
          <w:noProof/>
        </w:rPr>
      </w:pPr>
      <w:r>
        <w:rPr>
          <w:noProof/>
        </w:rPr>
        <w:t>4.</w:t>
      </w:r>
      <w:r>
        <w:rPr>
          <w:noProof/>
        </w:rPr>
        <w:tab/>
      </w:r>
      <w:r w:rsidRPr="00E34F04">
        <w:rPr>
          <w:noProof/>
        </w:rPr>
        <w:t>Legal basis</w:t>
      </w:r>
    </w:p>
    <w:p w:rsidR="00DC79D7" w:rsidRPr="00DC79D7" w:rsidRDefault="00DC79D7" w:rsidP="00DC79D7">
      <w:pPr>
        <w:pStyle w:val="Text1"/>
        <w:rPr>
          <w:noProof/>
        </w:rPr>
      </w:pPr>
    </w:p>
    <w:p w:rsidR="00570608" w:rsidRPr="00E34F04" w:rsidRDefault="00570608" w:rsidP="009D52A1">
      <w:pPr>
        <w:pStyle w:val="ManualHeading2"/>
        <w:rPr>
          <w:noProof/>
        </w:rPr>
      </w:pPr>
      <w:r>
        <w:rPr>
          <w:noProof/>
        </w:rPr>
        <w:lastRenderedPageBreak/>
        <w:t>4.1.</w:t>
      </w:r>
      <w:r>
        <w:rPr>
          <w:noProof/>
        </w:rPr>
        <w:tab/>
      </w:r>
      <w:r w:rsidRPr="00E34F04">
        <w:rPr>
          <w:noProof/>
        </w:rPr>
        <w:t>Procedural legal basis</w:t>
      </w:r>
    </w:p>
    <w:p w:rsidR="00570608" w:rsidRPr="00E34F04" w:rsidRDefault="00570608" w:rsidP="009D52A1">
      <w:pPr>
        <w:pStyle w:val="ManualHeading3"/>
        <w:rPr>
          <w:noProof/>
        </w:rPr>
      </w:pPr>
      <w:r>
        <w:rPr>
          <w:noProof/>
        </w:rPr>
        <w:t>4.1.1.</w:t>
      </w:r>
      <w:r>
        <w:rPr>
          <w:noProof/>
        </w:rPr>
        <w:tab/>
      </w:r>
      <w:r w:rsidRPr="00E34F04">
        <w:rPr>
          <w:noProof/>
        </w:rPr>
        <w:t>Principles</w:t>
      </w:r>
    </w:p>
    <w:p w:rsidR="00570608" w:rsidRPr="00E34F04" w:rsidRDefault="00570608" w:rsidP="009D52A1">
      <w:pPr>
        <w:rPr>
          <w:noProof/>
        </w:rPr>
      </w:pPr>
      <w:r w:rsidRPr="00E34F04">
        <w:rPr>
          <w:noProof/>
        </w:rPr>
        <w:t>Article 218(9) of the Treaty on the Functioning of the European Union (TFEU) provides for decisions establishing ‘</w:t>
      </w:r>
      <w:r w:rsidRPr="0026166B">
        <w:rPr>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r w:rsidR="00921300">
        <w:rPr>
          <w:noProof/>
        </w:rPr>
        <w:t>.</w:t>
      </w:r>
    </w:p>
    <w:p w:rsidR="00570608" w:rsidRPr="00E34F04" w:rsidRDefault="00570608" w:rsidP="009D52A1">
      <w:pPr>
        <w:rPr>
          <w:noProof/>
        </w:rPr>
      </w:pPr>
      <w:r w:rsidRPr="00E34F04">
        <w:rPr>
          <w:noProof/>
        </w:rPr>
        <w:t>The concept of ‘</w:t>
      </w:r>
      <w:r w:rsidRPr="0026166B">
        <w:rPr>
          <w:noProof/>
        </w:rPr>
        <w:t>acts having legal effects</w:t>
      </w:r>
      <w:r w:rsidRPr="00E34F04">
        <w:rPr>
          <w:noProof/>
        </w:rPr>
        <w:t xml:space="preserve">’ includes acts that have legal effects by virtue of the rules of international law governing the body in question. It also includes instruments that do not have a binding effect under international law, but </w:t>
      </w:r>
      <w:r w:rsidR="00921300">
        <w:rPr>
          <w:noProof/>
        </w:rPr>
        <w:t xml:space="preserve">which </w:t>
      </w:r>
      <w:r w:rsidRPr="00E34F04">
        <w:rPr>
          <w:noProof/>
        </w:rPr>
        <w:t>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9"/>
      </w:r>
      <w:r w:rsidRPr="00E34F04">
        <w:rPr>
          <w:noProof/>
        </w:rPr>
        <w:t>.</w:t>
      </w:r>
    </w:p>
    <w:p w:rsidR="00570608" w:rsidRPr="00E34F04" w:rsidRDefault="00570608" w:rsidP="009D52A1">
      <w:pPr>
        <w:pStyle w:val="ManualHeading3"/>
        <w:rPr>
          <w:noProof/>
        </w:rPr>
      </w:pPr>
      <w:r>
        <w:rPr>
          <w:noProof/>
        </w:rPr>
        <w:t>4.1.2.</w:t>
      </w:r>
      <w:r>
        <w:rPr>
          <w:noProof/>
        </w:rPr>
        <w:tab/>
      </w:r>
      <w:r w:rsidRPr="00E34F04">
        <w:rPr>
          <w:noProof/>
        </w:rPr>
        <w:t>Application to the present case</w:t>
      </w:r>
    </w:p>
    <w:p w:rsidR="005C0A39" w:rsidRDefault="00570608" w:rsidP="009D52A1">
      <w:pPr>
        <w:rPr>
          <w:noProof/>
        </w:rPr>
      </w:pPr>
      <w:r w:rsidRPr="00E34F04">
        <w:rPr>
          <w:noProof/>
        </w:rPr>
        <w:t xml:space="preserve">The act </w:t>
      </w:r>
      <w:r w:rsidR="00EE407C">
        <w:rPr>
          <w:noProof/>
        </w:rPr>
        <w:t xml:space="preserve">that </w:t>
      </w:r>
      <w:r w:rsidR="00174C3E">
        <w:rPr>
          <w:noProof/>
        </w:rPr>
        <w:t>the RID Expert Committee</w:t>
      </w:r>
      <w:r w:rsidRPr="00E34F04">
        <w:rPr>
          <w:noProof/>
        </w:rPr>
        <w:t xml:space="preserve"> is called upon to adopt constitutes an act having legal effects. The envisaged act will be binding </w:t>
      </w:r>
      <w:r w:rsidR="002003F7">
        <w:rPr>
          <w:noProof/>
        </w:rPr>
        <w:t xml:space="preserve">upon the Union </w:t>
      </w:r>
      <w:r w:rsidRPr="00E34F04">
        <w:rPr>
          <w:noProof/>
        </w:rPr>
        <w:t>under international law in accordance with Article</w:t>
      </w:r>
      <w:r w:rsidR="00174C3E">
        <w:rPr>
          <w:noProof/>
        </w:rPr>
        <w:t xml:space="preserve"> 6</w:t>
      </w:r>
      <w:r w:rsidRPr="00E34F04">
        <w:rPr>
          <w:noProof/>
        </w:rPr>
        <w:t xml:space="preserve"> </w:t>
      </w:r>
      <w:r w:rsidR="00174C3E">
        <w:rPr>
          <w:noProof/>
        </w:rPr>
        <w:t>of RID</w:t>
      </w:r>
      <w:r w:rsidR="004636CD">
        <w:rPr>
          <w:noProof/>
        </w:rPr>
        <w:t xml:space="preserve">, according to which the Annex to be </w:t>
      </w:r>
      <w:r w:rsidR="00EE407C">
        <w:rPr>
          <w:noProof/>
        </w:rPr>
        <w:t xml:space="preserve">amended </w:t>
      </w:r>
      <w:r w:rsidR="004636CD">
        <w:rPr>
          <w:noProof/>
        </w:rPr>
        <w:t>form</w:t>
      </w:r>
      <w:r w:rsidR="00F27578">
        <w:rPr>
          <w:noProof/>
        </w:rPr>
        <w:t>s</w:t>
      </w:r>
      <w:r w:rsidR="004636CD">
        <w:rPr>
          <w:noProof/>
        </w:rPr>
        <w:t xml:space="preserve"> an integral part of the Regulation</w:t>
      </w:r>
      <w:r w:rsidR="00174C3E">
        <w:rPr>
          <w:noProof/>
        </w:rPr>
        <w:t xml:space="preserve">. </w:t>
      </w:r>
    </w:p>
    <w:p w:rsidR="00570608" w:rsidRPr="00E34F04" w:rsidRDefault="00174C3E" w:rsidP="009D52A1">
      <w:pPr>
        <w:rPr>
          <w:noProof/>
        </w:rPr>
      </w:pPr>
      <w:r w:rsidRPr="00174C3E">
        <w:rPr>
          <w:noProof/>
        </w:rPr>
        <w:t xml:space="preserve">In addition, </w:t>
      </w:r>
      <w:r w:rsidR="005C0A39">
        <w:rPr>
          <w:noProof/>
        </w:rPr>
        <w:t xml:space="preserve">pursuant to </w:t>
      </w:r>
      <w:r w:rsidRPr="00174C3E">
        <w:rPr>
          <w:noProof/>
        </w:rPr>
        <w:t>Article 1 of Directive 2008/68/EC</w:t>
      </w:r>
      <w:r w:rsidR="005C0A39">
        <w:rPr>
          <w:noProof/>
        </w:rPr>
        <w:t>,</w:t>
      </w:r>
      <w:r w:rsidRPr="00174C3E">
        <w:rPr>
          <w:noProof/>
        </w:rPr>
        <w:t xml:space="preserve"> the Annex to RID</w:t>
      </w:r>
      <w:r w:rsidR="00EE407C">
        <w:rPr>
          <w:noProof/>
        </w:rPr>
        <w:t xml:space="preserve"> is to</w:t>
      </w:r>
      <w:r w:rsidR="00DC79D7">
        <w:rPr>
          <w:noProof/>
        </w:rPr>
        <w:t xml:space="preserve"> </w:t>
      </w:r>
      <w:r w:rsidRPr="00174C3E">
        <w:rPr>
          <w:noProof/>
        </w:rPr>
        <w:t>apply to the transport of dangerous goods by rail within or between Member States, with the exception of those Member States that do not have a railway system. Article 4 of Directive 2008/68/EC</w:t>
      </w:r>
      <w:r w:rsidR="00EE407C">
        <w:rPr>
          <w:noProof/>
        </w:rPr>
        <w:t>,  on</w:t>
      </w:r>
      <w:r w:rsidRPr="00174C3E">
        <w:rPr>
          <w:noProof/>
        </w:rPr>
        <w:t xml:space="preserve"> third countries</w:t>
      </w:r>
      <w:r w:rsidR="00EE407C">
        <w:rPr>
          <w:noProof/>
        </w:rPr>
        <w:t>,</w:t>
      </w:r>
      <w:r w:rsidRPr="00174C3E">
        <w:rPr>
          <w:noProof/>
        </w:rPr>
        <w:t xml:space="preserve"> provides that 'the transport of dangerous goods between Member States and third countries shall be authorised in so far as it complies with the requirements of the ADR, RID or ADN, unless otherwise indicated in the Annexes'. </w:t>
      </w:r>
    </w:p>
    <w:p w:rsidR="00570608" w:rsidRPr="00E34F04" w:rsidRDefault="00570608" w:rsidP="009D52A1">
      <w:pPr>
        <w:rPr>
          <w:noProof/>
        </w:rPr>
      </w:pPr>
      <w:r w:rsidRPr="00E34F04">
        <w:rPr>
          <w:noProof/>
        </w:rPr>
        <w:t>The envisaged act does not supplement or amend the institutional framework of the Agreement.</w:t>
      </w:r>
      <w:r w:rsidR="004172EC">
        <w:rPr>
          <w:noProof/>
        </w:rPr>
        <w:t xml:space="preserve"> </w:t>
      </w:r>
    </w:p>
    <w:p w:rsidR="00570608" w:rsidRDefault="00570608" w:rsidP="009D52A1">
      <w:pPr>
        <w:rPr>
          <w:noProof/>
        </w:rPr>
      </w:pPr>
      <w:r w:rsidRPr="00E34F04">
        <w:rPr>
          <w:noProof/>
        </w:rPr>
        <w:t>Therefore, the procedural legal basis for the proposed decision is Article 218(9) TFEU.</w:t>
      </w:r>
    </w:p>
    <w:p w:rsidR="00DC79D7" w:rsidRPr="00E34F04" w:rsidRDefault="00DC79D7" w:rsidP="009D52A1">
      <w:pPr>
        <w:rPr>
          <w:noProof/>
        </w:rPr>
      </w:pPr>
    </w:p>
    <w:p w:rsidR="00570608" w:rsidRPr="00E34F04" w:rsidRDefault="00570608" w:rsidP="009D52A1">
      <w:pPr>
        <w:pStyle w:val="ManualHeading2"/>
        <w:rPr>
          <w:noProof/>
        </w:rPr>
      </w:pPr>
      <w:r>
        <w:rPr>
          <w:noProof/>
        </w:rPr>
        <w:t>4.2.</w:t>
      </w:r>
      <w:r>
        <w:rPr>
          <w:noProof/>
        </w:rPr>
        <w:tab/>
      </w:r>
      <w:r w:rsidRPr="00E34F04">
        <w:rPr>
          <w:noProof/>
        </w:rPr>
        <w:t>Substantive legal basis</w:t>
      </w:r>
    </w:p>
    <w:p w:rsidR="00174C3E" w:rsidRDefault="00570608" w:rsidP="009D52A1">
      <w:pPr>
        <w:pStyle w:val="ManualHeading3"/>
        <w:rPr>
          <w:noProof/>
        </w:rPr>
      </w:pPr>
      <w:r>
        <w:rPr>
          <w:noProof/>
        </w:rPr>
        <w:t>4.2.1.</w:t>
      </w:r>
      <w:r>
        <w:rPr>
          <w:noProof/>
        </w:rPr>
        <w:tab/>
      </w:r>
      <w:r w:rsidRPr="00E34F04">
        <w:rPr>
          <w:noProof/>
        </w:rPr>
        <w:t>Principles</w:t>
      </w:r>
    </w:p>
    <w:p w:rsidR="00570608" w:rsidRPr="00174C3E" w:rsidRDefault="00570608" w:rsidP="009D52A1">
      <w:pPr>
        <w:rPr>
          <w:strike/>
          <w:noProof/>
        </w:rPr>
      </w:pPr>
      <w:r w:rsidRPr="00174C3E">
        <w:rPr>
          <w:noProof/>
        </w:rPr>
        <w:t>The substantive legal basis for a decision under Article 218(9) TFEU depends primarily on the objective and content of the envisaged act in respect of which a position is taken on the Union's behalf.</w:t>
      </w:r>
    </w:p>
    <w:p w:rsidR="00570608" w:rsidRPr="00E34F04" w:rsidRDefault="00570608" w:rsidP="009D52A1">
      <w:pPr>
        <w:pStyle w:val="ManualHeading3"/>
        <w:rPr>
          <w:noProof/>
        </w:rPr>
      </w:pPr>
      <w:r>
        <w:rPr>
          <w:noProof/>
        </w:rPr>
        <w:t>4.2.2.</w:t>
      </w:r>
      <w:r>
        <w:rPr>
          <w:noProof/>
        </w:rPr>
        <w:tab/>
      </w:r>
      <w:r w:rsidRPr="00E34F04">
        <w:rPr>
          <w:noProof/>
        </w:rPr>
        <w:t>Application to the present case</w:t>
      </w:r>
    </w:p>
    <w:p w:rsidR="00174C3E" w:rsidRDefault="00174C3E" w:rsidP="00174C3E">
      <w:pPr>
        <w:rPr>
          <w:noProof/>
        </w:rPr>
      </w:pPr>
      <w:r>
        <w:rPr>
          <w:noProof/>
        </w:rPr>
        <w:t xml:space="preserve">The main objective and content of the </w:t>
      </w:r>
      <w:r w:rsidR="005A7EDB">
        <w:rPr>
          <w:noProof/>
        </w:rPr>
        <w:t xml:space="preserve">proposed </w:t>
      </w:r>
      <w:r>
        <w:rPr>
          <w:noProof/>
        </w:rPr>
        <w:t>Decision relate</w:t>
      </w:r>
      <w:r w:rsidR="005A7EDB">
        <w:rPr>
          <w:noProof/>
        </w:rPr>
        <w:t>s</w:t>
      </w:r>
      <w:r>
        <w:rPr>
          <w:noProof/>
        </w:rPr>
        <w:t xml:space="preserve"> to transport of dangerous goods by rail. </w:t>
      </w:r>
    </w:p>
    <w:p w:rsidR="00174C3E" w:rsidRDefault="00174C3E" w:rsidP="00174C3E">
      <w:pPr>
        <w:rPr>
          <w:noProof/>
        </w:rPr>
      </w:pPr>
      <w:r>
        <w:rPr>
          <w:noProof/>
        </w:rPr>
        <w:t xml:space="preserve">Therefore, the substantive legal basis of the proposed decision is Article 91 TFEU. </w:t>
      </w:r>
    </w:p>
    <w:p w:rsidR="00DC79D7" w:rsidRDefault="00DC79D7" w:rsidP="00174C3E">
      <w:pPr>
        <w:rPr>
          <w:noProof/>
        </w:rPr>
      </w:pPr>
    </w:p>
    <w:p w:rsidR="00570608" w:rsidRPr="00E34F04" w:rsidRDefault="00570608" w:rsidP="009D52A1">
      <w:pPr>
        <w:pStyle w:val="ManualHeading2"/>
        <w:rPr>
          <w:noProof/>
        </w:rPr>
      </w:pPr>
      <w:r>
        <w:rPr>
          <w:noProof/>
        </w:rPr>
        <w:t>4.3.</w:t>
      </w:r>
      <w:r>
        <w:rPr>
          <w:noProof/>
        </w:rPr>
        <w:tab/>
      </w:r>
      <w:r w:rsidRPr="00E34F04">
        <w:rPr>
          <w:noProof/>
        </w:rPr>
        <w:t>Conclusion</w:t>
      </w:r>
    </w:p>
    <w:p w:rsidR="00570608" w:rsidRPr="00E34F04" w:rsidRDefault="00570608" w:rsidP="009D52A1">
      <w:pPr>
        <w:rPr>
          <w:noProof/>
        </w:rPr>
      </w:pPr>
      <w:r w:rsidRPr="00E34F04">
        <w:rPr>
          <w:noProof/>
        </w:rPr>
        <w:t xml:space="preserve">The legal basis of the proposed decision should be </w:t>
      </w:r>
      <w:r w:rsidR="00174C3E">
        <w:rPr>
          <w:noProof/>
        </w:rPr>
        <w:t xml:space="preserve">Article 91, </w:t>
      </w:r>
      <w:r w:rsidRPr="00E34F04">
        <w:rPr>
          <w:noProof/>
        </w:rPr>
        <w:t>in conjunction with Article 218(9) TFEU.</w:t>
      </w:r>
    </w:p>
    <w:p w:rsidR="00570608" w:rsidRDefault="00570608" w:rsidP="009D52A1">
      <w:pPr>
        <w:pStyle w:val="ManualHeading1"/>
        <w:rPr>
          <w:noProof/>
        </w:rPr>
      </w:pPr>
      <w:r>
        <w:rPr>
          <w:noProof/>
        </w:rPr>
        <w:lastRenderedPageBreak/>
        <w:t>5.</w:t>
      </w:r>
      <w:r>
        <w:rPr>
          <w:noProof/>
        </w:rPr>
        <w:tab/>
      </w:r>
      <w:r w:rsidRPr="00E34F04">
        <w:rPr>
          <w:noProof/>
        </w:rPr>
        <w:t>Publication of the envisaged act</w:t>
      </w:r>
    </w:p>
    <w:p w:rsidR="00DC79D7" w:rsidRPr="00DC79D7" w:rsidRDefault="00DC79D7" w:rsidP="00DC79D7">
      <w:pPr>
        <w:pStyle w:val="Text1"/>
        <w:rPr>
          <w:noProof/>
        </w:rPr>
      </w:pPr>
    </w:p>
    <w:p w:rsidR="00570608" w:rsidRDefault="00174C3E" w:rsidP="00174C3E">
      <w:pPr>
        <w:rPr>
          <w:noProof/>
        </w:rPr>
      </w:pPr>
      <w:r>
        <w:rPr>
          <w:noProof/>
        </w:rPr>
        <w:t xml:space="preserve">Since the </w:t>
      </w:r>
      <w:r w:rsidR="005A7EDB">
        <w:rPr>
          <w:noProof/>
        </w:rPr>
        <w:t xml:space="preserve">proposed </w:t>
      </w:r>
      <w:r>
        <w:rPr>
          <w:noProof/>
        </w:rPr>
        <w:t xml:space="preserve">Decision of the RID Expert Committee will amend the annex to RID, it is appropriate </w:t>
      </w:r>
      <w:r w:rsidR="005A7EDB">
        <w:rPr>
          <w:noProof/>
        </w:rPr>
        <w:t xml:space="preserve">after its adoption </w:t>
      </w:r>
      <w:r>
        <w:rPr>
          <w:noProof/>
        </w:rPr>
        <w:t xml:space="preserve">to publish information on the outcome of the meeting in the Official Journal of the European Union. </w:t>
      </w:r>
    </w:p>
    <w:p w:rsidR="00570608" w:rsidRPr="00FD40BA" w:rsidRDefault="00570608" w:rsidP="009D52A1">
      <w:pPr>
        <w:rPr>
          <w:noProof/>
        </w:rPr>
        <w:sectPr w:rsidR="00570608" w:rsidRPr="00FD40BA" w:rsidSect="00BF09E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9E381B" w:rsidRDefault="00C53F87">
      <w:pPr>
        <w:pStyle w:val="Rfrenceinterinstitutionnelle"/>
        <w:rPr>
          <w:noProof/>
        </w:rPr>
      </w:pPr>
      <w:r>
        <w:rPr>
          <w:noProof/>
        </w:rPr>
        <w:lastRenderedPageBreak/>
        <w:t>2026/0061 (NLE)</w:t>
      </w:r>
    </w:p>
    <w:p w:rsidR="00570608" w:rsidRPr="00E34F04" w:rsidRDefault="000D4313" w:rsidP="000D4313">
      <w:pPr>
        <w:pStyle w:val="Statut"/>
        <w:rPr>
          <w:noProof/>
        </w:rPr>
      </w:pPr>
      <w:r w:rsidRPr="000D4313">
        <w:rPr>
          <w:noProof/>
        </w:rPr>
        <w:t>Proposal for a</w:t>
      </w:r>
    </w:p>
    <w:p w:rsidR="00570608" w:rsidRPr="00E34F04" w:rsidRDefault="000D4313" w:rsidP="000D4313">
      <w:pPr>
        <w:pStyle w:val="Typedudocument"/>
        <w:rPr>
          <w:noProof/>
        </w:rPr>
      </w:pPr>
      <w:r w:rsidRPr="000D4313">
        <w:rPr>
          <w:noProof/>
        </w:rPr>
        <w:t>COUNCIL DECISION</w:t>
      </w:r>
    </w:p>
    <w:p w:rsidR="00570608" w:rsidRPr="00E34F04" w:rsidRDefault="000D4313" w:rsidP="000D4313">
      <w:pPr>
        <w:pStyle w:val="Titreobjet"/>
        <w:rPr>
          <w:noProof/>
        </w:rPr>
      </w:pPr>
      <w:r w:rsidRPr="000D4313">
        <w:rPr>
          <w:noProof/>
        </w:rPr>
        <w:t>on the position to be taken on behalf of the European Union at the 59th session of  the Committee of Experts for the Carriage of Dangerous Goods of the Intergovernmental Organisation for International Carriage by Rail as regards certain amendments to Appendix C to the Convention concerning International Carriage by rail</w:t>
      </w:r>
    </w:p>
    <w:p w:rsidR="00570608" w:rsidRPr="00E34F04" w:rsidRDefault="00570608" w:rsidP="009D52A1">
      <w:pPr>
        <w:pStyle w:val="Institutionquiagit"/>
        <w:rPr>
          <w:b/>
          <w:noProof/>
        </w:rPr>
      </w:pPr>
      <w:r w:rsidRPr="00E34F04">
        <w:rPr>
          <w:b/>
          <w:noProof/>
        </w:rPr>
        <w:t>THE COUNCIL OF THE EUROPEAN UNION,</w:t>
      </w:r>
    </w:p>
    <w:p w:rsidR="00570608" w:rsidRPr="00E34F04" w:rsidRDefault="00570608" w:rsidP="009D52A1">
      <w:pPr>
        <w:rPr>
          <w:noProof/>
        </w:rPr>
      </w:pPr>
      <w:bookmarkStart w:id="1" w:name="_Hlk156912064"/>
      <w:r w:rsidRPr="00E34F04">
        <w:rPr>
          <w:noProof/>
        </w:rPr>
        <w:t>Having regard to the Treaty on the Functioning of the European Union, and in particular Article</w:t>
      </w:r>
      <w:r w:rsidR="00174C3E">
        <w:rPr>
          <w:noProof/>
        </w:rPr>
        <w:t xml:space="preserve"> 91</w:t>
      </w:r>
      <w:r w:rsidRPr="00E34F04">
        <w:rPr>
          <w:noProof/>
        </w:rPr>
        <w:t>, in conjunction with Article 218(9) thereof,</w:t>
      </w:r>
    </w:p>
    <w:p w:rsidR="00570608" w:rsidRPr="00E34F04" w:rsidRDefault="00570608" w:rsidP="009D52A1">
      <w:pPr>
        <w:rPr>
          <w:noProof/>
        </w:rPr>
      </w:pPr>
      <w:r w:rsidRPr="00E34F04">
        <w:rPr>
          <w:noProof/>
        </w:rPr>
        <w:t>Having regard to the proposal from the European Commission,</w:t>
      </w:r>
    </w:p>
    <w:p w:rsidR="00570608" w:rsidRPr="00E34F04" w:rsidRDefault="00570608" w:rsidP="009D52A1">
      <w:pPr>
        <w:rPr>
          <w:noProof/>
        </w:rPr>
      </w:pPr>
      <w:r w:rsidRPr="00E34F04">
        <w:rPr>
          <w:noProof/>
        </w:rPr>
        <w:t>Whereas:</w:t>
      </w:r>
    </w:p>
    <w:p w:rsidR="00174C3E" w:rsidRDefault="00174C3E" w:rsidP="000A3EB9">
      <w:pPr>
        <w:pStyle w:val="ManualConsidrant"/>
        <w:rPr>
          <w:noProof/>
        </w:rPr>
      </w:pPr>
      <w:r>
        <w:rPr>
          <w:noProof/>
        </w:rPr>
        <w:t>(1)</w:t>
      </w:r>
      <w:r>
        <w:rPr>
          <w:noProof/>
        </w:rPr>
        <w:tab/>
        <w:t xml:space="preserve">The Union acceded to the Convention concerning International Carriage by Rail of 9 May 1980, as amended by the Vilnius Protocol of 3 June 1999 ('COTIF'), by </w:t>
      </w:r>
      <w:r>
        <w:rPr>
          <w:noProof/>
          <w:lang w:val="mt-MT"/>
        </w:rPr>
        <w:t>means</w:t>
      </w:r>
      <w:r>
        <w:rPr>
          <w:noProof/>
        </w:rPr>
        <w:t xml:space="preserve"> of Council Decision 2013/103/EU</w:t>
      </w:r>
      <w:r w:rsidR="006156D2">
        <w:rPr>
          <w:rStyle w:val="FootnoteReference"/>
          <w:noProof/>
        </w:rPr>
        <w:footnoteReference w:id="10"/>
      </w:r>
      <w:r w:rsidR="00715CBE">
        <w:rPr>
          <w:noProof/>
        </w:rPr>
        <w:t xml:space="preserve">. </w:t>
      </w:r>
    </w:p>
    <w:p w:rsidR="008F651C" w:rsidRDefault="008F651C" w:rsidP="004172EC">
      <w:pPr>
        <w:pStyle w:val="ManualConsidrant"/>
        <w:rPr>
          <w:noProof/>
        </w:rPr>
      </w:pPr>
      <w:r>
        <w:rPr>
          <w:noProof/>
        </w:rPr>
        <w:t>(2)</w:t>
      </w:r>
      <w:r>
        <w:rPr>
          <w:noProof/>
        </w:rPr>
        <w:tab/>
        <w:t xml:space="preserve">According to Article 6 of COTIF, international rail traffic and admission of railway material in international traffic shall be governed by rules which are listed in this Article, notably </w:t>
      </w:r>
      <w:r w:rsidR="004172EC" w:rsidRPr="004172EC">
        <w:rPr>
          <w:noProof/>
        </w:rPr>
        <w:t>the Regulation concerning the International Carriage of Dangerous Goods by Rail (RID)</w:t>
      </w:r>
      <w:r>
        <w:rPr>
          <w:noProof/>
        </w:rPr>
        <w:t xml:space="preserve">, </w:t>
      </w:r>
      <w:r w:rsidR="002539E9">
        <w:rPr>
          <w:noProof/>
        </w:rPr>
        <w:t xml:space="preserve">which forms </w:t>
      </w:r>
      <w:r>
        <w:rPr>
          <w:noProof/>
        </w:rPr>
        <w:t xml:space="preserve">Appendix C to the Convention. </w:t>
      </w:r>
    </w:p>
    <w:p w:rsidR="008F651C" w:rsidRPr="00F2174D" w:rsidRDefault="008F651C" w:rsidP="0015400B">
      <w:pPr>
        <w:pStyle w:val="ManualConsidrant"/>
        <w:rPr>
          <w:noProof/>
        </w:rPr>
      </w:pPr>
      <w:r>
        <w:rPr>
          <w:noProof/>
        </w:rPr>
        <w:t>(3)</w:t>
      </w:r>
      <w:r>
        <w:rPr>
          <w:noProof/>
        </w:rPr>
        <w:tab/>
      </w:r>
      <w:r w:rsidRPr="00F2174D">
        <w:rPr>
          <w:noProof/>
        </w:rPr>
        <w:t>Directive 2008/68/EC</w:t>
      </w:r>
      <w:r w:rsidRPr="00174C3E">
        <w:rPr>
          <w:noProof/>
        </w:rPr>
        <w:t xml:space="preserve"> </w:t>
      </w:r>
      <w:r>
        <w:rPr>
          <w:noProof/>
        </w:rPr>
        <w:t>of the European Parliament and of the Council</w:t>
      </w:r>
      <w:r w:rsidR="006156D2">
        <w:rPr>
          <w:rStyle w:val="FootnoteReference"/>
          <w:noProof/>
        </w:rPr>
        <w:footnoteReference w:id="11"/>
      </w:r>
      <w:r w:rsidR="0015400B">
        <w:rPr>
          <w:noProof/>
        </w:rPr>
        <w:t xml:space="preserve"> </w:t>
      </w:r>
      <w:r>
        <w:rPr>
          <w:noProof/>
        </w:rPr>
        <w:t xml:space="preserve">lays down requirements for the transport of dangerous goods by road, by rail or by inland waterway within or between Member States, by referring to </w:t>
      </w:r>
      <w:r w:rsidRPr="0015400B">
        <w:rPr>
          <w:noProof/>
          <w:lang w:val="mt-MT"/>
        </w:rPr>
        <w:t xml:space="preserve">RID. </w:t>
      </w:r>
    </w:p>
    <w:p w:rsidR="00570608" w:rsidRDefault="00FC4C3E" w:rsidP="00570608">
      <w:pPr>
        <w:pStyle w:val="ManualConsidrant"/>
        <w:rPr>
          <w:noProof/>
        </w:rPr>
      </w:pPr>
      <w:r>
        <w:rPr>
          <w:noProof/>
        </w:rPr>
        <w:t>(4)</w:t>
      </w:r>
      <w:r>
        <w:rPr>
          <w:noProof/>
        </w:rPr>
        <w:tab/>
      </w:r>
      <w:r w:rsidRPr="0062494E">
        <w:rPr>
          <w:noProof/>
        </w:rPr>
        <w:t>In accordance with Article 18 of COTIF,</w:t>
      </w:r>
      <w:r w:rsidRPr="00E34F04">
        <w:rPr>
          <w:noProof/>
        </w:rPr>
        <w:t xml:space="preserve"> </w:t>
      </w:r>
      <w:r w:rsidR="00570608" w:rsidRPr="00E34F04">
        <w:rPr>
          <w:noProof/>
        </w:rPr>
        <w:t>the</w:t>
      </w:r>
      <w:r w:rsidR="002539E9">
        <w:rPr>
          <w:noProof/>
        </w:rPr>
        <w:t xml:space="preserve"> Intergovernmental</w:t>
      </w:r>
      <w:r w:rsidR="00174C3E">
        <w:rPr>
          <w:noProof/>
        </w:rPr>
        <w:t xml:space="preserve"> Organisation for International Carriage by Rail ('OTIF') Committee of Experts for the Carriage of Dangerous Goods </w:t>
      </w:r>
      <w:r>
        <w:rPr>
          <w:noProof/>
        </w:rPr>
        <w:t xml:space="preserve"> referred to in </w:t>
      </w:r>
      <w:r w:rsidRPr="00E34F04">
        <w:rPr>
          <w:noProof/>
        </w:rPr>
        <w:t>Article</w:t>
      </w:r>
      <w:r>
        <w:rPr>
          <w:noProof/>
        </w:rPr>
        <w:t xml:space="preserve"> 13 (1) </w:t>
      </w:r>
      <w:r w:rsidR="00373AE4">
        <w:rPr>
          <w:noProof/>
        </w:rPr>
        <w:t xml:space="preserve">point </w:t>
      </w:r>
      <w:r>
        <w:rPr>
          <w:noProof/>
        </w:rPr>
        <w:t>(d)</w:t>
      </w:r>
      <w:r w:rsidRPr="00E34F04">
        <w:rPr>
          <w:noProof/>
        </w:rPr>
        <w:t xml:space="preserve"> of </w:t>
      </w:r>
      <w:r>
        <w:rPr>
          <w:noProof/>
        </w:rPr>
        <w:t xml:space="preserve">COTIF </w:t>
      </w:r>
      <w:r w:rsidR="00174C3E">
        <w:rPr>
          <w:noProof/>
        </w:rPr>
        <w:t>('RID Expert Committee')</w:t>
      </w:r>
      <w:r w:rsidR="00570608" w:rsidRPr="00E34F04">
        <w:rPr>
          <w:noProof/>
        </w:rPr>
        <w:t xml:space="preserve"> may adopt</w:t>
      </w:r>
      <w:r w:rsidR="00174C3E">
        <w:rPr>
          <w:noProof/>
        </w:rPr>
        <w:t xml:space="preserve"> amendments to</w:t>
      </w:r>
      <w:r>
        <w:rPr>
          <w:noProof/>
        </w:rPr>
        <w:t>, inter alia,</w:t>
      </w:r>
      <w:r w:rsidR="00174C3E">
        <w:rPr>
          <w:noProof/>
        </w:rPr>
        <w:t xml:space="preserve"> the Annex to </w:t>
      </w:r>
      <w:r w:rsidR="008F651C">
        <w:rPr>
          <w:noProof/>
        </w:rPr>
        <w:t>RID.</w:t>
      </w:r>
      <w:r w:rsidR="00174C3E">
        <w:rPr>
          <w:noProof/>
        </w:rPr>
        <w:t xml:space="preserve"> </w:t>
      </w:r>
    </w:p>
    <w:p w:rsidR="00174C3E" w:rsidRPr="00174C3E" w:rsidRDefault="00570608">
      <w:pPr>
        <w:pStyle w:val="ManualConsidrant"/>
        <w:rPr>
          <w:noProof/>
        </w:rPr>
      </w:pPr>
      <w:r>
        <w:rPr>
          <w:noProof/>
        </w:rPr>
        <w:t>(5)</w:t>
      </w:r>
      <w:r>
        <w:rPr>
          <w:noProof/>
        </w:rPr>
        <w:tab/>
      </w:r>
      <w:r w:rsidRPr="00E34F04">
        <w:rPr>
          <w:noProof/>
        </w:rPr>
        <w:t>The</w:t>
      </w:r>
      <w:r w:rsidR="00174C3E">
        <w:rPr>
          <w:noProof/>
        </w:rPr>
        <w:t xml:space="preserve"> RID Expert Committee,</w:t>
      </w:r>
      <w:r w:rsidRPr="00E34F04">
        <w:rPr>
          <w:noProof/>
        </w:rPr>
        <w:t xml:space="preserve"> during its</w:t>
      </w:r>
      <w:r w:rsidR="00174C3E">
        <w:rPr>
          <w:noProof/>
        </w:rPr>
        <w:t xml:space="preserve"> 5</w:t>
      </w:r>
      <w:r w:rsidR="004403C6">
        <w:rPr>
          <w:noProof/>
        </w:rPr>
        <w:t>9</w:t>
      </w:r>
      <w:r w:rsidR="00174C3E" w:rsidRPr="00715CBE">
        <w:rPr>
          <w:noProof/>
          <w:vertAlign w:val="superscript"/>
        </w:rPr>
        <w:t>th</w:t>
      </w:r>
      <w:r w:rsidR="00174C3E">
        <w:rPr>
          <w:noProof/>
        </w:rPr>
        <w:t xml:space="preserve"> </w:t>
      </w:r>
      <w:r w:rsidRPr="00AA798B">
        <w:rPr>
          <w:noProof/>
        </w:rPr>
        <w:t>session on</w:t>
      </w:r>
      <w:r w:rsidR="00174C3E" w:rsidRPr="00AA798B">
        <w:rPr>
          <w:noProof/>
        </w:rPr>
        <w:t xml:space="preserve"> 2</w:t>
      </w:r>
      <w:r w:rsidR="004403C6">
        <w:rPr>
          <w:noProof/>
        </w:rPr>
        <w:t>8</w:t>
      </w:r>
      <w:r w:rsidR="00174C3E" w:rsidRPr="00AA798B">
        <w:rPr>
          <w:noProof/>
        </w:rPr>
        <w:t xml:space="preserve"> May 202</w:t>
      </w:r>
      <w:r w:rsidR="004403C6">
        <w:rPr>
          <w:noProof/>
        </w:rPr>
        <w:t>6</w:t>
      </w:r>
      <w:r w:rsidRPr="00AA798B">
        <w:rPr>
          <w:noProof/>
        </w:rPr>
        <w:t>, is to adop</w:t>
      </w:r>
      <w:r w:rsidR="00174C3E" w:rsidRPr="00AA798B">
        <w:rPr>
          <w:noProof/>
        </w:rPr>
        <w:t>t</w:t>
      </w:r>
      <w:r w:rsidR="00174C3E" w:rsidRPr="00174C3E">
        <w:rPr>
          <w:noProof/>
        </w:rPr>
        <w:t xml:space="preserve"> amendments </w:t>
      </w:r>
      <w:r w:rsidRPr="00E34F04">
        <w:rPr>
          <w:noProof/>
        </w:rPr>
        <w:t>to</w:t>
      </w:r>
      <w:r w:rsidR="00174C3E">
        <w:rPr>
          <w:noProof/>
        </w:rPr>
        <w:t xml:space="preserve"> adapt the Annex to RID</w:t>
      </w:r>
      <w:r w:rsidR="008F651C">
        <w:rPr>
          <w:noProof/>
        </w:rPr>
        <w:t xml:space="preserve"> to scientific and technical progress</w:t>
      </w:r>
      <w:r w:rsidR="00174C3E">
        <w:rPr>
          <w:noProof/>
        </w:rPr>
        <w:t>.</w:t>
      </w:r>
    </w:p>
    <w:p w:rsidR="00174C3E" w:rsidRDefault="00174C3E" w:rsidP="00174C3E">
      <w:pPr>
        <w:pStyle w:val="ManualConsidrant"/>
        <w:rPr>
          <w:noProof/>
        </w:rPr>
      </w:pPr>
      <w:r>
        <w:rPr>
          <w:noProof/>
        </w:rPr>
        <w:t>(6)</w:t>
      </w:r>
      <w:r>
        <w:rPr>
          <w:noProof/>
        </w:rPr>
        <w:tab/>
      </w:r>
      <w:r w:rsidRPr="00E34F04">
        <w:rPr>
          <w:noProof/>
        </w:rPr>
        <w:t>It is appropriate to establish the position to be taken on the Union's behalf in the</w:t>
      </w:r>
      <w:r w:rsidRPr="00174C3E">
        <w:rPr>
          <w:noProof/>
        </w:rPr>
        <w:t xml:space="preserve"> </w:t>
      </w:r>
      <w:r>
        <w:rPr>
          <w:noProof/>
        </w:rPr>
        <w:t>RID Expert Committee,</w:t>
      </w:r>
      <w:r w:rsidRPr="00E34F04">
        <w:rPr>
          <w:noProof/>
        </w:rPr>
        <w:t xml:space="preserve"> as </w:t>
      </w:r>
      <w:r w:rsidR="008F651C">
        <w:rPr>
          <w:noProof/>
        </w:rPr>
        <w:t xml:space="preserve">the amendments to </w:t>
      </w:r>
      <w:r>
        <w:rPr>
          <w:noProof/>
        </w:rPr>
        <w:t>RID</w:t>
      </w:r>
      <w:r w:rsidRPr="00E34F04">
        <w:rPr>
          <w:noProof/>
        </w:rPr>
        <w:t xml:space="preserve"> will be binding on the Union.</w:t>
      </w:r>
    </w:p>
    <w:p w:rsidR="008F651C" w:rsidRPr="003A2250" w:rsidRDefault="008F651C" w:rsidP="008F651C">
      <w:pPr>
        <w:pStyle w:val="ManualConsidrant"/>
        <w:rPr>
          <w:noProof/>
        </w:rPr>
      </w:pPr>
      <w:r>
        <w:rPr>
          <w:noProof/>
        </w:rPr>
        <w:t>(7)</w:t>
      </w:r>
      <w:r>
        <w:rPr>
          <w:noProof/>
        </w:rPr>
        <w:tab/>
      </w:r>
      <w:r>
        <w:rPr>
          <w:noProof/>
          <w:lang w:val="mt-MT"/>
        </w:rPr>
        <w:t xml:space="preserve">The envisaged </w:t>
      </w:r>
      <w:r>
        <w:rPr>
          <w:noProof/>
        </w:rPr>
        <w:t>amendments</w:t>
      </w:r>
      <w:r w:rsidR="001B2A51">
        <w:rPr>
          <w:noProof/>
        </w:rPr>
        <w:t xml:space="preserve"> </w:t>
      </w:r>
      <w:r>
        <w:rPr>
          <w:noProof/>
          <w:lang w:val="mt-MT"/>
        </w:rPr>
        <w:t>aim a</w:t>
      </w:r>
      <w:r w:rsidR="003A2250">
        <w:rPr>
          <w:noProof/>
          <w:lang w:val="mt-MT"/>
        </w:rPr>
        <w:t>t</w:t>
      </w:r>
      <w:r>
        <w:rPr>
          <w:noProof/>
          <w:lang w:val="mt-MT"/>
        </w:rPr>
        <w:t xml:space="preserve"> </w:t>
      </w:r>
      <w:r>
        <w:rPr>
          <w:noProof/>
        </w:rPr>
        <w:t xml:space="preserve"> ensuring safe and efficient transport of dangerous goods </w:t>
      </w:r>
      <w:r w:rsidR="00373AE4">
        <w:rPr>
          <w:noProof/>
        </w:rPr>
        <w:t xml:space="preserve">by rail </w:t>
      </w:r>
      <w:r>
        <w:rPr>
          <w:noProof/>
        </w:rPr>
        <w:t>whil</w:t>
      </w:r>
      <w:r>
        <w:rPr>
          <w:noProof/>
          <w:lang w:val="mt-MT"/>
        </w:rPr>
        <w:t>e</w:t>
      </w:r>
      <w:r>
        <w:rPr>
          <w:noProof/>
        </w:rPr>
        <w:t xml:space="preserve"> taking into account scientific and technical progress in the sector </w:t>
      </w:r>
      <w:r>
        <w:rPr>
          <w:noProof/>
        </w:rPr>
        <w:lastRenderedPageBreak/>
        <w:t xml:space="preserve">and the development of new substances and articles that could pose danger </w:t>
      </w:r>
      <w:r>
        <w:rPr>
          <w:noProof/>
          <w:lang w:val="mt-MT"/>
        </w:rPr>
        <w:t>while being transported.</w:t>
      </w:r>
    </w:p>
    <w:p w:rsidR="008F651C" w:rsidRDefault="00466421" w:rsidP="00D82D10">
      <w:pPr>
        <w:pStyle w:val="ManualConsidrant"/>
        <w:rPr>
          <w:noProof/>
          <w:lang w:val="mt-MT"/>
        </w:rPr>
      </w:pPr>
      <w:r>
        <w:rPr>
          <w:noProof/>
        </w:rPr>
        <w:t>(8)</w:t>
      </w:r>
      <w:r>
        <w:rPr>
          <w:noProof/>
        </w:rPr>
        <w:tab/>
      </w:r>
      <w:r>
        <w:rPr>
          <w:noProof/>
          <w:lang w:val="mt-MT"/>
        </w:rPr>
        <w:t>The envisaged amend</w:t>
      </w:r>
      <w:r w:rsidR="008F651C">
        <w:rPr>
          <w:noProof/>
          <w:lang w:val="mt-MT"/>
        </w:rPr>
        <w:t>ments are considered to be appropriate for the safe transport of dangerous goods in a cost effective manner</w:t>
      </w:r>
      <w:r w:rsidR="004E4F94">
        <w:rPr>
          <w:noProof/>
          <w:lang w:val="mt-MT"/>
        </w:rPr>
        <w:t xml:space="preserve"> </w:t>
      </w:r>
      <w:r w:rsidR="008F651C">
        <w:rPr>
          <w:noProof/>
          <w:lang w:val="mt-MT"/>
        </w:rPr>
        <w:t xml:space="preserve">and can therefore be supported. </w:t>
      </w:r>
    </w:p>
    <w:p w:rsidR="00182546" w:rsidRDefault="00182546" w:rsidP="00494070">
      <w:pPr>
        <w:pStyle w:val="ManualConsidrant"/>
        <w:rPr>
          <w:noProof/>
          <w:lang w:val="mt-MT"/>
        </w:rPr>
      </w:pPr>
      <w:r>
        <w:rPr>
          <w:noProof/>
        </w:rPr>
        <w:t>(9)</w:t>
      </w:r>
      <w:r>
        <w:rPr>
          <w:noProof/>
        </w:rPr>
        <w:tab/>
      </w:r>
      <w:r>
        <w:rPr>
          <w:noProof/>
          <w:lang w:val="mt-MT"/>
        </w:rPr>
        <w:t xml:space="preserve">Minor changes to the documents referred to in the Annex may be </w:t>
      </w:r>
      <w:r w:rsidR="006D106A">
        <w:rPr>
          <w:noProof/>
          <w:lang w:val="mt-MT"/>
        </w:rPr>
        <w:t xml:space="preserve">agreed at technical level at the </w:t>
      </w:r>
      <w:r w:rsidR="004403C6">
        <w:rPr>
          <w:noProof/>
          <w:lang w:val="mt-MT"/>
        </w:rPr>
        <w:t>20</w:t>
      </w:r>
      <w:r w:rsidR="006D106A">
        <w:rPr>
          <w:noProof/>
          <w:lang w:val="mt-MT"/>
        </w:rPr>
        <w:t>th session of the RID Commitee of Experts’ standing working group of 2</w:t>
      </w:r>
      <w:r w:rsidR="004403C6">
        <w:rPr>
          <w:noProof/>
          <w:lang w:val="mt-MT"/>
        </w:rPr>
        <w:t>7</w:t>
      </w:r>
      <w:r w:rsidR="006D106A">
        <w:rPr>
          <w:noProof/>
          <w:lang w:val="mt-MT"/>
        </w:rPr>
        <w:t xml:space="preserve"> May 202</w:t>
      </w:r>
      <w:r w:rsidR="004403C6">
        <w:rPr>
          <w:noProof/>
          <w:lang w:val="mt-MT"/>
        </w:rPr>
        <w:t>6</w:t>
      </w:r>
      <w:r w:rsidR="004504E8">
        <w:rPr>
          <w:noProof/>
          <w:lang w:val="mt-MT"/>
        </w:rPr>
        <w:t xml:space="preserve">, including on the basis of </w:t>
      </w:r>
      <w:r w:rsidR="004504E8">
        <w:rPr>
          <w:noProof/>
        </w:rPr>
        <w:t>recommendations of the</w:t>
      </w:r>
      <w:r w:rsidR="00494070">
        <w:rPr>
          <w:noProof/>
        </w:rPr>
        <w:t xml:space="preserve"> </w:t>
      </w:r>
      <w:r w:rsidR="00373AE4" w:rsidRPr="0062494E">
        <w:rPr>
          <w:noProof/>
          <w:lang w:val="mt-MT"/>
        </w:rPr>
        <w:t>United Nations Economic Commission for Europe</w:t>
      </w:r>
      <w:r w:rsidR="00494070">
        <w:rPr>
          <w:noProof/>
        </w:rPr>
        <w:t xml:space="preserve"> </w:t>
      </w:r>
      <w:r w:rsidR="00494070" w:rsidRPr="00494070">
        <w:rPr>
          <w:noProof/>
        </w:rPr>
        <w:t xml:space="preserve">Joint Meeting of the RID </w:t>
      </w:r>
      <w:r w:rsidR="00373AE4">
        <w:rPr>
          <w:noProof/>
        </w:rPr>
        <w:t xml:space="preserve">Expert </w:t>
      </w:r>
      <w:r w:rsidR="00494070" w:rsidRPr="00494070">
        <w:rPr>
          <w:noProof/>
        </w:rPr>
        <w:t>Committee and the Working Party on the Transport of Dangerous Goods</w:t>
      </w:r>
      <w:r w:rsidR="004504E8">
        <w:rPr>
          <w:noProof/>
        </w:rPr>
        <w:t>,</w:t>
      </w:r>
      <w:r w:rsidR="00FC2A8C">
        <w:rPr>
          <w:noProof/>
        </w:rPr>
        <w:t xml:space="preserve"> </w:t>
      </w:r>
    </w:p>
    <w:bookmarkEnd w:id="1"/>
    <w:p w:rsidR="00F65501" w:rsidRPr="0026166B" w:rsidRDefault="00F65501" w:rsidP="00D82D10">
      <w:pPr>
        <w:rPr>
          <w:noProof/>
          <w:lang w:val="mt-MT"/>
        </w:rPr>
      </w:pPr>
    </w:p>
    <w:p w:rsidR="00570608" w:rsidRPr="00E34F04" w:rsidRDefault="00570608" w:rsidP="009D52A1">
      <w:pPr>
        <w:pStyle w:val="Formuledadoption"/>
        <w:rPr>
          <w:noProof/>
        </w:rPr>
      </w:pPr>
      <w:r w:rsidRPr="00E34F04">
        <w:rPr>
          <w:noProof/>
        </w:rPr>
        <w:t>HAS ADOPTED THIS DECISION:</w:t>
      </w:r>
    </w:p>
    <w:p w:rsidR="00570608" w:rsidRPr="00E34F04" w:rsidRDefault="00570608" w:rsidP="009D52A1">
      <w:pPr>
        <w:pStyle w:val="Titrearticle"/>
        <w:rPr>
          <w:noProof/>
        </w:rPr>
      </w:pPr>
      <w:r w:rsidRPr="00E34F04">
        <w:rPr>
          <w:noProof/>
        </w:rPr>
        <w:t>Article 1</w:t>
      </w:r>
    </w:p>
    <w:p w:rsidR="00570608" w:rsidRDefault="00570608" w:rsidP="009D52A1">
      <w:pPr>
        <w:rPr>
          <w:noProof/>
        </w:rPr>
      </w:pPr>
      <w:r w:rsidRPr="00E34F04">
        <w:rPr>
          <w:noProof/>
        </w:rPr>
        <w:t>The position to be taken on the Union's behalf in the</w:t>
      </w:r>
      <w:r w:rsidR="00174C3E">
        <w:rPr>
          <w:noProof/>
        </w:rPr>
        <w:t xml:space="preserve"> 5</w:t>
      </w:r>
      <w:r w:rsidR="004403C6">
        <w:rPr>
          <w:noProof/>
        </w:rPr>
        <w:t>9</w:t>
      </w:r>
      <w:r w:rsidR="00174C3E" w:rsidRPr="00174C3E">
        <w:rPr>
          <w:noProof/>
          <w:vertAlign w:val="superscript"/>
        </w:rPr>
        <w:t>th</w:t>
      </w:r>
      <w:r w:rsidR="00174C3E">
        <w:rPr>
          <w:noProof/>
        </w:rPr>
        <w:t xml:space="preserve"> </w:t>
      </w:r>
      <w:r w:rsidRPr="00E34F04">
        <w:rPr>
          <w:noProof/>
        </w:rPr>
        <w:t xml:space="preserve">session of </w:t>
      </w:r>
      <w:r w:rsidR="004172EC" w:rsidRPr="00E34F04">
        <w:rPr>
          <w:noProof/>
        </w:rPr>
        <w:t>the</w:t>
      </w:r>
      <w:r w:rsidR="004172EC">
        <w:rPr>
          <w:noProof/>
        </w:rPr>
        <w:t xml:space="preserve"> Organisation for International Carriage by Rail  Committee of Experts for the Carriage of Dangerous Goods ('RID Expert Committee')</w:t>
      </w:r>
      <w:r w:rsidR="00174C3E">
        <w:rPr>
          <w:noProof/>
        </w:rPr>
        <w:t xml:space="preserve"> in the framework of the Convention concerning International Carriage by Rail of 9 May 1980, as amended by the Vilnius Protocol of 3 June 1999, is set out in the Annex to this Decision.</w:t>
      </w:r>
    </w:p>
    <w:p w:rsidR="00715CBE" w:rsidRPr="00F65501" w:rsidRDefault="00174C3E" w:rsidP="00D76BFF">
      <w:pPr>
        <w:rPr>
          <w:i/>
          <w:noProof/>
        </w:rPr>
      </w:pPr>
      <w:r w:rsidRPr="00F65501">
        <w:rPr>
          <w:noProof/>
        </w:rPr>
        <w:t>Minor changes to the documents referred to in the Annex may be agreed to by the representatives of the Union in the RID Expert Committee with</w:t>
      </w:r>
      <w:r w:rsidR="00C4609B" w:rsidRPr="00F65501">
        <w:rPr>
          <w:noProof/>
        </w:rPr>
        <w:t>o</w:t>
      </w:r>
      <w:r w:rsidRPr="00F65501">
        <w:rPr>
          <w:noProof/>
        </w:rPr>
        <w:t xml:space="preserve">ut further decision from the Council. </w:t>
      </w:r>
    </w:p>
    <w:p w:rsidR="00570608" w:rsidRPr="00E34F04" w:rsidRDefault="00570608" w:rsidP="009D52A1">
      <w:pPr>
        <w:pStyle w:val="Titrearticle"/>
        <w:rPr>
          <w:noProof/>
        </w:rPr>
      </w:pPr>
      <w:r w:rsidRPr="00E34F04">
        <w:rPr>
          <w:noProof/>
        </w:rPr>
        <w:t xml:space="preserve">Article </w:t>
      </w:r>
      <w:r w:rsidR="00174C3E">
        <w:rPr>
          <w:noProof/>
        </w:rPr>
        <w:t xml:space="preserve">2 </w:t>
      </w:r>
    </w:p>
    <w:p w:rsidR="00715CBE" w:rsidRPr="00F65501" w:rsidRDefault="00104B8F" w:rsidP="0066500B">
      <w:pPr>
        <w:rPr>
          <w:iCs/>
          <w:noProof/>
        </w:rPr>
      </w:pPr>
      <w:r w:rsidRPr="00F65501">
        <w:rPr>
          <w:iCs/>
          <w:noProof/>
        </w:rPr>
        <w:t>Th</w:t>
      </w:r>
      <w:r w:rsidR="00174C3E" w:rsidRPr="00F65501">
        <w:rPr>
          <w:iCs/>
          <w:noProof/>
        </w:rPr>
        <w:t xml:space="preserve">e </w:t>
      </w:r>
      <w:r w:rsidR="003F453A" w:rsidRPr="00F65501">
        <w:rPr>
          <w:iCs/>
          <w:noProof/>
        </w:rPr>
        <w:t xml:space="preserve">decisions of the RID Expert Committee, once adopted, shall be published in the </w:t>
      </w:r>
      <w:r w:rsidR="003F453A" w:rsidRPr="00466421">
        <w:rPr>
          <w:i/>
          <w:iCs/>
          <w:noProof/>
        </w:rPr>
        <w:t>Official Journal of the European Union</w:t>
      </w:r>
      <w:r w:rsidR="003F453A" w:rsidRPr="00F65501">
        <w:rPr>
          <w:iCs/>
          <w:noProof/>
        </w:rPr>
        <w:t>, indicating the date of their entry into force.</w:t>
      </w:r>
    </w:p>
    <w:p w:rsidR="00715CBE" w:rsidRPr="003F453A" w:rsidRDefault="00715CBE" w:rsidP="00984AFC">
      <w:pPr>
        <w:rPr>
          <w:noProof/>
        </w:rPr>
      </w:pPr>
    </w:p>
    <w:p w:rsidR="00570608" w:rsidRPr="00715CBE" w:rsidRDefault="00570608" w:rsidP="00104B8F">
      <w:pPr>
        <w:jc w:val="center"/>
        <w:rPr>
          <w:noProof/>
        </w:rPr>
      </w:pPr>
      <w:r w:rsidRPr="00715CBE">
        <w:rPr>
          <w:i/>
          <w:noProof/>
        </w:rPr>
        <w:t xml:space="preserve">Article </w:t>
      </w:r>
      <w:r w:rsidR="00174C3E" w:rsidRPr="00715CBE">
        <w:rPr>
          <w:i/>
          <w:noProof/>
        </w:rPr>
        <w:t>3</w:t>
      </w:r>
    </w:p>
    <w:p w:rsidR="00570608" w:rsidRPr="00E34F04" w:rsidRDefault="00570608" w:rsidP="009D52A1">
      <w:pPr>
        <w:rPr>
          <w:noProof/>
        </w:rPr>
      </w:pPr>
      <w:r w:rsidRPr="00E34F04">
        <w:rPr>
          <w:noProof/>
        </w:rPr>
        <w:t>This Decision is addressed to the Commission.</w:t>
      </w:r>
    </w:p>
    <w:p w:rsidR="00570608" w:rsidRDefault="000D4313" w:rsidP="0040264A">
      <w:pPr>
        <w:pStyle w:val="Fait"/>
        <w:rPr>
          <w:noProof/>
        </w:rPr>
      </w:pPr>
      <w:r>
        <w:rPr>
          <w:noProof/>
        </w:rPr>
        <w:t>Done at Brussels,</w:t>
      </w:r>
    </w:p>
    <w:p w:rsidR="00570608" w:rsidRDefault="00570608" w:rsidP="0040264A">
      <w:pPr>
        <w:pStyle w:val="Institutionquisigne"/>
        <w:rPr>
          <w:noProof/>
        </w:rPr>
      </w:pPr>
      <w:r w:rsidRPr="00570608">
        <w:rPr>
          <w:noProof/>
        </w:rPr>
        <w:tab/>
        <w:t>For the Council</w:t>
      </w:r>
    </w:p>
    <w:p w:rsidR="00570608" w:rsidRPr="00570608" w:rsidRDefault="00570608" w:rsidP="00570608">
      <w:pPr>
        <w:pStyle w:val="Personnequisigne"/>
        <w:rPr>
          <w:noProof/>
        </w:rPr>
      </w:pPr>
      <w:r w:rsidRPr="00570608">
        <w:rPr>
          <w:noProof/>
        </w:rPr>
        <w:tab/>
        <w:t>The President</w:t>
      </w:r>
    </w:p>
    <w:sectPr w:rsidR="00570608" w:rsidRPr="00570608" w:rsidSect="00BF09E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C05" w:rsidRDefault="00571C05" w:rsidP="00570608">
      <w:pPr>
        <w:spacing w:before="0" w:after="0"/>
      </w:pPr>
      <w:r>
        <w:separator/>
      </w:r>
    </w:p>
  </w:endnote>
  <w:endnote w:type="continuationSeparator" w:id="0">
    <w:p w:rsidR="00571C05" w:rsidRDefault="00571C05" w:rsidP="0057060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9E5" w:rsidRPr="00BF09E5" w:rsidRDefault="00BF09E5" w:rsidP="00BF09E5">
    <w:pPr>
      <w:pStyle w:val="Footer"/>
      <w:rPr>
        <w:rFonts w:ascii="Arial" w:hAnsi="Arial" w:cs="Arial"/>
        <w:b/>
        <w:sz w:val="48"/>
      </w:rPr>
    </w:pPr>
    <w:r w:rsidRPr="00BF09E5">
      <w:rPr>
        <w:rFonts w:ascii="Arial" w:hAnsi="Arial" w:cs="Arial"/>
        <w:b/>
        <w:sz w:val="48"/>
      </w:rPr>
      <w:t>EN</w:t>
    </w:r>
    <w:r w:rsidRPr="00BF09E5">
      <w:rPr>
        <w:rFonts w:ascii="Arial" w:hAnsi="Arial" w:cs="Arial"/>
        <w:b/>
        <w:sz w:val="48"/>
      </w:rPr>
      <w:tab/>
    </w:r>
    <w:r w:rsidRPr="00BF09E5">
      <w:rPr>
        <w:rFonts w:ascii="Arial" w:hAnsi="Arial" w:cs="Arial"/>
        <w:b/>
        <w:sz w:val="48"/>
      </w:rPr>
      <w:tab/>
    </w:r>
    <w:r w:rsidRPr="00BF09E5">
      <w:tab/>
    </w:r>
    <w:r w:rsidRPr="00BF09E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9E5" w:rsidRPr="00BF09E5" w:rsidRDefault="00BF09E5" w:rsidP="00BF09E5">
    <w:pPr>
      <w:pStyle w:val="Footer"/>
      <w:rPr>
        <w:rFonts w:ascii="Arial" w:hAnsi="Arial" w:cs="Arial"/>
        <w:b/>
        <w:sz w:val="48"/>
      </w:rPr>
    </w:pPr>
    <w:r w:rsidRPr="00BF09E5">
      <w:rPr>
        <w:rFonts w:ascii="Arial" w:hAnsi="Arial" w:cs="Arial"/>
        <w:b/>
        <w:sz w:val="48"/>
      </w:rPr>
      <w:t>EN</w:t>
    </w:r>
    <w:r w:rsidRPr="00BF09E5">
      <w:rPr>
        <w:rFonts w:ascii="Arial" w:hAnsi="Arial" w:cs="Arial"/>
        <w:b/>
        <w:sz w:val="48"/>
      </w:rPr>
      <w:tab/>
    </w:r>
    <w:r w:rsidRPr="00BF09E5">
      <w:rPr>
        <w:rFonts w:ascii="Arial" w:hAnsi="Arial" w:cs="Arial"/>
        <w:b/>
        <w:sz w:val="48"/>
      </w:rPr>
      <w:tab/>
    </w:r>
    <w:r w:rsidRPr="00BF09E5">
      <w:tab/>
    </w:r>
    <w:r w:rsidRPr="00BF09E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9E5" w:rsidRDefault="00BF09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9E5" w:rsidRPr="00BF09E5" w:rsidRDefault="00BF09E5" w:rsidP="00BF09E5">
    <w:pPr>
      <w:pStyle w:val="Footer"/>
      <w:rPr>
        <w:rFonts w:ascii="Arial" w:hAnsi="Arial" w:cs="Arial"/>
        <w:b/>
        <w:sz w:val="48"/>
      </w:rPr>
    </w:pPr>
    <w:r w:rsidRPr="00BF09E5">
      <w:rPr>
        <w:rFonts w:ascii="Arial" w:hAnsi="Arial" w:cs="Arial"/>
        <w:b/>
        <w:sz w:val="48"/>
      </w:rPr>
      <w:t>EN</w:t>
    </w:r>
    <w:r w:rsidRPr="00BF09E5">
      <w:rPr>
        <w:rFonts w:ascii="Arial" w:hAnsi="Arial" w:cs="Arial"/>
        <w:b/>
        <w:sz w:val="48"/>
      </w:rPr>
      <w:tab/>
    </w:r>
    <w:r>
      <w:fldChar w:fldCharType="begin"/>
    </w:r>
    <w:r>
      <w:instrText xml:space="preserve"> PAGE  \* MERGEFORMAT </w:instrText>
    </w:r>
    <w:r>
      <w:fldChar w:fldCharType="separate"/>
    </w:r>
    <w:r w:rsidR="0040264A">
      <w:rPr>
        <w:noProof/>
      </w:rPr>
      <w:t>7</w:t>
    </w:r>
    <w:r>
      <w:fldChar w:fldCharType="end"/>
    </w:r>
    <w:r>
      <w:tab/>
    </w:r>
    <w:r w:rsidRPr="00BF09E5">
      <w:tab/>
    </w:r>
    <w:r w:rsidRPr="00BF09E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9E5" w:rsidRDefault="00BF09E5" w:rsidP="00BF0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C05" w:rsidRDefault="00571C05" w:rsidP="00570608">
      <w:pPr>
        <w:spacing w:before="0" w:after="0"/>
      </w:pPr>
      <w:r>
        <w:separator/>
      </w:r>
    </w:p>
  </w:footnote>
  <w:footnote w:type="continuationSeparator" w:id="0">
    <w:p w:rsidR="00571C05" w:rsidRDefault="00571C05" w:rsidP="00570608">
      <w:pPr>
        <w:spacing w:before="0" w:after="0"/>
      </w:pPr>
      <w:r>
        <w:continuationSeparator/>
      </w:r>
    </w:p>
  </w:footnote>
  <w:footnote w:id="1">
    <w:p w:rsidR="005C0A39" w:rsidRPr="00B035F8" w:rsidRDefault="005C0A39" w:rsidP="005C0A39">
      <w:pPr>
        <w:pStyle w:val="FootnoteText"/>
      </w:pPr>
      <w:r w:rsidRPr="00B035F8">
        <w:rPr>
          <w:rStyle w:val="FootnoteReference"/>
        </w:rPr>
        <w:footnoteRef/>
      </w:r>
      <w:r w:rsidRPr="00B035F8">
        <w:tab/>
      </w:r>
      <w:r>
        <w:t>Council Decision 2013/103</w:t>
      </w:r>
      <w:r w:rsidR="00DC79D7">
        <w:t>/EU</w:t>
      </w:r>
      <w:r>
        <w:t xml:space="preserve"> of 16 June 2011 on the signing and conclusion of the Agreement between the European Union and the Intergovernmental Organisation for International Carriage by Rail on the Accession of the European Union to the Convention concerning International Carriage by Rail (COTIF) of 9 May 1980, as amended by the Vilnius Protocol of 3 June 1999, </w:t>
      </w:r>
      <w:r w:rsidRPr="002157E7">
        <w:t>OJ L 51, 23.2.2013, p. 1</w:t>
      </w:r>
      <w:r>
        <w:t>.</w:t>
      </w:r>
    </w:p>
  </w:footnote>
  <w:footnote w:id="2">
    <w:p w:rsidR="004636CD" w:rsidRPr="0062089B" w:rsidRDefault="004636CD">
      <w:pPr>
        <w:pStyle w:val="FootnoteText"/>
      </w:pPr>
      <w:r w:rsidRPr="00D82D10">
        <w:rPr>
          <w:rStyle w:val="FootnoteReference"/>
        </w:rPr>
        <w:footnoteRef/>
      </w:r>
      <w:r w:rsidR="00D82D10">
        <w:tab/>
      </w:r>
      <w:r w:rsidRPr="002E4886">
        <w:t>Article 42(1) of the COTIF.</w:t>
      </w:r>
    </w:p>
  </w:footnote>
  <w:footnote w:id="3">
    <w:p w:rsidR="0062089B" w:rsidRPr="0062089B" w:rsidRDefault="0062089B" w:rsidP="0062089B">
      <w:pPr>
        <w:pStyle w:val="FootnoteText"/>
      </w:pPr>
      <w:r w:rsidRPr="00AB4D01">
        <w:rPr>
          <w:rStyle w:val="FootnoteReference"/>
        </w:rPr>
        <w:footnoteRef/>
      </w:r>
      <w:r w:rsidR="00D82D10" w:rsidRPr="00AB4D01">
        <w:tab/>
      </w:r>
      <w:r w:rsidRPr="00AB4D01">
        <w:t xml:space="preserve">Currently, </w:t>
      </w:r>
      <w:r w:rsidRPr="00AB4D01">
        <w:rPr>
          <w:noProof/>
        </w:rPr>
        <w:t>there are 5</w:t>
      </w:r>
      <w:r w:rsidR="00F55DD4">
        <w:rPr>
          <w:noProof/>
        </w:rPr>
        <w:t>1</w:t>
      </w:r>
      <w:r w:rsidRPr="00AB4D01">
        <w:rPr>
          <w:noProof/>
        </w:rPr>
        <w:t xml:space="preserve"> OTIF Member States and 45 RID Contracting States.</w:t>
      </w:r>
    </w:p>
  </w:footnote>
  <w:footnote w:id="4">
    <w:p w:rsidR="00E00B6E" w:rsidRDefault="00E00B6E" w:rsidP="00E00B6E">
      <w:pPr>
        <w:pStyle w:val="FootnoteText"/>
      </w:pPr>
      <w:r w:rsidRPr="00292031">
        <w:rPr>
          <w:rStyle w:val="FootnoteReference"/>
        </w:rPr>
        <w:footnoteRef/>
      </w:r>
      <w:r w:rsidR="00292031">
        <w:tab/>
      </w:r>
      <w:r w:rsidRPr="00174C3E">
        <w:t>Directive 2008/68/EC of the European Parliament and of the Council of 24 September 2008 on the inland transport of dangerous goods</w:t>
      </w:r>
      <w:r>
        <w:t xml:space="preserve">, </w:t>
      </w:r>
      <w:r w:rsidRPr="00174C3E">
        <w:t>OJ L 260, 30.9.2008, p. 13</w:t>
      </w:r>
      <w:r>
        <w:t>.</w:t>
      </w:r>
    </w:p>
  </w:footnote>
  <w:footnote w:id="5">
    <w:p w:rsidR="00E61672" w:rsidRDefault="00E61672" w:rsidP="00E61672">
      <w:pPr>
        <w:pStyle w:val="FootnoteText"/>
      </w:pPr>
      <w:r>
        <w:rPr>
          <w:rStyle w:val="FootnoteReference"/>
        </w:rPr>
        <w:footnoteRef/>
      </w:r>
      <w:r>
        <w:tab/>
      </w:r>
      <w:r w:rsidRPr="00174C3E">
        <w:t>Directive 2008/68/EC of the European Parliament and of the Council of 24 September 2008 on the inland transport of dangerous goods</w:t>
      </w:r>
      <w:r>
        <w:t>, (</w:t>
      </w:r>
      <w:r w:rsidRPr="00174C3E">
        <w:t>OJ L 260, 30.9.2008, p. 13</w:t>
      </w:r>
      <w:r>
        <w:t xml:space="preserve"> </w:t>
      </w:r>
      <w:r w:rsidRPr="0062494E">
        <w:t>ELI: </w:t>
      </w:r>
      <w:hyperlink r:id="rId1" w:tooltip="Gives access to this document through its ELI URI." w:history="1">
        <w:r w:rsidRPr="0062494E">
          <w:t>http://data.europa.eu/eli/dir/2008/68/oj</w:t>
        </w:r>
      </w:hyperlink>
      <w:r>
        <w:t>).</w:t>
      </w:r>
    </w:p>
  </w:footnote>
  <w:footnote w:id="6">
    <w:p w:rsidR="005C0A39" w:rsidRPr="004636CD" w:rsidRDefault="005C0A39" w:rsidP="005C0A39">
      <w:pPr>
        <w:pStyle w:val="FootnoteText"/>
      </w:pPr>
      <w:r w:rsidRPr="004F66E4">
        <w:rPr>
          <w:rStyle w:val="FootnoteReference"/>
        </w:rPr>
        <w:footnoteRef/>
      </w:r>
      <w:r w:rsidR="00D82D10">
        <w:tab/>
      </w:r>
      <w:r w:rsidRPr="005F0952">
        <w:t>European Agreement concerning the International Carriage of Dangerous Goods by Road, concluded at Geneva on 30 September 1957</w:t>
      </w:r>
      <w:r w:rsidRPr="004636CD">
        <w:t>.</w:t>
      </w:r>
    </w:p>
  </w:footnote>
  <w:footnote w:id="7">
    <w:p w:rsidR="005C0A39" w:rsidRPr="004636CD" w:rsidRDefault="005C0A39" w:rsidP="005C0A39">
      <w:pPr>
        <w:pStyle w:val="FootnoteText"/>
      </w:pPr>
      <w:r w:rsidRPr="00D82D10">
        <w:rPr>
          <w:rStyle w:val="FootnoteReference"/>
        </w:rPr>
        <w:footnoteRef/>
      </w:r>
      <w:r w:rsidR="00D82D10">
        <w:tab/>
      </w:r>
      <w:r w:rsidRPr="005F0952">
        <w:t>European Agreement concerning the International Carriage of Dangerous Goods by Inland Waterways, concluded at Geneva on 26 May 2000</w:t>
      </w:r>
      <w:r>
        <w:t>.</w:t>
      </w:r>
    </w:p>
  </w:footnote>
  <w:footnote w:id="8">
    <w:p w:rsidR="00F27578" w:rsidRPr="0026166B" w:rsidRDefault="00F27578">
      <w:pPr>
        <w:pStyle w:val="FootnoteText"/>
        <w:rPr>
          <w:lang w:val="en-IE"/>
        </w:rPr>
      </w:pPr>
      <w:r w:rsidRPr="00EB4752">
        <w:rPr>
          <w:rStyle w:val="FootnoteReference"/>
        </w:rPr>
        <w:footnoteRef/>
      </w:r>
      <w:r w:rsidR="00EB4752">
        <w:tab/>
      </w:r>
      <w:r w:rsidRPr="00F27578">
        <w:t>Appendix to Annex I to Council Decision 2013/103/EU of 16 June 2011</w:t>
      </w:r>
      <w:r>
        <w:t>.</w:t>
      </w:r>
    </w:p>
  </w:footnote>
  <w:footnote w:id="9">
    <w:p w:rsidR="00570608" w:rsidRPr="00B035F8" w:rsidRDefault="00570608" w:rsidP="009D52A1">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10">
    <w:p w:rsidR="006156D2" w:rsidRPr="0062494E" w:rsidRDefault="006156D2">
      <w:pPr>
        <w:pStyle w:val="FootnoteText"/>
      </w:pPr>
      <w:r w:rsidRPr="00FA121A">
        <w:rPr>
          <w:rStyle w:val="FootnoteReference"/>
        </w:rPr>
        <w:footnoteRef/>
      </w:r>
      <w:r w:rsidR="00FA121A">
        <w:tab/>
      </w:r>
      <w:r>
        <w:t>Council Decision 2013/103/EU of 16 June 2011 on the signing and conclusion of the Agreement between the European Union and the Intergovernmental Organisation for International Carriage by Rail on the Accession of the European Union to the Convention concerning International Carriage by Rail (COTIF) of 9 May 1980, as amended by the Vilnius Protocol of 3 June 1999</w:t>
      </w:r>
      <w:r w:rsidR="00E61672">
        <w:t xml:space="preserve"> (</w:t>
      </w:r>
      <w:r w:rsidRPr="002157E7">
        <w:t>OJ L 51, 23.2.2013, p. 1</w:t>
      </w:r>
      <w:r w:rsidR="00E61672">
        <w:t xml:space="preserve">, </w:t>
      </w:r>
      <w:r w:rsidR="00E61672" w:rsidRPr="0062494E">
        <w:t>ELI: </w:t>
      </w:r>
      <w:hyperlink r:id="rId2" w:tooltip="Gives access to this document through its ELI URI." w:history="1">
        <w:r w:rsidR="00E61672" w:rsidRPr="0062494E">
          <w:t>http://data.europa.eu/eli/dec/2013/103(1)/oj</w:t>
        </w:r>
      </w:hyperlink>
      <w:r w:rsidR="00E61672">
        <w:t>).</w:t>
      </w:r>
    </w:p>
  </w:footnote>
  <w:footnote w:id="11">
    <w:p w:rsidR="00E61672" w:rsidRDefault="006156D2" w:rsidP="00E61672">
      <w:pPr>
        <w:pStyle w:val="FootnoteText"/>
      </w:pPr>
      <w:r w:rsidRPr="00FA121A">
        <w:rPr>
          <w:rStyle w:val="FootnoteReference"/>
        </w:rPr>
        <w:footnoteRef/>
      </w:r>
      <w:r w:rsidR="00FA121A">
        <w:tab/>
      </w:r>
      <w:r w:rsidRPr="00174C3E">
        <w:t>Directive 2008/68/EC of the European Parliament and of the Council of 24 September 2008 on the inland transport of dangerous goods</w:t>
      </w:r>
      <w:r>
        <w:t xml:space="preserve">, </w:t>
      </w:r>
      <w:r w:rsidR="00E61672">
        <w:t>(</w:t>
      </w:r>
      <w:r w:rsidRPr="00174C3E">
        <w:t>OJ L 260, 30.9.2008, p. 13</w:t>
      </w:r>
      <w:r w:rsidR="00E61672">
        <w:t xml:space="preserve">, </w:t>
      </w:r>
      <w:r w:rsidR="00E61672" w:rsidRPr="004C4B7C">
        <w:t>ELI: </w:t>
      </w:r>
      <w:hyperlink r:id="rId3" w:tooltip="Gives access to this document through its ELI URI." w:history="1">
        <w:r w:rsidR="00E61672" w:rsidRPr="004C4B7C">
          <w:t>http://data.europa.eu/eli/dir/2008/68/oj</w:t>
        </w:r>
      </w:hyperlink>
      <w:r w:rsidR="00E61672">
        <w:t>).</w:t>
      </w:r>
    </w:p>
    <w:p w:rsidR="006156D2" w:rsidRPr="0062494E" w:rsidRDefault="006156D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9E5" w:rsidRDefault="00BF0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9E5" w:rsidRDefault="00BF0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CCA31F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5C2C71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1A441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8826E3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2647B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6F0418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B6390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7484E6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
  </w:num>
  <w:num w:numId="12">
    <w:abstractNumId w:val="1"/>
  </w:num>
  <w:num w:numId="13">
    <w:abstractNumId w:val="0"/>
  </w:num>
  <w:num w:numId="14">
    <w:abstractNumId w:val="22"/>
    <w:lvlOverride w:ilvl="0">
      <w:startOverride w:val="1"/>
    </w:lvlOverride>
  </w:num>
  <w:num w:numId="15">
    <w:abstractNumId w:val="19"/>
  </w:num>
  <w:num w:numId="16">
    <w:abstractNumId w:val="12"/>
  </w:num>
  <w:num w:numId="17">
    <w:abstractNumId w:val="21"/>
  </w:num>
  <w:num w:numId="18">
    <w:abstractNumId w:val="11"/>
  </w:num>
  <w:num w:numId="19">
    <w:abstractNumId w:val="13"/>
  </w:num>
  <w:num w:numId="20">
    <w:abstractNumId w:val="14"/>
  </w:num>
  <w:num w:numId="21">
    <w:abstractNumId w:val="9"/>
  </w:num>
  <w:num w:numId="22">
    <w:abstractNumId w:val="20"/>
  </w:num>
  <w:num w:numId="23">
    <w:abstractNumId w:val="8"/>
  </w:num>
  <w:num w:numId="24">
    <w:abstractNumId w:val="15"/>
  </w:num>
  <w:num w:numId="25">
    <w:abstractNumId w:val="17"/>
  </w:num>
  <w:num w:numId="26">
    <w:abstractNumId w:val="18"/>
  </w:num>
  <w:num w:numId="27">
    <w:abstractNumId w:val="10"/>
  </w:num>
  <w:num w:numId="28">
    <w:abstractNumId w:val="16"/>
  </w:num>
  <w:num w:numId="29">
    <w:abstractNumId w:val="22"/>
  </w:num>
  <w:num w:numId="30">
    <w:abstractNumId w:val="19"/>
  </w:num>
  <w:num w:numId="31">
    <w:abstractNumId w:val="12"/>
  </w:num>
  <w:num w:numId="32">
    <w:abstractNumId w:val="21"/>
  </w:num>
  <w:num w:numId="33">
    <w:abstractNumId w:val="11"/>
  </w:num>
  <w:num w:numId="34">
    <w:abstractNumId w:val="13"/>
  </w:num>
  <w:num w:numId="35">
    <w:abstractNumId w:val="14"/>
  </w:num>
  <w:num w:numId="36">
    <w:abstractNumId w:val="9"/>
  </w:num>
  <w:num w:numId="37">
    <w:abstractNumId w:val="20"/>
  </w:num>
  <w:num w:numId="38">
    <w:abstractNumId w:val="8"/>
  </w:num>
  <w:num w:numId="39">
    <w:abstractNumId w:val="15"/>
  </w:num>
  <w:num w:numId="40">
    <w:abstractNumId w:val="17"/>
  </w:num>
  <w:num w:numId="41">
    <w:abstractNumId w:val="18"/>
  </w:num>
  <w:num w:numId="42">
    <w:abstractNumId w:val="10"/>
  </w:num>
  <w:num w:numId="43">
    <w:abstractNumId w:val="16"/>
  </w:num>
  <w:num w:numId="44">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oNotTrackMoves/>
  <w:defaultTabStop w:val="720"/>
  <w:hyphenationZone w:val="425"/>
  <w:characterSpacingControl w:val="doNotCompress"/>
  <w:hdrShapeDefaults>
    <o:shapedefaults v:ext="edit" spidmax="7782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R_RefLast" w:val="0"/>
    <w:docVar w:name="DQCDateTime" w:val="2026-02-25 16:39: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42C5CBD-1735-48F5-80FF-3C376014D435"/>
    <w:docVar w:name="LW_COVERPAGE_TYPE" w:val="1"/>
    <w:docVar w:name="LW_CROSSREFERENCE" w:val="&lt;UNUSED&gt;"/>
    <w:docVar w:name="LW_DocType" w:val="COM"/>
    <w:docVar w:name="LW_EMISSION" w:val="26.2.2026"/>
    <w:docVar w:name="LW_EMISSION_ISODATE" w:val="2026-02-26"/>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61"/>
    <w:docVar w:name="LW_REF.II.NEW.CP_YEAR" w:val="2026"/>
    <w:docVar w:name="LW_REF.INST.NEW" w:val="COM"/>
    <w:docVar w:name="LW_REF.INST.NEW_ADOPTED" w:val="final"/>
    <w:docVar w:name="LW_REF.INST.NEW_TEXT" w:val="(2026) 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at the 59th session of  the Committee of Experts for the Carriage of Dangerous Goods of the Intergovernmental Organisation for International Carriage by Rail as regards certain amendments to Appendix C to the Convention concerning International Carriage by rail"/>
    <w:docVar w:name="LW_TYPE.DOC.CP" w:val="COUNCIL DECISION"/>
    <w:docVar w:name="LwApiVersions" w:val="LW4CoDe 1.24.5.0; LW 9.2, Build 20251112"/>
  </w:docVars>
  <w:rsids>
    <w:rsidRoot w:val="00570608"/>
    <w:rsid w:val="00064783"/>
    <w:rsid w:val="000901F1"/>
    <w:rsid w:val="000A11DB"/>
    <w:rsid w:val="000A3EB9"/>
    <w:rsid w:val="000A65A0"/>
    <w:rsid w:val="000A7517"/>
    <w:rsid w:val="000C58F2"/>
    <w:rsid w:val="000D2209"/>
    <w:rsid w:val="000D4313"/>
    <w:rsid w:val="000E198E"/>
    <w:rsid w:val="000F342F"/>
    <w:rsid w:val="0010194F"/>
    <w:rsid w:val="00104B8F"/>
    <w:rsid w:val="00105089"/>
    <w:rsid w:val="00106516"/>
    <w:rsid w:val="00125777"/>
    <w:rsid w:val="001309D0"/>
    <w:rsid w:val="00150984"/>
    <w:rsid w:val="0015400B"/>
    <w:rsid w:val="001735F2"/>
    <w:rsid w:val="00174AEB"/>
    <w:rsid w:val="00174C3E"/>
    <w:rsid w:val="00175ECE"/>
    <w:rsid w:val="00182546"/>
    <w:rsid w:val="00183D54"/>
    <w:rsid w:val="001949B6"/>
    <w:rsid w:val="001A2FC4"/>
    <w:rsid w:val="001B2A51"/>
    <w:rsid w:val="001C2816"/>
    <w:rsid w:val="001C7D57"/>
    <w:rsid w:val="001E45A8"/>
    <w:rsid w:val="001E47FF"/>
    <w:rsid w:val="002003F7"/>
    <w:rsid w:val="0020300C"/>
    <w:rsid w:val="002034F7"/>
    <w:rsid w:val="002157E7"/>
    <w:rsid w:val="00225640"/>
    <w:rsid w:val="002539E9"/>
    <w:rsid w:val="00253DFB"/>
    <w:rsid w:val="0026166B"/>
    <w:rsid w:val="00267EB2"/>
    <w:rsid w:val="00292031"/>
    <w:rsid w:val="002B2C7C"/>
    <w:rsid w:val="002C1DCF"/>
    <w:rsid w:val="002E17F6"/>
    <w:rsid w:val="002E4886"/>
    <w:rsid w:val="002E748C"/>
    <w:rsid w:val="00303713"/>
    <w:rsid w:val="00304ACC"/>
    <w:rsid w:val="00307F6A"/>
    <w:rsid w:val="003130EA"/>
    <w:rsid w:val="003242A6"/>
    <w:rsid w:val="00363610"/>
    <w:rsid w:val="003668BC"/>
    <w:rsid w:val="00367982"/>
    <w:rsid w:val="00373AE4"/>
    <w:rsid w:val="00374F17"/>
    <w:rsid w:val="0038583E"/>
    <w:rsid w:val="003A2250"/>
    <w:rsid w:val="003B5D66"/>
    <w:rsid w:val="003F01FC"/>
    <w:rsid w:val="003F453A"/>
    <w:rsid w:val="0040264A"/>
    <w:rsid w:val="004172EC"/>
    <w:rsid w:val="00427781"/>
    <w:rsid w:val="004403C6"/>
    <w:rsid w:val="004504E8"/>
    <w:rsid w:val="004616CE"/>
    <w:rsid w:val="004636CD"/>
    <w:rsid w:val="00466421"/>
    <w:rsid w:val="00472DFA"/>
    <w:rsid w:val="00483863"/>
    <w:rsid w:val="00492E41"/>
    <w:rsid w:val="00494070"/>
    <w:rsid w:val="004940A2"/>
    <w:rsid w:val="00496F6B"/>
    <w:rsid w:val="004A5095"/>
    <w:rsid w:val="004C50BA"/>
    <w:rsid w:val="004C7A60"/>
    <w:rsid w:val="004E4F94"/>
    <w:rsid w:val="004F1B83"/>
    <w:rsid w:val="004F1CA9"/>
    <w:rsid w:val="004F66E4"/>
    <w:rsid w:val="0052112E"/>
    <w:rsid w:val="00523A05"/>
    <w:rsid w:val="005252ED"/>
    <w:rsid w:val="0055381B"/>
    <w:rsid w:val="0056316C"/>
    <w:rsid w:val="00570608"/>
    <w:rsid w:val="00571C05"/>
    <w:rsid w:val="005832B5"/>
    <w:rsid w:val="00587D49"/>
    <w:rsid w:val="0059517F"/>
    <w:rsid w:val="005A2030"/>
    <w:rsid w:val="005A47DD"/>
    <w:rsid w:val="005A7EDB"/>
    <w:rsid w:val="005B413F"/>
    <w:rsid w:val="005C0A39"/>
    <w:rsid w:val="005D4476"/>
    <w:rsid w:val="005D45C3"/>
    <w:rsid w:val="005D4F77"/>
    <w:rsid w:val="005E0B3C"/>
    <w:rsid w:val="005E4805"/>
    <w:rsid w:val="00610C78"/>
    <w:rsid w:val="006156D2"/>
    <w:rsid w:val="0062089B"/>
    <w:rsid w:val="0062494E"/>
    <w:rsid w:val="006270A0"/>
    <w:rsid w:val="00631A81"/>
    <w:rsid w:val="006470FB"/>
    <w:rsid w:val="00652883"/>
    <w:rsid w:val="00663933"/>
    <w:rsid w:val="0066500B"/>
    <w:rsid w:val="00673A67"/>
    <w:rsid w:val="00680D8A"/>
    <w:rsid w:val="006813DD"/>
    <w:rsid w:val="0068458E"/>
    <w:rsid w:val="006965CC"/>
    <w:rsid w:val="006A54CA"/>
    <w:rsid w:val="006A6230"/>
    <w:rsid w:val="006C2509"/>
    <w:rsid w:val="006C6BD2"/>
    <w:rsid w:val="006D106A"/>
    <w:rsid w:val="006E3DF8"/>
    <w:rsid w:val="006F1675"/>
    <w:rsid w:val="006F72C7"/>
    <w:rsid w:val="0070128F"/>
    <w:rsid w:val="0070666B"/>
    <w:rsid w:val="00715CBE"/>
    <w:rsid w:val="00734196"/>
    <w:rsid w:val="00734655"/>
    <w:rsid w:val="00767320"/>
    <w:rsid w:val="0077305E"/>
    <w:rsid w:val="00774269"/>
    <w:rsid w:val="00777B93"/>
    <w:rsid w:val="00787011"/>
    <w:rsid w:val="00796F1D"/>
    <w:rsid w:val="007A0264"/>
    <w:rsid w:val="007B6AA3"/>
    <w:rsid w:val="007C06F6"/>
    <w:rsid w:val="007D6DE8"/>
    <w:rsid w:val="007E56D8"/>
    <w:rsid w:val="007F01DF"/>
    <w:rsid w:val="007F3257"/>
    <w:rsid w:val="0080223C"/>
    <w:rsid w:val="008068B8"/>
    <w:rsid w:val="0081166F"/>
    <w:rsid w:val="008341FE"/>
    <w:rsid w:val="00843CB8"/>
    <w:rsid w:val="008440D4"/>
    <w:rsid w:val="00844E2F"/>
    <w:rsid w:val="00850F19"/>
    <w:rsid w:val="00857007"/>
    <w:rsid w:val="008B0E60"/>
    <w:rsid w:val="008D0C82"/>
    <w:rsid w:val="008D1E20"/>
    <w:rsid w:val="008E64F1"/>
    <w:rsid w:val="008F651C"/>
    <w:rsid w:val="0090555A"/>
    <w:rsid w:val="0091047A"/>
    <w:rsid w:val="00920F74"/>
    <w:rsid w:val="00921300"/>
    <w:rsid w:val="009308AB"/>
    <w:rsid w:val="00945CB2"/>
    <w:rsid w:val="00952322"/>
    <w:rsid w:val="00960A5D"/>
    <w:rsid w:val="00967237"/>
    <w:rsid w:val="00976C7C"/>
    <w:rsid w:val="009843C0"/>
    <w:rsid w:val="00984AFC"/>
    <w:rsid w:val="0098603A"/>
    <w:rsid w:val="00986B33"/>
    <w:rsid w:val="00987AD5"/>
    <w:rsid w:val="009903C5"/>
    <w:rsid w:val="009A50B5"/>
    <w:rsid w:val="009B7138"/>
    <w:rsid w:val="009D52A1"/>
    <w:rsid w:val="009D53BD"/>
    <w:rsid w:val="009E381B"/>
    <w:rsid w:val="009E5C64"/>
    <w:rsid w:val="009F09BA"/>
    <w:rsid w:val="009F3BAB"/>
    <w:rsid w:val="00A02EA3"/>
    <w:rsid w:val="00A17136"/>
    <w:rsid w:val="00A20F0A"/>
    <w:rsid w:val="00A2469C"/>
    <w:rsid w:val="00A369D8"/>
    <w:rsid w:val="00A44961"/>
    <w:rsid w:val="00A50830"/>
    <w:rsid w:val="00A50D3D"/>
    <w:rsid w:val="00A67B95"/>
    <w:rsid w:val="00A76D51"/>
    <w:rsid w:val="00A92DF9"/>
    <w:rsid w:val="00AA798B"/>
    <w:rsid w:val="00AB4D01"/>
    <w:rsid w:val="00AB69A8"/>
    <w:rsid w:val="00AD401A"/>
    <w:rsid w:val="00AD51AF"/>
    <w:rsid w:val="00AD53DD"/>
    <w:rsid w:val="00AD57BE"/>
    <w:rsid w:val="00AE1B53"/>
    <w:rsid w:val="00B0268C"/>
    <w:rsid w:val="00B24A94"/>
    <w:rsid w:val="00B26DB3"/>
    <w:rsid w:val="00B44BBF"/>
    <w:rsid w:val="00B46262"/>
    <w:rsid w:val="00B52184"/>
    <w:rsid w:val="00B56172"/>
    <w:rsid w:val="00B61DB0"/>
    <w:rsid w:val="00B65E64"/>
    <w:rsid w:val="00B760B9"/>
    <w:rsid w:val="00B93844"/>
    <w:rsid w:val="00B94F86"/>
    <w:rsid w:val="00B95C3F"/>
    <w:rsid w:val="00BB4729"/>
    <w:rsid w:val="00BB65BA"/>
    <w:rsid w:val="00BD4874"/>
    <w:rsid w:val="00BE246D"/>
    <w:rsid w:val="00BE73C8"/>
    <w:rsid w:val="00BF09E5"/>
    <w:rsid w:val="00BF17AA"/>
    <w:rsid w:val="00C13521"/>
    <w:rsid w:val="00C24556"/>
    <w:rsid w:val="00C24AB7"/>
    <w:rsid w:val="00C41EA0"/>
    <w:rsid w:val="00C42144"/>
    <w:rsid w:val="00C4609B"/>
    <w:rsid w:val="00C46AA5"/>
    <w:rsid w:val="00C51AE3"/>
    <w:rsid w:val="00C6635D"/>
    <w:rsid w:val="00C941E7"/>
    <w:rsid w:val="00C97D26"/>
    <w:rsid w:val="00CD11E8"/>
    <w:rsid w:val="00CF5945"/>
    <w:rsid w:val="00D02A02"/>
    <w:rsid w:val="00D45878"/>
    <w:rsid w:val="00D54540"/>
    <w:rsid w:val="00D62A2F"/>
    <w:rsid w:val="00D74B2F"/>
    <w:rsid w:val="00D76878"/>
    <w:rsid w:val="00D76BFF"/>
    <w:rsid w:val="00D779F3"/>
    <w:rsid w:val="00D81A94"/>
    <w:rsid w:val="00D82D10"/>
    <w:rsid w:val="00D83657"/>
    <w:rsid w:val="00D855EE"/>
    <w:rsid w:val="00D95B13"/>
    <w:rsid w:val="00DA10D3"/>
    <w:rsid w:val="00DB203B"/>
    <w:rsid w:val="00DC79D7"/>
    <w:rsid w:val="00DF12F1"/>
    <w:rsid w:val="00DF553F"/>
    <w:rsid w:val="00DF6289"/>
    <w:rsid w:val="00E00B6E"/>
    <w:rsid w:val="00E141DF"/>
    <w:rsid w:val="00E16BE0"/>
    <w:rsid w:val="00E32E79"/>
    <w:rsid w:val="00E36B08"/>
    <w:rsid w:val="00E600C0"/>
    <w:rsid w:val="00E61672"/>
    <w:rsid w:val="00E92B8F"/>
    <w:rsid w:val="00EA6EF0"/>
    <w:rsid w:val="00EB062A"/>
    <w:rsid w:val="00EB4752"/>
    <w:rsid w:val="00EC7FFD"/>
    <w:rsid w:val="00ED3E9A"/>
    <w:rsid w:val="00ED569E"/>
    <w:rsid w:val="00ED5B6E"/>
    <w:rsid w:val="00ED5BF1"/>
    <w:rsid w:val="00EE407C"/>
    <w:rsid w:val="00EE7F9D"/>
    <w:rsid w:val="00EF11D6"/>
    <w:rsid w:val="00F20062"/>
    <w:rsid w:val="00F2174D"/>
    <w:rsid w:val="00F27578"/>
    <w:rsid w:val="00F345CC"/>
    <w:rsid w:val="00F41B16"/>
    <w:rsid w:val="00F46C9B"/>
    <w:rsid w:val="00F55DD4"/>
    <w:rsid w:val="00F65501"/>
    <w:rsid w:val="00F707A1"/>
    <w:rsid w:val="00F90DA9"/>
    <w:rsid w:val="00FA121A"/>
    <w:rsid w:val="00FA4C41"/>
    <w:rsid w:val="00FB68C0"/>
    <w:rsid w:val="00FC1CE0"/>
    <w:rsid w:val="00FC2A8C"/>
    <w:rsid w:val="00FC4C3E"/>
    <w:rsid w:val="00FD10D4"/>
    <w:rsid w:val="00FD1AEB"/>
    <w:rsid w:val="00FE1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5:docId w15:val="{4478567B-02F3-427C-A975-EBACE2F55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FA4C41"/>
    <w:pPr>
      <w:numPr>
        <w:numId w:val="3"/>
      </w:numPr>
      <w:contextualSpacing/>
    </w:pPr>
  </w:style>
  <w:style w:type="paragraph" w:styleId="ListBullet2">
    <w:name w:val="List Bullet 2"/>
    <w:basedOn w:val="Normal"/>
    <w:uiPriority w:val="99"/>
    <w:semiHidden/>
    <w:unhideWhenUsed/>
    <w:rsid w:val="00FA4C41"/>
    <w:pPr>
      <w:numPr>
        <w:numId w:val="4"/>
      </w:numPr>
      <w:contextualSpacing/>
    </w:pPr>
  </w:style>
  <w:style w:type="paragraph" w:styleId="ListBullet3">
    <w:name w:val="List Bullet 3"/>
    <w:basedOn w:val="Normal"/>
    <w:uiPriority w:val="99"/>
    <w:semiHidden/>
    <w:unhideWhenUsed/>
    <w:rsid w:val="00FA4C41"/>
    <w:pPr>
      <w:numPr>
        <w:numId w:val="5"/>
      </w:numPr>
      <w:contextualSpacing/>
    </w:pPr>
  </w:style>
  <w:style w:type="paragraph" w:styleId="ListBullet4">
    <w:name w:val="List Bullet 4"/>
    <w:basedOn w:val="Normal"/>
    <w:uiPriority w:val="99"/>
    <w:semiHidden/>
    <w:unhideWhenUsed/>
    <w:rsid w:val="00FA4C41"/>
    <w:pPr>
      <w:numPr>
        <w:numId w:val="6"/>
      </w:numPr>
      <w:contextualSpacing/>
    </w:pPr>
  </w:style>
  <w:style w:type="paragraph" w:styleId="Caption">
    <w:name w:val="caption"/>
    <w:basedOn w:val="Normal"/>
    <w:next w:val="Normal"/>
    <w:uiPriority w:val="35"/>
    <w:semiHidden/>
    <w:unhideWhenUsed/>
    <w:qFormat/>
    <w:rsid w:val="00C41EA0"/>
    <w:pPr>
      <w:spacing w:before="0" w:after="200"/>
    </w:pPr>
    <w:rPr>
      <w:i/>
      <w:iCs/>
      <w:color w:val="1F497D"/>
      <w:sz w:val="18"/>
      <w:szCs w:val="18"/>
    </w:rPr>
  </w:style>
  <w:style w:type="paragraph" w:styleId="TableofFigures">
    <w:name w:val="table of figures"/>
    <w:basedOn w:val="Normal"/>
    <w:next w:val="Normal"/>
    <w:uiPriority w:val="99"/>
    <w:semiHidden/>
    <w:unhideWhenUsed/>
    <w:rsid w:val="00C41EA0"/>
    <w:pPr>
      <w:spacing w:after="0"/>
    </w:pPr>
  </w:style>
  <w:style w:type="paragraph" w:styleId="ListNumber">
    <w:name w:val="List Number"/>
    <w:basedOn w:val="Normal"/>
    <w:uiPriority w:val="99"/>
    <w:semiHidden/>
    <w:unhideWhenUsed/>
    <w:rsid w:val="00C41EA0"/>
    <w:pPr>
      <w:numPr>
        <w:numId w:val="10"/>
      </w:numPr>
      <w:contextualSpacing/>
    </w:pPr>
  </w:style>
  <w:style w:type="paragraph" w:styleId="ListNumber2">
    <w:name w:val="List Number 2"/>
    <w:basedOn w:val="Normal"/>
    <w:uiPriority w:val="99"/>
    <w:semiHidden/>
    <w:unhideWhenUsed/>
    <w:rsid w:val="00C41EA0"/>
    <w:pPr>
      <w:numPr>
        <w:numId w:val="11"/>
      </w:numPr>
      <w:contextualSpacing/>
    </w:pPr>
  </w:style>
  <w:style w:type="paragraph" w:styleId="ListNumber3">
    <w:name w:val="List Number 3"/>
    <w:basedOn w:val="Normal"/>
    <w:uiPriority w:val="99"/>
    <w:semiHidden/>
    <w:unhideWhenUsed/>
    <w:rsid w:val="00C41EA0"/>
    <w:pPr>
      <w:numPr>
        <w:numId w:val="12"/>
      </w:numPr>
      <w:contextualSpacing/>
    </w:pPr>
  </w:style>
  <w:style w:type="paragraph" w:styleId="ListNumber4">
    <w:name w:val="List Number 4"/>
    <w:basedOn w:val="Normal"/>
    <w:uiPriority w:val="99"/>
    <w:semiHidden/>
    <w:unhideWhenUsed/>
    <w:rsid w:val="00C41EA0"/>
    <w:pPr>
      <w:numPr>
        <w:numId w:val="13"/>
      </w:numPr>
      <w:contextualSpacing/>
    </w:pPr>
  </w:style>
  <w:style w:type="character" w:styleId="CommentReference">
    <w:name w:val="annotation reference"/>
    <w:uiPriority w:val="99"/>
    <w:semiHidden/>
    <w:unhideWhenUsed/>
    <w:rsid w:val="009F3BAB"/>
    <w:rPr>
      <w:sz w:val="16"/>
      <w:szCs w:val="16"/>
    </w:rPr>
  </w:style>
  <w:style w:type="paragraph" w:styleId="CommentText">
    <w:name w:val="annotation text"/>
    <w:basedOn w:val="Normal"/>
    <w:link w:val="CommentTextChar"/>
    <w:uiPriority w:val="99"/>
    <w:semiHidden/>
    <w:unhideWhenUsed/>
    <w:rsid w:val="009F3BAB"/>
    <w:rPr>
      <w:sz w:val="20"/>
      <w:szCs w:val="20"/>
    </w:rPr>
  </w:style>
  <w:style w:type="character" w:customStyle="1" w:styleId="CommentTextChar">
    <w:name w:val="Comment Text Char"/>
    <w:link w:val="CommentText"/>
    <w:uiPriority w:val="99"/>
    <w:semiHidden/>
    <w:rsid w:val="009F3BAB"/>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F3BAB"/>
    <w:rPr>
      <w:b/>
      <w:bCs/>
    </w:rPr>
  </w:style>
  <w:style w:type="character" w:customStyle="1" w:styleId="CommentSubjectChar">
    <w:name w:val="Comment Subject Char"/>
    <w:link w:val="CommentSubject"/>
    <w:uiPriority w:val="99"/>
    <w:semiHidden/>
    <w:rsid w:val="009F3BAB"/>
    <w:rPr>
      <w:rFonts w:ascii="Times New Roman" w:hAnsi="Times New Roman" w:cs="Times New Roman"/>
      <w:b/>
      <w:bCs/>
      <w:sz w:val="20"/>
      <w:szCs w:val="20"/>
      <w:lang w:val="en-GB"/>
    </w:rPr>
  </w:style>
  <w:style w:type="character" w:styleId="Hyperlink">
    <w:name w:val="Hyperlink"/>
    <w:uiPriority w:val="99"/>
    <w:unhideWhenUsed/>
    <w:rsid w:val="009F3BAB"/>
    <w:rPr>
      <w:color w:val="0000FF"/>
      <w:u w:val="single"/>
    </w:rPr>
  </w:style>
  <w:style w:type="paragraph" w:styleId="BalloonText">
    <w:name w:val="Balloon Text"/>
    <w:basedOn w:val="Normal"/>
    <w:link w:val="BalloonTextChar"/>
    <w:uiPriority w:val="99"/>
    <w:semiHidden/>
    <w:unhideWhenUsed/>
    <w:rsid w:val="009F3BAB"/>
    <w:pPr>
      <w:spacing w:before="0" w:after="0"/>
    </w:pPr>
    <w:rPr>
      <w:rFonts w:ascii="Segoe UI" w:hAnsi="Segoe UI" w:cs="Segoe UI"/>
      <w:sz w:val="18"/>
      <w:szCs w:val="18"/>
    </w:rPr>
  </w:style>
  <w:style w:type="character" w:customStyle="1" w:styleId="BalloonTextChar">
    <w:name w:val="Balloon Text Char"/>
    <w:link w:val="BalloonText"/>
    <w:uiPriority w:val="99"/>
    <w:semiHidden/>
    <w:rsid w:val="009F3BAB"/>
    <w:rPr>
      <w:rFonts w:ascii="Segoe UI" w:hAnsi="Segoe UI" w:cs="Segoe UI"/>
      <w:sz w:val="18"/>
      <w:szCs w:val="18"/>
      <w:lang w:val="en-GB"/>
    </w:rPr>
  </w:style>
  <w:style w:type="paragraph" w:styleId="Revision">
    <w:name w:val="Revision"/>
    <w:hidden/>
    <w:uiPriority w:val="99"/>
    <w:semiHidden/>
    <w:rsid w:val="004172EC"/>
    <w:rPr>
      <w:rFonts w:ascii="Times New Roman" w:hAnsi="Times New Roman"/>
      <w:sz w:val="24"/>
      <w:lang w:val="en-GB"/>
    </w:rPr>
  </w:style>
  <w:style w:type="character" w:styleId="Strong">
    <w:name w:val="Strong"/>
    <w:uiPriority w:val="22"/>
    <w:qFormat/>
    <w:rsid w:val="006D106A"/>
    <w:rPr>
      <w:b/>
      <w:bCs/>
    </w:rPr>
  </w:style>
  <w:style w:type="character" w:customStyle="1" w:styleId="UnresolvedMention">
    <w:name w:val="Unresolved Mention"/>
    <w:basedOn w:val="DefaultParagraphFont"/>
    <w:uiPriority w:val="99"/>
    <w:semiHidden/>
    <w:unhideWhenUsed/>
    <w:rsid w:val="00A92DF9"/>
    <w:rPr>
      <w:color w:val="605E5C"/>
      <w:shd w:val="clear" w:color="auto" w:fill="E1DFDD"/>
    </w:rPr>
  </w:style>
  <w:style w:type="paragraph" w:styleId="EndnoteText">
    <w:name w:val="endnote text"/>
    <w:basedOn w:val="Normal"/>
    <w:link w:val="EndnoteTextChar"/>
    <w:uiPriority w:val="99"/>
    <w:semiHidden/>
    <w:unhideWhenUsed/>
    <w:rsid w:val="0015400B"/>
    <w:rPr>
      <w:sz w:val="20"/>
      <w:szCs w:val="20"/>
    </w:rPr>
  </w:style>
  <w:style w:type="character" w:customStyle="1" w:styleId="EndnoteTextChar">
    <w:name w:val="Endnote Text Char"/>
    <w:basedOn w:val="DefaultParagraphFont"/>
    <w:link w:val="EndnoteText"/>
    <w:uiPriority w:val="99"/>
    <w:semiHidden/>
    <w:rsid w:val="0015400B"/>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5400B"/>
    <w:rPr>
      <w:vertAlign w:val="superscript"/>
    </w:rPr>
  </w:style>
  <w:style w:type="character" w:customStyle="1" w:styleId="HeaderChar">
    <w:name w:val="Header Char"/>
    <w:link w:val="Header"/>
    <w:uiPriority w:val="99"/>
    <w:rsid w:val="00BF09E5"/>
    <w:rPr>
      <w:rFonts w:ascii="Times New Roman" w:hAnsi="Times New Roman" w:cs="Times New Roman"/>
      <w:sz w:val="24"/>
      <w:lang w:val="en-GB"/>
    </w:rPr>
  </w:style>
  <w:style w:type="character" w:customStyle="1" w:styleId="FooterChar">
    <w:name w:val="Footer Char"/>
    <w:link w:val="Footer"/>
    <w:uiPriority w:val="99"/>
    <w:rsid w:val="00BF09E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F09E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F09E5"/>
    <w:pPr>
      <w:spacing w:before="0"/>
      <w:jc w:val="right"/>
    </w:pPr>
    <w:rPr>
      <w:sz w:val="28"/>
    </w:rPr>
  </w:style>
  <w:style w:type="paragraph" w:customStyle="1" w:styleId="FooterSensitivity">
    <w:name w:val="Footer Sensitivity"/>
    <w:basedOn w:val="Normal"/>
    <w:rsid w:val="00BF09E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F09E5"/>
    <w:pPr>
      <w:tabs>
        <w:tab w:val="center" w:pos="4535"/>
        <w:tab w:val="right" w:pos="9071"/>
      </w:tabs>
      <w:spacing w:before="0"/>
    </w:pPr>
  </w:style>
  <w:style w:type="paragraph" w:customStyle="1" w:styleId="HeaderLandscape">
    <w:name w:val="HeaderLandscape"/>
    <w:basedOn w:val="Normal"/>
    <w:rsid w:val="00BF09E5"/>
    <w:pPr>
      <w:tabs>
        <w:tab w:val="center" w:pos="7285"/>
        <w:tab w:val="right" w:pos="14003"/>
      </w:tabs>
      <w:spacing w:before="0"/>
    </w:pPr>
  </w:style>
  <w:style w:type="paragraph" w:styleId="Footer">
    <w:name w:val="footer"/>
    <w:basedOn w:val="Normal"/>
    <w:link w:val="FooterChar"/>
    <w:uiPriority w:val="99"/>
    <w:unhideWhenUsed/>
    <w:rsid w:val="00BF09E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F09E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48369">
      <w:bodyDiv w:val="1"/>
      <w:marLeft w:val="0"/>
      <w:marRight w:val="0"/>
      <w:marTop w:val="0"/>
      <w:marBottom w:val="0"/>
      <w:divBdr>
        <w:top w:val="none" w:sz="0" w:space="0" w:color="auto"/>
        <w:left w:val="none" w:sz="0" w:space="0" w:color="auto"/>
        <w:bottom w:val="none" w:sz="0" w:space="0" w:color="auto"/>
        <w:right w:val="none" w:sz="0" w:space="0" w:color="auto"/>
      </w:divBdr>
      <w:divsChild>
        <w:div w:id="1872454188">
          <w:marLeft w:val="288"/>
          <w:marRight w:val="0"/>
          <w:marTop w:val="120"/>
          <w:marBottom w:val="240"/>
          <w:divBdr>
            <w:top w:val="none" w:sz="0" w:space="0" w:color="auto"/>
            <w:left w:val="none" w:sz="0" w:space="0" w:color="auto"/>
            <w:bottom w:val="none" w:sz="0" w:space="0" w:color="auto"/>
            <w:right w:val="none" w:sz="0" w:space="0" w:color="auto"/>
          </w:divBdr>
        </w:div>
        <w:div w:id="1118179266">
          <w:marLeft w:val="288"/>
          <w:marRight w:val="0"/>
          <w:marTop w:val="120"/>
          <w:marBottom w:val="240"/>
          <w:divBdr>
            <w:top w:val="none" w:sz="0" w:space="0" w:color="auto"/>
            <w:left w:val="none" w:sz="0" w:space="0" w:color="auto"/>
            <w:bottom w:val="none" w:sz="0" w:space="0" w:color="auto"/>
            <w:right w:val="none" w:sz="0" w:space="0" w:color="auto"/>
          </w:divBdr>
        </w:div>
      </w:divsChild>
    </w:div>
    <w:div w:id="655455234">
      <w:bodyDiv w:val="1"/>
      <w:marLeft w:val="0"/>
      <w:marRight w:val="0"/>
      <w:marTop w:val="0"/>
      <w:marBottom w:val="0"/>
      <w:divBdr>
        <w:top w:val="none" w:sz="0" w:space="0" w:color="auto"/>
        <w:left w:val="none" w:sz="0" w:space="0" w:color="auto"/>
        <w:bottom w:val="none" w:sz="0" w:space="0" w:color="auto"/>
        <w:right w:val="none" w:sz="0" w:space="0" w:color="auto"/>
      </w:divBdr>
    </w:div>
    <w:div w:id="1158376218">
      <w:bodyDiv w:val="1"/>
      <w:marLeft w:val="0"/>
      <w:marRight w:val="0"/>
      <w:marTop w:val="0"/>
      <w:marBottom w:val="0"/>
      <w:divBdr>
        <w:top w:val="none" w:sz="0" w:space="0" w:color="auto"/>
        <w:left w:val="none" w:sz="0" w:space="0" w:color="auto"/>
        <w:bottom w:val="none" w:sz="0" w:space="0" w:color="auto"/>
        <w:right w:val="none" w:sz="0" w:space="0" w:color="auto"/>
      </w:divBdr>
    </w:div>
    <w:div w:id="1727994240">
      <w:bodyDiv w:val="1"/>
      <w:marLeft w:val="0"/>
      <w:marRight w:val="0"/>
      <w:marTop w:val="0"/>
      <w:marBottom w:val="0"/>
      <w:divBdr>
        <w:top w:val="none" w:sz="0" w:space="0" w:color="auto"/>
        <w:left w:val="none" w:sz="0" w:space="0" w:color="auto"/>
        <w:bottom w:val="none" w:sz="0" w:space="0" w:color="auto"/>
        <w:right w:val="none" w:sz="0" w:space="0" w:color="auto"/>
      </w:divBdr>
    </w:div>
    <w:div w:id="212750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8/68/oj" TargetMode="External"/><Relationship Id="rId2" Type="http://schemas.openxmlformats.org/officeDocument/2006/relationships/hyperlink" Target="http://data.europa.eu/eli/dec/2013/103(1)/oj" TargetMode="External"/><Relationship Id="rId1" Type="http://schemas.openxmlformats.org/officeDocument/2006/relationships/hyperlink" Target="http://data.europa.eu/eli/dir/2008/6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32688FE-71B2-4319-8FEE-4B43238AA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8</Pages>
  <Words>2050</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cp:lastPrinted>2022-01-21T16:08:00Z</cp:lastPrinted>
  <dcterms:created xsi:type="dcterms:W3CDTF">2026-01-27T20:54:00Z</dcterms:created>
  <dcterms:modified xsi:type="dcterms:W3CDTF">2026-02-25T15:39:00Z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2024-01-15T09:17:26Z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996c1f91-ed49-4f3f-b720-272938bb8ea6</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