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65EC6" w14:textId="16033462" w:rsidR="00E67F79" w:rsidRPr="00885A02" w:rsidRDefault="001D2410" w:rsidP="001D2410">
      <w:pPr>
        <w:pStyle w:val="Pagedecouverture"/>
        <w:rPr>
          <w:noProof/>
        </w:rPr>
      </w:pPr>
      <w:r>
        <w:rPr>
          <w:noProof/>
        </w:rPr>
        <w:pict w14:anchorId="0F586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C5B9A15-BE06-4574-85BA-C7E885DB852D" style="width:455.25pt;height:396pt">
            <v:imagedata r:id="rId8" o:title=""/>
          </v:shape>
        </w:pict>
      </w:r>
    </w:p>
    <w:p w14:paraId="337EB5BC" w14:textId="77777777" w:rsidR="00E67F79" w:rsidRPr="00885A02" w:rsidRDefault="00E67F79" w:rsidP="00E67F79">
      <w:pPr>
        <w:rPr>
          <w:noProof/>
        </w:rPr>
        <w:sectPr w:rsidR="00E67F79" w:rsidRPr="00885A02" w:rsidSect="001D2410">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F0EC50A" w14:textId="0766680E" w:rsidR="00E67F79" w:rsidRPr="00885A02" w:rsidRDefault="00E67F79" w:rsidP="00E67F79">
      <w:pPr>
        <w:pStyle w:val="Annexetitre"/>
        <w:rPr>
          <w:noProof/>
        </w:rPr>
      </w:pPr>
      <w:bookmarkStart w:id="0" w:name="_GoBack"/>
      <w:bookmarkEnd w:id="0"/>
      <w:r w:rsidRPr="00885A02">
        <w:rPr>
          <w:noProof/>
        </w:rPr>
        <w:lastRenderedPageBreak/>
        <w:t xml:space="preserve">ANNEXE </w:t>
      </w:r>
    </w:p>
    <w:p w14:paraId="04DA3AD8" w14:textId="77777777" w:rsidR="00056693" w:rsidRPr="00885A02" w:rsidRDefault="00056693" w:rsidP="00056693">
      <w:pPr>
        <w:rPr>
          <w:noProof/>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402"/>
        <w:gridCol w:w="2976"/>
        <w:gridCol w:w="1418"/>
        <w:gridCol w:w="1701"/>
      </w:tblGrid>
      <w:tr w:rsidR="00B050D4" w:rsidRPr="00885A02" w14:paraId="18FAE67E" w14:textId="77777777" w:rsidTr="00AF3E49">
        <w:tc>
          <w:tcPr>
            <w:tcW w:w="1135" w:type="dxa"/>
          </w:tcPr>
          <w:p w14:paraId="14A9DF03" w14:textId="77777777" w:rsidR="00B050D4" w:rsidRPr="00885A02" w:rsidRDefault="00B050D4" w:rsidP="00E67F79">
            <w:pPr>
              <w:rPr>
                <w:noProof/>
              </w:rPr>
            </w:pPr>
            <w:r w:rsidRPr="00885A02">
              <w:rPr>
                <w:noProof/>
              </w:rPr>
              <w:t xml:space="preserve">Proposition </w:t>
            </w:r>
          </w:p>
        </w:tc>
        <w:tc>
          <w:tcPr>
            <w:tcW w:w="3402" w:type="dxa"/>
          </w:tcPr>
          <w:p w14:paraId="53DD296A" w14:textId="77777777" w:rsidR="00B050D4" w:rsidRPr="00885A02" w:rsidRDefault="00B050D4" w:rsidP="00E67F79">
            <w:pPr>
              <w:rPr>
                <w:noProof/>
              </w:rPr>
            </w:pPr>
            <w:r w:rsidRPr="00885A02">
              <w:rPr>
                <w:noProof/>
              </w:rPr>
              <w:t>Document de référence</w:t>
            </w:r>
          </w:p>
        </w:tc>
        <w:tc>
          <w:tcPr>
            <w:tcW w:w="2976" w:type="dxa"/>
          </w:tcPr>
          <w:p w14:paraId="668AB19B" w14:textId="77777777" w:rsidR="00B050D4" w:rsidRPr="00885A02" w:rsidRDefault="00B050D4" w:rsidP="00E67F79">
            <w:pPr>
              <w:rPr>
                <w:noProof/>
              </w:rPr>
            </w:pPr>
            <w:r w:rsidRPr="00885A02">
              <w:rPr>
                <w:noProof/>
              </w:rPr>
              <w:t>Sujet</w:t>
            </w:r>
          </w:p>
        </w:tc>
        <w:tc>
          <w:tcPr>
            <w:tcW w:w="1418" w:type="dxa"/>
          </w:tcPr>
          <w:p w14:paraId="71CC68F0" w14:textId="77777777" w:rsidR="00B050D4" w:rsidRPr="00885A02" w:rsidRDefault="00B050D4" w:rsidP="00E67F79">
            <w:pPr>
              <w:rPr>
                <w:noProof/>
              </w:rPr>
            </w:pPr>
            <w:r w:rsidRPr="00885A02">
              <w:rPr>
                <w:noProof/>
              </w:rPr>
              <w:t xml:space="preserve">Remarques </w:t>
            </w:r>
          </w:p>
        </w:tc>
        <w:tc>
          <w:tcPr>
            <w:tcW w:w="1701" w:type="dxa"/>
          </w:tcPr>
          <w:p w14:paraId="49E2B307" w14:textId="77777777" w:rsidR="00B050D4" w:rsidRPr="00885A02" w:rsidRDefault="0058631D" w:rsidP="0058631D">
            <w:pPr>
              <w:rPr>
                <w:noProof/>
              </w:rPr>
            </w:pPr>
            <w:r w:rsidRPr="00885A02">
              <w:rPr>
                <w:noProof/>
              </w:rPr>
              <w:t xml:space="preserve">Position de l’UE </w:t>
            </w:r>
          </w:p>
        </w:tc>
      </w:tr>
      <w:tr w:rsidR="00F06A1B" w:rsidRPr="00885A02" w14:paraId="74D6C02D" w14:textId="77777777" w:rsidTr="00AF3E49">
        <w:tc>
          <w:tcPr>
            <w:tcW w:w="1135" w:type="dxa"/>
          </w:tcPr>
          <w:p w14:paraId="36BD36F0" w14:textId="77777777" w:rsidR="00F06A1B" w:rsidRPr="00885A02" w:rsidRDefault="00F06A1B" w:rsidP="00F316F0">
            <w:pPr>
              <w:pStyle w:val="ListParagraph"/>
              <w:numPr>
                <w:ilvl w:val="0"/>
                <w:numId w:val="9"/>
              </w:numPr>
              <w:jc w:val="left"/>
              <w:rPr>
                <w:noProof/>
              </w:rPr>
            </w:pPr>
          </w:p>
        </w:tc>
        <w:tc>
          <w:tcPr>
            <w:tcW w:w="3402" w:type="dxa"/>
          </w:tcPr>
          <w:p w14:paraId="13F16BBC" w14:textId="018FB57F" w:rsidR="0009559E" w:rsidRPr="00885A02" w:rsidRDefault="0009559E" w:rsidP="00A642CC">
            <w:pPr>
              <w:jc w:val="left"/>
              <w:rPr>
                <w:noProof/>
              </w:rPr>
            </w:pPr>
            <w:r w:rsidRPr="00885A02">
              <w:rPr>
                <w:noProof/>
              </w:rPr>
              <w:t>RID-25014-CE-SWG19</w:t>
            </w:r>
          </w:p>
        </w:tc>
        <w:tc>
          <w:tcPr>
            <w:tcW w:w="2976" w:type="dxa"/>
          </w:tcPr>
          <w:p w14:paraId="65337585" w14:textId="77777777" w:rsidR="00B61F42" w:rsidRPr="00885A02" w:rsidRDefault="00BE2E65" w:rsidP="008D4880">
            <w:pPr>
              <w:jc w:val="left"/>
              <w:rPr>
                <w:noProof/>
                <w:color w:val="000000"/>
                <w:szCs w:val="24"/>
                <w:shd w:val="clear" w:color="auto" w:fill="FFFFFF"/>
              </w:rPr>
            </w:pPr>
            <w:r w:rsidRPr="00885A02">
              <w:rPr>
                <w:noProof/>
                <w:color w:val="000000"/>
                <w:shd w:val="clear" w:color="auto" w:fill="FFFFFF"/>
              </w:rPr>
              <w:t>Conteneurs-citernes de très grande taille — hypothèses de chargement conformément au paragraphe 6.8.2.1.2 du RID</w:t>
            </w:r>
          </w:p>
          <w:p w14:paraId="2FBEB6E8" w14:textId="68F196E7" w:rsidR="0066600F" w:rsidRPr="00885A02" w:rsidRDefault="0066600F" w:rsidP="0066600F">
            <w:pPr>
              <w:jc w:val="left"/>
              <w:rPr>
                <w:noProof/>
              </w:rPr>
            </w:pPr>
            <w:r w:rsidRPr="00885A02">
              <w:rPr>
                <w:noProof/>
              </w:rPr>
              <w:t>Le document propose l’insertion d’une note supplémentaire au paragraphe 6.8.2.1.2, expliquant que les hypothèses de charge dans le transport ferroviaire concernent les opérations de transport avec des restrictions de manœuvre qui sont définies pour les wagons de marchandises de classe F2 dans la norme EN 12663.</w:t>
            </w:r>
          </w:p>
        </w:tc>
        <w:tc>
          <w:tcPr>
            <w:tcW w:w="1418" w:type="dxa"/>
          </w:tcPr>
          <w:p w14:paraId="427BB12E" w14:textId="77777777" w:rsidR="00F06A1B" w:rsidRPr="00885A02" w:rsidRDefault="00F06A1B" w:rsidP="007F3163">
            <w:pPr>
              <w:jc w:val="left"/>
              <w:rPr>
                <w:noProof/>
              </w:rPr>
            </w:pPr>
            <w:r w:rsidRPr="00885A02">
              <w:rPr>
                <w:noProof/>
              </w:rPr>
              <w:t>Consensus technique au sein du groupe de travail permanent de l’OTIF pour l’adoption du texte tel que modifié</w:t>
            </w:r>
          </w:p>
        </w:tc>
        <w:tc>
          <w:tcPr>
            <w:tcW w:w="1701" w:type="dxa"/>
          </w:tcPr>
          <w:p w14:paraId="1E4915D1" w14:textId="782D70C1" w:rsidR="00F06A1B" w:rsidRPr="00885A02" w:rsidRDefault="00F06A1B" w:rsidP="00396C59">
            <w:pPr>
              <w:jc w:val="left"/>
              <w:rPr>
                <w:noProof/>
              </w:rPr>
            </w:pPr>
            <w:r w:rsidRPr="00885A02">
              <w:rPr>
                <w:noProof/>
              </w:rPr>
              <w:t xml:space="preserve">D’accord </w:t>
            </w:r>
          </w:p>
        </w:tc>
      </w:tr>
      <w:tr w:rsidR="00D36DA8" w:rsidRPr="00885A02" w14:paraId="742DCBD6" w14:textId="77777777" w:rsidTr="0071774D">
        <w:tc>
          <w:tcPr>
            <w:tcW w:w="1135" w:type="dxa"/>
          </w:tcPr>
          <w:p w14:paraId="2E4C919A" w14:textId="77777777" w:rsidR="00D36DA8" w:rsidRPr="00885A02" w:rsidRDefault="00D36DA8" w:rsidP="00D36DA8">
            <w:pPr>
              <w:pStyle w:val="ListParagraph"/>
              <w:numPr>
                <w:ilvl w:val="0"/>
                <w:numId w:val="9"/>
              </w:numPr>
              <w:jc w:val="left"/>
              <w:rPr>
                <w:noProof/>
              </w:rPr>
            </w:pPr>
          </w:p>
        </w:tc>
        <w:tc>
          <w:tcPr>
            <w:tcW w:w="3402" w:type="dxa"/>
          </w:tcPr>
          <w:p w14:paraId="4A7A970A" w14:textId="4E6DE48E" w:rsidR="0009559E" w:rsidRPr="00885A02" w:rsidRDefault="0009559E" w:rsidP="0071774D">
            <w:pPr>
              <w:jc w:val="left"/>
              <w:rPr>
                <w:noProof/>
              </w:rPr>
            </w:pPr>
            <w:r w:rsidRPr="00885A02">
              <w:rPr>
                <w:noProof/>
              </w:rPr>
              <w:t>RID-25015-CE-SWG19</w:t>
            </w:r>
          </w:p>
        </w:tc>
        <w:tc>
          <w:tcPr>
            <w:tcW w:w="2976" w:type="dxa"/>
          </w:tcPr>
          <w:p w14:paraId="443CD589" w14:textId="77777777" w:rsidR="00D36DA8" w:rsidRPr="00885A02" w:rsidRDefault="00BE2E65" w:rsidP="0071774D">
            <w:pPr>
              <w:jc w:val="left"/>
              <w:rPr>
                <w:noProof/>
                <w:color w:val="000000"/>
                <w:szCs w:val="24"/>
                <w:shd w:val="clear" w:color="auto" w:fill="FFFFFF"/>
              </w:rPr>
            </w:pPr>
            <w:r w:rsidRPr="00885A02">
              <w:rPr>
                <w:noProof/>
                <w:color w:val="000000"/>
                <w:shd w:val="clear" w:color="auto" w:fill="FFFFFF"/>
              </w:rPr>
              <w:t>Marquage WE</w:t>
            </w:r>
          </w:p>
          <w:p w14:paraId="3394CB28" w14:textId="6F49F2A3" w:rsidR="0066600F" w:rsidRPr="00885A02" w:rsidRDefault="0066600F" w:rsidP="004C7256">
            <w:pPr>
              <w:jc w:val="left"/>
              <w:rPr>
                <w:noProof/>
                <w:szCs w:val="24"/>
              </w:rPr>
            </w:pPr>
            <w:r w:rsidRPr="00885A02">
              <w:rPr>
                <w:noProof/>
                <w:color w:val="000000"/>
                <w:shd w:val="clear" w:color="auto" w:fill="FFFFFF"/>
              </w:rPr>
              <w:t>La proposition introduit une exigence relative au marquage des wagons, à savoir que le code alphanumérique de l’équipement du wagon soit inscrit sur les deux côtés du wagon.</w:t>
            </w:r>
          </w:p>
        </w:tc>
        <w:tc>
          <w:tcPr>
            <w:tcW w:w="1418" w:type="dxa"/>
          </w:tcPr>
          <w:p w14:paraId="6E429F63" w14:textId="77777777" w:rsidR="00D36DA8" w:rsidRPr="00885A02" w:rsidRDefault="00D36DA8" w:rsidP="0071774D">
            <w:pPr>
              <w:jc w:val="left"/>
              <w:rPr>
                <w:noProof/>
              </w:rPr>
            </w:pPr>
            <w:r w:rsidRPr="00885A02">
              <w:rPr>
                <w:noProof/>
              </w:rPr>
              <w:t>Consensus technique au sein du groupe de travail permanent de l’OTIF pour l’adoption du texte tel que modifié</w:t>
            </w:r>
          </w:p>
        </w:tc>
        <w:tc>
          <w:tcPr>
            <w:tcW w:w="1701" w:type="dxa"/>
          </w:tcPr>
          <w:p w14:paraId="0CE97B59" w14:textId="77777777" w:rsidR="00D36DA8" w:rsidRPr="00885A02" w:rsidRDefault="00D36DA8" w:rsidP="0071774D">
            <w:pPr>
              <w:jc w:val="left"/>
              <w:rPr>
                <w:noProof/>
              </w:rPr>
            </w:pPr>
            <w:r w:rsidRPr="00885A02">
              <w:rPr>
                <w:noProof/>
              </w:rPr>
              <w:t xml:space="preserve">D’accord </w:t>
            </w:r>
          </w:p>
        </w:tc>
      </w:tr>
      <w:tr w:rsidR="00D36DA8" w:rsidRPr="00885A02" w14:paraId="64BF41EB" w14:textId="77777777" w:rsidTr="0071774D">
        <w:tc>
          <w:tcPr>
            <w:tcW w:w="1135" w:type="dxa"/>
          </w:tcPr>
          <w:p w14:paraId="5085E324" w14:textId="77777777" w:rsidR="00D36DA8" w:rsidRPr="00885A02" w:rsidRDefault="00D36DA8" w:rsidP="00D36DA8">
            <w:pPr>
              <w:pStyle w:val="ListParagraph"/>
              <w:numPr>
                <w:ilvl w:val="0"/>
                <w:numId w:val="9"/>
              </w:numPr>
              <w:jc w:val="left"/>
              <w:rPr>
                <w:noProof/>
              </w:rPr>
            </w:pPr>
          </w:p>
        </w:tc>
        <w:tc>
          <w:tcPr>
            <w:tcW w:w="3402" w:type="dxa"/>
          </w:tcPr>
          <w:p w14:paraId="3B67C069" w14:textId="2F54CB10" w:rsidR="00D36DA8" w:rsidRPr="00885A02" w:rsidRDefault="0009559E" w:rsidP="0071774D">
            <w:pPr>
              <w:jc w:val="left"/>
              <w:rPr>
                <w:noProof/>
              </w:rPr>
            </w:pPr>
            <w:r w:rsidRPr="00885A02">
              <w:rPr>
                <w:noProof/>
              </w:rPr>
              <w:t>RID-25018-CE-SWG19</w:t>
            </w:r>
          </w:p>
        </w:tc>
        <w:tc>
          <w:tcPr>
            <w:tcW w:w="2976" w:type="dxa"/>
          </w:tcPr>
          <w:p w14:paraId="2D1F964B" w14:textId="7BA97F30" w:rsidR="00D36DA8" w:rsidRPr="00885A02" w:rsidRDefault="00BE2E65" w:rsidP="0071774D">
            <w:pPr>
              <w:jc w:val="left"/>
              <w:rPr>
                <w:noProof/>
                <w:szCs w:val="24"/>
              </w:rPr>
            </w:pPr>
            <w:r w:rsidRPr="00885A02">
              <w:rPr>
                <w:noProof/>
                <w:color w:val="000000"/>
                <w:shd w:val="clear" w:color="auto" w:fill="FFFFFF"/>
              </w:rPr>
              <w:t>Adaptation nécessaire des modifications adoptées lors de la 16</w:t>
            </w:r>
            <w:r w:rsidRPr="00885A02">
              <w:rPr>
                <w:noProof/>
                <w:color w:val="000000"/>
                <w:shd w:val="clear" w:color="auto" w:fill="FFFFFF"/>
                <w:vertAlign w:val="superscript"/>
              </w:rPr>
              <w:t>e</w:t>
            </w:r>
            <w:r w:rsidRPr="00885A02">
              <w:rPr>
                <w:noProof/>
                <w:color w:val="000000"/>
                <w:shd w:val="clear" w:color="auto" w:fill="FFFFFF"/>
              </w:rPr>
              <w:t xml:space="preserve"> session du groupe de travail permanent de la Commission d’experts du RID (Londres, 20-23 novembre 2023) en ce qui concerne la migration des dispositions techniques relatives aux wagons du RID vers les prescriptions techniques uniformes (PTU)/spécifications techniques d’interopérabilité (STI)</w:t>
            </w:r>
          </w:p>
        </w:tc>
        <w:tc>
          <w:tcPr>
            <w:tcW w:w="1418" w:type="dxa"/>
          </w:tcPr>
          <w:p w14:paraId="2FD586DA" w14:textId="77777777" w:rsidR="00D36DA8" w:rsidRPr="00885A02" w:rsidRDefault="00D36DA8" w:rsidP="0071774D">
            <w:pPr>
              <w:jc w:val="left"/>
              <w:rPr>
                <w:noProof/>
              </w:rPr>
            </w:pPr>
            <w:r w:rsidRPr="00885A02">
              <w:rPr>
                <w:noProof/>
              </w:rPr>
              <w:t>Consensus technique au sein du groupe de travail permanent de l’OTIF pour l’adoption du texte tel que modifié</w:t>
            </w:r>
          </w:p>
        </w:tc>
        <w:tc>
          <w:tcPr>
            <w:tcW w:w="1701" w:type="dxa"/>
          </w:tcPr>
          <w:p w14:paraId="2DA3173D" w14:textId="77777777" w:rsidR="00D36DA8" w:rsidRPr="00885A02" w:rsidRDefault="00D36DA8" w:rsidP="0071774D">
            <w:pPr>
              <w:jc w:val="left"/>
              <w:rPr>
                <w:noProof/>
              </w:rPr>
            </w:pPr>
            <w:r w:rsidRPr="00885A02">
              <w:rPr>
                <w:noProof/>
              </w:rPr>
              <w:t xml:space="preserve">D’accord </w:t>
            </w:r>
          </w:p>
        </w:tc>
      </w:tr>
      <w:tr w:rsidR="00D36DA8" w:rsidRPr="00885A02" w14:paraId="46DCE4DD" w14:textId="77777777" w:rsidTr="0071774D">
        <w:tc>
          <w:tcPr>
            <w:tcW w:w="1135" w:type="dxa"/>
          </w:tcPr>
          <w:p w14:paraId="1AE3198A" w14:textId="77777777" w:rsidR="00D36DA8" w:rsidRPr="00885A02" w:rsidRDefault="00D36DA8" w:rsidP="00D36DA8">
            <w:pPr>
              <w:pStyle w:val="ListParagraph"/>
              <w:numPr>
                <w:ilvl w:val="0"/>
                <w:numId w:val="9"/>
              </w:numPr>
              <w:jc w:val="left"/>
              <w:rPr>
                <w:noProof/>
              </w:rPr>
            </w:pPr>
          </w:p>
        </w:tc>
        <w:tc>
          <w:tcPr>
            <w:tcW w:w="3402" w:type="dxa"/>
          </w:tcPr>
          <w:p w14:paraId="15577710" w14:textId="04ACABB2" w:rsidR="00D36DA8" w:rsidRPr="00885A02" w:rsidRDefault="0009559E" w:rsidP="0071774D">
            <w:pPr>
              <w:jc w:val="left"/>
              <w:rPr>
                <w:noProof/>
              </w:rPr>
            </w:pPr>
            <w:r w:rsidRPr="00885A02">
              <w:rPr>
                <w:noProof/>
              </w:rPr>
              <w:t>RID-25021-CE-SWG19</w:t>
            </w:r>
          </w:p>
        </w:tc>
        <w:tc>
          <w:tcPr>
            <w:tcW w:w="2976" w:type="dxa"/>
          </w:tcPr>
          <w:p w14:paraId="3A893786" w14:textId="77777777" w:rsidR="00D36DA8" w:rsidRPr="00885A02" w:rsidRDefault="00BE2E65" w:rsidP="0071774D">
            <w:pPr>
              <w:jc w:val="left"/>
              <w:rPr>
                <w:noProof/>
                <w:color w:val="000000"/>
                <w:szCs w:val="24"/>
                <w:shd w:val="clear" w:color="auto" w:fill="FFFFFF"/>
              </w:rPr>
            </w:pPr>
            <w:r w:rsidRPr="00885A02">
              <w:rPr>
                <w:noProof/>
                <w:color w:val="000000"/>
                <w:shd w:val="clear" w:color="auto" w:fill="FFFFFF"/>
              </w:rPr>
              <w:t>Utilisation du terme «véhicule» dans le RID</w:t>
            </w:r>
          </w:p>
          <w:p w14:paraId="4A1C54B4" w14:textId="5359D464" w:rsidR="003E7E3D" w:rsidRPr="00885A02" w:rsidRDefault="00304705" w:rsidP="0071774D">
            <w:pPr>
              <w:jc w:val="left"/>
              <w:rPr>
                <w:noProof/>
              </w:rPr>
            </w:pPr>
            <w:r w:rsidRPr="00885A02">
              <w:rPr>
                <w:noProof/>
                <w:color w:val="000000"/>
                <w:shd w:val="clear" w:color="auto" w:fill="FFFFFF"/>
              </w:rPr>
              <w:t>Le document propose de remplacer le terme «véhicule» dans le RID par les termes «véhicule routier» ou «véhicule ferroviaire», selon le cas.</w:t>
            </w:r>
          </w:p>
        </w:tc>
        <w:tc>
          <w:tcPr>
            <w:tcW w:w="1418" w:type="dxa"/>
          </w:tcPr>
          <w:p w14:paraId="3BEA4DDD" w14:textId="77777777" w:rsidR="00D36DA8" w:rsidRPr="00885A02" w:rsidRDefault="00D36DA8" w:rsidP="0071774D">
            <w:pPr>
              <w:jc w:val="left"/>
              <w:rPr>
                <w:noProof/>
              </w:rPr>
            </w:pPr>
            <w:r w:rsidRPr="00885A02">
              <w:rPr>
                <w:noProof/>
              </w:rPr>
              <w:t>Consensus technique au sein du groupe de travail permanent de l’OTIF pour l’adoption du texte tel que modifié</w:t>
            </w:r>
          </w:p>
        </w:tc>
        <w:tc>
          <w:tcPr>
            <w:tcW w:w="1701" w:type="dxa"/>
          </w:tcPr>
          <w:p w14:paraId="26B9F446" w14:textId="77777777" w:rsidR="00D36DA8" w:rsidRPr="00885A02" w:rsidRDefault="00D36DA8" w:rsidP="0071774D">
            <w:pPr>
              <w:jc w:val="left"/>
              <w:rPr>
                <w:noProof/>
              </w:rPr>
            </w:pPr>
            <w:r w:rsidRPr="00885A02">
              <w:rPr>
                <w:noProof/>
              </w:rPr>
              <w:t xml:space="preserve">D’accord </w:t>
            </w:r>
          </w:p>
        </w:tc>
      </w:tr>
      <w:tr w:rsidR="00A642CC" w:rsidRPr="00885A02" w14:paraId="28171FF8" w14:textId="77777777" w:rsidTr="00AF3E49">
        <w:tc>
          <w:tcPr>
            <w:tcW w:w="1135" w:type="dxa"/>
            <w:tcBorders>
              <w:top w:val="single" w:sz="4" w:space="0" w:color="auto"/>
              <w:left w:val="single" w:sz="4" w:space="0" w:color="auto"/>
              <w:bottom w:val="single" w:sz="4" w:space="0" w:color="auto"/>
              <w:right w:val="single" w:sz="4" w:space="0" w:color="auto"/>
            </w:tcBorders>
          </w:tcPr>
          <w:p w14:paraId="1C9EDEC8" w14:textId="77777777" w:rsidR="002E4BBF" w:rsidRPr="00885A02" w:rsidRDefault="002E4BBF" w:rsidP="00D36DA8">
            <w:pPr>
              <w:pStyle w:val="ListParagraph"/>
              <w:numPr>
                <w:ilvl w:val="0"/>
                <w:numId w:val="9"/>
              </w:numPr>
              <w:jc w:val="left"/>
              <w:rPr>
                <w:noProof/>
              </w:rPr>
            </w:pPr>
          </w:p>
        </w:tc>
        <w:tc>
          <w:tcPr>
            <w:tcW w:w="3402" w:type="dxa"/>
            <w:tcBorders>
              <w:top w:val="single" w:sz="4" w:space="0" w:color="auto"/>
              <w:left w:val="single" w:sz="4" w:space="0" w:color="auto"/>
              <w:bottom w:val="single" w:sz="4" w:space="0" w:color="auto"/>
              <w:right w:val="single" w:sz="4" w:space="0" w:color="auto"/>
            </w:tcBorders>
          </w:tcPr>
          <w:p w14:paraId="3557C188" w14:textId="73C434E1" w:rsidR="002E4BBF" w:rsidRPr="00885A02" w:rsidRDefault="0009559E" w:rsidP="0071774D">
            <w:pPr>
              <w:jc w:val="left"/>
              <w:rPr>
                <w:noProof/>
              </w:rPr>
            </w:pPr>
            <w:r w:rsidRPr="00885A02">
              <w:rPr>
                <w:noProof/>
              </w:rPr>
              <w:t>RID-25027-CE-SWG19</w:t>
            </w:r>
          </w:p>
        </w:tc>
        <w:tc>
          <w:tcPr>
            <w:tcW w:w="2976" w:type="dxa"/>
            <w:tcBorders>
              <w:top w:val="single" w:sz="4" w:space="0" w:color="auto"/>
              <w:left w:val="single" w:sz="4" w:space="0" w:color="auto"/>
              <w:bottom w:val="single" w:sz="4" w:space="0" w:color="auto"/>
              <w:right w:val="single" w:sz="4" w:space="0" w:color="auto"/>
            </w:tcBorders>
          </w:tcPr>
          <w:p w14:paraId="603D66BF" w14:textId="77777777" w:rsidR="002E4BBF" w:rsidRPr="00885A02" w:rsidRDefault="00BE2E65" w:rsidP="0071774D">
            <w:pPr>
              <w:jc w:val="left"/>
              <w:rPr>
                <w:noProof/>
                <w:color w:val="000000"/>
                <w:szCs w:val="24"/>
                <w:shd w:val="clear" w:color="auto" w:fill="FFFFFF"/>
              </w:rPr>
            </w:pPr>
            <w:r w:rsidRPr="00885A02">
              <w:rPr>
                <w:noProof/>
                <w:color w:val="000000"/>
                <w:shd w:val="clear" w:color="auto" w:fill="FFFFFF"/>
              </w:rPr>
              <w:t>Pare-étincelles</w:t>
            </w:r>
          </w:p>
          <w:p w14:paraId="0D293343" w14:textId="046D7407" w:rsidR="00304705" w:rsidRPr="00885A02" w:rsidRDefault="00674747" w:rsidP="00674747">
            <w:pPr>
              <w:jc w:val="left"/>
              <w:rPr>
                <w:noProof/>
                <w:szCs w:val="24"/>
              </w:rPr>
            </w:pPr>
            <w:r w:rsidRPr="00885A02">
              <w:rPr>
                <w:noProof/>
              </w:rPr>
              <w:t>L’objectif de cette proposition est de veiller à ce que les dispositions de sécurité du RID concernant l’utilisation des pare-étincelles soient conformes à la spécification technique d’interopérabilité – STI «Wagons».</w:t>
            </w:r>
          </w:p>
        </w:tc>
        <w:tc>
          <w:tcPr>
            <w:tcW w:w="1418" w:type="dxa"/>
            <w:tcBorders>
              <w:top w:val="single" w:sz="4" w:space="0" w:color="auto"/>
              <w:left w:val="single" w:sz="4" w:space="0" w:color="auto"/>
              <w:bottom w:val="single" w:sz="4" w:space="0" w:color="auto"/>
              <w:right w:val="single" w:sz="4" w:space="0" w:color="auto"/>
            </w:tcBorders>
          </w:tcPr>
          <w:p w14:paraId="00A0583B" w14:textId="77777777" w:rsidR="002E4BBF" w:rsidRPr="00885A02" w:rsidRDefault="002E4BBF" w:rsidP="0071774D">
            <w:pPr>
              <w:jc w:val="left"/>
              <w:rPr>
                <w:noProof/>
              </w:rPr>
            </w:pPr>
            <w:r w:rsidRPr="00885A02">
              <w:rPr>
                <w:noProof/>
              </w:rPr>
              <w:t>Consensus technique au sein du groupe de travail permanent de l’OTIF pour l’adoption du texte tel que modifié</w:t>
            </w:r>
          </w:p>
        </w:tc>
        <w:tc>
          <w:tcPr>
            <w:tcW w:w="1701" w:type="dxa"/>
            <w:tcBorders>
              <w:top w:val="single" w:sz="4" w:space="0" w:color="auto"/>
              <w:left w:val="single" w:sz="4" w:space="0" w:color="auto"/>
              <w:bottom w:val="single" w:sz="4" w:space="0" w:color="auto"/>
              <w:right w:val="single" w:sz="4" w:space="0" w:color="auto"/>
            </w:tcBorders>
          </w:tcPr>
          <w:p w14:paraId="22656D19" w14:textId="4D14B1ED" w:rsidR="002E4BBF" w:rsidRPr="00885A02" w:rsidRDefault="002E4BBF" w:rsidP="00396C59">
            <w:pPr>
              <w:jc w:val="left"/>
              <w:rPr>
                <w:noProof/>
              </w:rPr>
            </w:pPr>
            <w:r w:rsidRPr="00885A02">
              <w:rPr>
                <w:noProof/>
              </w:rPr>
              <w:t xml:space="preserve">D’accord </w:t>
            </w:r>
          </w:p>
        </w:tc>
      </w:tr>
      <w:tr w:rsidR="00A642CC" w:rsidRPr="00885A02" w14:paraId="0A220758" w14:textId="77777777" w:rsidTr="00AF3E49">
        <w:tc>
          <w:tcPr>
            <w:tcW w:w="1135" w:type="dxa"/>
          </w:tcPr>
          <w:p w14:paraId="4465FF2C" w14:textId="77777777" w:rsidR="002E4BBF" w:rsidRPr="00885A02" w:rsidRDefault="002E4BBF" w:rsidP="00D36DA8">
            <w:pPr>
              <w:pStyle w:val="ListParagraph"/>
              <w:numPr>
                <w:ilvl w:val="0"/>
                <w:numId w:val="9"/>
              </w:numPr>
              <w:jc w:val="left"/>
              <w:rPr>
                <w:noProof/>
              </w:rPr>
            </w:pPr>
          </w:p>
        </w:tc>
        <w:tc>
          <w:tcPr>
            <w:tcW w:w="3402" w:type="dxa"/>
          </w:tcPr>
          <w:p w14:paraId="17FB1653" w14:textId="748237CE" w:rsidR="002E4BBF" w:rsidRPr="00885A02" w:rsidRDefault="0009559E" w:rsidP="0071774D">
            <w:pPr>
              <w:jc w:val="left"/>
              <w:rPr>
                <w:noProof/>
              </w:rPr>
            </w:pPr>
            <w:r w:rsidRPr="00885A02">
              <w:rPr>
                <w:noProof/>
              </w:rPr>
              <w:t>RID-25039-CE-SWG19</w:t>
            </w:r>
          </w:p>
        </w:tc>
        <w:tc>
          <w:tcPr>
            <w:tcW w:w="2976" w:type="dxa"/>
          </w:tcPr>
          <w:p w14:paraId="169431BE" w14:textId="2D4FD7F5" w:rsidR="002E4BBF" w:rsidRPr="00885A02" w:rsidRDefault="00BE2E65" w:rsidP="0071774D">
            <w:pPr>
              <w:jc w:val="left"/>
              <w:rPr>
                <w:b/>
                <w:noProof/>
                <w:szCs w:val="24"/>
              </w:rPr>
            </w:pPr>
            <w:r w:rsidRPr="00885A02">
              <w:rPr>
                <w:noProof/>
                <w:color w:val="000000"/>
                <w:shd w:val="clear" w:color="auto" w:fill="FFFFFF"/>
              </w:rPr>
              <w:t>Textes consolidés adoptés lors de la réunion conjointe RID/ADR/ADN en 2024 et 2025 et par le groupe de travail permanent de la Commission d’experts du RID en 2023 et 2024</w:t>
            </w:r>
          </w:p>
        </w:tc>
        <w:tc>
          <w:tcPr>
            <w:tcW w:w="1418" w:type="dxa"/>
          </w:tcPr>
          <w:p w14:paraId="4E44F35B" w14:textId="2DFAB5A7" w:rsidR="002E4BBF" w:rsidRPr="00885A02" w:rsidRDefault="00AF3E49" w:rsidP="0071774D">
            <w:pPr>
              <w:jc w:val="left"/>
              <w:rPr>
                <w:noProof/>
              </w:rPr>
            </w:pPr>
            <w:r w:rsidRPr="00885A02">
              <w:rPr>
                <w:noProof/>
              </w:rPr>
              <w:t>Consensus technique au sein du groupe de travail permanent de l’OTIF pour l’adoption du texte tel que modifié</w:t>
            </w:r>
          </w:p>
        </w:tc>
        <w:tc>
          <w:tcPr>
            <w:tcW w:w="1701" w:type="dxa"/>
          </w:tcPr>
          <w:p w14:paraId="4638BFC7" w14:textId="523D19AD" w:rsidR="002E4BBF" w:rsidRPr="00885A02" w:rsidRDefault="002E4BBF" w:rsidP="00396C59">
            <w:pPr>
              <w:jc w:val="left"/>
              <w:rPr>
                <w:noProof/>
              </w:rPr>
            </w:pPr>
            <w:r w:rsidRPr="00885A02">
              <w:rPr>
                <w:noProof/>
              </w:rPr>
              <w:t xml:space="preserve">D’accord </w:t>
            </w:r>
          </w:p>
        </w:tc>
      </w:tr>
      <w:tr w:rsidR="00A642CC" w:rsidRPr="00885A02" w14:paraId="5691AD71" w14:textId="77777777" w:rsidTr="00AF3E49">
        <w:tc>
          <w:tcPr>
            <w:tcW w:w="1135" w:type="dxa"/>
          </w:tcPr>
          <w:p w14:paraId="140D76BF" w14:textId="77777777" w:rsidR="002E4BBF" w:rsidRPr="00885A02" w:rsidRDefault="002E4BBF" w:rsidP="00D36DA8">
            <w:pPr>
              <w:pStyle w:val="ListParagraph"/>
              <w:numPr>
                <w:ilvl w:val="0"/>
                <w:numId w:val="9"/>
              </w:numPr>
              <w:rPr>
                <w:noProof/>
              </w:rPr>
            </w:pPr>
          </w:p>
        </w:tc>
        <w:tc>
          <w:tcPr>
            <w:tcW w:w="3402" w:type="dxa"/>
          </w:tcPr>
          <w:p w14:paraId="639145D7" w14:textId="326B8BC4" w:rsidR="002E4BBF" w:rsidRPr="00885A02" w:rsidRDefault="0009559E" w:rsidP="0071774D">
            <w:pPr>
              <w:rPr>
                <w:noProof/>
              </w:rPr>
            </w:pPr>
            <w:r w:rsidRPr="00885A02">
              <w:rPr>
                <w:noProof/>
              </w:rPr>
              <w:t>RID-25041-CE-SWG19</w:t>
            </w:r>
          </w:p>
        </w:tc>
        <w:tc>
          <w:tcPr>
            <w:tcW w:w="2976" w:type="dxa"/>
          </w:tcPr>
          <w:p w14:paraId="57313BBF" w14:textId="7102BEC5" w:rsidR="002E4BBF" w:rsidRPr="00885A02" w:rsidRDefault="00BE2E65" w:rsidP="0071774D">
            <w:pPr>
              <w:jc w:val="left"/>
              <w:rPr>
                <w:noProof/>
              </w:rPr>
            </w:pPr>
            <w:r w:rsidRPr="00885A02">
              <w:rPr>
                <w:noProof/>
              </w:rPr>
              <w:t>Modifications de la nomenclature harmonisée des marchandises – Codes NHM dans le paragraphe 3.2.2 du RID</w:t>
            </w:r>
          </w:p>
        </w:tc>
        <w:tc>
          <w:tcPr>
            <w:tcW w:w="1418" w:type="dxa"/>
          </w:tcPr>
          <w:p w14:paraId="16CDE4C8" w14:textId="77777777" w:rsidR="002E4BBF" w:rsidRPr="00885A02" w:rsidRDefault="002E4BBF" w:rsidP="0071774D">
            <w:pPr>
              <w:jc w:val="left"/>
              <w:rPr>
                <w:noProof/>
              </w:rPr>
            </w:pPr>
            <w:r w:rsidRPr="00885A02">
              <w:rPr>
                <w:noProof/>
              </w:rPr>
              <w:t xml:space="preserve">Consensus technique au sein du groupe de travail permanent de l’OTIF pour l’adoption du texte tel que modifié </w:t>
            </w:r>
          </w:p>
        </w:tc>
        <w:tc>
          <w:tcPr>
            <w:tcW w:w="1701" w:type="dxa"/>
          </w:tcPr>
          <w:p w14:paraId="73CE90B0" w14:textId="0E98BA68" w:rsidR="002E4BBF" w:rsidRPr="00885A02" w:rsidRDefault="002E4BBF" w:rsidP="00396C59">
            <w:pPr>
              <w:jc w:val="left"/>
              <w:rPr>
                <w:noProof/>
              </w:rPr>
            </w:pPr>
            <w:r w:rsidRPr="00885A02">
              <w:rPr>
                <w:noProof/>
              </w:rPr>
              <w:t xml:space="preserve">D’accord </w:t>
            </w:r>
          </w:p>
        </w:tc>
      </w:tr>
      <w:tr w:rsidR="00F06A1B" w:rsidRPr="00885A02" w14:paraId="688DABE0" w14:textId="77777777" w:rsidTr="00AF3E49">
        <w:tc>
          <w:tcPr>
            <w:tcW w:w="1135" w:type="dxa"/>
          </w:tcPr>
          <w:p w14:paraId="444DC5C5" w14:textId="77777777" w:rsidR="00F06A1B" w:rsidRPr="00885A02" w:rsidRDefault="00F06A1B" w:rsidP="00D36DA8">
            <w:pPr>
              <w:pStyle w:val="ListParagraph"/>
              <w:numPr>
                <w:ilvl w:val="0"/>
                <w:numId w:val="9"/>
              </w:numPr>
              <w:jc w:val="left"/>
              <w:rPr>
                <w:noProof/>
              </w:rPr>
            </w:pPr>
          </w:p>
        </w:tc>
        <w:tc>
          <w:tcPr>
            <w:tcW w:w="3402" w:type="dxa"/>
          </w:tcPr>
          <w:p w14:paraId="76A8DD98" w14:textId="6731BC27" w:rsidR="00F06A1B" w:rsidRPr="00885A02" w:rsidRDefault="0009559E" w:rsidP="00D36DA8">
            <w:pPr>
              <w:rPr>
                <w:noProof/>
              </w:rPr>
            </w:pPr>
            <w:r w:rsidRPr="00885A02">
              <w:rPr>
                <w:noProof/>
              </w:rPr>
              <w:t>RID-25046-CE-SWG19</w:t>
            </w:r>
          </w:p>
        </w:tc>
        <w:tc>
          <w:tcPr>
            <w:tcW w:w="2976" w:type="dxa"/>
          </w:tcPr>
          <w:p w14:paraId="474A17EA" w14:textId="16ECDC04" w:rsidR="0011445F" w:rsidRPr="00885A02" w:rsidRDefault="00BE2E65" w:rsidP="00EF0E43">
            <w:pPr>
              <w:jc w:val="left"/>
              <w:rPr>
                <w:noProof/>
              </w:rPr>
            </w:pPr>
            <w:r w:rsidRPr="00885A02">
              <w:rPr>
                <w:noProof/>
              </w:rPr>
              <w:t>Proposition alternative à RID-25018-CE-SWG19</w:t>
            </w:r>
          </w:p>
        </w:tc>
        <w:tc>
          <w:tcPr>
            <w:tcW w:w="1418" w:type="dxa"/>
          </w:tcPr>
          <w:p w14:paraId="0084440E" w14:textId="77777777" w:rsidR="00F06A1B" w:rsidRPr="00885A02" w:rsidRDefault="00F06A1B" w:rsidP="007F3163">
            <w:pPr>
              <w:jc w:val="left"/>
              <w:rPr>
                <w:noProof/>
              </w:rPr>
            </w:pPr>
            <w:r w:rsidRPr="00885A02">
              <w:rPr>
                <w:noProof/>
              </w:rPr>
              <w:t>Consensus technique au sein du groupe de travail permanent de l’OTIF pour l’adoption du texte tel que modifié</w:t>
            </w:r>
          </w:p>
        </w:tc>
        <w:tc>
          <w:tcPr>
            <w:tcW w:w="1701" w:type="dxa"/>
          </w:tcPr>
          <w:p w14:paraId="6D336A9B" w14:textId="43DBE766" w:rsidR="00F06A1B" w:rsidRPr="00885A02" w:rsidRDefault="00F06A1B" w:rsidP="00396C59">
            <w:pPr>
              <w:jc w:val="left"/>
              <w:rPr>
                <w:noProof/>
              </w:rPr>
            </w:pPr>
            <w:r w:rsidRPr="00885A02">
              <w:rPr>
                <w:noProof/>
              </w:rPr>
              <w:t xml:space="preserve">D’accord </w:t>
            </w:r>
          </w:p>
        </w:tc>
      </w:tr>
    </w:tbl>
    <w:p w14:paraId="615F30ED" w14:textId="77777777" w:rsidR="00E70FBF" w:rsidRPr="00885A02" w:rsidRDefault="00E70FBF" w:rsidP="00357CEB">
      <w:pPr>
        <w:rPr>
          <w:noProof/>
        </w:rPr>
      </w:pPr>
    </w:p>
    <w:p w14:paraId="7A792FC5" w14:textId="461A0F96" w:rsidR="00D50B93" w:rsidRPr="00885A02" w:rsidRDefault="00396C59" w:rsidP="00D50B93">
      <w:pPr>
        <w:rPr>
          <w:bCs/>
          <w:noProof/>
          <w:szCs w:val="24"/>
        </w:rPr>
      </w:pPr>
      <w:r w:rsidRPr="00885A02">
        <w:rPr>
          <w:noProof/>
        </w:rPr>
        <w:t>Tous les documents précités sont disponibles sur le site internet de l’OTIF (</w:t>
      </w:r>
      <w:hyperlink r:id="rId15" w:history="1">
        <w:r w:rsidRPr="00885A02">
          <w:rPr>
            <w:rStyle w:val="Hyperlink"/>
            <w:noProof/>
          </w:rPr>
          <w:t>https://otif.org/en/?page_id=264</w:t>
        </w:r>
      </w:hyperlink>
      <w:r w:rsidRPr="00885A02">
        <w:rPr>
          <w:noProof/>
        </w:rPr>
        <w:t xml:space="preserve"> et </w:t>
      </w:r>
      <w:hyperlink r:id="rId16" w:history="1">
        <w:r w:rsidRPr="00885A02">
          <w:rPr>
            <w:rStyle w:val="Hyperlink"/>
            <w:noProof/>
          </w:rPr>
          <w:t>https://otif.org/en/?page_id=274</w:t>
        </w:r>
      </w:hyperlink>
      <w:r w:rsidRPr="00885A02">
        <w:rPr>
          <w:noProof/>
        </w:rPr>
        <w:t>) et sont à interpréter comme incluant les modifications débattues par le groupe de travail permanent de la Commission d’experts du RID en novembre 2025 et reflétées à l’annexe I du document RID-26004-CE-SWG19 (Rapport final de la 19</w:t>
      </w:r>
      <w:r w:rsidRPr="00885A02">
        <w:rPr>
          <w:noProof/>
          <w:vertAlign w:val="superscript"/>
        </w:rPr>
        <w:t>e</w:t>
      </w:r>
      <w:r w:rsidRPr="00885A02">
        <w:rPr>
          <w:noProof/>
        </w:rPr>
        <w:t xml:space="preserve"> session du groupe de travail permanent de la Commission d’experts du RID – Luxembourg, du 18 au 21 novembre 2025), </w:t>
      </w:r>
      <w:r w:rsidRPr="00885A02">
        <w:rPr>
          <w:rStyle w:val="Strong"/>
          <w:b w:val="0"/>
          <w:noProof/>
        </w:rPr>
        <w:t>également disponible sur le site internet de l’OTIF</w:t>
      </w:r>
      <w:r w:rsidRPr="00885A02">
        <w:rPr>
          <w:noProof/>
        </w:rPr>
        <w:t xml:space="preserve"> (</w:t>
      </w:r>
      <w:hyperlink r:id="rId17" w:history="1">
        <w:r w:rsidRPr="00885A02">
          <w:rPr>
            <w:rStyle w:val="Hyperlink"/>
            <w:noProof/>
          </w:rPr>
          <w:t>https://otif.org/en/?page_id=17770</w:t>
        </w:r>
      </w:hyperlink>
      <w:r w:rsidRPr="00885A02">
        <w:rPr>
          <w:noProof/>
        </w:rPr>
        <w:t>).</w:t>
      </w:r>
    </w:p>
    <w:p w14:paraId="7BA27202" w14:textId="77777777" w:rsidR="00D50B93" w:rsidRPr="000C28F4" w:rsidRDefault="00D50B93" w:rsidP="00357CEB">
      <w:pPr>
        <w:rPr>
          <w:bCs/>
          <w:noProof/>
          <w:szCs w:val="24"/>
        </w:rPr>
      </w:pPr>
    </w:p>
    <w:sectPr w:rsidR="00D50B93" w:rsidRPr="000C28F4" w:rsidSect="001D2410">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1717D" w14:textId="77777777" w:rsidR="00BD3C4C" w:rsidRPr="00885A02" w:rsidRDefault="00BD3C4C" w:rsidP="00E67F79">
      <w:pPr>
        <w:spacing w:before="0" w:after="0"/>
      </w:pPr>
      <w:r w:rsidRPr="00885A02">
        <w:separator/>
      </w:r>
    </w:p>
  </w:endnote>
  <w:endnote w:type="continuationSeparator" w:id="0">
    <w:p w14:paraId="455E7AE7" w14:textId="77777777" w:rsidR="00BD3C4C" w:rsidRPr="00885A02" w:rsidRDefault="00BD3C4C" w:rsidP="00E67F79">
      <w:pPr>
        <w:spacing w:before="0" w:after="0"/>
      </w:pPr>
      <w:r w:rsidRPr="00885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114B7" w14:textId="5C590DEA" w:rsidR="001D2410" w:rsidRPr="001D2410" w:rsidRDefault="001D2410" w:rsidP="001D2410">
    <w:pPr>
      <w:pStyle w:val="Footer"/>
      <w:rPr>
        <w:rFonts w:ascii="Arial" w:hAnsi="Arial" w:cs="Arial"/>
        <w:b/>
        <w:sz w:val="48"/>
      </w:rPr>
    </w:pPr>
    <w:r w:rsidRPr="001D2410">
      <w:rPr>
        <w:rFonts w:ascii="Arial" w:hAnsi="Arial" w:cs="Arial"/>
        <w:b/>
        <w:sz w:val="48"/>
      </w:rPr>
      <w:t>FR</w:t>
    </w:r>
    <w:r w:rsidRPr="001D2410">
      <w:rPr>
        <w:rFonts w:ascii="Arial" w:hAnsi="Arial" w:cs="Arial"/>
        <w:b/>
        <w:sz w:val="48"/>
      </w:rPr>
      <w:tab/>
    </w:r>
    <w:r w:rsidRPr="001D2410">
      <w:rPr>
        <w:rFonts w:ascii="Arial" w:hAnsi="Arial" w:cs="Arial"/>
        <w:b/>
        <w:sz w:val="48"/>
      </w:rPr>
      <w:tab/>
    </w:r>
    <w:r w:rsidRPr="001D2410">
      <w:tab/>
    </w:r>
    <w:r w:rsidRPr="001D241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AD5F6" w14:textId="0395875D" w:rsidR="001D2410" w:rsidRPr="001D2410" w:rsidRDefault="001D2410" w:rsidP="001D2410">
    <w:pPr>
      <w:pStyle w:val="Footer"/>
      <w:rPr>
        <w:rFonts w:ascii="Arial" w:hAnsi="Arial" w:cs="Arial"/>
        <w:b/>
        <w:sz w:val="48"/>
      </w:rPr>
    </w:pPr>
    <w:r w:rsidRPr="001D2410">
      <w:rPr>
        <w:rFonts w:ascii="Arial" w:hAnsi="Arial" w:cs="Arial"/>
        <w:b/>
        <w:sz w:val="48"/>
      </w:rPr>
      <w:t>FR</w:t>
    </w:r>
    <w:r w:rsidRPr="001D2410">
      <w:rPr>
        <w:rFonts w:ascii="Arial" w:hAnsi="Arial" w:cs="Arial"/>
        <w:b/>
        <w:sz w:val="48"/>
      </w:rPr>
      <w:tab/>
    </w:r>
    <w:r w:rsidRPr="001D2410">
      <w:rPr>
        <w:rFonts w:ascii="Arial" w:hAnsi="Arial" w:cs="Arial"/>
        <w:b/>
        <w:sz w:val="48"/>
      </w:rPr>
      <w:tab/>
    </w:r>
    <w:r w:rsidRPr="001D2410">
      <w:tab/>
    </w:r>
    <w:r w:rsidRPr="001D241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FEB88" w14:textId="77777777" w:rsidR="001D2410" w:rsidRPr="001D2410" w:rsidRDefault="001D2410" w:rsidP="001D24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A8557" w14:textId="77777777" w:rsidR="001D2410" w:rsidRDefault="001D24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E8C80" w14:textId="49CC8E5A" w:rsidR="001D2410" w:rsidRPr="001D2410" w:rsidRDefault="001D2410" w:rsidP="001D2410">
    <w:pPr>
      <w:pStyle w:val="Footer"/>
      <w:rPr>
        <w:rFonts w:ascii="Arial" w:hAnsi="Arial" w:cs="Arial"/>
        <w:b/>
        <w:sz w:val="48"/>
      </w:rPr>
    </w:pPr>
    <w:r w:rsidRPr="001D2410">
      <w:rPr>
        <w:rFonts w:ascii="Arial" w:hAnsi="Arial" w:cs="Arial"/>
        <w:b/>
        <w:sz w:val="48"/>
      </w:rPr>
      <w:t>FR</w:t>
    </w:r>
    <w:r w:rsidRPr="001D2410">
      <w:rPr>
        <w:rFonts w:ascii="Arial" w:hAnsi="Arial" w:cs="Arial"/>
        <w:b/>
        <w:sz w:val="48"/>
      </w:rPr>
      <w:tab/>
    </w:r>
    <w:r>
      <w:fldChar w:fldCharType="begin"/>
    </w:r>
    <w:r>
      <w:instrText xml:space="preserve"> PAGE  \* MERGEFORMAT </w:instrText>
    </w:r>
    <w:r>
      <w:fldChar w:fldCharType="separate"/>
    </w:r>
    <w:r w:rsidR="002437CD">
      <w:rPr>
        <w:noProof/>
      </w:rPr>
      <w:t>1</w:t>
    </w:r>
    <w:r>
      <w:fldChar w:fldCharType="end"/>
    </w:r>
    <w:r>
      <w:tab/>
    </w:r>
    <w:r w:rsidRPr="001D2410">
      <w:tab/>
    </w:r>
    <w:r w:rsidRPr="001D241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86EEA" w14:textId="77777777" w:rsidR="001D2410" w:rsidRDefault="001D2410" w:rsidP="001D2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32DEF" w14:textId="77777777" w:rsidR="00BD3C4C" w:rsidRPr="00885A02" w:rsidRDefault="00BD3C4C" w:rsidP="00E67F79">
      <w:pPr>
        <w:spacing w:before="0" w:after="0"/>
      </w:pPr>
      <w:r w:rsidRPr="00885A02">
        <w:separator/>
      </w:r>
    </w:p>
  </w:footnote>
  <w:footnote w:type="continuationSeparator" w:id="0">
    <w:p w14:paraId="24BDB36F" w14:textId="77777777" w:rsidR="00BD3C4C" w:rsidRPr="00885A02" w:rsidRDefault="00BD3C4C" w:rsidP="00E67F79">
      <w:pPr>
        <w:spacing w:before="0" w:after="0"/>
      </w:pPr>
      <w:r w:rsidRPr="00885A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97599" w14:textId="77777777" w:rsidR="001D2410" w:rsidRPr="001D2410" w:rsidRDefault="001D2410" w:rsidP="001D2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E9914" w14:textId="77777777" w:rsidR="001D2410" w:rsidRPr="001D2410" w:rsidRDefault="001D2410" w:rsidP="001D24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84723" w14:textId="77777777" w:rsidR="001D2410" w:rsidRPr="001D2410" w:rsidRDefault="001D2410" w:rsidP="001D24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3981A" w14:textId="77777777" w:rsidR="001D2410" w:rsidRDefault="001D24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9303F" w14:textId="77777777" w:rsidR="001D2410" w:rsidRDefault="001D2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1982C2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ED63E0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A7ABCD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BEEFE0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09AA6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AE41FC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98C920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56023A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1AD5420"/>
    <w:multiLevelType w:val="hybridMultilevel"/>
    <w:tmpl w:val="E34EB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 w:numId="25">
    <w:abstractNumId w:val="20"/>
  </w:num>
  <w:num w:numId="26">
    <w:abstractNumId w:val="13"/>
  </w:num>
  <w:num w:numId="27">
    <w:abstractNumId w:val="22"/>
  </w:num>
  <w:num w:numId="28">
    <w:abstractNumId w:val="11"/>
  </w:num>
  <w:num w:numId="29">
    <w:abstractNumId w:val="14"/>
  </w:num>
  <w:num w:numId="30">
    <w:abstractNumId w:val="15"/>
  </w:num>
  <w:num w:numId="31">
    <w:abstractNumId w:val="9"/>
  </w:num>
  <w:num w:numId="32">
    <w:abstractNumId w:val="21"/>
  </w:num>
  <w:num w:numId="33">
    <w:abstractNumId w:val="8"/>
  </w:num>
  <w:num w:numId="34">
    <w:abstractNumId w:val="16"/>
  </w:num>
  <w:num w:numId="35">
    <w:abstractNumId w:val="18"/>
  </w:num>
  <w:num w:numId="36">
    <w:abstractNumId w:val="19"/>
  </w:num>
  <w:num w:numId="37">
    <w:abstractNumId w:val="10"/>
  </w:num>
  <w:num w:numId="38">
    <w:abstractNumId w:val="17"/>
  </w:num>
  <w:num w:numId="3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activeWritingStyle w:appName="MSWord" w:lang="de-D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2-25 16:40: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6C5B9A15-BE06-4574-85BA-C7E885DB852D"/>
    <w:docVar w:name="LW_COVERPAGE_TYPE" w:val="1"/>
    <w:docVar w:name="LW_CROSSREFERENCE" w:val="&lt;UNUSED&gt;"/>
    <w:docVar w:name="LW_DocType" w:val="ANNEX"/>
    <w:docVar w:name="LW_EMISSION" w:val="26.2.2026"/>
    <w:docVar w:name="LW_EMISSION_ISODATE" w:val="2026-02-26"/>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la position à prendre, au nom de l\u8217?Union européenne, lors de la 59e session de la Commission d\u8217?experts du transport de marchandises dangereuses de l\u8217?Organisation intergouvernementale pour les transports internationaux ferroviaires en ce qui concerne certaines modifications apportées à l\u8217?appendice C de la convention relative aux transports internationaux ferroviaires"/>
    <w:docVar w:name="LW_OBJETACTEPRINCIPAL.CP" w:val="établissant la position à prendre, au nom de l\u8217?Union européenne, lors de la 59e session de la Commission d\u8217?experts du transport de marchandises dangereuses de l\u8217?Organisation intergouvernementale pour les transports internationaux ferroviaires en ce qui concerne certaines modifications apportées à l\u8217?appendice C de la convention relative aux transports internationaux ferroviaires"/>
    <w:docVar w:name="LW_PART_NBR" w:val="1"/>
    <w:docVar w:name="LW_PART_NBR_TOTAL" w:val="1"/>
    <w:docVar w:name="LW_REF.INST.NEW" w:val="COM"/>
    <w:docVar w:name="LW_REF.INST.NEW_ADOPTED" w:val="final"/>
    <w:docVar w:name="LW_REF.INST.NEW_TEXT" w:val="(2026)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E67F79"/>
    <w:rsid w:val="000051F4"/>
    <w:rsid w:val="00054BA7"/>
    <w:rsid w:val="00056693"/>
    <w:rsid w:val="0009559E"/>
    <w:rsid w:val="000B09EA"/>
    <w:rsid w:val="000C185F"/>
    <w:rsid w:val="000C28F4"/>
    <w:rsid w:val="000D5157"/>
    <w:rsid w:val="000D7FAE"/>
    <w:rsid w:val="000E198E"/>
    <w:rsid w:val="000E1E99"/>
    <w:rsid w:val="000E2B9D"/>
    <w:rsid w:val="0011222B"/>
    <w:rsid w:val="0011445F"/>
    <w:rsid w:val="00115034"/>
    <w:rsid w:val="0012211F"/>
    <w:rsid w:val="001319ED"/>
    <w:rsid w:val="001352B1"/>
    <w:rsid w:val="00162473"/>
    <w:rsid w:val="00162783"/>
    <w:rsid w:val="001B1680"/>
    <w:rsid w:val="001C2816"/>
    <w:rsid w:val="001C5B6A"/>
    <w:rsid w:val="001C6F6F"/>
    <w:rsid w:val="001D2410"/>
    <w:rsid w:val="001D6F25"/>
    <w:rsid w:val="00203A81"/>
    <w:rsid w:val="00206A93"/>
    <w:rsid w:val="0021418A"/>
    <w:rsid w:val="002437CD"/>
    <w:rsid w:val="002465B0"/>
    <w:rsid w:val="00285B4E"/>
    <w:rsid w:val="002A24AA"/>
    <w:rsid w:val="002A269D"/>
    <w:rsid w:val="002B0644"/>
    <w:rsid w:val="002D4767"/>
    <w:rsid w:val="002D62E2"/>
    <w:rsid w:val="002E4BBF"/>
    <w:rsid w:val="002F4716"/>
    <w:rsid w:val="002F7F74"/>
    <w:rsid w:val="00301337"/>
    <w:rsid w:val="00304705"/>
    <w:rsid w:val="00323481"/>
    <w:rsid w:val="00323823"/>
    <w:rsid w:val="00331090"/>
    <w:rsid w:val="00347FD8"/>
    <w:rsid w:val="00357CEB"/>
    <w:rsid w:val="00361918"/>
    <w:rsid w:val="00363610"/>
    <w:rsid w:val="00367B1E"/>
    <w:rsid w:val="00372D81"/>
    <w:rsid w:val="00390A71"/>
    <w:rsid w:val="00396C59"/>
    <w:rsid w:val="003A0434"/>
    <w:rsid w:val="003B06A3"/>
    <w:rsid w:val="003E7E3D"/>
    <w:rsid w:val="004001C5"/>
    <w:rsid w:val="00423945"/>
    <w:rsid w:val="004334B9"/>
    <w:rsid w:val="004641EC"/>
    <w:rsid w:val="004B2247"/>
    <w:rsid w:val="004B724E"/>
    <w:rsid w:val="004C7256"/>
    <w:rsid w:val="004C7A60"/>
    <w:rsid w:val="004D0869"/>
    <w:rsid w:val="004D12F3"/>
    <w:rsid w:val="004D4D73"/>
    <w:rsid w:val="004E1218"/>
    <w:rsid w:val="004E62DF"/>
    <w:rsid w:val="004F312C"/>
    <w:rsid w:val="004F6F12"/>
    <w:rsid w:val="00512A6C"/>
    <w:rsid w:val="005233A4"/>
    <w:rsid w:val="00532C10"/>
    <w:rsid w:val="005500EA"/>
    <w:rsid w:val="005656AE"/>
    <w:rsid w:val="00583FF5"/>
    <w:rsid w:val="0058631D"/>
    <w:rsid w:val="005A0BB7"/>
    <w:rsid w:val="005C3495"/>
    <w:rsid w:val="005C3892"/>
    <w:rsid w:val="005C4A11"/>
    <w:rsid w:val="005D5EEA"/>
    <w:rsid w:val="005E3258"/>
    <w:rsid w:val="0062050A"/>
    <w:rsid w:val="00637F69"/>
    <w:rsid w:val="0065394F"/>
    <w:rsid w:val="0066600F"/>
    <w:rsid w:val="00667E09"/>
    <w:rsid w:val="00674747"/>
    <w:rsid w:val="006940DF"/>
    <w:rsid w:val="006B7AE0"/>
    <w:rsid w:val="006D3D36"/>
    <w:rsid w:val="0070028F"/>
    <w:rsid w:val="0071774D"/>
    <w:rsid w:val="00731592"/>
    <w:rsid w:val="00761D40"/>
    <w:rsid w:val="007675C7"/>
    <w:rsid w:val="007728C6"/>
    <w:rsid w:val="0077317A"/>
    <w:rsid w:val="007A12CA"/>
    <w:rsid w:val="007B275E"/>
    <w:rsid w:val="007B3410"/>
    <w:rsid w:val="007C34BA"/>
    <w:rsid w:val="007F3163"/>
    <w:rsid w:val="008104E2"/>
    <w:rsid w:val="00812B8C"/>
    <w:rsid w:val="00812C87"/>
    <w:rsid w:val="0081744D"/>
    <w:rsid w:val="008218FC"/>
    <w:rsid w:val="00827826"/>
    <w:rsid w:val="00832715"/>
    <w:rsid w:val="00853AB2"/>
    <w:rsid w:val="008710DB"/>
    <w:rsid w:val="00881427"/>
    <w:rsid w:val="00884FBC"/>
    <w:rsid w:val="00885A02"/>
    <w:rsid w:val="0089683E"/>
    <w:rsid w:val="00897CC1"/>
    <w:rsid w:val="008A52C4"/>
    <w:rsid w:val="008C0B1C"/>
    <w:rsid w:val="008C2245"/>
    <w:rsid w:val="008D4880"/>
    <w:rsid w:val="00901D00"/>
    <w:rsid w:val="00954B3B"/>
    <w:rsid w:val="0097410A"/>
    <w:rsid w:val="00986B33"/>
    <w:rsid w:val="00987AD5"/>
    <w:rsid w:val="0099421A"/>
    <w:rsid w:val="009A07C4"/>
    <w:rsid w:val="009B3445"/>
    <w:rsid w:val="009D075E"/>
    <w:rsid w:val="009D09C8"/>
    <w:rsid w:val="009F5F0D"/>
    <w:rsid w:val="00A05A59"/>
    <w:rsid w:val="00A145EF"/>
    <w:rsid w:val="00A204CE"/>
    <w:rsid w:val="00A21C3C"/>
    <w:rsid w:val="00A27FC0"/>
    <w:rsid w:val="00A36F03"/>
    <w:rsid w:val="00A46BAA"/>
    <w:rsid w:val="00A50D3D"/>
    <w:rsid w:val="00A568D9"/>
    <w:rsid w:val="00A642CC"/>
    <w:rsid w:val="00A71154"/>
    <w:rsid w:val="00A83C85"/>
    <w:rsid w:val="00A925DA"/>
    <w:rsid w:val="00AD5C33"/>
    <w:rsid w:val="00AE310B"/>
    <w:rsid w:val="00AF3E49"/>
    <w:rsid w:val="00B0094C"/>
    <w:rsid w:val="00B050D4"/>
    <w:rsid w:val="00B32223"/>
    <w:rsid w:val="00B325FE"/>
    <w:rsid w:val="00B46ACF"/>
    <w:rsid w:val="00B52184"/>
    <w:rsid w:val="00B6055C"/>
    <w:rsid w:val="00B61F42"/>
    <w:rsid w:val="00B711EC"/>
    <w:rsid w:val="00B731B0"/>
    <w:rsid w:val="00B7364A"/>
    <w:rsid w:val="00B77B35"/>
    <w:rsid w:val="00B80D99"/>
    <w:rsid w:val="00B824C2"/>
    <w:rsid w:val="00B856AB"/>
    <w:rsid w:val="00B92AB3"/>
    <w:rsid w:val="00BA2180"/>
    <w:rsid w:val="00BA44F3"/>
    <w:rsid w:val="00BB0CF3"/>
    <w:rsid w:val="00BC54A7"/>
    <w:rsid w:val="00BD3C4C"/>
    <w:rsid w:val="00BE2E65"/>
    <w:rsid w:val="00BF17AA"/>
    <w:rsid w:val="00C238E2"/>
    <w:rsid w:val="00C24556"/>
    <w:rsid w:val="00C258E2"/>
    <w:rsid w:val="00C375A1"/>
    <w:rsid w:val="00C422E3"/>
    <w:rsid w:val="00C531F8"/>
    <w:rsid w:val="00C80FBA"/>
    <w:rsid w:val="00C9196F"/>
    <w:rsid w:val="00C95476"/>
    <w:rsid w:val="00C967C7"/>
    <w:rsid w:val="00CA08F6"/>
    <w:rsid w:val="00CD2702"/>
    <w:rsid w:val="00CE2B74"/>
    <w:rsid w:val="00D10CAE"/>
    <w:rsid w:val="00D36DA8"/>
    <w:rsid w:val="00D4235C"/>
    <w:rsid w:val="00D50B93"/>
    <w:rsid w:val="00D65F59"/>
    <w:rsid w:val="00D779F3"/>
    <w:rsid w:val="00D93936"/>
    <w:rsid w:val="00DA1BCE"/>
    <w:rsid w:val="00DA1CA5"/>
    <w:rsid w:val="00DD287C"/>
    <w:rsid w:val="00E273C6"/>
    <w:rsid w:val="00E56745"/>
    <w:rsid w:val="00E5763D"/>
    <w:rsid w:val="00E61F98"/>
    <w:rsid w:val="00E63632"/>
    <w:rsid w:val="00E67F79"/>
    <w:rsid w:val="00E70FBF"/>
    <w:rsid w:val="00E750B8"/>
    <w:rsid w:val="00E75469"/>
    <w:rsid w:val="00E871BC"/>
    <w:rsid w:val="00E87A40"/>
    <w:rsid w:val="00EA3A1A"/>
    <w:rsid w:val="00EA463E"/>
    <w:rsid w:val="00EA7DF7"/>
    <w:rsid w:val="00EC5621"/>
    <w:rsid w:val="00EC7E1C"/>
    <w:rsid w:val="00ED36E6"/>
    <w:rsid w:val="00EE3E9C"/>
    <w:rsid w:val="00EF0E43"/>
    <w:rsid w:val="00EF3FF8"/>
    <w:rsid w:val="00F0478A"/>
    <w:rsid w:val="00F06A1B"/>
    <w:rsid w:val="00F243B2"/>
    <w:rsid w:val="00F316F0"/>
    <w:rsid w:val="00F34D28"/>
    <w:rsid w:val="00F40EEC"/>
    <w:rsid w:val="00F675B5"/>
    <w:rsid w:val="00F83E86"/>
    <w:rsid w:val="00F858C9"/>
    <w:rsid w:val="00FA5EF5"/>
    <w:rsid w:val="00FC0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AEDEFB"/>
  <w15:docId w15:val="{16792841-492E-4A8A-91FE-A7BBC4F8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E75469"/>
    <w:pPr>
      <w:spacing w:before="0" w:after="200"/>
    </w:pPr>
    <w:rPr>
      <w:i/>
      <w:iCs/>
      <w:color w:val="1F497D"/>
      <w:sz w:val="18"/>
      <w:szCs w:val="18"/>
    </w:rPr>
  </w:style>
  <w:style w:type="paragraph" w:styleId="TableofFigures">
    <w:name w:val="table of figures"/>
    <w:basedOn w:val="Normal"/>
    <w:next w:val="Normal"/>
    <w:uiPriority w:val="99"/>
    <w:semiHidden/>
    <w:unhideWhenUsed/>
    <w:rsid w:val="00E75469"/>
    <w:pPr>
      <w:spacing w:after="0"/>
    </w:pPr>
  </w:style>
  <w:style w:type="paragraph" w:styleId="ListBullet">
    <w:name w:val="List Bullet"/>
    <w:basedOn w:val="Normal"/>
    <w:uiPriority w:val="99"/>
    <w:semiHidden/>
    <w:unhideWhenUsed/>
    <w:rsid w:val="00E75469"/>
    <w:pPr>
      <w:numPr>
        <w:numId w:val="1"/>
      </w:numPr>
      <w:contextualSpacing/>
    </w:pPr>
  </w:style>
  <w:style w:type="paragraph" w:styleId="ListBullet2">
    <w:name w:val="List Bullet 2"/>
    <w:basedOn w:val="Normal"/>
    <w:uiPriority w:val="99"/>
    <w:semiHidden/>
    <w:unhideWhenUsed/>
    <w:rsid w:val="00E75469"/>
    <w:pPr>
      <w:numPr>
        <w:numId w:val="2"/>
      </w:numPr>
      <w:contextualSpacing/>
    </w:pPr>
  </w:style>
  <w:style w:type="paragraph" w:styleId="ListBullet3">
    <w:name w:val="List Bullet 3"/>
    <w:basedOn w:val="Normal"/>
    <w:uiPriority w:val="99"/>
    <w:semiHidden/>
    <w:unhideWhenUsed/>
    <w:rsid w:val="00E75469"/>
    <w:pPr>
      <w:numPr>
        <w:numId w:val="3"/>
      </w:numPr>
      <w:contextualSpacing/>
    </w:pPr>
  </w:style>
  <w:style w:type="paragraph" w:styleId="ListBullet4">
    <w:name w:val="List Bullet 4"/>
    <w:basedOn w:val="Normal"/>
    <w:uiPriority w:val="99"/>
    <w:semiHidden/>
    <w:unhideWhenUsed/>
    <w:rsid w:val="00E75469"/>
    <w:pPr>
      <w:numPr>
        <w:numId w:val="4"/>
      </w:numPr>
      <w:contextualSpacing/>
    </w:pPr>
  </w:style>
  <w:style w:type="paragraph" w:styleId="ListNumber">
    <w:name w:val="List Number"/>
    <w:basedOn w:val="Normal"/>
    <w:uiPriority w:val="99"/>
    <w:semiHidden/>
    <w:unhideWhenUsed/>
    <w:rsid w:val="00E75469"/>
    <w:pPr>
      <w:numPr>
        <w:numId w:val="5"/>
      </w:numPr>
      <w:contextualSpacing/>
    </w:pPr>
  </w:style>
  <w:style w:type="paragraph" w:styleId="ListNumber2">
    <w:name w:val="List Number 2"/>
    <w:basedOn w:val="Normal"/>
    <w:uiPriority w:val="99"/>
    <w:semiHidden/>
    <w:unhideWhenUsed/>
    <w:rsid w:val="00E75469"/>
    <w:pPr>
      <w:numPr>
        <w:numId w:val="6"/>
      </w:numPr>
      <w:contextualSpacing/>
    </w:pPr>
  </w:style>
  <w:style w:type="paragraph" w:styleId="ListNumber3">
    <w:name w:val="List Number 3"/>
    <w:basedOn w:val="Normal"/>
    <w:uiPriority w:val="99"/>
    <w:semiHidden/>
    <w:unhideWhenUsed/>
    <w:rsid w:val="00E75469"/>
    <w:pPr>
      <w:numPr>
        <w:numId w:val="7"/>
      </w:numPr>
      <w:contextualSpacing/>
    </w:pPr>
  </w:style>
  <w:style w:type="paragraph" w:styleId="ListNumber4">
    <w:name w:val="List Number 4"/>
    <w:basedOn w:val="Normal"/>
    <w:uiPriority w:val="99"/>
    <w:semiHidden/>
    <w:unhideWhenUsed/>
    <w:rsid w:val="00E75469"/>
    <w:pPr>
      <w:numPr>
        <w:numId w:val="8"/>
      </w:numPr>
      <w:contextualSpacing/>
    </w:pPr>
  </w:style>
  <w:style w:type="table" w:styleId="TableGrid">
    <w:name w:val="Table Grid"/>
    <w:basedOn w:val="TableNormal"/>
    <w:uiPriority w:val="59"/>
    <w:rsid w:val="00B05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0D4"/>
    <w:pPr>
      <w:ind w:left="720"/>
      <w:contextualSpacing/>
    </w:pPr>
  </w:style>
  <w:style w:type="paragraph" w:styleId="BalloonText">
    <w:name w:val="Balloon Text"/>
    <w:basedOn w:val="Normal"/>
    <w:link w:val="BalloonTextChar"/>
    <w:uiPriority w:val="99"/>
    <w:semiHidden/>
    <w:unhideWhenUsed/>
    <w:rsid w:val="004E62DF"/>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4E62DF"/>
    <w:rPr>
      <w:rFonts w:ascii="Segoe UI" w:hAnsi="Segoe UI" w:cs="Segoe UI"/>
      <w:sz w:val="18"/>
      <w:szCs w:val="18"/>
      <w:lang w:val="fr-FR"/>
    </w:rPr>
  </w:style>
  <w:style w:type="character" w:styleId="CommentReference">
    <w:name w:val="annotation reference"/>
    <w:basedOn w:val="DefaultParagraphFont"/>
    <w:uiPriority w:val="99"/>
    <w:semiHidden/>
    <w:unhideWhenUsed/>
    <w:rsid w:val="002F4716"/>
    <w:rPr>
      <w:sz w:val="16"/>
      <w:szCs w:val="16"/>
    </w:rPr>
  </w:style>
  <w:style w:type="paragraph" w:styleId="CommentText">
    <w:name w:val="annotation text"/>
    <w:basedOn w:val="Normal"/>
    <w:link w:val="CommentTextChar"/>
    <w:uiPriority w:val="99"/>
    <w:unhideWhenUsed/>
    <w:rsid w:val="002F4716"/>
    <w:rPr>
      <w:sz w:val="20"/>
      <w:szCs w:val="20"/>
    </w:rPr>
  </w:style>
  <w:style w:type="character" w:customStyle="1" w:styleId="CommentTextChar">
    <w:name w:val="Comment Text Char"/>
    <w:basedOn w:val="DefaultParagraphFont"/>
    <w:link w:val="CommentText"/>
    <w:uiPriority w:val="99"/>
    <w:rsid w:val="002F471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2F4716"/>
    <w:rPr>
      <w:b/>
      <w:bCs/>
    </w:rPr>
  </w:style>
  <w:style w:type="character" w:customStyle="1" w:styleId="CommentSubjectChar">
    <w:name w:val="Comment Subject Char"/>
    <w:basedOn w:val="CommentTextChar"/>
    <w:link w:val="CommentSubject"/>
    <w:uiPriority w:val="99"/>
    <w:semiHidden/>
    <w:rsid w:val="002F4716"/>
    <w:rPr>
      <w:rFonts w:ascii="Times New Roman" w:hAnsi="Times New Roman" w:cs="Times New Roman"/>
      <w:b/>
      <w:bCs/>
      <w:sz w:val="20"/>
      <w:szCs w:val="20"/>
      <w:lang w:val="fr-FR"/>
    </w:rPr>
  </w:style>
  <w:style w:type="paragraph" w:styleId="Revision">
    <w:name w:val="Revision"/>
    <w:hidden/>
    <w:uiPriority w:val="99"/>
    <w:semiHidden/>
    <w:rsid w:val="002F4716"/>
    <w:pPr>
      <w:spacing w:after="0" w:line="240" w:lineRule="auto"/>
    </w:pPr>
    <w:rPr>
      <w:rFonts w:ascii="Times New Roman" w:hAnsi="Times New Roman" w:cs="Times New Roman"/>
      <w:sz w:val="24"/>
    </w:rPr>
  </w:style>
  <w:style w:type="character" w:styleId="Strong">
    <w:name w:val="Strong"/>
    <w:uiPriority w:val="22"/>
    <w:qFormat/>
    <w:rsid w:val="00F06A1B"/>
    <w:rPr>
      <w:b/>
      <w:bCs/>
    </w:rPr>
  </w:style>
  <w:style w:type="character" w:styleId="Hyperlink">
    <w:name w:val="Hyperlink"/>
    <w:basedOn w:val="DefaultParagraphFont"/>
    <w:uiPriority w:val="99"/>
    <w:unhideWhenUsed/>
    <w:rsid w:val="00396C59"/>
    <w:rPr>
      <w:color w:val="0563C1" w:themeColor="hyperlink"/>
      <w:u w:val="single"/>
    </w:rPr>
  </w:style>
  <w:style w:type="character" w:customStyle="1" w:styleId="markedcontent">
    <w:name w:val="markedcontent"/>
    <w:basedOn w:val="DefaultParagraphFont"/>
    <w:rsid w:val="00B61F42"/>
  </w:style>
  <w:style w:type="character" w:styleId="FollowedHyperlink">
    <w:name w:val="FollowedHyperlink"/>
    <w:basedOn w:val="DefaultParagraphFont"/>
    <w:uiPriority w:val="99"/>
    <w:semiHidden/>
    <w:unhideWhenUsed/>
    <w:rsid w:val="0065394F"/>
    <w:rPr>
      <w:color w:val="954F72" w:themeColor="followedHyperlink"/>
      <w:u w:val="single"/>
    </w:rPr>
  </w:style>
  <w:style w:type="character" w:customStyle="1" w:styleId="UnresolvedMention">
    <w:name w:val="Unresolved Mention"/>
    <w:basedOn w:val="DefaultParagraphFont"/>
    <w:uiPriority w:val="99"/>
    <w:semiHidden/>
    <w:unhideWhenUsed/>
    <w:rsid w:val="00F83E86"/>
    <w:rPr>
      <w:color w:val="605E5C"/>
      <w:shd w:val="clear" w:color="auto" w:fill="E1DFDD"/>
    </w:rPr>
  </w:style>
  <w:style w:type="character" w:customStyle="1" w:styleId="HeaderChar">
    <w:name w:val="Header Char"/>
    <w:basedOn w:val="DefaultParagraphFont"/>
    <w:link w:val="Header"/>
    <w:uiPriority w:val="99"/>
    <w:rsid w:val="001D2410"/>
    <w:rPr>
      <w:rFonts w:ascii="Times New Roman" w:hAnsi="Times New Roman" w:cs="Times New Roman"/>
      <w:sz w:val="24"/>
      <w:lang w:val="fr-FR"/>
    </w:rPr>
  </w:style>
  <w:style w:type="character" w:customStyle="1" w:styleId="FooterChar">
    <w:name w:val="Footer Char"/>
    <w:basedOn w:val="DefaultParagraphFont"/>
    <w:link w:val="Footer"/>
    <w:uiPriority w:val="99"/>
    <w:rsid w:val="001D241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D241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D2410"/>
    <w:pPr>
      <w:spacing w:before="0"/>
      <w:jc w:val="right"/>
    </w:pPr>
    <w:rPr>
      <w:sz w:val="28"/>
    </w:rPr>
  </w:style>
  <w:style w:type="paragraph" w:customStyle="1" w:styleId="FooterSensitivity">
    <w:name w:val="Footer Sensitivity"/>
    <w:basedOn w:val="Normal"/>
    <w:rsid w:val="001D241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D2410"/>
    <w:pPr>
      <w:tabs>
        <w:tab w:val="center" w:pos="4535"/>
        <w:tab w:val="right" w:pos="9071"/>
      </w:tabs>
      <w:spacing w:before="0"/>
    </w:pPr>
  </w:style>
  <w:style w:type="paragraph" w:customStyle="1" w:styleId="HeaderLandscape">
    <w:name w:val="HeaderLandscape"/>
    <w:basedOn w:val="Normal"/>
    <w:rsid w:val="001D2410"/>
    <w:pPr>
      <w:tabs>
        <w:tab w:val="center" w:pos="7285"/>
        <w:tab w:val="right" w:pos="14003"/>
      </w:tabs>
      <w:spacing w:before="0"/>
    </w:pPr>
  </w:style>
  <w:style w:type="paragraph" w:styleId="Footer">
    <w:name w:val="footer"/>
    <w:basedOn w:val="Normal"/>
    <w:link w:val="FooterChar"/>
    <w:uiPriority w:val="99"/>
    <w:unhideWhenUsed/>
    <w:rsid w:val="001D241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D241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95734">
      <w:bodyDiv w:val="1"/>
      <w:marLeft w:val="0"/>
      <w:marRight w:val="0"/>
      <w:marTop w:val="0"/>
      <w:marBottom w:val="0"/>
      <w:divBdr>
        <w:top w:val="none" w:sz="0" w:space="0" w:color="auto"/>
        <w:left w:val="none" w:sz="0" w:space="0" w:color="auto"/>
        <w:bottom w:val="none" w:sz="0" w:space="0" w:color="auto"/>
        <w:right w:val="none" w:sz="0" w:space="0" w:color="auto"/>
      </w:divBdr>
    </w:div>
    <w:div w:id="740059159">
      <w:bodyDiv w:val="1"/>
      <w:marLeft w:val="0"/>
      <w:marRight w:val="0"/>
      <w:marTop w:val="0"/>
      <w:marBottom w:val="0"/>
      <w:divBdr>
        <w:top w:val="none" w:sz="0" w:space="0" w:color="auto"/>
        <w:left w:val="none" w:sz="0" w:space="0" w:color="auto"/>
        <w:bottom w:val="none" w:sz="0" w:space="0" w:color="auto"/>
        <w:right w:val="none" w:sz="0" w:space="0" w:color="auto"/>
      </w:divBdr>
    </w:div>
    <w:div w:id="1166743174">
      <w:bodyDiv w:val="1"/>
      <w:marLeft w:val="0"/>
      <w:marRight w:val="0"/>
      <w:marTop w:val="0"/>
      <w:marBottom w:val="0"/>
      <w:divBdr>
        <w:top w:val="none" w:sz="0" w:space="0" w:color="auto"/>
        <w:left w:val="none" w:sz="0" w:space="0" w:color="auto"/>
        <w:bottom w:val="none" w:sz="0" w:space="0" w:color="auto"/>
        <w:right w:val="none" w:sz="0" w:space="0" w:color="auto"/>
      </w:divBdr>
    </w:div>
    <w:div w:id="1211454204">
      <w:bodyDiv w:val="1"/>
      <w:marLeft w:val="0"/>
      <w:marRight w:val="0"/>
      <w:marTop w:val="0"/>
      <w:marBottom w:val="0"/>
      <w:divBdr>
        <w:top w:val="none" w:sz="0" w:space="0" w:color="auto"/>
        <w:left w:val="none" w:sz="0" w:space="0" w:color="auto"/>
        <w:bottom w:val="none" w:sz="0" w:space="0" w:color="auto"/>
        <w:right w:val="none" w:sz="0" w:space="0" w:color="auto"/>
      </w:divBdr>
    </w:div>
    <w:div w:id="1470048382">
      <w:bodyDiv w:val="1"/>
      <w:marLeft w:val="0"/>
      <w:marRight w:val="0"/>
      <w:marTop w:val="0"/>
      <w:marBottom w:val="0"/>
      <w:divBdr>
        <w:top w:val="none" w:sz="0" w:space="0" w:color="auto"/>
        <w:left w:val="none" w:sz="0" w:space="0" w:color="auto"/>
        <w:bottom w:val="none" w:sz="0" w:space="0" w:color="auto"/>
        <w:right w:val="none" w:sz="0" w:space="0" w:color="auto"/>
      </w:divBdr>
    </w:div>
    <w:div w:id="2013219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otif.org/en/?page_id=17770" TargetMode="External"/><Relationship Id="rId2" Type="http://schemas.openxmlformats.org/officeDocument/2006/relationships/numbering" Target="numbering.xml"/><Relationship Id="rId16" Type="http://schemas.openxmlformats.org/officeDocument/2006/relationships/hyperlink" Target="https://otif.org/en/?page_id=274"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tif.org/en/?page_id=264"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29BB2-50CC-4780-8F6D-488ED32EA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4</Pages>
  <Words>545</Words>
  <Characters>3111</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2022-01-21T16:08:00Z</cp:lastPrinted>
  <dcterms:created xsi:type="dcterms:W3CDTF">2026-01-27T20:52:00Z</dcterms:created>
  <dcterms:modified xsi:type="dcterms:W3CDTF">2026-02-25T15:40:00Z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2024-01-15T14:14:16Z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d92ffab4-ceec-480a-b130-9a594c3cbdb9</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