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608" w:rsidRPr="005B4C08" w:rsidRDefault="00BF1AA5" w:rsidP="00BF1AA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2FFA1D-B06A-4B51-8B13-7599C4C06F76" style="width:455.25pt;height:384.75pt">
            <v:imagedata r:id="rId8" o:title=""/>
          </v:shape>
        </w:pict>
      </w:r>
    </w:p>
    <w:p w:rsidR="00570608" w:rsidRPr="005B4C08" w:rsidRDefault="00570608" w:rsidP="00570608">
      <w:pPr>
        <w:rPr>
          <w:noProof/>
        </w:rPr>
        <w:sectPr w:rsidR="00570608" w:rsidRPr="005B4C08" w:rsidSect="00BF1AA5">
          <w:footerReference w:type="even" r:id="rId9"/>
          <w:footerReference w:type="default" r:id="rId10"/>
          <w:pgSz w:w="11907" w:h="16839"/>
          <w:pgMar w:top="1134" w:right="1417" w:bottom="1134" w:left="1417" w:header="709" w:footer="709" w:gutter="0"/>
          <w:pgNumType w:start="0"/>
          <w:cols w:space="720"/>
          <w:docGrid w:linePitch="360"/>
        </w:sectPr>
      </w:pPr>
    </w:p>
    <w:p w:rsidR="00570608" w:rsidRPr="005B4C08" w:rsidRDefault="00570608" w:rsidP="009D52A1">
      <w:pPr>
        <w:pStyle w:val="Exposdesmotifstitre"/>
        <w:rPr>
          <w:noProof/>
        </w:rPr>
      </w:pPr>
      <w:bookmarkStart w:id="0" w:name="_GoBack"/>
      <w:bookmarkEnd w:id="0"/>
      <w:r w:rsidRPr="005B4C08">
        <w:rPr>
          <w:noProof/>
        </w:rPr>
        <w:lastRenderedPageBreak/>
        <w:t>EXPUNERE DE MOTIVE</w:t>
      </w:r>
    </w:p>
    <w:p w:rsidR="00570608" w:rsidRPr="005B4C08" w:rsidRDefault="00570608" w:rsidP="006E3DF8">
      <w:pPr>
        <w:pStyle w:val="ManualHeading1"/>
        <w:rPr>
          <w:rFonts w:eastAsia="Arial Unicode MS"/>
          <w:noProof/>
        </w:rPr>
      </w:pPr>
      <w:r>
        <w:rPr>
          <w:noProof/>
        </w:rPr>
        <w:t>1.</w:t>
      </w:r>
      <w:r>
        <w:rPr>
          <w:noProof/>
        </w:rPr>
        <w:tab/>
      </w:r>
      <w:r w:rsidRPr="005B4C08">
        <w:rPr>
          <w:noProof/>
        </w:rPr>
        <w:t>Obiectul propunerii</w:t>
      </w:r>
    </w:p>
    <w:p w:rsidR="00570608" w:rsidRPr="005B4C08" w:rsidRDefault="00570608" w:rsidP="009D52A1">
      <w:pPr>
        <w:rPr>
          <w:rFonts w:eastAsia="Arial Unicode MS"/>
          <w:noProof/>
        </w:rPr>
      </w:pPr>
      <w:r w:rsidRPr="005B4C08">
        <w:rPr>
          <w:noProof/>
        </w:rPr>
        <w:t>Prezenta propunere se referă la decizia de stabilire a poziției care trebuie adoptată în numele Uniunii în cadrul Comitetului de experți în domeniul transportului mărfurilor periculoase al Organizației pentru Transporturile Internaționale Feroviare (OTIF) (Comitetul de experți RID). Propunerea se referă la adoptarea preconizată a anumitor modificări ale dispozițiilor tehnice și administrative cuprinse în anexa la apendicele C la Convenția privind transporturile internaționale feroviare (COTIF). Aceste modificări urmează să fie decise de comitetul menționat.</w:t>
      </w:r>
    </w:p>
    <w:p w:rsidR="00570608" w:rsidRPr="005B4C08" w:rsidRDefault="00570608" w:rsidP="009D52A1">
      <w:pPr>
        <w:pStyle w:val="ManualHeading1"/>
        <w:rPr>
          <w:noProof/>
        </w:rPr>
      </w:pPr>
      <w:r>
        <w:rPr>
          <w:noProof/>
        </w:rPr>
        <w:t>2.</w:t>
      </w:r>
      <w:r>
        <w:rPr>
          <w:noProof/>
        </w:rPr>
        <w:tab/>
      </w:r>
      <w:r w:rsidRPr="005B4C08">
        <w:rPr>
          <w:noProof/>
        </w:rPr>
        <w:t>Contextul propunerii</w:t>
      </w:r>
    </w:p>
    <w:p w:rsidR="00DC79D7" w:rsidRPr="005B4C08" w:rsidRDefault="00DC79D7" w:rsidP="00DC79D7">
      <w:pPr>
        <w:pStyle w:val="Text1"/>
        <w:rPr>
          <w:noProof/>
        </w:rPr>
      </w:pPr>
    </w:p>
    <w:p w:rsidR="005C0A39" w:rsidRPr="005B4C08" w:rsidRDefault="005C0A39" w:rsidP="005C0A39">
      <w:pPr>
        <w:pStyle w:val="ManualHeading2"/>
        <w:rPr>
          <w:noProof/>
        </w:rPr>
      </w:pPr>
      <w:r>
        <w:rPr>
          <w:noProof/>
        </w:rPr>
        <w:t>2.1.</w:t>
      </w:r>
      <w:r>
        <w:rPr>
          <w:noProof/>
        </w:rPr>
        <w:tab/>
      </w:r>
      <w:r w:rsidRPr="005B4C08">
        <w:rPr>
          <w:noProof/>
        </w:rPr>
        <w:t>Convenția privind transporturile internaționale feroviare (COTIF)</w:t>
      </w:r>
    </w:p>
    <w:p w:rsidR="005C0A39" w:rsidRPr="005B4C08" w:rsidRDefault="005C0A39" w:rsidP="005C0A39">
      <w:pPr>
        <w:rPr>
          <w:rFonts w:eastAsia="Arial Unicode MS"/>
          <w:noProof/>
        </w:rPr>
      </w:pPr>
      <w:r w:rsidRPr="005B4C08">
        <w:rPr>
          <w:noProof/>
        </w:rPr>
        <w:t xml:space="preserve">Convenția privind transporturile internaționale feroviare din 9 mai 1980, astfel cum a fost modificată prin Protocolul de la Vilnius din 3 iunie 1999, este un acord internațional în cadrul căruia atât Uniunea, cât și 25 de state membre sunt părți contractante (doar Cipru și Malta nu sunt). </w:t>
      </w:r>
    </w:p>
    <w:p w:rsidR="005C0A39" w:rsidRPr="005B4C08" w:rsidRDefault="005C0A39" w:rsidP="005C0A39">
      <w:pPr>
        <w:rPr>
          <w:rFonts w:eastAsia="Arial Unicode MS"/>
          <w:noProof/>
        </w:rPr>
      </w:pPr>
      <w:r w:rsidRPr="005B4C08">
        <w:rPr>
          <w:noProof/>
        </w:rPr>
        <w:t>Uniunea Europeană a aderat la COTIF prin Decizia 2013/103/UE a Consiliului din 16 iunie 2011</w:t>
      </w:r>
      <w:r w:rsidRPr="005B4C08">
        <w:rPr>
          <w:rStyle w:val="FootnoteReference"/>
          <w:rFonts w:eastAsia="Arial Unicode MS"/>
          <w:noProof/>
        </w:rPr>
        <w:footnoteReference w:id="1"/>
      </w:r>
      <w:r w:rsidRPr="005B4C08">
        <w:rPr>
          <w:noProof/>
        </w:rPr>
        <w:t xml:space="preserve">. </w:t>
      </w:r>
    </w:p>
    <w:p w:rsidR="005C0A39" w:rsidRPr="005B4C08" w:rsidRDefault="005C0A39" w:rsidP="004172EC">
      <w:pPr>
        <w:pStyle w:val="Text1"/>
        <w:ind w:left="0"/>
        <w:rPr>
          <w:noProof/>
        </w:rPr>
      </w:pPr>
    </w:p>
    <w:p w:rsidR="00570608" w:rsidRPr="005B4C08" w:rsidRDefault="005C0A39" w:rsidP="00B65E64">
      <w:pPr>
        <w:pStyle w:val="ManualHeading2"/>
        <w:rPr>
          <w:noProof/>
        </w:rPr>
      </w:pPr>
      <w:r>
        <w:rPr>
          <w:noProof/>
        </w:rPr>
        <w:t>2.2.</w:t>
      </w:r>
      <w:r>
        <w:rPr>
          <w:noProof/>
        </w:rPr>
        <w:tab/>
      </w:r>
      <w:r w:rsidRPr="005B4C08">
        <w:rPr>
          <w:noProof/>
        </w:rPr>
        <w:t xml:space="preserve">Regulamentul privind transportul internațional feroviar al mărfurilor periculoase (RID) </w:t>
      </w:r>
    </w:p>
    <w:p w:rsidR="004636CD" w:rsidRPr="005B4C08" w:rsidRDefault="00A20F0A" w:rsidP="00174C3E">
      <w:pPr>
        <w:rPr>
          <w:rFonts w:eastAsia="Arial Unicode MS"/>
          <w:noProof/>
        </w:rPr>
      </w:pPr>
      <w:r w:rsidRPr="005B4C08">
        <w:rPr>
          <w:noProof/>
        </w:rPr>
        <w:t>Potrivit articolului 7 din COTIF, aceasta desemnează, printre altele, și apendicele menționate la articolul 6. Printre acestea se numără „Regulamentul privind transportul internațional feroviar al mărfurilor periculoase (RID)”, care constituie apendicele C la convenție. RID se aplică în măsura în care declarațiile nu sunt făcute în conformitate cu dispozițiile relevante din COTIF</w:t>
      </w:r>
      <w:r w:rsidRPr="005B4C08">
        <w:rPr>
          <w:rStyle w:val="FootnoteReference"/>
          <w:rFonts w:eastAsia="Arial Unicode MS"/>
          <w:noProof/>
        </w:rPr>
        <w:footnoteReference w:id="2"/>
      </w:r>
      <w:r w:rsidRPr="005B4C08">
        <w:rPr>
          <w:noProof/>
        </w:rPr>
        <w:t xml:space="preserve">. </w:t>
      </w:r>
    </w:p>
    <w:p w:rsidR="00843CB8" w:rsidRPr="005B4C08" w:rsidRDefault="004636CD" w:rsidP="00E00B6E">
      <w:pPr>
        <w:rPr>
          <w:rFonts w:eastAsia="Arial Unicode MS"/>
          <w:noProof/>
        </w:rPr>
      </w:pPr>
      <w:r w:rsidRPr="005B4C08">
        <w:rPr>
          <w:noProof/>
        </w:rPr>
        <w:t>RID are ca scop reglementarea transportului internațional feroviar al mărfurilor periculoase între statele membre ale OTIF care aplică normele RID (statele contractante ale RID)</w:t>
      </w:r>
      <w:r w:rsidRPr="005B4C08">
        <w:rPr>
          <w:rStyle w:val="FootnoteReference"/>
          <w:noProof/>
        </w:rPr>
        <w:footnoteReference w:id="3"/>
      </w:r>
      <w:r w:rsidRPr="005B4C08">
        <w:rPr>
          <w:noProof/>
        </w:rPr>
        <w:t xml:space="preserve">. </w:t>
      </w:r>
    </w:p>
    <w:p w:rsidR="00E00B6E" w:rsidRPr="005B4C08" w:rsidRDefault="00E00B6E" w:rsidP="00E00B6E">
      <w:pPr>
        <w:rPr>
          <w:rFonts w:eastAsia="Arial Unicode MS"/>
          <w:noProof/>
        </w:rPr>
      </w:pPr>
      <w:r w:rsidRPr="005B4C08">
        <w:rPr>
          <w:noProof/>
        </w:rPr>
        <w:t>Directiva 2008/68/CE privind transportul interior de mărfuri periculoase</w:t>
      </w:r>
      <w:r w:rsidRPr="005B4C08">
        <w:rPr>
          <w:rStyle w:val="FootnoteReference"/>
          <w:rFonts w:eastAsia="Arial Unicode MS"/>
          <w:noProof/>
        </w:rPr>
        <w:footnoteReference w:id="4"/>
      </w:r>
      <w:r w:rsidRPr="005B4C08">
        <w:rPr>
          <w:noProof/>
        </w:rPr>
        <w:t xml:space="preserve"> prevede că RID se aplică și transporturilor efectuate în interiorul statelor membre ale UE. </w:t>
      </w:r>
    </w:p>
    <w:p w:rsidR="004636CD" w:rsidRPr="005B4C08" w:rsidRDefault="004636CD" w:rsidP="00174C3E">
      <w:pPr>
        <w:rPr>
          <w:rFonts w:eastAsia="Arial Unicode MS"/>
          <w:noProof/>
        </w:rPr>
      </w:pPr>
    </w:p>
    <w:p w:rsidR="00570608" w:rsidRPr="005B4C08" w:rsidRDefault="00570608" w:rsidP="009D52A1">
      <w:pPr>
        <w:pStyle w:val="ManualHeading2"/>
        <w:rPr>
          <w:noProof/>
        </w:rPr>
      </w:pPr>
      <w:r>
        <w:rPr>
          <w:noProof/>
        </w:rPr>
        <w:t>2.3.</w:t>
      </w:r>
      <w:r>
        <w:rPr>
          <w:noProof/>
        </w:rPr>
        <w:tab/>
      </w:r>
      <w:r w:rsidRPr="005B4C08">
        <w:rPr>
          <w:noProof/>
        </w:rPr>
        <w:t>Comitetul de experți RID</w:t>
      </w:r>
    </w:p>
    <w:p w:rsidR="002157E7" w:rsidRPr="005B4C08" w:rsidRDefault="00570608" w:rsidP="009D52A1">
      <w:pPr>
        <w:rPr>
          <w:rFonts w:eastAsia="Arial Unicode MS"/>
          <w:noProof/>
        </w:rPr>
      </w:pPr>
      <w:r w:rsidRPr="005B4C08">
        <w:rPr>
          <w:noProof/>
        </w:rPr>
        <w:t xml:space="preserve">Comitetul de experți RID este un organism instituit în temeiul articolului 13 alineatul (1) litera (d) din COTIF. În conformitate cu articolul 18 din COTIF, Comitetul de experți RID ia </w:t>
      </w:r>
      <w:r w:rsidRPr="005B4C08">
        <w:rPr>
          <w:noProof/>
        </w:rPr>
        <w:lastRenderedPageBreak/>
        <w:t xml:space="preserve">decizii cu privire la propunerile de modificare a convenției. El este format din reprezentanți ai statelor membre ale OTIF care aplică RID și din reprezentanți ai Uniunii Europene. </w:t>
      </w:r>
    </w:p>
    <w:p w:rsidR="00570608" w:rsidRPr="005B4C08" w:rsidRDefault="00570608" w:rsidP="009D52A1">
      <w:pPr>
        <w:pStyle w:val="ManualHeading2"/>
        <w:rPr>
          <w:noProof/>
        </w:rPr>
      </w:pPr>
      <w:r>
        <w:rPr>
          <w:noProof/>
        </w:rPr>
        <w:t>2.4.</w:t>
      </w:r>
      <w:r>
        <w:rPr>
          <w:noProof/>
        </w:rPr>
        <w:tab/>
      </w:r>
      <w:r w:rsidRPr="005B4C08">
        <w:rPr>
          <w:noProof/>
        </w:rPr>
        <w:t>Actul avut în vedere al Comitetului de experți RID</w:t>
      </w:r>
    </w:p>
    <w:p w:rsidR="00570608" w:rsidRPr="005B4C08" w:rsidRDefault="00570608" w:rsidP="009D52A1">
      <w:pPr>
        <w:rPr>
          <w:rFonts w:eastAsia="Arial Unicode MS"/>
          <w:noProof/>
        </w:rPr>
      </w:pPr>
      <w:r w:rsidRPr="005B4C08">
        <w:rPr>
          <w:noProof/>
        </w:rPr>
        <w:t>La 28 mai 2026, în cadrul celei de a 59-a sesiuni, Comitetul de experți RID urmează să adopte un set de modificări care să actualizeze anexa la RID („actul avut în vedere”) având în vedere progresele tehnice și științifice.</w:t>
      </w:r>
    </w:p>
    <w:p w:rsidR="00174C3E" w:rsidRPr="005B4C08" w:rsidRDefault="00570608" w:rsidP="009D52A1">
      <w:pPr>
        <w:rPr>
          <w:rFonts w:eastAsia="Arial Unicode MS"/>
          <w:noProof/>
        </w:rPr>
      </w:pPr>
      <w:r w:rsidRPr="005B4C08">
        <w:rPr>
          <w:noProof/>
        </w:rPr>
        <w:t>Scopul actului avut în vedere este de a asigura siguranța și securitatea transportului feroviar de mărfuri periculoase, prin actualizarea anumitor dispoziții. Acestea ar include, printre altele, lista mărfurilor periculoase admise pentru transport, instrucțiunile de ambalare, lista standardelor aplicabile și alte cerințe tehnice aplicabile pentru diferite mijloace de izolare.</w:t>
      </w:r>
    </w:p>
    <w:p w:rsidR="00174C3E" w:rsidRPr="005B4C08" w:rsidRDefault="00843CB8" w:rsidP="00174C3E">
      <w:pPr>
        <w:rPr>
          <w:noProof/>
        </w:rPr>
      </w:pPr>
      <w:r w:rsidRPr="005B4C08">
        <w:rPr>
          <w:noProof/>
        </w:rPr>
        <w:t xml:space="preserve">Se poate observa că dispozițiile internaționale privind transportul de mărfuri periculoase sunt stabilite de diverse organizații internaționale, cum ar fi OTIF. Printre acestea se numără Comisia Economică pentru Europa a Organizației Națiunilor Unite (CEE-ONU) și diverse organisme specializate ale Organizației Națiunilor Unite, cum ar fi Subcomitetul de experți în domeniul transportului de mărfuri periculoase din cadrul Consiliului Economic și Social (ECOSOC). Dat fiind că normele trebuie să fie compatibile, organizațiile implicate în această activitate au dezvoltat un sistem internațional de coordonare și de armonizare complex. Dispozițiile sunt adaptate pe baza unui ciclu de 2 ani. </w:t>
      </w:r>
    </w:p>
    <w:p w:rsidR="00174C3E" w:rsidRPr="005B4C08" w:rsidRDefault="00174C3E" w:rsidP="00174C3E">
      <w:pPr>
        <w:rPr>
          <w:noProof/>
        </w:rPr>
      </w:pPr>
      <w:r w:rsidRPr="005B4C08">
        <w:rPr>
          <w:noProof/>
        </w:rPr>
        <w:t xml:space="preserve">În decursul pregătirii acestor modificări a fost consultată o gamă largă de experți din sectorul public și privat. În cursul pregătirii acestor modificări au avut loc următoarele reuniuni tehnice: </w:t>
      </w:r>
    </w:p>
    <w:p w:rsidR="00174C3E" w:rsidRPr="005B4C08" w:rsidRDefault="00174C3E" w:rsidP="006E3DF8">
      <w:pPr>
        <w:pStyle w:val="Tiret0"/>
        <w:numPr>
          <w:ilvl w:val="0"/>
          <w:numId w:val="8"/>
        </w:numPr>
        <w:rPr>
          <w:noProof/>
        </w:rPr>
      </w:pPr>
      <w:r w:rsidRPr="005B4C08">
        <w:rPr>
          <w:noProof/>
        </w:rPr>
        <w:t xml:space="preserve">în cadrul Subcomitetului de experți al ECOSOC (ONU) în domeniul transportului de mărfuri periculoase, cu ocazia: </w:t>
      </w:r>
    </w:p>
    <w:p w:rsidR="00174C3E" w:rsidRPr="005B4C08" w:rsidRDefault="004616CE" w:rsidP="006E3DF8">
      <w:pPr>
        <w:pStyle w:val="Point0"/>
        <w:rPr>
          <w:noProof/>
        </w:rPr>
      </w:pPr>
      <w:r>
        <w:rPr>
          <w:noProof/>
        </w:rPr>
        <w:t>(1)</w:t>
      </w:r>
      <w:r>
        <w:rPr>
          <w:noProof/>
        </w:rPr>
        <w:tab/>
      </w:r>
      <w:r w:rsidRPr="005B4C08">
        <w:rPr>
          <w:noProof/>
        </w:rPr>
        <w:t>celei de a 62-a sesiuni, de la Geneva, 3-7 iulie 2023;</w:t>
      </w:r>
    </w:p>
    <w:p w:rsidR="00174C3E" w:rsidRPr="005B4C08" w:rsidRDefault="004616CE" w:rsidP="00174C3E">
      <w:pPr>
        <w:pStyle w:val="Point0"/>
        <w:rPr>
          <w:noProof/>
        </w:rPr>
      </w:pPr>
      <w:r>
        <w:rPr>
          <w:noProof/>
        </w:rPr>
        <w:t>(2)</w:t>
      </w:r>
      <w:r>
        <w:rPr>
          <w:noProof/>
        </w:rPr>
        <w:tab/>
      </w:r>
      <w:r w:rsidRPr="005B4C08">
        <w:rPr>
          <w:noProof/>
        </w:rPr>
        <w:t xml:space="preserve">celei de a 63-a sesiuni, de la Geneva, 27 noiembrie - 6 decembrie 2023; </w:t>
      </w:r>
    </w:p>
    <w:p w:rsidR="00174C3E" w:rsidRPr="005B4C08" w:rsidRDefault="00967237" w:rsidP="00AD401A">
      <w:pPr>
        <w:pStyle w:val="Point0"/>
        <w:rPr>
          <w:noProof/>
        </w:rPr>
      </w:pPr>
      <w:r>
        <w:rPr>
          <w:noProof/>
        </w:rPr>
        <w:t>(3)</w:t>
      </w:r>
      <w:r>
        <w:rPr>
          <w:noProof/>
        </w:rPr>
        <w:tab/>
      </w:r>
      <w:r w:rsidRPr="005B4C08">
        <w:rPr>
          <w:noProof/>
        </w:rPr>
        <w:t xml:space="preserve">celei de a 64-a sesiuni, de la Geneva, 24 iunie - 3 iulie 2024; </w:t>
      </w:r>
    </w:p>
    <w:p w:rsidR="00967237" w:rsidRPr="005B4C08" w:rsidRDefault="00967237" w:rsidP="00AD401A">
      <w:pPr>
        <w:pStyle w:val="Point0"/>
        <w:rPr>
          <w:noProof/>
        </w:rPr>
      </w:pPr>
      <w:r>
        <w:rPr>
          <w:noProof/>
        </w:rPr>
        <w:t>(4)</w:t>
      </w:r>
      <w:r>
        <w:rPr>
          <w:noProof/>
        </w:rPr>
        <w:tab/>
      </w:r>
      <w:r w:rsidRPr="005B4C08">
        <w:rPr>
          <w:noProof/>
        </w:rPr>
        <w:t>celei de a 65-a sesiuni, de la Geneva, 25 noiembrie - 3 decembrie 2024;</w:t>
      </w:r>
    </w:p>
    <w:p w:rsidR="00967237" w:rsidRPr="005B4C08" w:rsidRDefault="00967237" w:rsidP="00AD401A">
      <w:pPr>
        <w:pStyle w:val="Point0"/>
        <w:rPr>
          <w:noProof/>
        </w:rPr>
      </w:pPr>
      <w:r>
        <w:rPr>
          <w:noProof/>
        </w:rPr>
        <w:t>(5)</w:t>
      </w:r>
      <w:r>
        <w:rPr>
          <w:noProof/>
        </w:rPr>
        <w:tab/>
      </w:r>
      <w:r w:rsidRPr="005B4C08">
        <w:rPr>
          <w:noProof/>
        </w:rPr>
        <w:t>celei de a 66-a sesiuni, de la Geneva, 30 iunie - 4 iulie 2025;</w:t>
      </w:r>
    </w:p>
    <w:p w:rsidR="00174C3E" w:rsidRPr="005B4C08" w:rsidRDefault="00466421" w:rsidP="00174C3E">
      <w:pPr>
        <w:pStyle w:val="Tiret0"/>
        <w:rPr>
          <w:noProof/>
        </w:rPr>
      </w:pPr>
      <w:r w:rsidRPr="005B4C08">
        <w:rPr>
          <w:noProof/>
        </w:rPr>
        <w:t xml:space="preserve">în cadrul reuniunii comune CEE-ONU a Comitetului de experți RID și a Grupului de lucru privind transportul mărfurilor periculoase, cu ocazia: </w:t>
      </w:r>
    </w:p>
    <w:p w:rsidR="00174C3E" w:rsidRPr="005B4C08" w:rsidRDefault="00174C3E" w:rsidP="006E3DF8">
      <w:pPr>
        <w:pStyle w:val="Point0"/>
        <w:rPr>
          <w:noProof/>
        </w:rPr>
      </w:pPr>
      <w:r>
        <w:rPr>
          <w:noProof/>
        </w:rPr>
        <w:t>(1)</w:t>
      </w:r>
      <w:r>
        <w:rPr>
          <w:noProof/>
        </w:rPr>
        <w:tab/>
      </w:r>
      <w:r w:rsidRPr="005B4C08">
        <w:rPr>
          <w:noProof/>
        </w:rPr>
        <w:t xml:space="preserve">sesiunii de primăvară 2024, de la Berna, 25-28 martie 2024; </w:t>
      </w:r>
    </w:p>
    <w:p w:rsidR="00174C3E" w:rsidRPr="005B4C08" w:rsidRDefault="00174C3E" w:rsidP="006E3DF8">
      <w:pPr>
        <w:pStyle w:val="Point0"/>
        <w:rPr>
          <w:noProof/>
        </w:rPr>
      </w:pPr>
      <w:r>
        <w:rPr>
          <w:noProof/>
        </w:rPr>
        <w:t>(2)</w:t>
      </w:r>
      <w:r>
        <w:rPr>
          <w:noProof/>
        </w:rPr>
        <w:tab/>
      </w:r>
      <w:r w:rsidRPr="005B4C08">
        <w:rPr>
          <w:noProof/>
        </w:rPr>
        <w:t xml:space="preserve">sesiunii de toamnă 2024, de la Geneva, 10-13 septembrie 2024; </w:t>
      </w:r>
    </w:p>
    <w:p w:rsidR="00777B93" w:rsidRPr="005B4C08" w:rsidRDefault="00777B93" w:rsidP="00777B93">
      <w:pPr>
        <w:pStyle w:val="Point0"/>
        <w:rPr>
          <w:noProof/>
        </w:rPr>
      </w:pPr>
      <w:r>
        <w:rPr>
          <w:noProof/>
        </w:rPr>
        <w:t>(3)</w:t>
      </w:r>
      <w:r>
        <w:rPr>
          <w:noProof/>
        </w:rPr>
        <w:tab/>
      </w:r>
      <w:r w:rsidRPr="005B4C08">
        <w:rPr>
          <w:noProof/>
        </w:rPr>
        <w:t xml:space="preserve">sesiunii de primăvară 2025, de la Berna, 24-28 martie 2025; </w:t>
      </w:r>
    </w:p>
    <w:p w:rsidR="00777B93" w:rsidRPr="005B4C08" w:rsidRDefault="00777B93" w:rsidP="00777B93">
      <w:pPr>
        <w:pStyle w:val="Point0"/>
        <w:rPr>
          <w:noProof/>
        </w:rPr>
      </w:pPr>
      <w:r>
        <w:rPr>
          <w:noProof/>
        </w:rPr>
        <w:t>(4)</w:t>
      </w:r>
      <w:r>
        <w:rPr>
          <w:noProof/>
        </w:rPr>
        <w:tab/>
      </w:r>
      <w:r w:rsidRPr="005B4C08">
        <w:rPr>
          <w:noProof/>
        </w:rPr>
        <w:t xml:space="preserve">sesiunii de toamnă 2025, de la Geneva, 17-25 septembrie 2025; </w:t>
      </w:r>
    </w:p>
    <w:p w:rsidR="00174C3E" w:rsidRPr="005B4C08" w:rsidRDefault="00174C3E" w:rsidP="006E3DF8">
      <w:pPr>
        <w:pStyle w:val="Point0"/>
        <w:rPr>
          <w:noProof/>
        </w:rPr>
      </w:pPr>
      <w:r>
        <w:rPr>
          <w:noProof/>
        </w:rPr>
        <w:t>(5)</w:t>
      </w:r>
      <w:r>
        <w:rPr>
          <w:noProof/>
        </w:rPr>
        <w:tab/>
      </w:r>
      <w:r w:rsidRPr="005B4C08">
        <w:rPr>
          <w:noProof/>
        </w:rPr>
        <w:t>o altă sesiune a reuniunii comune va avea loc la Berna, în perioada 24-27 martie 2026;</w:t>
      </w:r>
    </w:p>
    <w:p w:rsidR="00174C3E" w:rsidRPr="005B4C08" w:rsidRDefault="00174C3E" w:rsidP="00174C3E">
      <w:pPr>
        <w:pStyle w:val="Tiret0"/>
        <w:rPr>
          <w:noProof/>
        </w:rPr>
      </w:pPr>
      <w:r w:rsidRPr="005B4C08">
        <w:rPr>
          <w:noProof/>
        </w:rPr>
        <w:t xml:space="preserve">în cadrul Grupului de lucru permanent al Comitetului de experți RID, cu ocazia: </w:t>
      </w:r>
    </w:p>
    <w:p w:rsidR="00174C3E" w:rsidRPr="005B4C08" w:rsidRDefault="00174C3E" w:rsidP="006E3DF8">
      <w:pPr>
        <w:pStyle w:val="Point0"/>
        <w:rPr>
          <w:noProof/>
        </w:rPr>
      </w:pPr>
      <w:r>
        <w:rPr>
          <w:noProof/>
        </w:rPr>
        <w:t>(1)</w:t>
      </w:r>
      <w:r>
        <w:rPr>
          <w:noProof/>
        </w:rPr>
        <w:tab/>
      </w:r>
      <w:r w:rsidRPr="005B4C08">
        <w:rPr>
          <w:noProof/>
        </w:rPr>
        <w:t>celei de a 18-a sesiuni, de la Madrid, 20-21 noiembrie 2024;</w:t>
      </w:r>
    </w:p>
    <w:p w:rsidR="009308AB" w:rsidRPr="005B4C08" w:rsidRDefault="00174C3E" w:rsidP="009F3BAB">
      <w:pPr>
        <w:pStyle w:val="Point0"/>
        <w:rPr>
          <w:noProof/>
        </w:rPr>
      </w:pPr>
      <w:r>
        <w:rPr>
          <w:noProof/>
        </w:rPr>
        <w:t>(2)</w:t>
      </w:r>
      <w:r>
        <w:rPr>
          <w:noProof/>
        </w:rPr>
        <w:tab/>
      </w:r>
      <w:r w:rsidRPr="005B4C08">
        <w:rPr>
          <w:noProof/>
        </w:rPr>
        <w:t>celei de a 19-a sesiuni, de la Luxemburg, 18-21 noiembrie 2025.</w:t>
      </w:r>
    </w:p>
    <w:p w:rsidR="004636CD" w:rsidRPr="005B4C08" w:rsidRDefault="00174C3E" w:rsidP="009F3BAB">
      <w:pPr>
        <w:rPr>
          <w:noProof/>
        </w:rPr>
      </w:pPr>
      <w:r w:rsidRPr="005B4C08">
        <w:rPr>
          <w:noProof/>
        </w:rPr>
        <w:t xml:space="preserve">Cu ocazia acestor reuniuni, comitetele de experți menționate mai sus au analizat și au prelucrat fiecare propunere de modificare în parte. În majoritatea cazurilor, măsurile </w:t>
      </w:r>
      <w:r w:rsidRPr="005B4C08">
        <w:rPr>
          <w:noProof/>
        </w:rPr>
        <w:lastRenderedPageBreak/>
        <w:t xml:space="preserve">recomandate s-au bucurat de un sprijin unanim. În cazul anumitor propuneri, recomandările sunt susținute de majoritatea experților. </w:t>
      </w:r>
    </w:p>
    <w:p w:rsidR="00843CB8" w:rsidRPr="005B4C08" w:rsidRDefault="005C0A39" w:rsidP="00843CB8">
      <w:pPr>
        <w:rPr>
          <w:noProof/>
        </w:rPr>
      </w:pPr>
      <w:r w:rsidRPr="005B4C08">
        <w:rPr>
          <w:noProof/>
        </w:rPr>
        <w:t xml:space="preserve">În conformitate cu articolul 35 din COTIF, odată adoptate de Comitetul de experți RID, modificările intră în vigoare pentru toate părțile contractante în prima zi a celei de a șasea luni care urmează datei la care secretarul general le-a notificat părților contractante. O parte contractantă poate formula o obiecție în termen de patru luni de la data notificării. În cazul în care un sfert dintre părțile contractante formulează obiecții, modificarea nu intră în vigoare. </w:t>
      </w:r>
    </w:p>
    <w:p w:rsidR="005C0A39" w:rsidRPr="005B4C08" w:rsidRDefault="00843CB8" w:rsidP="005C0A39">
      <w:pPr>
        <w:rPr>
          <w:noProof/>
        </w:rPr>
      </w:pPr>
      <w:r w:rsidRPr="005B4C08">
        <w:rPr>
          <w:noProof/>
        </w:rPr>
        <w:t>Articolul 38 din COTIF prevede că, în scopul exercitării dreptului de vot și a dreptului de opoziție prevăzut la articolul 35 alineatul (4), o organizație de integrare economică regională precum Uniunea Europeană „se bucură de un număr de voturi egal cu cel al membrilor săi care sunt de asemenea state membre ale organizației”.</w:t>
      </w:r>
    </w:p>
    <w:p w:rsidR="004636CD" w:rsidRPr="005B4C08" w:rsidRDefault="005C0A39" w:rsidP="009F3BAB">
      <w:pPr>
        <w:rPr>
          <w:noProof/>
        </w:rPr>
      </w:pPr>
      <w:r w:rsidRPr="005B4C08">
        <w:rPr>
          <w:noProof/>
        </w:rPr>
        <w:t xml:space="preserve">Cu excepția cazului în care părțile ridică un număr suficient de obiecții, modificările vizate de prezenta propunere ar trebui să intre în vigoare la 1 ianuarie 2027 și să devină obligatorii pentru Uniune și pentru statele membre, ca parte integrantă din acquis-ul Uniunii. </w:t>
      </w:r>
    </w:p>
    <w:p w:rsidR="00570608" w:rsidRPr="005B4C08" w:rsidRDefault="00570608" w:rsidP="00570608">
      <w:pPr>
        <w:pStyle w:val="ManualHeading1"/>
        <w:rPr>
          <w:rFonts w:eastAsia="Arial Unicode MS"/>
          <w:noProof/>
        </w:rPr>
      </w:pPr>
      <w:r>
        <w:rPr>
          <w:noProof/>
        </w:rPr>
        <w:t>3.</w:t>
      </w:r>
      <w:r>
        <w:rPr>
          <w:noProof/>
        </w:rPr>
        <w:tab/>
      </w:r>
      <w:r w:rsidRPr="005B4C08">
        <w:rPr>
          <w:noProof/>
        </w:rPr>
        <w:t>Poziția care trebuie adoptată în numele Uniunii</w:t>
      </w:r>
    </w:p>
    <w:p w:rsidR="00174C3E" w:rsidRPr="005B4C08" w:rsidRDefault="00174C3E" w:rsidP="00174C3E">
      <w:pPr>
        <w:rPr>
          <w:noProof/>
        </w:rPr>
      </w:pPr>
    </w:p>
    <w:p w:rsidR="005C0A39" w:rsidRPr="005B4C08" w:rsidRDefault="005C0A39" w:rsidP="004172EC">
      <w:pPr>
        <w:pStyle w:val="ManualHeading2"/>
        <w:rPr>
          <w:noProof/>
        </w:rPr>
      </w:pPr>
      <w:r>
        <w:rPr>
          <w:noProof/>
        </w:rPr>
        <w:t>3.1.</w:t>
      </w:r>
      <w:r>
        <w:rPr>
          <w:noProof/>
        </w:rPr>
        <w:tab/>
      </w:r>
      <w:r w:rsidRPr="005B4C08">
        <w:rPr>
          <w:noProof/>
        </w:rPr>
        <w:t>Competența exclusivă a Uniunii</w:t>
      </w:r>
    </w:p>
    <w:p w:rsidR="00B56172" w:rsidRPr="005B4C08" w:rsidRDefault="00B56172" w:rsidP="005C0A39">
      <w:pPr>
        <w:rPr>
          <w:noProof/>
        </w:rPr>
      </w:pPr>
      <w:r w:rsidRPr="005B4C08">
        <w:rPr>
          <w:noProof/>
        </w:rPr>
        <w:t>Uniunea este parte contractantă cu drepturi depline la COTIF.</w:t>
      </w:r>
    </w:p>
    <w:p w:rsidR="005C0A39" w:rsidRPr="005B4C08" w:rsidRDefault="00B56172" w:rsidP="005C0A39">
      <w:pPr>
        <w:rPr>
          <w:noProof/>
        </w:rPr>
      </w:pPr>
      <w:r w:rsidRPr="005B4C08">
        <w:rPr>
          <w:noProof/>
        </w:rPr>
        <w:t>În plus, articolul 1 din Directiva 2008/68/CE privind transportul interior de mărfuri periculoase</w:t>
      </w:r>
      <w:r w:rsidRPr="005B4C08">
        <w:rPr>
          <w:rStyle w:val="FootnoteReference"/>
          <w:noProof/>
        </w:rPr>
        <w:footnoteReference w:id="5"/>
      </w:r>
      <w:r w:rsidRPr="005B4C08">
        <w:rPr>
          <w:noProof/>
        </w:rPr>
        <w:t xml:space="preserve"> prevede că anexa la RID se aplică transportului feroviar de mărfuri periculoase în interiorul statelor membre sau între acestea, cu excepția statelor membre care nu au un sistem feroviar. Articolul 4 din Directiva 2008/68/CE, referitor la țările terțe, stabilește că „transportul de mărfuri periculoase între statele membre și țări terțe este autorizat în măsura în care acesta respectă cerințele ADR</w:t>
      </w:r>
      <w:r w:rsidRPr="005B4C08">
        <w:rPr>
          <w:rStyle w:val="FootnoteReference"/>
          <w:noProof/>
        </w:rPr>
        <w:footnoteReference w:id="6"/>
      </w:r>
      <w:r w:rsidRPr="005B4C08">
        <w:rPr>
          <w:noProof/>
        </w:rPr>
        <w:t>, RID sau ADN</w:t>
      </w:r>
      <w:r w:rsidRPr="005B4C08">
        <w:rPr>
          <w:rStyle w:val="FootnoteReference"/>
          <w:noProof/>
        </w:rPr>
        <w:footnoteReference w:id="7"/>
      </w:r>
      <w:r w:rsidRPr="005B4C08">
        <w:rPr>
          <w:noProof/>
        </w:rPr>
        <w:t xml:space="preserve">, cu excepția cazului în care în anexe se prevede altfel”.  </w:t>
      </w:r>
    </w:p>
    <w:p w:rsidR="005C0A39" w:rsidRPr="005B4C08" w:rsidRDefault="004172EC" w:rsidP="00174C3E">
      <w:pPr>
        <w:rPr>
          <w:noProof/>
        </w:rPr>
      </w:pPr>
      <w:r w:rsidRPr="005B4C08">
        <w:rPr>
          <w:noProof/>
        </w:rPr>
        <w:t xml:space="preserve">În acest scop, Comisia a fost împuternicită să adapteze secțiunea II.1 din anexa II la Directiva 2008/68/CE, prin intermediul unui act delegat, în temeiul articolului 8 din directivă. </w:t>
      </w:r>
    </w:p>
    <w:p w:rsidR="00843CB8" w:rsidRPr="005B4C08" w:rsidRDefault="00843CB8" w:rsidP="00843CB8">
      <w:pPr>
        <w:rPr>
          <w:noProof/>
        </w:rPr>
      </w:pPr>
      <w:r w:rsidRPr="005B4C08">
        <w:rPr>
          <w:noProof/>
        </w:rPr>
        <w:t>Ar trebui menționat, de asemenea, faptul că Directiva 2008/68/CE se află pe lista instrumentelor Uniunii prin care Uniunea și-a exercitat competența și care erau în vigoare la momentul încheierii acordului dintre UE și OTIF</w:t>
      </w:r>
      <w:r w:rsidRPr="005B4C08">
        <w:rPr>
          <w:rStyle w:val="FootnoteReference"/>
          <w:noProof/>
        </w:rPr>
        <w:footnoteReference w:id="8"/>
      </w:r>
      <w:r w:rsidRPr="005B4C08">
        <w:rPr>
          <w:noProof/>
        </w:rPr>
        <w:t xml:space="preserve">. </w:t>
      </w:r>
    </w:p>
    <w:p w:rsidR="00843CB8" w:rsidRPr="005B4C08" w:rsidRDefault="00843CB8" w:rsidP="00174C3E">
      <w:pPr>
        <w:rPr>
          <w:noProof/>
        </w:rPr>
      </w:pPr>
    </w:p>
    <w:p w:rsidR="004E4F94" w:rsidRPr="005B4C08" w:rsidRDefault="004E4F94" w:rsidP="004E4F94">
      <w:pPr>
        <w:pStyle w:val="ManualHeading2"/>
        <w:rPr>
          <w:noProof/>
        </w:rPr>
      </w:pPr>
      <w:r>
        <w:rPr>
          <w:noProof/>
        </w:rPr>
        <w:t>3.2.</w:t>
      </w:r>
      <w:r>
        <w:rPr>
          <w:noProof/>
        </w:rPr>
        <w:tab/>
      </w:r>
      <w:r w:rsidRPr="005B4C08">
        <w:rPr>
          <w:noProof/>
        </w:rPr>
        <w:t xml:space="preserve">Poziția care trebuie adoptată </w:t>
      </w:r>
    </w:p>
    <w:p w:rsidR="003A2250" w:rsidRPr="005B4C08" w:rsidRDefault="003A2250" w:rsidP="00D82D10">
      <w:pPr>
        <w:rPr>
          <w:b/>
          <w:noProof/>
        </w:rPr>
      </w:pPr>
      <w:r w:rsidRPr="005B4C08">
        <w:rPr>
          <w:noProof/>
        </w:rPr>
        <w:t>Modificările aduse RID se înscriu integral în sfera de competență exclusivă a Uniunii și este necesar să se stabilească o poziție a Uniunii.</w:t>
      </w:r>
    </w:p>
    <w:p w:rsidR="002E4886" w:rsidRPr="005B4C08" w:rsidRDefault="00174C3E" w:rsidP="00174C3E">
      <w:pPr>
        <w:rPr>
          <w:noProof/>
        </w:rPr>
      </w:pPr>
      <w:r w:rsidRPr="005B4C08">
        <w:rPr>
          <w:noProof/>
        </w:rPr>
        <w:lastRenderedPageBreak/>
        <w:t xml:space="preserve">Modificările avute în vedere sunt considerate adecvate pentru a asigura transportul mărfurilor periculoase în condiții de siguranță și într-un mod eficace din punctul de vedere al costurilor, ținând cont de progresul tehnologic și, prin urmare, pot fi sprijinite.     </w:t>
      </w:r>
    </w:p>
    <w:p w:rsidR="00570608" w:rsidRPr="005B4C08" w:rsidRDefault="00570608" w:rsidP="009D52A1">
      <w:pPr>
        <w:pStyle w:val="ManualHeading1"/>
        <w:rPr>
          <w:noProof/>
        </w:rPr>
      </w:pPr>
      <w:r>
        <w:rPr>
          <w:noProof/>
        </w:rPr>
        <w:t>4.</w:t>
      </w:r>
      <w:r>
        <w:rPr>
          <w:noProof/>
        </w:rPr>
        <w:tab/>
      </w:r>
      <w:r w:rsidRPr="005B4C08">
        <w:rPr>
          <w:noProof/>
        </w:rPr>
        <w:t>Temeiul juridic</w:t>
      </w:r>
    </w:p>
    <w:p w:rsidR="00DC79D7" w:rsidRPr="005B4C08" w:rsidRDefault="00DC79D7" w:rsidP="00DC79D7">
      <w:pPr>
        <w:pStyle w:val="Text1"/>
        <w:rPr>
          <w:noProof/>
        </w:rPr>
      </w:pPr>
    </w:p>
    <w:p w:rsidR="00570608" w:rsidRPr="005B4C08" w:rsidRDefault="00570608" w:rsidP="009D52A1">
      <w:pPr>
        <w:pStyle w:val="ManualHeading2"/>
        <w:rPr>
          <w:noProof/>
        </w:rPr>
      </w:pPr>
      <w:r>
        <w:rPr>
          <w:noProof/>
        </w:rPr>
        <w:t>4.1.</w:t>
      </w:r>
      <w:r>
        <w:rPr>
          <w:noProof/>
        </w:rPr>
        <w:tab/>
      </w:r>
      <w:r w:rsidRPr="005B4C08">
        <w:rPr>
          <w:noProof/>
        </w:rPr>
        <w:t>Temeiul juridic procedural</w:t>
      </w:r>
    </w:p>
    <w:p w:rsidR="00570608" w:rsidRPr="005B4C08" w:rsidRDefault="00570608" w:rsidP="009D52A1">
      <w:pPr>
        <w:pStyle w:val="ManualHeading3"/>
        <w:rPr>
          <w:noProof/>
        </w:rPr>
      </w:pPr>
      <w:r>
        <w:rPr>
          <w:noProof/>
        </w:rPr>
        <w:t>4.1.1.</w:t>
      </w:r>
      <w:r>
        <w:rPr>
          <w:noProof/>
        </w:rPr>
        <w:tab/>
      </w:r>
      <w:r w:rsidRPr="005B4C08">
        <w:rPr>
          <w:noProof/>
        </w:rPr>
        <w:t>Principii</w:t>
      </w:r>
    </w:p>
    <w:p w:rsidR="00570608" w:rsidRPr="005B4C08" w:rsidRDefault="00570608" w:rsidP="009D52A1">
      <w:pPr>
        <w:rPr>
          <w:noProof/>
        </w:rPr>
      </w:pPr>
      <w:r w:rsidRPr="005B4C08">
        <w:rPr>
          <w:noProof/>
        </w:rPr>
        <w:t>Articolul 218 alineatul (9)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570608" w:rsidRPr="005B4C08" w:rsidRDefault="00570608" w:rsidP="009D52A1">
      <w:pPr>
        <w:rPr>
          <w:noProof/>
        </w:rPr>
      </w:pPr>
      <w:r w:rsidRPr="005B4C08">
        <w:rPr>
          <w:noProof/>
        </w:rPr>
        <w:t>Noțiunea de „acte cu efecte juridice” include actele care au efecte juridice în temeiul normelor de drept internațional aplicabile organismului în cauză. De asemenea, sunt incluse instrumentele care nu au un caracter obligatoriu în temeiul dreptului internațional, dar care „</w:t>
      </w:r>
      <w:r w:rsidRPr="005B4C08">
        <w:rPr>
          <w:i/>
          <w:noProof/>
        </w:rPr>
        <w:t>au vocația de a influența în mod decisiv conținutul reglementării adoptate de legiuitorul Uniunii</w:t>
      </w:r>
      <w:r w:rsidRPr="005B4C08">
        <w:rPr>
          <w:noProof/>
        </w:rPr>
        <w:t>”</w:t>
      </w:r>
      <w:r w:rsidRPr="005B4C08">
        <w:rPr>
          <w:rStyle w:val="FootnoteReference"/>
          <w:noProof/>
        </w:rPr>
        <w:footnoteReference w:id="9"/>
      </w:r>
      <w:r w:rsidRPr="005B4C08">
        <w:rPr>
          <w:noProof/>
        </w:rPr>
        <w:t>.</w:t>
      </w:r>
    </w:p>
    <w:p w:rsidR="00570608" w:rsidRPr="005B4C08" w:rsidRDefault="00570608" w:rsidP="009D52A1">
      <w:pPr>
        <w:pStyle w:val="ManualHeading3"/>
        <w:rPr>
          <w:noProof/>
        </w:rPr>
      </w:pPr>
      <w:r>
        <w:rPr>
          <w:noProof/>
        </w:rPr>
        <w:t>4.1.2.</w:t>
      </w:r>
      <w:r>
        <w:rPr>
          <w:noProof/>
        </w:rPr>
        <w:tab/>
      </w:r>
      <w:r w:rsidRPr="005B4C08">
        <w:rPr>
          <w:noProof/>
        </w:rPr>
        <w:t>Aplicarea la cazul în discuție</w:t>
      </w:r>
    </w:p>
    <w:p w:rsidR="005C0A39" w:rsidRPr="005B4C08" w:rsidRDefault="00570608" w:rsidP="009D52A1">
      <w:pPr>
        <w:rPr>
          <w:noProof/>
        </w:rPr>
      </w:pPr>
      <w:r w:rsidRPr="005B4C08">
        <w:rPr>
          <w:noProof/>
        </w:rPr>
        <w:t xml:space="preserve">Actul pe care urmează să îl adopte Comitetul de experți RID este un act cu efecte juridice. Actul avut în vedere va fi obligatoriu pentru Uniune în temeiul dreptului internațional în conformitate cu articolul 6 din RID, potrivit căruia anexa care urmează să fie modificată face parte integrantă din regulament. </w:t>
      </w:r>
    </w:p>
    <w:p w:rsidR="00570608" w:rsidRPr="005B4C08" w:rsidRDefault="00174C3E" w:rsidP="009D52A1">
      <w:pPr>
        <w:rPr>
          <w:noProof/>
        </w:rPr>
      </w:pPr>
      <w:r w:rsidRPr="005B4C08">
        <w:rPr>
          <w:noProof/>
        </w:rPr>
        <w:t xml:space="preserve">În plus, în conformitate cu articolul 1 din Directiva 2008/68/CE, anexa la RID se aplică transportului feroviar de mărfuri periculoase în interiorul statelor membre sau între acestea, cu excepția statelor membre care nu au un sistem feroviar. Articolul 4 din Directiva 2008/68/CE, referitor la țările terțe, stabilește că „transportul de mărfuri periculoase între statele membre și țări terțe este autorizat în măsura în care acesta respectă cerințele ADR, RID sau ADN, cu excepția cazului în care în anexe se prevede altfel”. </w:t>
      </w:r>
    </w:p>
    <w:p w:rsidR="00570608" w:rsidRPr="005B4C08" w:rsidRDefault="00570608" w:rsidP="009D52A1">
      <w:pPr>
        <w:rPr>
          <w:noProof/>
        </w:rPr>
      </w:pPr>
      <w:r w:rsidRPr="005B4C08">
        <w:rPr>
          <w:noProof/>
        </w:rPr>
        <w:t xml:space="preserve">Actul avut în vedere nu aduce completări sau modificări cadrului instituțional al acordului. </w:t>
      </w:r>
    </w:p>
    <w:p w:rsidR="00570608" w:rsidRPr="005B4C08" w:rsidRDefault="00570608" w:rsidP="009D52A1">
      <w:pPr>
        <w:rPr>
          <w:noProof/>
        </w:rPr>
      </w:pPr>
      <w:r w:rsidRPr="005B4C08">
        <w:rPr>
          <w:noProof/>
        </w:rPr>
        <w:t>Prin urmare, temeiul juridic procedural al propunerii de decizie este articolul 218 alineatul (9) din TFUE.</w:t>
      </w:r>
    </w:p>
    <w:p w:rsidR="00DC79D7" w:rsidRPr="005B4C08" w:rsidRDefault="00DC79D7" w:rsidP="009D52A1">
      <w:pPr>
        <w:rPr>
          <w:noProof/>
        </w:rPr>
      </w:pPr>
    </w:p>
    <w:p w:rsidR="00570608" w:rsidRPr="005B4C08" w:rsidRDefault="00570608" w:rsidP="009D52A1">
      <w:pPr>
        <w:pStyle w:val="ManualHeading2"/>
        <w:rPr>
          <w:noProof/>
        </w:rPr>
      </w:pPr>
      <w:r>
        <w:rPr>
          <w:noProof/>
        </w:rPr>
        <w:t>4.2.</w:t>
      </w:r>
      <w:r>
        <w:rPr>
          <w:noProof/>
        </w:rPr>
        <w:tab/>
      </w:r>
      <w:r w:rsidRPr="005B4C08">
        <w:rPr>
          <w:noProof/>
        </w:rPr>
        <w:t>Temeiul juridic material</w:t>
      </w:r>
    </w:p>
    <w:p w:rsidR="00174C3E" w:rsidRPr="005B4C08" w:rsidRDefault="00570608" w:rsidP="009D52A1">
      <w:pPr>
        <w:pStyle w:val="ManualHeading3"/>
        <w:rPr>
          <w:noProof/>
        </w:rPr>
      </w:pPr>
      <w:r>
        <w:rPr>
          <w:noProof/>
        </w:rPr>
        <w:t>4.2.1.</w:t>
      </w:r>
      <w:r>
        <w:rPr>
          <w:noProof/>
        </w:rPr>
        <w:tab/>
      </w:r>
      <w:r w:rsidRPr="005B4C08">
        <w:rPr>
          <w:noProof/>
        </w:rPr>
        <w:t>Principii</w:t>
      </w:r>
    </w:p>
    <w:p w:rsidR="00570608" w:rsidRPr="005B4C08" w:rsidRDefault="00570608" w:rsidP="009D52A1">
      <w:pPr>
        <w:rPr>
          <w:strike/>
          <w:noProof/>
        </w:rPr>
      </w:pPr>
      <w:r w:rsidRPr="005B4C08">
        <w:rPr>
          <w:noProof/>
        </w:rPr>
        <w:t>Temeiul juridic material al unei decizii adoptate în temeiul articolului 218 alineatul (9) din TFUE depinde în primul rând de obiectivul și de conținutul actului avut în vedere cu privire la care se adoptă o poziție în numele Uniunii.</w:t>
      </w:r>
    </w:p>
    <w:p w:rsidR="00570608" w:rsidRPr="005B4C08" w:rsidRDefault="00570608" w:rsidP="009D52A1">
      <w:pPr>
        <w:pStyle w:val="ManualHeading3"/>
        <w:rPr>
          <w:noProof/>
        </w:rPr>
      </w:pPr>
      <w:r>
        <w:rPr>
          <w:noProof/>
        </w:rPr>
        <w:t>4.2.2.</w:t>
      </w:r>
      <w:r>
        <w:rPr>
          <w:noProof/>
        </w:rPr>
        <w:tab/>
      </w:r>
      <w:r w:rsidRPr="005B4C08">
        <w:rPr>
          <w:noProof/>
        </w:rPr>
        <w:t>Aplicarea la cazul în discuție</w:t>
      </w:r>
    </w:p>
    <w:p w:rsidR="00174C3E" w:rsidRPr="005B4C08" w:rsidRDefault="00174C3E" w:rsidP="00174C3E">
      <w:pPr>
        <w:rPr>
          <w:noProof/>
        </w:rPr>
      </w:pPr>
      <w:r w:rsidRPr="005B4C08">
        <w:rPr>
          <w:noProof/>
        </w:rPr>
        <w:t xml:space="preserve">Principalul obiectiv și conținutul propunerii de decizie se referă la transportul feroviar de mărfuri periculoase. </w:t>
      </w:r>
    </w:p>
    <w:p w:rsidR="00174C3E" w:rsidRPr="005B4C08" w:rsidRDefault="00174C3E" w:rsidP="00174C3E">
      <w:pPr>
        <w:rPr>
          <w:noProof/>
        </w:rPr>
      </w:pPr>
      <w:r w:rsidRPr="005B4C08">
        <w:rPr>
          <w:noProof/>
        </w:rPr>
        <w:lastRenderedPageBreak/>
        <w:t xml:space="preserve">Prin urmare, temeiul juridic material al deciziei propuse este articolul 91 din TFUE. </w:t>
      </w:r>
    </w:p>
    <w:p w:rsidR="00DC79D7" w:rsidRPr="005B4C08" w:rsidRDefault="00DC79D7" w:rsidP="00174C3E">
      <w:pPr>
        <w:rPr>
          <w:noProof/>
        </w:rPr>
      </w:pPr>
    </w:p>
    <w:p w:rsidR="00570608" w:rsidRPr="005B4C08" w:rsidRDefault="00570608" w:rsidP="009D52A1">
      <w:pPr>
        <w:pStyle w:val="ManualHeading2"/>
        <w:rPr>
          <w:noProof/>
        </w:rPr>
      </w:pPr>
      <w:r>
        <w:rPr>
          <w:noProof/>
        </w:rPr>
        <w:t>4.3.</w:t>
      </w:r>
      <w:r>
        <w:rPr>
          <w:noProof/>
        </w:rPr>
        <w:tab/>
      </w:r>
      <w:r w:rsidRPr="005B4C08">
        <w:rPr>
          <w:noProof/>
        </w:rPr>
        <w:t>Concluzie</w:t>
      </w:r>
    </w:p>
    <w:p w:rsidR="00570608" w:rsidRPr="005B4C08" w:rsidRDefault="00570608" w:rsidP="009D52A1">
      <w:pPr>
        <w:rPr>
          <w:noProof/>
        </w:rPr>
      </w:pPr>
      <w:r w:rsidRPr="005B4C08">
        <w:rPr>
          <w:noProof/>
        </w:rPr>
        <w:t>Temeiul juridic al deciziei propuse trebuie să fie articolul 91, coroborat cu articolul 218 alineatul (9) din TFUE.</w:t>
      </w:r>
    </w:p>
    <w:p w:rsidR="00570608" w:rsidRPr="005B4C08" w:rsidRDefault="00570608" w:rsidP="009D52A1">
      <w:pPr>
        <w:pStyle w:val="ManualHeading1"/>
        <w:rPr>
          <w:noProof/>
        </w:rPr>
      </w:pPr>
      <w:r>
        <w:rPr>
          <w:noProof/>
        </w:rPr>
        <w:t>5.</w:t>
      </w:r>
      <w:r>
        <w:rPr>
          <w:noProof/>
        </w:rPr>
        <w:tab/>
      </w:r>
      <w:r w:rsidRPr="005B4C08">
        <w:rPr>
          <w:noProof/>
        </w:rPr>
        <w:t>Publicarea actului avut în vedere</w:t>
      </w:r>
    </w:p>
    <w:p w:rsidR="00DC79D7" w:rsidRPr="005B4C08" w:rsidRDefault="00DC79D7" w:rsidP="00DC79D7">
      <w:pPr>
        <w:pStyle w:val="Text1"/>
        <w:rPr>
          <w:noProof/>
        </w:rPr>
      </w:pPr>
    </w:p>
    <w:p w:rsidR="00570608" w:rsidRPr="005B4C08" w:rsidRDefault="00174C3E" w:rsidP="00174C3E">
      <w:pPr>
        <w:rPr>
          <w:noProof/>
        </w:rPr>
      </w:pPr>
      <w:r w:rsidRPr="005B4C08">
        <w:rPr>
          <w:noProof/>
        </w:rPr>
        <w:t xml:space="preserve">Întrucât propunerea de decizie a Comitetului de experți RID va modifica anexa la RID, este oportun să se publice informații cu privire la rezultatul reuniunii în Jurnalul Oficial al Uniunii Europene, după adoptarea acesteia. </w:t>
      </w:r>
    </w:p>
    <w:p w:rsidR="00570608" w:rsidRPr="005B4C08" w:rsidRDefault="00570608" w:rsidP="009D52A1">
      <w:pPr>
        <w:rPr>
          <w:noProof/>
        </w:rPr>
        <w:sectPr w:rsidR="00570608" w:rsidRPr="005B4C08" w:rsidSect="00BF1AA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0C34E8" w:rsidRDefault="002A7810">
      <w:pPr>
        <w:pStyle w:val="Rfrenceinterinstitutionnelle"/>
        <w:rPr>
          <w:noProof/>
        </w:rPr>
      </w:pPr>
      <w:r>
        <w:rPr>
          <w:noProof/>
        </w:rPr>
        <w:lastRenderedPageBreak/>
        <w:t>2026/0061 (NLE)</w:t>
      </w:r>
    </w:p>
    <w:p w:rsidR="00570608" w:rsidRPr="005B4C08" w:rsidRDefault="005B4C08" w:rsidP="005B4C08">
      <w:pPr>
        <w:pStyle w:val="Statut"/>
        <w:rPr>
          <w:noProof/>
        </w:rPr>
      </w:pPr>
      <w:r w:rsidRPr="005B4C08">
        <w:rPr>
          <w:noProof/>
        </w:rPr>
        <w:t>Propunere de</w:t>
      </w:r>
    </w:p>
    <w:p w:rsidR="00570608" w:rsidRPr="005B4C08" w:rsidRDefault="005B4C08" w:rsidP="005B4C08">
      <w:pPr>
        <w:pStyle w:val="Typedudocument"/>
        <w:rPr>
          <w:noProof/>
        </w:rPr>
      </w:pPr>
      <w:r w:rsidRPr="005B4C08">
        <w:rPr>
          <w:noProof/>
        </w:rPr>
        <w:t>DECIZIE A CONSILIULUI</w:t>
      </w:r>
    </w:p>
    <w:p w:rsidR="00570608" w:rsidRPr="005B4C08" w:rsidRDefault="005B4C08" w:rsidP="005B4C08">
      <w:pPr>
        <w:pStyle w:val="Titreobjet"/>
        <w:rPr>
          <w:noProof/>
        </w:rPr>
      </w:pPr>
      <w:r w:rsidRPr="005B4C08">
        <w:rPr>
          <w:noProof/>
        </w:rPr>
        <w:t>privind poziția care trebuie adoptată, în numele Uniunii Europene, în cadrul celei de a 59-a sesiuni a Comitetului de experți în domeniul transportului mărfurilor periculoase al Organizației Interguvernamentale pentru Transporturile Internaționale Feroviare, cu privire la anumite modificări aduse apendicelui C la Convenția privind transporturile internaționale feroviare</w:t>
      </w:r>
    </w:p>
    <w:p w:rsidR="00570608" w:rsidRPr="005B4C08" w:rsidRDefault="00570608" w:rsidP="009D52A1">
      <w:pPr>
        <w:pStyle w:val="Institutionquiagit"/>
        <w:rPr>
          <w:b/>
          <w:noProof/>
        </w:rPr>
      </w:pPr>
      <w:r w:rsidRPr="005B4C08">
        <w:rPr>
          <w:b/>
          <w:noProof/>
        </w:rPr>
        <w:t>CONSILIUL UNIUNII EUROPENE,</w:t>
      </w:r>
    </w:p>
    <w:p w:rsidR="00570608" w:rsidRPr="005B4C08" w:rsidRDefault="00570608" w:rsidP="009D52A1">
      <w:pPr>
        <w:rPr>
          <w:noProof/>
        </w:rPr>
      </w:pPr>
      <w:bookmarkStart w:id="1" w:name="_Hlk156912064"/>
      <w:r w:rsidRPr="005B4C08">
        <w:rPr>
          <w:noProof/>
        </w:rPr>
        <w:t>având în vedere Tratatul privind funcționarea Uniunii Europene, în special articolul 91 coroborat cu articolul 218 alineatul (9),</w:t>
      </w:r>
    </w:p>
    <w:p w:rsidR="00570608" w:rsidRPr="005B4C08" w:rsidRDefault="00570608" w:rsidP="009D52A1">
      <w:pPr>
        <w:rPr>
          <w:noProof/>
        </w:rPr>
      </w:pPr>
      <w:r w:rsidRPr="005B4C08">
        <w:rPr>
          <w:noProof/>
        </w:rPr>
        <w:t>având în vedere propunerea Comisiei Europene,</w:t>
      </w:r>
    </w:p>
    <w:p w:rsidR="00570608" w:rsidRPr="005B4C08" w:rsidRDefault="00570608" w:rsidP="009D52A1">
      <w:pPr>
        <w:rPr>
          <w:noProof/>
        </w:rPr>
      </w:pPr>
      <w:r w:rsidRPr="005B4C08">
        <w:rPr>
          <w:noProof/>
        </w:rPr>
        <w:t>întrucât:</w:t>
      </w:r>
    </w:p>
    <w:p w:rsidR="00174C3E" w:rsidRPr="005B4C08" w:rsidRDefault="00174C3E" w:rsidP="000A3EB9">
      <w:pPr>
        <w:pStyle w:val="ManualConsidrant"/>
        <w:rPr>
          <w:noProof/>
        </w:rPr>
      </w:pPr>
      <w:r>
        <w:rPr>
          <w:noProof/>
        </w:rPr>
        <w:t>(1)</w:t>
      </w:r>
      <w:r>
        <w:rPr>
          <w:noProof/>
        </w:rPr>
        <w:tab/>
      </w:r>
      <w:r w:rsidRPr="005B4C08">
        <w:rPr>
          <w:noProof/>
        </w:rPr>
        <w:t>Uniunea a aderat la Convenția privind transporturile internaționale feroviare din 9 mai 1980, astfel cum a fost modificată de Protocolul de la Vilnius din 3 iunie 1999 („COTIF”), prin Decizia 2013/103/UE a Consiliului</w:t>
      </w:r>
      <w:r w:rsidRPr="005B4C08">
        <w:rPr>
          <w:rStyle w:val="FootnoteReference"/>
          <w:noProof/>
        </w:rPr>
        <w:footnoteReference w:id="10"/>
      </w:r>
      <w:r w:rsidRPr="005B4C08">
        <w:rPr>
          <w:noProof/>
        </w:rPr>
        <w:t xml:space="preserve">. </w:t>
      </w:r>
    </w:p>
    <w:p w:rsidR="008F651C" w:rsidRPr="005B4C08" w:rsidRDefault="008F651C" w:rsidP="004172EC">
      <w:pPr>
        <w:pStyle w:val="ManualConsidrant"/>
        <w:rPr>
          <w:noProof/>
        </w:rPr>
      </w:pPr>
      <w:r>
        <w:rPr>
          <w:noProof/>
        </w:rPr>
        <w:t>(2)</w:t>
      </w:r>
      <w:r>
        <w:rPr>
          <w:noProof/>
        </w:rPr>
        <w:tab/>
      </w:r>
      <w:r w:rsidRPr="005B4C08">
        <w:rPr>
          <w:noProof/>
        </w:rPr>
        <w:t xml:space="preserve">În conformitate cu articolul 6 din COTIF, traficul feroviar internațional și admiterea materialului feroviar în traficul internațional sunt reglementate de normele enumerate în articolul respectiv, în special de „Regulamentul privind transportul internațional feroviar al mărfurilor periculoase (RID)”, care constituie apendicele C la convenție. </w:t>
      </w:r>
    </w:p>
    <w:p w:rsidR="008F651C" w:rsidRPr="005B4C08" w:rsidRDefault="008F651C" w:rsidP="0015400B">
      <w:pPr>
        <w:pStyle w:val="ManualConsidrant"/>
        <w:rPr>
          <w:noProof/>
        </w:rPr>
      </w:pPr>
      <w:r>
        <w:rPr>
          <w:noProof/>
        </w:rPr>
        <w:t>(3)</w:t>
      </w:r>
      <w:r>
        <w:rPr>
          <w:noProof/>
        </w:rPr>
        <w:tab/>
      </w:r>
      <w:r w:rsidRPr="005B4C08">
        <w:rPr>
          <w:noProof/>
        </w:rPr>
        <w:t>Directiva 2008/68/CE a Parlamentului European și a Consiliului</w:t>
      </w:r>
      <w:r w:rsidRPr="005B4C08">
        <w:rPr>
          <w:rStyle w:val="FootnoteReference"/>
          <w:noProof/>
        </w:rPr>
        <w:footnoteReference w:id="11"/>
      </w:r>
      <w:r w:rsidRPr="005B4C08">
        <w:rPr>
          <w:noProof/>
        </w:rPr>
        <w:t xml:space="preserve"> stabilește cerințe privind transportul rutier, feroviar sau pe căi navigabile interioare al mărfurilor periculoase în interiorul statelor membre sau între acestea, făcând trimitere la RID. </w:t>
      </w:r>
    </w:p>
    <w:p w:rsidR="00570608" w:rsidRPr="005B4C08" w:rsidRDefault="00FC4C3E" w:rsidP="00570608">
      <w:pPr>
        <w:pStyle w:val="ManualConsidrant"/>
        <w:rPr>
          <w:noProof/>
        </w:rPr>
      </w:pPr>
      <w:r>
        <w:rPr>
          <w:noProof/>
        </w:rPr>
        <w:t>(4)</w:t>
      </w:r>
      <w:r>
        <w:rPr>
          <w:noProof/>
        </w:rPr>
        <w:tab/>
      </w:r>
      <w:r w:rsidRPr="005B4C08">
        <w:rPr>
          <w:noProof/>
        </w:rPr>
        <w:t xml:space="preserve">În conformitate cu articolul 18 din COTIF, Comitetul de experți în domeniul transportului mărfurilor periculoase al Organizației Interguvernamentale pentru Transporturile Internaționale Feroviare („OTIF”) menționat la articolul 13 alineatul (1) litera (d) din COTIF („Comitetul de experți RID”) poate adopta modificări, printre altele, ale anexei la RID. </w:t>
      </w:r>
    </w:p>
    <w:p w:rsidR="00174C3E" w:rsidRPr="005B4C08" w:rsidRDefault="00570608">
      <w:pPr>
        <w:pStyle w:val="ManualConsidrant"/>
        <w:rPr>
          <w:noProof/>
        </w:rPr>
      </w:pPr>
      <w:r>
        <w:rPr>
          <w:noProof/>
        </w:rPr>
        <w:t>(5)</w:t>
      </w:r>
      <w:r>
        <w:rPr>
          <w:noProof/>
        </w:rPr>
        <w:tab/>
      </w:r>
      <w:r w:rsidRPr="005B4C08">
        <w:rPr>
          <w:noProof/>
        </w:rPr>
        <w:t>În decursul cele de a 59-a sesiuni ale sale din 28 mai 2026, Comitetul de experți RID urmează să adopte modificări în vederea adaptării anexei la RID la progresele științifice și tehnice.</w:t>
      </w:r>
    </w:p>
    <w:p w:rsidR="00174C3E" w:rsidRPr="005B4C08" w:rsidRDefault="00174C3E" w:rsidP="00174C3E">
      <w:pPr>
        <w:pStyle w:val="ManualConsidrant"/>
        <w:rPr>
          <w:noProof/>
        </w:rPr>
      </w:pPr>
      <w:r>
        <w:rPr>
          <w:noProof/>
        </w:rPr>
        <w:lastRenderedPageBreak/>
        <w:t>(6)</w:t>
      </w:r>
      <w:r>
        <w:rPr>
          <w:noProof/>
        </w:rPr>
        <w:tab/>
      </w:r>
      <w:r w:rsidRPr="005B4C08">
        <w:rPr>
          <w:noProof/>
        </w:rPr>
        <w:t>Este adecvat să se stabilească poziția care trebuie adoptată în numele Uniunii în cadrul Comitetului de experți RID, întrucât modificările aduse RID vor avea caracter obligatoriu pentru Uniune.</w:t>
      </w:r>
    </w:p>
    <w:p w:rsidR="008F651C" w:rsidRPr="005B4C08" w:rsidRDefault="008F651C" w:rsidP="008F651C">
      <w:pPr>
        <w:pStyle w:val="ManualConsidrant"/>
        <w:rPr>
          <w:noProof/>
        </w:rPr>
      </w:pPr>
      <w:r>
        <w:rPr>
          <w:noProof/>
        </w:rPr>
        <w:t>(7)</w:t>
      </w:r>
      <w:r>
        <w:rPr>
          <w:noProof/>
        </w:rPr>
        <w:tab/>
      </w:r>
      <w:r w:rsidRPr="005B4C08">
        <w:rPr>
          <w:noProof/>
        </w:rPr>
        <w:t>Modificările avute în vedere urmăresc să asigure transportul feroviar al mărfurilor periculoase în condiții de siguranță și în mod eficient, ținând totodată seama de progresele științifice și tehnice din acest sector și de dezvoltarea unor noi substanțe și articole care ar putea prezenta un pericol în timpul transportului.</w:t>
      </w:r>
    </w:p>
    <w:p w:rsidR="008F651C" w:rsidRPr="005B4C08" w:rsidRDefault="00466421" w:rsidP="00D82D10">
      <w:pPr>
        <w:pStyle w:val="ManualConsidrant"/>
        <w:rPr>
          <w:noProof/>
        </w:rPr>
      </w:pPr>
      <w:r>
        <w:rPr>
          <w:noProof/>
        </w:rPr>
        <w:t>(8)</w:t>
      </w:r>
      <w:r>
        <w:rPr>
          <w:noProof/>
        </w:rPr>
        <w:tab/>
      </w:r>
      <w:r w:rsidRPr="005B4C08">
        <w:rPr>
          <w:noProof/>
        </w:rPr>
        <w:t xml:space="preserve">Modificările avute în vedere sunt considerate adecvate pentru transportul mărfurilor periculoase în condiții de siguranță și într-un mod eficace din punctul de vedere al costurilor și, prin urmare, pot fi sprijinite. </w:t>
      </w:r>
    </w:p>
    <w:p w:rsidR="00182546" w:rsidRPr="005B4C08" w:rsidRDefault="00182546" w:rsidP="00494070">
      <w:pPr>
        <w:pStyle w:val="ManualConsidrant"/>
        <w:rPr>
          <w:noProof/>
        </w:rPr>
      </w:pPr>
      <w:r>
        <w:rPr>
          <w:noProof/>
        </w:rPr>
        <w:t>(9)</w:t>
      </w:r>
      <w:r>
        <w:rPr>
          <w:noProof/>
        </w:rPr>
        <w:tab/>
      </w:r>
      <w:r w:rsidRPr="005B4C08">
        <w:rPr>
          <w:noProof/>
        </w:rPr>
        <w:t xml:space="preserve">Modificările minore ale documentelor menționate în anexă pot fi convenite la nivel tehnic în cadrul celei de a 20-a sesiuni a grupului de lucru permanent al Comitetului de experți RID din 27 mai 2026, inclusiv pe baza recomandărilor emise în cadrul reuniunii comune a Comitetului de experți RID și a Grupului de lucru privind transportul mărfurilor periculoase din cadrul Comisiei Economice pentru Europa a Organizației Națiunilor Unite, </w:t>
      </w:r>
    </w:p>
    <w:bookmarkEnd w:id="1"/>
    <w:p w:rsidR="00F65501" w:rsidRPr="005B4C08" w:rsidRDefault="00F65501" w:rsidP="00D82D10">
      <w:pPr>
        <w:rPr>
          <w:noProof/>
        </w:rPr>
      </w:pPr>
    </w:p>
    <w:p w:rsidR="00570608" w:rsidRPr="005B4C08" w:rsidRDefault="00570608" w:rsidP="009D52A1">
      <w:pPr>
        <w:pStyle w:val="Formuledadoption"/>
        <w:rPr>
          <w:noProof/>
        </w:rPr>
      </w:pPr>
      <w:r w:rsidRPr="005B4C08">
        <w:rPr>
          <w:noProof/>
        </w:rPr>
        <w:t>ADOPTĂ PREZENTA DECIZIE:</w:t>
      </w:r>
    </w:p>
    <w:p w:rsidR="00570608" w:rsidRPr="005B4C08" w:rsidRDefault="00570608" w:rsidP="009D52A1">
      <w:pPr>
        <w:pStyle w:val="Titrearticle"/>
        <w:rPr>
          <w:noProof/>
        </w:rPr>
      </w:pPr>
      <w:r w:rsidRPr="005B4C08">
        <w:rPr>
          <w:noProof/>
        </w:rPr>
        <w:t>Articolul 1</w:t>
      </w:r>
    </w:p>
    <w:p w:rsidR="00570608" w:rsidRPr="005B4C08" w:rsidRDefault="00570608" w:rsidP="009D52A1">
      <w:pPr>
        <w:rPr>
          <w:noProof/>
        </w:rPr>
      </w:pPr>
      <w:r w:rsidRPr="005B4C08">
        <w:rPr>
          <w:noProof/>
        </w:rPr>
        <w:t>Poziția care trebuie adoptată în numele Uniunii cu ocazia celei de a 59-a sesiuni a Comitetului de experți în domeniul transportului mărfurilor periculoase („Comitetul de experți RID”) al Organizației pentru Transporturile Internaționale Feroviare în cadrul Convenției privind transporturile internaționale feroviare din 9 mai 1980, astfel cum a fost modificată prin Protocolul de la Vilnius din 3 iunie 1999, este stabilită în anexa la prezenta decizie.</w:t>
      </w:r>
    </w:p>
    <w:p w:rsidR="00715CBE" w:rsidRPr="005B4C08" w:rsidRDefault="00174C3E" w:rsidP="00D76BFF">
      <w:pPr>
        <w:rPr>
          <w:i/>
          <w:noProof/>
        </w:rPr>
      </w:pPr>
      <w:r w:rsidRPr="005B4C08">
        <w:rPr>
          <w:noProof/>
        </w:rPr>
        <w:t xml:space="preserve">Reprezentanții Uniunii în cadrul Comitetului de experți RID pot conveni asupra unor modificări minore ale documentelor menționate în anexă fără a mai fi necesară o nouă decizie a Consiliului. </w:t>
      </w:r>
    </w:p>
    <w:p w:rsidR="00570608" w:rsidRPr="005B4C08" w:rsidRDefault="00570608" w:rsidP="009D52A1">
      <w:pPr>
        <w:pStyle w:val="Titrearticle"/>
        <w:rPr>
          <w:noProof/>
        </w:rPr>
      </w:pPr>
      <w:r w:rsidRPr="005B4C08">
        <w:rPr>
          <w:noProof/>
        </w:rPr>
        <w:t xml:space="preserve">Articolul 2 </w:t>
      </w:r>
    </w:p>
    <w:p w:rsidR="00715CBE" w:rsidRPr="005B4C08" w:rsidRDefault="00104B8F" w:rsidP="0066500B">
      <w:pPr>
        <w:rPr>
          <w:iCs/>
          <w:noProof/>
        </w:rPr>
      </w:pPr>
      <w:r w:rsidRPr="005B4C08">
        <w:rPr>
          <w:noProof/>
        </w:rPr>
        <w:t xml:space="preserve">După adoptare, deciziile Comitetului de experți RID se publică în </w:t>
      </w:r>
      <w:r w:rsidRPr="005B4C08">
        <w:rPr>
          <w:i/>
          <w:noProof/>
        </w:rPr>
        <w:t>Jurnalul Oficial al Uniunii Europene</w:t>
      </w:r>
      <w:r w:rsidRPr="005B4C08">
        <w:rPr>
          <w:noProof/>
        </w:rPr>
        <w:t>, indicându-se data intrării lor în vigoare.</w:t>
      </w:r>
    </w:p>
    <w:p w:rsidR="00715CBE" w:rsidRPr="005B4C08" w:rsidRDefault="00715CBE" w:rsidP="00984AFC">
      <w:pPr>
        <w:rPr>
          <w:noProof/>
        </w:rPr>
      </w:pPr>
    </w:p>
    <w:p w:rsidR="00570608" w:rsidRPr="005B4C08" w:rsidRDefault="00570608" w:rsidP="00104B8F">
      <w:pPr>
        <w:jc w:val="center"/>
        <w:rPr>
          <w:noProof/>
        </w:rPr>
      </w:pPr>
      <w:r w:rsidRPr="005B4C08">
        <w:rPr>
          <w:i/>
          <w:noProof/>
        </w:rPr>
        <w:t>Articolul 3</w:t>
      </w:r>
    </w:p>
    <w:p w:rsidR="00570608" w:rsidRPr="005B4C08" w:rsidRDefault="00570608" w:rsidP="009D52A1">
      <w:pPr>
        <w:rPr>
          <w:noProof/>
        </w:rPr>
      </w:pPr>
      <w:r w:rsidRPr="005B4C08">
        <w:rPr>
          <w:noProof/>
        </w:rPr>
        <w:t>Prezenta decizie se adresează Comisiei.</w:t>
      </w:r>
    </w:p>
    <w:p w:rsidR="00570608" w:rsidRPr="005B4C08" w:rsidRDefault="005B4C08" w:rsidP="00F6556F">
      <w:pPr>
        <w:pStyle w:val="Fait"/>
        <w:rPr>
          <w:noProof/>
        </w:rPr>
      </w:pPr>
      <w:r>
        <w:rPr>
          <w:noProof/>
        </w:rPr>
        <w:t>Adoptată la Bruxelles,</w:t>
      </w:r>
    </w:p>
    <w:p w:rsidR="00570608" w:rsidRPr="005B4C08" w:rsidRDefault="00570608" w:rsidP="00F6556F">
      <w:pPr>
        <w:pStyle w:val="Institutionquisigne"/>
        <w:rPr>
          <w:noProof/>
        </w:rPr>
      </w:pPr>
      <w:r w:rsidRPr="005B4C08">
        <w:rPr>
          <w:noProof/>
        </w:rPr>
        <w:tab/>
        <w:t>Pentru Consiliu</w:t>
      </w:r>
    </w:p>
    <w:p w:rsidR="00570608" w:rsidRPr="005B4C08" w:rsidRDefault="00570608" w:rsidP="00570608">
      <w:pPr>
        <w:pStyle w:val="Personnequisigne"/>
        <w:rPr>
          <w:noProof/>
        </w:rPr>
      </w:pPr>
      <w:r w:rsidRPr="005B4C08">
        <w:rPr>
          <w:noProof/>
        </w:rPr>
        <w:tab/>
        <w:t>Președintele</w:t>
      </w:r>
    </w:p>
    <w:sectPr w:rsidR="00570608" w:rsidRPr="005B4C08" w:rsidSect="00BF1AA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C05" w:rsidRDefault="00571C05" w:rsidP="00570608">
      <w:pPr>
        <w:spacing w:before="0" w:after="0"/>
      </w:pPr>
      <w:r>
        <w:separator/>
      </w:r>
    </w:p>
  </w:endnote>
  <w:endnote w:type="continuationSeparator" w:id="0">
    <w:p w:rsidR="00571C05" w:rsidRDefault="00571C05" w:rsidP="005706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AA5" w:rsidRPr="00BF1AA5" w:rsidRDefault="00BF1AA5" w:rsidP="00BF1AA5">
    <w:pPr>
      <w:pStyle w:val="Footer"/>
      <w:rPr>
        <w:rFonts w:ascii="Arial" w:hAnsi="Arial" w:cs="Arial"/>
        <w:b/>
        <w:sz w:val="48"/>
      </w:rPr>
    </w:pPr>
    <w:r w:rsidRPr="00BF1AA5">
      <w:rPr>
        <w:rFonts w:ascii="Arial" w:hAnsi="Arial" w:cs="Arial"/>
        <w:b/>
        <w:sz w:val="48"/>
      </w:rPr>
      <w:t>RO</w:t>
    </w:r>
    <w:r w:rsidRPr="00BF1AA5">
      <w:rPr>
        <w:rFonts w:ascii="Arial" w:hAnsi="Arial" w:cs="Arial"/>
        <w:b/>
        <w:sz w:val="48"/>
      </w:rPr>
      <w:tab/>
    </w:r>
    <w:r w:rsidRPr="00BF1AA5">
      <w:rPr>
        <w:rFonts w:ascii="Arial" w:hAnsi="Arial" w:cs="Arial"/>
        <w:b/>
        <w:sz w:val="48"/>
      </w:rPr>
      <w:tab/>
    </w:r>
    <w:r w:rsidRPr="00BF1AA5">
      <w:tab/>
    </w:r>
    <w:r w:rsidRPr="00BF1AA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AA5" w:rsidRPr="00BF1AA5" w:rsidRDefault="00BF1AA5" w:rsidP="00BF1AA5">
    <w:pPr>
      <w:pStyle w:val="Footer"/>
      <w:rPr>
        <w:rFonts w:ascii="Arial" w:hAnsi="Arial" w:cs="Arial"/>
        <w:b/>
        <w:sz w:val="48"/>
      </w:rPr>
    </w:pPr>
    <w:r w:rsidRPr="00BF1AA5">
      <w:rPr>
        <w:rFonts w:ascii="Arial" w:hAnsi="Arial" w:cs="Arial"/>
        <w:b/>
        <w:sz w:val="48"/>
      </w:rPr>
      <w:t>RO</w:t>
    </w:r>
    <w:r w:rsidRPr="00BF1AA5">
      <w:rPr>
        <w:rFonts w:ascii="Arial" w:hAnsi="Arial" w:cs="Arial"/>
        <w:b/>
        <w:sz w:val="48"/>
      </w:rPr>
      <w:tab/>
    </w:r>
    <w:r w:rsidRPr="00BF1AA5">
      <w:rPr>
        <w:rFonts w:ascii="Arial" w:hAnsi="Arial" w:cs="Arial"/>
        <w:b/>
        <w:sz w:val="48"/>
      </w:rPr>
      <w:tab/>
    </w:r>
    <w:r w:rsidRPr="00BF1AA5">
      <w:tab/>
    </w:r>
    <w:r w:rsidRPr="00BF1AA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AA5" w:rsidRDefault="00BF1A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AA5" w:rsidRPr="00BF1AA5" w:rsidRDefault="00BF1AA5" w:rsidP="00BF1AA5">
    <w:pPr>
      <w:pStyle w:val="Footer"/>
      <w:rPr>
        <w:rFonts w:ascii="Arial" w:hAnsi="Arial" w:cs="Arial"/>
        <w:b/>
        <w:sz w:val="48"/>
      </w:rPr>
    </w:pPr>
    <w:r w:rsidRPr="00BF1AA5">
      <w:rPr>
        <w:rFonts w:ascii="Arial" w:hAnsi="Arial" w:cs="Arial"/>
        <w:b/>
        <w:sz w:val="48"/>
      </w:rPr>
      <w:t>RO</w:t>
    </w:r>
    <w:r w:rsidRPr="00BF1AA5">
      <w:rPr>
        <w:rFonts w:ascii="Arial" w:hAnsi="Arial" w:cs="Arial"/>
        <w:b/>
        <w:sz w:val="48"/>
      </w:rPr>
      <w:tab/>
    </w:r>
    <w:r>
      <w:fldChar w:fldCharType="begin"/>
    </w:r>
    <w:r>
      <w:instrText xml:space="preserve"> PAGE  \* MERGEFORMAT </w:instrText>
    </w:r>
    <w:r>
      <w:fldChar w:fldCharType="separate"/>
    </w:r>
    <w:r w:rsidR="00F6556F">
      <w:rPr>
        <w:noProof/>
      </w:rPr>
      <w:t>7</w:t>
    </w:r>
    <w:r>
      <w:fldChar w:fldCharType="end"/>
    </w:r>
    <w:r>
      <w:tab/>
    </w:r>
    <w:r w:rsidRPr="00BF1AA5">
      <w:tab/>
    </w:r>
    <w:r w:rsidRPr="00BF1AA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AA5" w:rsidRDefault="00BF1AA5" w:rsidP="00BF1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C05" w:rsidRDefault="00571C05" w:rsidP="00570608">
      <w:pPr>
        <w:spacing w:before="0" w:after="0"/>
      </w:pPr>
      <w:r>
        <w:separator/>
      </w:r>
    </w:p>
  </w:footnote>
  <w:footnote w:type="continuationSeparator" w:id="0">
    <w:p w:rsidR="00571C05" w:rsidRDefault="00571C05" w:rsidP="00570608">
      <w:pPr>
        <w:spacing w:before="0" w:after="0"/>
      </w:pPr>
      <w:r>
        <w:continuationSeparator/>
      </w:r>
    </w:p>
  </w:footnote>
  <w:footnote w:id="1">
    <w:p w:rsidR="005C0A39" w:rsidRPr="00B035F8" w:rsidRDefault="005C0A39" w:rsidP="005C0A39">
      <w:pPr>
        <w:pStyle w:val="FootnoteText"/>
      </w:pPr>
      <w:r>
        <w:rPr>
          <w:rStyle w:val="FootnoteReference"/>
        </w:rPr>
        <w:footnoteRef/>
      </w:r>
      <w:r>
        <w:tab/>
        <w:t>Decizia 2013/103/UE a Consiliului din 16 iunie 2011 privind semnarea și încheierea Acordului între Uniunea Europeană și Organizația Interguvernamentală pentru Transporturile Internaționale Feroviare privind aderarea Uniunii Europene la Convenția privind transporturile internaționale feroviare (COTIF) din 9 mai 1980, astfel cum a fost modificată prin Protocolul de la Vilnius din 3 iunie 1999, JO L 51, 23.2.2013, p. 1.</w:t>
      </w:r>
    </w:p>
  </w:footnote>
  <w:footnote w:id="2">
    <w:p w:rsidR="004636CD" w:rsidRPr="005B4C08" w:rsidRDefault="004636CD">
      <w:pPr>
        <w:pStyle w:val="FootnoteText"/>
        <w:rPr>
          <w:lang w:val="fr-BE"/>
        </w:rPr>
      </w:pPr>
      <w:r>
        <w:rPr>
          <w:rStyle w:val="FootnoteReference"/>
        </w:rPr>
        <w:footnoteRef/>
      </w:r>
      <w:r w:rsidRPr="005B4C08">
        <w:rPr>
          <w:lang w:val="fr-BE"/>
        </w:rPr>
        <w:tab/>
        <w:t>Articolul 42 alineatul (1) din COTIF.</w:t>
      </w:r>
    </w:p>
  </w:footnote>
  <w:footnote w:id="3">
    <w:p w:rsidR="0062089B" w:rsidRPr="005B4C08" w:rsidRDefault="0062089B" w:rsidP="0062089B">
      <w:pPr>
        <w:pStyle w:val="FootnoteText"/>
        <w:rPr>
          <w:lang w:val="fr-BE"/>
        </w:rPr>
      </w:pPr>
      <w:r>
        <w:rPr>
          <w:rStyle w:val="FootnoteReference"/>
        </w:rPr>
        <w:footnoteRef/>
      </w:r>
      <w:r w:rsidRPr="005B4C08">
        <w:rPr>
          <w:lang w:val="fr-BE"/>
        </w:rPr>
        <w:tab/>
        <w:t>În prezent, există 51 de state membre ale OTIF și 45 de state contractante ale RID.</w:t>
      </w:r>
    </w:p>
  </w:footnote>
  <w:footnote w:id="4">
    <w:p w:rsidR="00E00B6E" w:rsidRPr="005B4C08" w:rsidRDefault="00E00B6E" w:rsidP="00E00B6E">
      <w:pPr>
        <w:pStyle w:val="FootnoteText"/>
        <w:rPr>
          <w:lang w:val="fr-BE"/>
        </w:rPr>
      </w:pPr>
      <w:r>
        <w:rPr>
          <w:rStyle w:val="FootnoteReference"/>
        </w:rPr>
        <w:footnoteRef/>
      </w:r>
      <w:r w:rsidRPr="005B4C08">
        <w:rPr>
          <w:lang w:val="fr-BE"/>
        </w:rPr>
        <w:tab/>
        <w:t>Directiva 2008/68/CE a Parlamentului European și a Consiliului din 24 septembrie 2008 privind transportul interior de mărfuri periculoase, JO L 260, 30.9.2008, p. 13.</w:t>
      </w:r>
    </w:p>
  </w:footnote>
  <w:footnote w:id="5">
    <w:p w:rsidR="00E61672" w:rsidRPr="005B4C08" w:rsidRDefault="00E61672" w:rsidP="00E61672">
      <w:pPr>
        <w:pStyle w:val="FootnoteText"/>
        <w:rPr>
          <w:lang w:val="fr-BE"/>
        </w:rPr>
      </w:pPr>
      <w:r>
        <w:rPr>
          <w:rStyle w:val="FootnoteReference"/>
        </w:rPr>
        <w:footnoteRef/>
      </w:r>
      <w:r w:rsidRPr="005B4C08">
        <w:rPr>
          <w:lang w:val="fr-BE"/>
        </w:rPr>
        <w:tab/>
        <w:t>Directiva 2008/68/CE a Parlamentului European și a Consiliului din 24 septembrie 2008 privind transportul interior de mărfuri periculoase (JO L 260, 30.9.2008, p. 13, ELI: </w:t>
      </w:r>
      <w:hyperlink r:id="rId1" w:tooltip="Oferă acces la acest document prin identificatorul său uniform de resurse ELI." w:history="1">
        <w:r w:rsidRPr="005B4C08">
          <w:rPr>
            <w:lang w:val="fr-BE"/>
          </w:rPr>
          <w:t>http://data.europa.eu/eli/dir/2008/68/oj</w:t>
        </w:r>
      </w:hyperlink>
      <w:r w:rsidRPr="005B4C08">
        <w:rPr>
          <w:lang w:val="fr-BE"/>
        </w:rPr>
        <w:t>).</w:t>
      </w:r>
    </w:p>
  </w:footnote>
  <w:footnote w:id="6">
    <w:p w:rsidR="005C0A39" w:rsidRPr="005B4C08" w:rsidRDefault="005C0A39" w:rsidP="005C0A39">
      <w:pPr>
        <w:pStyle w:val="FootnoteText"/>
        <w:rPr>
          <w:lang w:val="fr-BE"/>
        </w:rPr>
      </w:pPr>
      <w:r>
        <w:rPr>
          <w:rStyle w:val="FootnoteReference"/>
        </w:rPr>
        <w:footnoteRef/>
      </w:r>
      <w:r w:rsidRPr="005B4C08">
        <w:rPr>
          <w:lang w:val="fr-BE"/>
        </w:rPr>
        <w:tab/>
        <w:t>Acordul european referitor la transportul rutier internațional al mărfurilor periculoase, încheiat la Geneva la 30 septembrie 1957.</w:t>
      </w:r>
    </w:p>
  </w:footnote>
  <w:footnote w:id="7">
    <w:p w:rsidR="005C0A39" w:rsidRPr="005B4C08" w:rsidRDefault="005C0A39" w:rsidP="005C0A39">
      <w:pPr>
        <w:pStyle w:val="FootnoteText"/>
        <w:rPr>
          <w:lang w:val="fr-BE"/>
        </w:rPr>
      </w:pPr>
      <w:r>
        <w:rPr>
          <w:rStyle w:val="FootnoteReference"/>
        </w:rPr>
        <w:footnoteRef/>
      </w:r>
      <w:r w:rsidRPr="005B4C08">
        <w:rPr>
          <w:lang w:val="fr-BE"/>
        </w:rPr>
        <w:tab/>
        <w:t>Acordul european privind transportul internațional al mărfurilor periculoase pe căi navigabile interioare, încheiat la Geneva la 26 mai 2000.</w:t>
      </w:r>
    </w:p>
  </w:footnote>
  <w:footnote w:id="8">
    <w:p w:rsidR="00F27578" w:rsidRPr="005B4C08" w:rsidRDefault="00F27578">
      <w:pPr>
        <w:pStyle w:val="FootnoteText"/>
        <w:rPr>
          <w:lang w:val="fr-BE"/>
        </w:rPr>
      </w:pPr>
      <w:r>
        <w:rPr>
          <w:rStyle w:val="FootnoteReference"/>
        </w:rPr>
        <w:footnoteRef/>
      </w:r>
      <w:r w:rsidRPr="005B4C08">
        <w:rPr>
          <w:lang w:val="fr-BE"/>
        </w:rPr>
        <w:tab/>
        <w:t>Apendicele la anexa I la Decizia 2013/103/UE a Consiliului din 16 iunie 2011.</w:t>
      </w:r>
    </w:p>
  </w:footnote>
  <w:footnote w:id="9">
    <w:p w:rsidR="00570608" w:rsidRPr="005B4C08" w:rsidRDefault="00570608" w:rsidP="009D52A1">
      <w:pPr>
        <w:pStyle w:val="FootnoteText"/>
        <w:rPr>
          <w:lang w:val="fr-BE"/>
        </w:rPr>
      </w:pPr>
      <w:r>
        <w:rPr>
          <w:rStyle w:val="FootnoteReference"/>
        </w:rPr>
        <w:footnoteRef/>
      </w:r>
      <w:r w:rsidRPr="005B4C08">
        <w:rPr>
          <w:lang w:val="fr-BE"/>
        </w:rPr>
        <w:tab/>
        <w:t xml:space="preserve">Hotărârea Curții de Justiție din 7 octombrie 2014, Germania/Consiliu, C-399/12, ECLI:EU:C:2014:2258, punctele 61 – 64. </w:t>
      </w:r>
    </w:p>
  </w:footnote>
  <w:footnote w:id="10">
    <w:p w:rsidR="006156D2" w:rsidRPr="005B4C08" w:rsidRDefault="006156D2">
      <w:pPr>
        <w:pStyle w:val="FootnoteText"/>
        <w:rPr>
          <w:lang w:val="fr-BE"/>
        </w:rPr>
      </w:pPr>
      <w:r>
        <w:rPr>
          <w:rStyle w:val="FootnoteReference"/>
        </w:rPr>
        <w:footnoteRef/>
      </w:r>
      <w:r w:rsidRPr="005B4C08">
        <w:rPr>
          <w:lang w:val="fr-BE"/>
        </w:rPr>
        <w:tab/>
        <w:t>Decizia 2013/103/UE a Consiliului din 16 iunie 2011 privind semnarea și încheierea Acordului între Uniunea Europeană și Organizația Interguvernamentală pentru Transporturile Internaționale Feroviare privind aderarea Uniunii Europene la Convenția privind transporturile internaționale feroviare (COTIF) din 9 mai 1980, astfel cum a fost modificată prin Protocolul de la Vilnius din 3 iunie 1999 (JO L 51, 23.2.2013, p. 1, ELI: </w:t>
      </w:r>
      <w:hyperlink r:id="rId2" w:tooltip="Oferă acces la acest document prin identificatorul său uniform de resurse ELI." w:history="1">
        <w:r w:rsidRPr="005B4C08">
          <w:rPr>
            <w:lang w:val="fr-BE"/>
          </w:rPr>
          <w:t>http://data.europa.eu/eli/dec/2013/103(1)/oj</w:t>
        </w:r>
      </w:hyperlink>
      <w:r w:rsidRPr="005B4C08">
        <w:rPr>
          <w:lang w:val="fr-BE"/>
        </w:rPr>
        <w:t>).</w:t>
      </w:r>
    </w:p>
  </w:footnote>
  <w:footnote w:id="11">
    <w:p w:rsidR="00E61672" w:rsidRPr="005B4C08" w:rsidRDefault="006156D2" w:rsidP="00E61672">
      <w:pPr>
        <w:pStyle w:val="FootnoteText"/>
        <w:rPr>
          <w:lang w:val="fr-BE"/>
        </w:rPr>
      </w:pPr>
      <w:r>
        <w:rPr>
          <w:rStyle w:val="FootnoteReference"/>
        </w:rPr>
        <w:footnoteRef/>
      </w:r>
      <w:r w:rsidRPr="005B4C08">
        <w:rPr>
          <w:lang w:val="fr-BE"/>
        </w:rPr>
        <w:tab/>
        <w:t>Directiva 2008/68/CE a Parlamentului European și a Consiliului din 24 septembrie 2008 privind transportul interior de mărfuri periculoase (JO L 260, 30.9.2008, p. 13, ELI: </w:t>
      </w:r>
      <w:hyperlink r:id="rId3" w:tooltip="Oferă acces la acest document prin identificatorul său uniform de resurse ELI." w:history="1">
        <w:r w:rsidRPr="005B4C08">
          <w:rPr>
            <w:lang w:val="fr-BE"/>
          </w:rPr>
          <w:t>http://data.europa.eu/eli/dir/2008/68/oj</w:t>
        </w:r>
      </w:hyperlink>
      <w:r w:rsidRPr="005B4C08">
        <w:rPr>
          <w:lang w:val="fr-BE"/>
        </w:rPr>
        <w:t>).</w:t>
      </w:r>
    </w:p>
    <w:p w:rsidR="006156D2" w:rsidRPr="005B4C08" w:rsidRDefault="006156D2">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AA5" w:rsidRDefault="00BF1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AA5" w:rsidRDefault="00BF1A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CCA31F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5C2C71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1A441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8826E3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2647B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6F0418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B6390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7484E6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1"/>
  </w:num>
  <w:num w:numId="13">
    <w:abstractNumId w:val="0"/>
  </w:num>
  <w:num w:numId="14">
    <w:abstractNumId w:val="22"/>
    <w:lvlOverride w:ilvl="0">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oNotTrackMoves/>
  <w:defaultTabStop w:val="720"/>
  <w:hyphenationZone w:val="425"/>
  <w:characterSpacingControl w:val="doNotCompress"/>
  <w:hdrShapeDefaults>
    <o:shapedefaults v:ext="edit" spidmax="8601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R_RefLast" w:val="0"/>
    <w:docVar w:name="DQCDateTime" w:val="2026-02-25 16:39: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F2FFA1D-B06A-4B51-8B13-7599C4C06F76"/>
    <w:docVar w:name="LW_COVERPAGE_TYPE" w:val="1"/>
    <w:docVar w:name="LW_CROSSREFERENCE" w:val="&lt;UNUSED&gt;"/>
    <w:docVar w:name="LW_DocType" w:val="COM"/>
    <w:docVar w:name="LW_EMISSION" w:val="26.2.2026"/>
    <w:docVar w:name="LW_EMISSION_ISODATE" w:val="2026-02-26"/>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1"/>
    <w:docVar w:name="LW_REF.II.NEW.CP_YEAR" w:val="2026"/>
    <w:docVar w:name="LW_REF.INST.NEW" w:val="COM"/>
    <w:docVar w:name="LW_REF.INST.NEW_ADOPTED" w:val="final"/>
    <w:docVar w:name="LW_REF.INST.NEW_TEXT" w:val="(2026) 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elei de a 59-a sesiuni a Comitetului de exper\u539?i în domeniul transportului m\u259?rfurilor periculoase al Organiza\u539?iei Interguvernamentale pentru Transporturile Interna\u539?ionale Feroviare, cu privire la anumite modific\u259?ri aduse apendicelui C la Conven\u539?ia privind transporturile interna\u539?ionale feroviare"/>
    <w:docVar w:name="LW_TYPE.DOC.CP" w:val="DECIZIE A CONSILIULUI"/>
    <w:docVar w:name="LwApiVersions" w:val="LW4CoDe 1.24.5.0; LW 9.2, Build 20251112"/>
  </w:docVars>
  <w:rsids>
    <w:rsidRoot w:val="00570608"/>
    <w:rsid w:val="00064783"/>
    <w:rsid w:val="000901F1"/>
    <w:rsid w:val="000A11DB"/>
    <w:rsid w:val="000A3EB9"/>
    <w:rsid w:val="000A65A0"/>
    <w:rsid w:val="000A7517"/>
    <w:rsid w:val="000C34E8"/>
    <w:rsid w:val="000C58F2"/>
    <w:rsid w:val="000D2209"/>
    <w:rsid w:val="000D4313"/>
    <w:rsid w:val="000E198E"/>
    <w:rsid w:val="000F342F"/>
    <w:rsid w:val="0010194F"/>
    <w:rsid w:val="00104B8F"/>
    <w:rsid w:val="00105089"/>
    <w:rsid w:val="00106516"/>
    <w:rsid w:val="00125777"/>
    <w:rsid w:val="001309D0"/>
    <w:rsid w:val="00150984"/>
    <w:rsid w:val="0015400B"/>
    <w:rsid w:val="001735F2"/>
    <w:rsid w:val="00174AEB"/>
    <w:rsid w:val="00174C3E"/>
    <w:rsid w:val="00175ECE"/>
    <w:rsid w:val="00182546"/>
    <w:rsid w:val="00183D54"/>
    <w:rsid w:val="001949B6"/>
    <w:rsid w:val="001A2FC4"/>
    <w:rsid w:val="001B2A51"/>
    <w:rsid w:val="001C2816"/>
    <w:rsid w:val="001C7D57"/>
    <w:rsid w:val="001E45A8"/>
    <w:rsid w:val="001E47FF"/>
    <w:rsid w:val="002003F7"/>
    <w:rsid w:val="0020300C"/>
    <w:rsid w:val="002034F7"/>
    <w:rsid w:val="002157E7"/>
    <w:rsid w:val="00225640"/>
    <w:rsid w:val="00226171"/>
    <w:rsid w:val="002539E9"/>
    <w:rsid w:val="00253DFB"/>
    <w:rsid w:val="0026166B"/>
    <w:rsid w:val="00267EB2"/>
    <w:rsid w:val="00292031"/>
    <w:rsid w:val="002B2C7C"/>
    <w:rsid w:val="002C1DCF"/>
    <w:rsid w:val="002E17F6"/>
    <w:rsid w:val="002E4886"/>
    <w:rsid w:val="002E748C"/>
    <w:rsid w:val="00303713"/>
    <w:rsid w:val="00304ACC"/>
    <w:rsid w:val="00307F6A"/>
    <w:rsid w:val="003242A6"/>
    <w:rsid w:val="00363610"/>
    <w:rsid w:val="003668BC"/>
    <w:rsid w:val="00367982"/>
    <w:rsid w:val="00373AE4"/>
    <w:rsid w:val="00374F17"/>
    <w:rsid w:val="0038583E"/>
    <w:rsid w:val="003A2250"/>
    <w:rsid w:val="003B5D66"/>
    <w:rsid w:val="003F01FC"/>
    <w:rsid w:val="003F453A"/>
    <w:rsid w:val="004172EC"/>
    <w:rsid w:val="00427781"/>
    <w:rsid w:val="004403C6"/>
    <w:rsid w:val="004504E8"/>
    <w:rsid w:val="004616CE"/>
    <w:rsid w:val="004636CD"/>
    <w:rsid w:val="00466421"/>
    <w:rsid w:val="00472DFA"/>
    <w:rsid w:val="00483863"/>
    <w:rsid w:val="00492E41"/>
    <w:rsid w:val="00494070"/>
    <w:rsid w:val="004940A2"/>
    <w:rsid w:val="00496F6B"/>
    <w:rsid w:val="004A5095"/>
    <w:rsid w:val="004C50BA"/>
    <w:rsid w:val="004C7A60"/>
    <w:rsid w:val="004E4F94"/>
    <w:rsid w:val="004F1B83"/>
    <w:rsid w:val="004F1CA9"/>
    <w:rsid w:val="004F66E4"/>
    <w:rsid w:val="0052112E"/>
    <w:rsid w:val="00523A05"/>
    <w:rsid w:val="005252ED"/>
    <w:rsid w:val="0055381B"/>
    <w:rsid w:val="0056316C"/>
    <w:rsid w:val="00570608"/>
    <w:rsid w:val="00571C05"/>
    <w:rsid w:val="005832B5"/>
    <w:rsid w:val="00587D49"/>
    <w:rsid w:val="0059517F"/>
    <w:rsid w:val="005A2030"/>
    <w:rsid w:val="005A47DD"/>
    <w:rsid w:val="005A7EDB"/>
    <w:rsid w:val="005B413F"/>
    <w:rsid w:val="005B4C08"/>
    <w:rsid w:val="005C0A39"/>
    <w:rsid w:val="005D4476"/>
    <w:rsid w:val="005D45C3"/>
    <w:rsid w:val="005D4F77"/>
    <w:rsid w:val="005E0B3C"/>
    <w:rsid w:val="005E3021"/>
    <w:rsid w:val="005E4805"/>
    <w:rsid w:val="00610C78"/>
    <w:rsid w:val="006156D2"/>
    <w:rsid w:val="0062089B"/>
    <w:rsid w:val="0062494E"/>
    <w:rsid w:val="006270A0"/>
    <w:rsid w:val="00631A81"/>
    <w:rsid w:val="006470FB"/>
    <w:rsid w:val="00652883"/>
    <w:rsid w:val="00663933"/>
    <w:rsid w:val="0066500B"/>
    <w:rsid w:val="00673A67"/>
    <w:rsid w:val="00680D8A"/>
    <w:rsid w:val="006813DD"/>
    <w:rsid w:val="0068458E"/>
    <w:rsid w:val="006965CC"/>
    <w:rsid w:val="006A54CA"/>
    <w:rsid w:val="006A6230"/>
    <w:rsid w:val="006C2509"/>
    <w:rsid w:val="006C3200"/>
    <w:rsid w:val="006C6BD2"/>
    <w:rsid w:val="006D106A"/>
    <w:rsid w:val="006D3A53"/>
    <w:rsid w:val="006E3DF8"/>
    <w:rsid w:val="006F1675"/>
    <w:rsid w:val="006F72C7"/>
    <w:rsid w:val="0070128F"/>
    <w:rsid w:val="0070666B"/>
    <w:rsid w:val="00715CBE"/>
    <w:rsid w:val="00734196"/>
    <w:rsid w:val="00734655"/>
    <w:rsid w:val="00767320"/>
    <w:rsid w:val="0077305E"/>
    <w:rsid w:val="00774269"/>
    <w:rsid w:val="00777B93"/>
    <w:rsid w:val="00787011"/>
    <w:rsid w:val="00796F1D"/>
    <w:rsid w:val="007A0264"/>
    <w:rsid w:val="007B6AA3"/>
    <w:rsid w:val="007C06F6"/>
    <w:rsid w:val="007D6DE8"/>
    <w:rsid w:val="007E56D8"/>
    <w:rsid w:val="007F01DF"/>
    <w:rsid w:val="007F3257"/>
    <w:rsid w:val="0080223C"/>
    <w:rsid w:val="008068B8"/>
    <w:rsid w:val="0081166F"/>
    <w:rsid w:val="008341FE"/>
    <w:rsid w:val="00843CB8"/>
    <w:rsid w:val="008440D4"/>
    <w:rsid w:val="00844E2F"/>
    <w:rsid w:val="00850F19"/>
    <w:rsid w:val="00857007"/>
    <w:rsid w:val="008B0E60"/>
    <w:rsid w:val="008D0C82"/>
    <w:rsid w:val="008D1E20"/>
    <w:rsid w:val="008E64F1"/>
    <w:rsid w:val="008F651C"/>
    <w:rsid w:val="0090555A"/>
    <w:rsid w:val="0091047A"/>
    <w:rsid w:val="00920F74"/>
    <w:rsid w:val="00921300"/>
    <w:rsid w:val="009308AB"/>
    <w:rsid w:val="00945CB2"/>
    <w:rsid w:val="00952322"/>
    <w:rsid w:val="00952958"/>
    <w:rsid w:val="00960A5D"/>
    <w:rsid w:val="00967237"/>
    <w:rsid w:val="00976C7C"/>
    <w:rsid w:val="009843C0"/>
    <w:rsid w:val="00984AFC"/>
    <w:rsid w:val="0098603A"/>
    <w:rsid w:val="00986B33"/>
    <w:rsid w:val="00987AD5"/>
    <w:rsid w:val="009903C5"/>
    <w:rsid w:val="009A50B5"/>
    <w:rsid w:val="009B7138"/>
    <w:rsid w:val="009D52A1"/>
    <w:rsid w:val="009D53BD"/>
    <w:rsid w:val="009D7311"/>
    <w:rsid w:val="009E5C64"/>
    <w:rsid w:val="009F09BA"/>
    <w:rsid w:val="009F3BAB"/>
    <w:rsid w:val="00A02EA3"/>
    <w:rsid w:val="00A17136"/>
    <w:rsid w:val="00A20F0A"/>
    <w:rsid w:val="00A2469C"/>
    <w:rsid w:val="00A369D8"/>
    <w:rsid w:val="00A44961"/>
    <w:rsid w:val="00A50830"/>
    <w:rsid w:val="00A50D3D"/>
    <w:rsid w:val="00A67B95"/>
    <w:rsid w:val="00A713F7"/>
    <w:rsid w:val="00A76D51"/>
    <w:rsid w:val="00A92DF9"/>
    <w:rsid w:val="00AA798B"/>
    <w:rsid w:val="00AB4D01"/>
    <w:rsid w:val="00AB69A8"/>
    <w:rsid w:val="00AD401A"/>
    <w:rsid w:val="00AD51AF"/>
    <w:rsid w:val="00AD53DD"/>
    <w:rsid w:val="00AD57BE"/>
    <w:rsid w:val="00AE1B53"/>
    <w:rsid w:val="00B0268C"/>
    <w:rsid w:val="00B24A94"/>
    <w:rsid w:val="00B26DB3"/>
    <w:rsid w:val="00B44BBF"/>
    <w:rsid w:val="00B46262"/>
    <w:rsid w:val="00B52184"/>
    <w:rsid w:val="00B56172"/>
    <w:rsid w:val="00B61DB0"/>
    <w:rsid w:val="00B65E64"/>
    <w:rsid w:val="00B760B9"/>
    <w:rsid w:val="00B93844"/>
    <w:rsid w:val="00B94F86"/>
    <w:rsid w:val="00B95C3F"/>
    <w:rsid w:val="00BB4729"/>
    <w:rsid w:val="00BB65BA"/>
    <w:rsid w:val="00BD4874"/>
    <w:rsid w:val="00BE246D"/>
    <w:rsid w:val="00BE73C8"/>
    <w:rsid w:val="00BF17AA"/>
    <w:rsid w:val="00BF1AA5"/>
    <w:rsid w:val="00C13521"/>
    <w:rsid w:val="00C24556"/>
    <w:rsid w:val="00C24AB7"/>
    <w:rsid w:val="00C41EA0"/>
    <w:rsid w:val="00C42144"/>
    <w:rsid w:val="00C4609B"/>
    <w:rsid w:val="00C46AA5"/>
    <w:rsid w:val="00C51AE3"/>
    <w:rsid w:val="00C6635D"/>
    <w:rsid w:val="00C950DE"/>
    <w:rsid w:val="00C97D26"/>
    <w:rsid w:val="00CD11E8"/>
    <w:rsid w:val="00CF5945"/>
    <w:rsid w:val="00D02A02"/>
    <w:rsid w:val="00D2563A"/>
    <w:rsid w:val="00D45878"/>
    <w:rsid w:val="00D54540"/>
    <w:rsid w:val="00D62A2F"/>
    <w:rsid w:val="00D76878"/>
    <w:rsid w:val="00D76BFF"/>
    <w:rsid w:val="00D779F3"/>
    <w:rsid w:val="00D81A94"/>
    <w:rsid w:val="00D82D10"/>
    <w:rsid w:val="00D83657"/>
    <w:rsid w:val="00D855EE"/>
    <w:rsid w:val="00D95B13"/>
    <w:rsid w:val="00DA10D3"/>
    <w:rsid w:val="00DB203B"/>
    <w:rsid w:val="00DC79D7"/>
    <w:rsid w:val="00DF12F1"/>
    <w:rsid w:val="00DF553F"/>
    <w:rsid w:val="00DF6289"/>
    <w:rsid w:val="00E00B6E"/>
    <w:rsid w:val="00E141DF"/>
    <w:rsid w:val="00E16BE0"/>
    <w:rsid w:val="00E216D8"/>
    <w:rsid w:val="00E32E79"/>
    <w:rsid w:val="00E36B08"/>
    <w:rsid w:val="00E600C0"/>
    <w:rsid w:val="00E61672"/>
    <w:rsid w:val="00E92B8F"/>
    <w:rsid w:val="00EA6EF0"/>
    <w:rsid w:val="00EB062A"/>
    <w:rsid w:val="00EB4752"/>
    <w:rsid w:val="00EC7FFD"/>
    <w:rsid w:val="00ED3E9A"/>
    <w:rsid w:val="00ED569E"/>
    <w:rsid w:val="00ED5B6E"/>
    <w:rsid w:val="00ED5BF1"/>
    <w:rsid w:val="00EE300C"/>
    <w:rsid w:val="00EE407C"/>
    <w:rsid w:val="00EE7F9D"/>
    <w:rsid w:val="00EF11D6"/>
    <w:rsid w:val="00F20062"/>
    <w:rsid w:val="00F2174D"/>
    <w:rsid w:val="00F27578"/>
    <w:rsid w:val="00F345CC"/>
    <w:rsid w:val="00F41B16"/>
    <w:rsid w:val="00F46C9B"/>
    <w:rsid w:val="00F55DD4"/>
    <w:rsid w:val="00F65501"/>
    <w:rsid w:val="00F6556F"/>
    <w:rsid w:val="00F707A1"/>
    <w:rsid w:val="00F90DA9"/>
    <w:rsid w:val="00FA121A"/>
    <w:rsid w:val="00FA4C41"/>
    <w:rsid w:val="00FB68C0"/>
    <w:rsid w:val="00FC1CE0"/>
    <w:rsid w:val="00FC2A8C"/>
    <w:rsid w:val="00FC4C3E"/>
    <w:rsid w:val="00FD10D4"/>
    <w:rsid w:val="00FD1AEB"/>
    <w:rsid w:val="00FE1ED9"/>
    <w:rsid w:val="00FE7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5:docId w15:val="{4478567B-02F3-427C-A975-EBACE2F5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A4C41"/>
    <w:pPr>
      <w:numPr>
        <w:numId w:val="3"/>
      </w:numPr>
      <w:contextualSpacing/>
    </w:pPr>
  </w:style>
  <w:style w:type="paragraph" w:styleId="ListBullet2">
    <w:name w:val="List Bullet 2"/>
    <w:basedOn w:val="Normal"/>
    <w:uiPriority w:val="99"/>
    <w:semiHidden/>
    <w:unhideWhenUsed/>
    <w:rsid w:val="00FA4C41"/>
    <w:pPr>
      <w:numPr>
        <w:numId w:val="4"/>
      </w:numPr>
      <w:contextualSpacing/>
    </w:pPr>
  </w:style>
  <w:style w:type="paragraph" w:styleId="ListBullet3">
    <w:name w:val="List Bullet 3"/>
    <w:basedOn w:val="Normal"/>
    <w:uiPriority w:val="99"/>
    <w:semiHidden/>
    <w:unhideWhenUsed/>
    <w:rsid w:val="00FA4C41"/>
    <w:pPr>
      <w:numPr>
        <w:numId w:val="5"/>
      </w:numPr>
      <w:contextualSpacing/>
    </w:pPr>
  </w:style>
  <w:style w:type="paragraph" w:styleId="ListBullet4">
    <w:name w:val="List Bullet 4"/>
    <w:basedOn w:val="Normal"/>
    <w:uiPriority w:val="99"/>
    <w:semiHidden/>
    <w:unhideWhenUsed/>
    <w:rsid w:val="00FA4C41"/>
    <w:pPr>
      <w:numPr>
        <w:numId w:val="6"/>
      </w:numPr>
      <w:contextualSpacing/>
    </w:pPr>
  </w:style>
  <w:style w:type="paragraph" w:styleId="Caption">
    <w:name w:val="caption"/>
    <w:basedOn w:val="Normal"/>
    <w:next w:val="Normal"/>
    <w:uiPriority w:val="35"/>
    <w:semiHidden/>
    <w:unhideWhenUsed/>
    <w:qFormat/>
    <w:rsid w:val="00C41EA0"/>
    <w:pPr>
      <w:spacing w:before="0" w:after="200"/>
    </w:pPr>
    <w:rPr>
      <w:i/>
      <w:iCs/>
      <w:color w:val="1F497D"/>
      <w:sz w:val="18"/>
      <w:szCs w:val="18"/>
    </w:rPr>
  </w:style>
  <w:style w:type="paragraph" w:styleId="TableofFigures">
    <w:name w:val="table of figures"/>
    <w:basedOn w:val="Normal"/>
    <w:next w:val="Normal"/>
    <w:uiPriority w:val="99"/>
    <w:semiHidden/>
    <w:unhideWhenUsed/>
    <w:rsid w:val="00C41EA0"/>
    <w:pPr>
      <w:spacing w:after="0"/>
    </w:pPr>
  </w:style>
  <w:style w:type="paragraph" w:styleId="ListNumber">
    <w:name w:val="List Number"/>
    <w:basedOn w:val="Normal"/>
    <w:uiPriority w:val="99"/>
    <w:semiHidden/>
    <w:unhideWhenUsed/>
    <w:rsid w:val="00C41EA0"/>
    <w:pPr>
      <w:numPr>
        <w:numId w:val="10"/>
      </w:numPr>
      <w:contextualSpacing/>
    </w:pPr>
  </w:style>
  <w:style w:type="paragraph" w:styleId="ListNumber2">
    <w:name w:val="List Number 2"/>
    <w:basedOn w:val="Normal"/>
    <w:uiPriority w:val="99"/>
    <w:semiHidden/>
    <w:unhideWhenUsed/>
    <w:rsid w:val="00C41EA0"/>
    <w:pPr>
      <w:numPr>
        <w:numId w:val="11"/>
      </w:numPr>
      <w:contextualSpacing/>
    </w:pPr>
  </w:style>
  <w:style w:type="paragraph" w:styleId="ListNumber3">
    <w:name w:val="List Number 3"/>
    <w:basedOn w:val="Normal"/>
    <w:uiPriority w:val="99"/>
    <w:semiHidden/>
    <w:unhideWhenUsed/>
    <w:rsid w:val="00C41EA0"/>
    <w:pPr>
      <w:numPr>
        <w:numId w:val="12"/>
      </w:numPr>
      <w:contextualSpacing/>
    </w:pPr>
  </w:style>
  <w:style w:type="paragraph" w:styleId="ListNumber4">
    <w:name w:val="List Number 4"/>
    <w:basedOn w:val="Normal"/>
    <w:uiPriority w:val="99"/>
    <w:semiHidden/>
    <w:unhideWhenUsed/>
    <w:rsid w:val="00C41EA0"/>
    <w:pPr>
      <w:numPr>
        <w:numId w:val="13"/>
      </w:numPr>
      <w:contextualSpacing/>
    </w:pPr>
  </w:style>
  <w:style w:type="character" w:styleId="CommentReference">
    <w:name w:val="annotation reference"/>
    <w:uiPriority w:val="99"/>
    <w:semiHidden/>
    <w:unhideWhenUsed/>
    <w:rsid w:val="009F3BAB"/>
    <w:rPr>
      <w:sz w:val="16"/>
      <w:szCs w:val="16"/>
    </w:rPr>
  </w:style>
  <w:style w:type="paragraph" w:styleId="CommentText">
    <w:name w:val="annotation text"/>
    <w:basedOn w:val="Normal"/>
    <w:link w:val="CommentTextChar"/>
    <w:uiPriority w:val="99"/>
    <w:semiHidden/>
    <w:unhideWhenUsed/>
    <w:rsid w:val="009F3BAB"/>
    <w:rPr>
      <w:sz w:val="20"/>
      <w:szCs w:val="20"/>
    </w:rPr>
  </w:style>
  <w:style w:type="character" w:customStyle="1" w:styleId="CommentTextChar">
    <w:name w:val="Comment Text Char"/>
    <w:link w:val="CommentText"/>
    <w:uiPriority w:val="99"/>
    <w:semiHidden/>
    <w:rsid w:val="009F3BAB"/>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F3BAB"/>
    <w:rPr>
      <w:b/>
      <w:bCs/>
    </w:rPr>
  </w:style>
  <w:style w:type="character" w:customStyle="1" w:styleId="CommentSubjectChar">
    <w:name w:val="Comment Subject Char"/>
    <w:link w:val="CommentSubject"/>
    <w:uiPriority w:val="99"/>
    <w:semiHidden/>
    <w:rsid w:val="009F3BAB"/>
    <w:rPr>
      <w:rFonts w:ascii="Times New Roman" w:hAnsi="Times New Roman" w:cs="Times New Roman"/>
      <w:b/>
      <w:bCs/>
      <w:sz w:val="20"/>
      <w:szCs w:val="20"/>
      <w:lang w:val="ro-RO"/>
    </w:rPr>
  </w:style>
  <w:style w:type="character" w:styleId="Hyperlink">
    <w:name w:val="Hyperlink"/>
    <w:uiPriority w:val="99"/>
    <w:unhideWhenUsed/>
    <w:rsid w:val="009F3BAB"/>
    <w:rPr>
      <w:color w:val="0000FF"/>
      <w:u w:val="single"/>
    </w:rPr>
  </w:style>
  <w:style w:type="paragraph" w:styleId="BalloonText">
    <w:name w:val="Balloon Text"/>
    <w:basedOn w:val="Normal"/>
    <w:link w:val="BalloonTextChar"/>
    <w:uiPriority w:val="99"/>
    <w:semiHidden/>
    <w:unhideWhenUsed/>
    <w:rsid w:val="009F3BAB"/>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9F3BAB"/>
    <w:rPr>
      <w:rFonts w:ascii="Segoe UI" w:hAnsi="Segoe UI" w:cs="Segoe UI"/>
      <w:sz w:val="18"/>
      <w:szCs w:val="18"/>
      <w:lang w:val="ro-RO"/>
    </w:rPr>
  </w:style>
  <w:style w:type="paragraph" w:styleId="Revision">
    <w:name w:val="Revision"/>
    <w:hidden/>
    <w:uiPriority w:val="99"/>
    <w:semiHidden/>
    <w:rsid w:val="004172EC"/>
    <w:rPr>
      <w:rFonts w:ascii="Times New Roman" w:hAnsi="Times New Roman"/>
      <w:sz w:val="24"/>
    </w:rPr>
  </w:style>
  <w:style w:type="character" w:styleId="Strong">
    <w:name w:val="Strong"/>
    <w:uiPriority w:val="22"/>
    <w:qFormat/>
    <w:rsid w:val="006D106A"/>
    <w:rPr>
      <w:b/>
      <w:bCs/>
    </w:rPr>
  </w:style>
  <w:style w:type="character" w:customStyle="1" w:styleId="UnresolvedMention">
    <w:name w:val="Unresolved Mention"/>
    <w:basedOn w:val="DefaultParagraphFont"/>
    <w:uiPriority w:val="99"/>
    <w:semiHidden/>
    <w:unhideWhenUsed/>
    <w:rsid w:val="00A92DF9"/>
    <w:rPr>
      <w:color w:val="605E5C"/>
      <w:shd w:val="clear" w:color="auto" w:fill="E1DFDD"/>
    </w:rPr>
  </w:style>
  <w:style w:type="paragraph" w:styleId="EndnoteText">
    <w:name w:val="endnote text"/>
    <w:basedOn w:val="Normal"/>
    <w:link w:val="EndnoteTextChar"/>
    <w:uiPriority w:val="99"/>
    <w:semiHidden/>
    <w:unhideWhenUsed/>
    <w:rsid w:val="0015400B"/>
    <w:rPr>
      <w:sz w:val="20"/>
      <w:szCs w:val="20"/>
    </w:rPr>
  </w:style>
  <w:style w:type="character" w:customStyle="1" w:styleId="EndnoteTextChar">
    <w:name w:val="Endnote Text Char"/>
    <w:basedOn w:val="DefaultParagraphFont"/>
    <w:link w:val="EndnoteText"/>
    <w:uiPriority w:val="99"/>
    <w:semiHidden/>
    <w:rsid w:val="0015400B"/>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15400B"/>
    <w:rPr>
      <w:vertAlign w:val="superscript"/>
    </w:rPr>
  </w:style>
  <w:style w:type="character" w:customStyle="1" w:styleId="HeaderChar">
    <w:name w:val="Header Char"/>
    <w:link w:val="Header"/>
    <w:uiPriority w:val="99"/>
    <w:rsid w:val="00BF1AA5"/>
    <w:rPr>
      <w:rFonts w:ascii="Times New Roman" w:hAnsi="Times New Roman" w:cs="Times New Roman"/>
      <w:sz w:val="24"/>
      <w:lang w:val="ro-RO"/>
    </w:rPr>
  </w:style>
  <w:style w:type="character" w:customStyle="1" w:styleId="FooterChar">
    <w:name w:val="Footer Char"/>
    <w:link w:val="Footer"/>
    <w:uiPriority w:val="99"/>
    <w:rsid w:val="00BF1AA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F1AA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1AA5"/>
    <w:pPr>
      <w:spacing w:before="0"/>
      <w:jc w:val="right"/>
    </w:pPr>
    <w:rPr>
      <w:sz w:val="28"/>
    </w:rPr>
  </w:style>
  <w:style w:type="paragraph" w:customStyle="1" w:styleId="FooterSensitivity">
    <w:name w:val="Footer Sensitivity"/>
    <w:basedOn w:val="Normal"/>
    <w:rsid w:val="00BF1AA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F1AA5"/>
    <w:pPr>
      <w:tabs>
        <w:tab w:val="center" w:pos="4535"/>
        <w:tab w:val="right" w:pos="9071"/>
      </w:tabs>
      <w:spacing w:before="0"/>
    </w:pPr>
  </w:style>
  <w:style w:type="paragraph" w:customStyle="1" w:styleId="HeaderLandscape">
    <w:name w:val="HeaderLandscape"/>
    <w:basedOn w:val="Normal"/>
    <w:rsid w:val="00BF1AA5"/>
    <w:pPr>
      <w:tabs>
        <w:tab w:val="center" w:pos="7285"/>
        <w:tab w:val="right" w:pos="14003"/>
      </w:tabs>
      <w:spacing w:before="0"/>
    </w:pPr>
  </w:style>
  <w:style w:type="paragraph" w:styleId="Footer">
    <w:name w:val="footer"/>
    <w:basedOn w:val="Normal"/>
    <w:link w:val="FooterChar"/>
    <w:uiPriority w:val="99"/>
    <w:unhideWhenUsed/>
    <w:rsid w:val="00BF1AA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F1AA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48369">
      <w:bodyDiv w:val="1"/>
      <w:marLeft w:val="0"/>
      <w:marRight w:val="0"/>
      <w:marTop w:val="0"/>
      <w:marBottom w:val="0"/>
      <w:divBdr>
        <w:top w:val="none" w:sz="0" w:space="0" w:color="auto"/>
        <w:left w:val="none" w:sz="0" w:space="0" w:color="auto"/>
        <w:bottom w:val="none" w:sz="0" w:space="0" w:color="auto"/>
        <w:right w:val="none" w:sz="0" w:space="0" w:color="auto"/>
      </w:divBdr>
      <w:divsChild>
        <w:div w:id="1872454188">
          <w:marLeft w:val="288"/>
          <w:marRight w:val="0"/>
          <w:marTop w:val="120"/>
          <w:marBottom w:val="240"/>
          <w:divBdr>
            <w:top w:val="none" w:sz="0" w:space="0" w:color="auto"/>
            <w:left w:val="none" w:sz="0" w:space="0" w:color="auto"/>
            <w:bottom w:val="none" w:sz="0" w:space="0" w:color="auto"/>
            <w:right w:val="none" w:sz="0" w:space="0" w:color="auto"/>
          </w:divBdr>
        </w:div>
        <w:div w:id="1118179266">
          <w:marLeft w:val="288"/>
          <w:marRight w:val="0"/>
          <w:marTop w:val="120"/>
          <w:marBottom w:val="240"/>
          <w:divBdr>
            <w:top w:val="none" w:sz="0" w:space="0" w:color="auto"/>
            <w:left w:val="none" w:sz="0" w:space="0" w:color="auto"/>
            <w:bottom w:val="none" w:sz="0" w:space="0" w:color="auto"/>
            <w:right w:val="none" w:sz="0" w:space="0" w:color="auto"/>
          </w:divBdr>
        </w:div>
      </w:divsChild>
    </w:div>
    <w:div w:id="655455234">
      <w:bodyDiv w:val="1"/>
      <w:marLeft w:val="0"/>
      <w:marRight w:val="0"/>
      <w:marTop w:val="0"/>
      <w:marBottom w:val="0"/>
      <w:divBdr>
        <w:top w:val="none" w:sz="0" w:space="0" w:color="auto"/>
        <w:left w:val="none" w:sz="0" w:space="0" w:color="auto"/>
        <w:bottom w:val="none" w:sz="0" w:space="0" w:color="auto"/>
        <w:right w:val="none" w:sz="0" w:space="0" w:color="auto"/>
      </w:divBdr>
    </w:div>
    <w:div w:id="1158376218">
      <w:bodyDiv w:val="1"/>
      <w:marLeft w:val="0"/>
      <w:marRight w:val="0"/>
      <w:marTop w:val="0"/>
      <w:marBottom w:val="0"/>
      <w:divBdr>
        <w:top w:val="none" w:sz="0" w:space="0" w:color="auto"/>
        <w:left w:val="none" w:sz="0" w:space="0" w:color="auto"/>
        <w:bottom w:val="none" w:sz="0" w:space="0" w:color="auto"/>
        <w:right w:val="none" w:sz="0" w:space="0" w:color="auto"/>
      </w:divBdr>
    </w:div>
    <w:div w:id="1727994240">
      <w:bodyDiv w:val="1"/>
      <w:marLeft w:val="0"/>
      <w:marRight w:val="0"/>
      <w:marTop w:val="0"/>
      <w:marBottom w:val="0"/>
      <w:divBdr>
        <w:top w:val="none" w:sz="0" w:space="0" w:color="auto"/>
        <w:left w:val="none" w:sz="0" w:space="0" w:color="auto"/>
        <w:bottom w:val="none" w:sz="0" w:space="0" w:color="auto"/>
        <w:right w:val="none" w:sz="0" w:space="0" w:color="auto"/>
      </w:divBdr>
    </w:div>
    <w:div w:id="212750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8/68/oj" TargetMode="External"/><Relationship Id="rId2" Type="http://schemas.openxmlformats.org/officeDocument/2006/relationships/hyperlink" Target="http://data.europa.eu/eli/dec/2013/103(1)/oj" TargetMode="External"/><Relationship Id="rId1" Type="http://schemas.openxmlformats.org/officeDocument/2006/relationships/hyperlink" Target="http://data.europa.eu/eli/dir/2008/6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3522075-EB3B-4DC1-839C-C3CDF2827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8</Pages>
  <Words>2244</Words>
  <Characters>12792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cp:lastPrinted>2022-01-21T16:08:00Z</cp:lastPrinted>
  <dcterms:created xsi:type="dcterms:W3CDTF">2026-01-27T20:54:00Z</dcterms:created>
  <dcterms:modified xsi:type="dcterms:W3CDTF">2026-02-25T15:39:00Z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2024-01-15T09:17:26Z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996c1f91-ed49-4f3f-b720-272938bb8ea6</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