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947" w:rsidRPr="00C017A7" w:rsidRDefault="00C64F05" w:rsidP="00C64F0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158C82-BA83-4012-A6E4-404EB591E0A8" style="width:455.25pt;height:371.25pt">
            <v:imagedata r:id="rId7" o:title=""/>
          </v:shape>
        </w:pict>
      </w:r>
    </w:p>
    <w:p w:rsidR="001C0947" w:rsidRPr="00C017A7" w:rsidRDefault="001C0947" w:rsidP="001C0947">
      <w:pPr>
        <w:rPr>
          <w:noProof/>
        </w:rPr>
        <w:sectPr w:rsidR="001C0947" w:rsidRPr="00C017A7" w:rsidSect="00C64F05">
          <w:footerReference w:type="even" r:id="rId8"/>
          <w:footerReference w:type="default" r:id="rId9"/>
          <w:pgSz w:w="11907" w:h="16839"/>
          <w:pgMar w:top="1134" w:right="1417" w:bottom="1134" w:left="1417" w:header="709" w:footer="709" w:gutter="0"/>
          <w:pgNumType w:start="0"/>
          <w:cols w:space="720"/>
          <w:docGrid w:linePitch="360"/>
        </w:sectPr>
      </w:pPr>
    </w:p>
    <w:p w:rsidR="001C0947" w:rsidRPr="00C017A7" w:rsidRDefault="00C017A7" w:rsidP="001C0947">
      <w:pPr>
        <w:pStyle w:val="Exposdesmotifstitre"/>
        <w:rPr>
          <w:noProof/>
        </w:rPr>
      </w:pPr>
      <w:bookmarkStart w:id="0" w:name="_GoBack"/>
      <w:bookmarkEnd w:id="0"/>
      <w:r>
        <w:rPr>
          <w:noProof/>
        </w:rPr>
        <w:lastRenderedPageBreak/>
        <w:t>EX</w:t>
      </w:r>
      <w:r w:rsidR="001C0947" w:rsidRPr="00C017A7">
        <w:rPr>
          <w:noProof/>
        </w:rPr>
        <w:t>PUNERE DE MOTIVE</w:t>
      </w:r>
    </w:p>
    <w:p w:rsidR="001C0947" w:rsidRPr="00C017A7" w:rsidRDefault="001C0947" w:rsidP="001C0947">
      <w:pPr>
        <w:pStyle w:val="ManualHeading1"/>
        <w:rPr>
          <w:noProof/>
        </w:rPr>
      </w:pPr>
      <w:r w:rsidRPr="00C017A7">
        <w:rPr>
          <w:noProof/>
        </w:rPr>
        <w:t>1.</w:t>
      </w:r>
      <w:r w:rsidRPr="00C017A7">
        <w:rPr>
          <w:noProof/>
        </w:rPr>
        <w:tab/>
        <w:t>CONTEXTUL PROPUNERII</w:t>
      </w:r>
    </w:p>
    <w:p w:rsidR="001C0947" w:rsidRPr="00C017A7" w:rsidRDefault="001C0947" w:rsidP="001C0947">
      <w:pPr>
        <w:pStyle w:val="ManualHeading2"/>
        <w:rPr>
          <w:rFonts w:eastAsia="Arial Unicode MS"/>
          <w:noProof/>
        </w:rPr>
      </w:pPr>
      <w:r w:rsidRPr="00C017A7">
        <w:rPr>
          <w:noProof/>
          <w:color w:val="000000"/>
          <w:u w:color="000000"/>
          <w:bdr w:val="nil"/>
        </w:rPr>
        <w:t>•</w:t>
      </w:r>
      <w:r w:rsidRPr="00C017A7">
        <w:rPr>
          <w:noProof/>
          <w:color w:val="000000"/>
          <w:u w:color="000000"/>
          <w:bdr w:val="nil"/>
        </w:rPr>
        <w:tab/>
      </w:r>
      <w:r w:rsidRPr="00C017A7">
        <w:rPr>
          <w:noProof/>
        </w:rPr>
        <w:t>Temeiurile și obiectivele propunerii</w:t>
      </w:r>
    </w:p>
    <w:p w:rsidR="001C0947" w:rsidRPr="00C017A7" w:rsidRDefault="001C0947" w:rsidP="6CE9FC8C">
      <w:pPr>
        <w:spacing w:before="0" w:after="200"/>
        <w:rPr>
          <w:noProof/>
        </w:rPr>
      </w:pPr>
      <w:r w:rsidRPr="00C017A7">
        <w:rPr>
          <w:noProof/>
        </w:rPr>
        <w:t>Scopul propunerii de regulament anexate este suspendarea temporară a taxelor din Tariful vamal comun menționate la articolul 56 alineatul (2) litera (c) din Regulamentul (UE) nr. 952/2013 aplicabile mărfurilor utilizate pentru producerea îngrășămintelor pe bază de azot, anumitor îngrășăminte pe bază de azot și amestecurilor care conțin azot, clasificate în prezent la poziția 2814 din Nomenclatura combinată (NC) și la subpozițiile 3102 10, 3102 21, 3102 60, 3102 80, 3105 20, 3105 30 și 3105 40, până la un anumit volum de importuri în Uniune.</w:t>
      </w:r>
    </w:p>
    <w:p w:rsidR="001C0947" w:rsidRPr="00C017A7" w:rsidRDefault="001C0947" w:rsidP="6CE9FC8C">
      <w:pPr>
        <w:spacing w:before="0" w:after="200"/>
        <w:rPr>
          <w:noProof/>
        </w:rPr>
      </w:pPr>
      <w:r w:rsidRPr="00C017A7">
        <w:rPr>
          <w:noProof/>
        </w:rPr>
        <w:t>Piața Uniunii pentru anumite îngrășăminte azotoase, inclusiv mărfuri pentru producția acestora, depinde în mod considerabil de importurile din țări terțe. În 2024, Uniunea a importat 2 milioane de tone de amoniac și 5,9 milioane de tone de uree pentru a produce îngrășăminte azotoase. În plus, Uniunea a importat în total 6,7 milioane de tone de îngrășăminte pe bază de azot și de amestecuri care conțin azot de la celelalte subpoziții în cauză. Toate acestea sunt îngrășăminte cu emisii ridicate de dioxid de carbon, a căror producție este supusă unor emisii substanțiale de dioxid de carbon și în cazul cărora diversificarea și înlocuirea sunt dificile și necesită timp. Pentru aceste mărfuri, Federația Rusă a fost furnizorul dominant al Uniunii și la nivel mondial. Aceste îngrășăminte sunt esențiale pentru fermieri. Fermierii europeni au nevoie de un flux comercial sigur și regulat de îngrășăminte la prețuri competitive pentru a garanta producția agricolă și securitatea alimentară în Uniune și pe piețele mondiale, întrucât Uniunea este unul dintre principalii exportatori mondiali de multe culturi arabile esențiale. Prețurile îngrășămintelor pe bază de azot din Uniune au crescut brusc în urma invadării Ucrainei de către Rusia, iar redresarea în urma vârfurilor de preț din 2023 și 2024 a fost doar parțială. În plus, prețurile îngrășămintelor pe bază de azot s-au redresat în 2025, fiind cu 23 %</w:t>
      </w:r>
      <w:r w:rsidRPr="00C017A7">
        <w:rPr>
          <w:rStyle w:val="FootnoteReference"/>
          <w:noProof/>
        </w:rPr>
        <w:footnoteReference w:id="1"/>
      </w:r>
      <w:r w:rsidRPr="00C017A7">
        <w:rPr>
          <w:noProof/>
        </w:rPr>
        <w:t xml:space="preserve"> mai mari în decembrie 2025 decât media din 2024.</w:t>
      </w:r>
    </w:p>
    <w:p w:rsidR="001C0947" w:rsidRPr="00C017A7" w:rsidRDefault="001C0947" w:rsidP="001C0947">
      <w:pPr>
        <w:spacing w:before="0" w:after="200"/>
        <w:rPr>
          <w:noProof/>
        </w:rPr>
      </w:pPr>
      <w:r w:rsidRPr="00C017A7">
        <w:rPr>
          <w:noProof/>
        </w:rPr>
        <w:t>Pentru a reduce costurile pentru producătorii de îngrășăminte din Uniune și, prin urmare, pentru a reduce costurile pentru fermierii din Uniune și a contribui la aprovizionarea adecvată cu alimente produse în Uniune, este oportun să se suspende temporar nivelurile taxelor vamale aplicabile mărfurilor utilizate pentru a produce îngrășăminte azotoase, anumitor îngrășăminte pe bază de azot și amestecurilor care conțin azot până la un anumit nivel al importurilor. Pentru a spori stabilitatea aprovizionării, este, de asemenea, oportun să se extindă domeniul geografic de aplicare al importurilor de origine nepreferențială, având în vedere că majoritatea importurilor nepreferențiale de produse relevante sunt încă originare din Federația Rusă, în pofida măsurilor tarifare sporite aplicabile anumitor îngrășăminte de origine rusă începând cu 1 iulie 2025</w:t>
      </w:r>
      <w:r w:rsidRPr="00C017A7">
        <w:rPr>
          <w:rStyle w:val="FootnoteReference"/>
          <w:noProof/>
        </w:rPr>
        <w:footnoteReference w:id="2"/>
      </w:r>
      <w:r w:rsidRPr="00C017A7">
        <w:rPr>
          <w:noProof/>
        </w:rPr>
        <w:t>. De fapt, în special într-o perioadă de penurie pe piețele internaționale de îngrășăminte azotoase, existența unor tarife la importul în Uniune de amoniac și uree constituie un motiv de descurajare a aprovizionării pieței Uniunii în comparație cu alte piețe mondiale care nu impun astfel de tarife la import. Având în vedere că mărfurile comercializate din această categorie sunt în principal produse de bază, această diferență tarifară îngreunează eforturile de diversificare a importurilor Uniunii. Pentru îngrășămintele pe bază de azot care intră în domeniul de aplicare al prezentului regulament, UE este un mare importator net structural la nivel mondial, această aprovizionare fiind concentrată, atât pentru amoniac, cât și pentru uree, în doar trei parteneri comerciali principali, în ambele cazuri Federația Rusă fiind unul dintre aceștia.</w:t>
      </w:r>
    </w:p>
    <w:p w:rsidR="001C0947" w:rsidRPr="00C017A7" w:rsidRDefault="001C0947" w:rsidP="6CE9FC8C">
      <w:pPr>
        <w:spacing w:before="0" w:after="200"/>
        <w:rPr>
          <w:noProof/>
        </w:rPr>
      </w:pPr>
      <w:r w:rsidRPr="00C017A7">
        <w:rPr>
          <w:noProof/>
        </w:rPr>
        <w:t>Pentru a încuraja această diversificare, protejând în același timp producția internă a Uniunii și fără a spori și mai mult dependența de importuri, măsurile temporare de liberalizare a comerțului cuprinse în prezenta propunere pentru codurile NC 2814, 3102 10, 3102 21, 3102 60, 3102 80, 3105 20, 3105 30 și 3105 40 sunt luate în cadrul unui sistem de contingente care corespunde unui contingent scutit de taxe vamale per produs pentru care volumul contingentului corespunde volumului importurilor Uniunii în regimul clauzei națiunii celei mai favorizate (CNF) din 2024, cu excepția importurilor din Federația Rusă și din Republica Belarus, dar majorat cu un supliment de 20 % din volumele importate în Uniune din aceste două țări în 2024. O limită a contingentului este justificată, având în vedere că ponderea acestor tipuri de îngrășăminte în producția internă din Uniune rămâne ridicată. Dintre cele trei tipuri principale de îngrășăminte utilizate de fermieri, îngrășămintele pe bază de azot sunt singurele care fac obiectul taxelor din Tariful vamal comun aplicabile mărfurilor care sunt esențiale pentru producția lor, spre deosebire de potasă și fosfor, în cazul cărora principalele mărfuri necesare pentru producție beneficiază deja de o taxă vamală comună zero. Îngrășămintele pe bază de azot sunt atât cel mai consumat tip de îngrășăminte din Uniune, cât și cel pentru care Uniunea este dependentă de importuri, iar costul acestora asociat emisiilor de carbon este cel mai ridicat. Prin urmare, măsurile propuse se axează pe importurile de mărfuri pentru producția de îngrășăminte pe bază de azot și pe importurile celor mai importate îngrășăminte pe bază de azot.</w:t>
      </w:r>
    </w:p>
    <w:p w:rsidR="001C0947" w:rsidRPr="00C017A7" w:rsidRDefault="001C0947" w:rsidP="001C0947">
      <w:pPr>
        <w:pStyle w:val="ManualHeading2"/>
        <w:rPr>
          <w:rFonts w:eastAsia="Arial Unicode MS"/>
          <w:noProof/>
          <w:color w:val="000000"/>
          <w:u w:color="000000"/>
          <w:bdr w:val="nil"/>
        </w:rPr>
      </w:pPr>
      <w:r w:rsidRPr="00C017A7">
        <w:rPr>
          <w:noProof/>
          <w:color w:val="000000"/>
          <w:u w:color="000000"/>
          <w:bdr w:val="nil"/>
        </w:rPr>
        <w:t>•</w:t>
      </w:r>
      <w:r w:rsidRPr="00C017A7">
        <w:rPr>
          <w:noProof/>
          <w:color w:val="000000"/>
          <w:u w:color="000000"/>
          <w:bdr w:val="nil"/>
        </w:rPr>
        <w:tab/>
      </w:r>
      <w:r w:rsidRPr="00C017A7">
        <w:rPr>
          <w:noProof/>
        </w:rPr>
        <w:t>Coerența cu dispozițiile existente în domeniul de politică vizat</w:t>
      </w:r>
    </w:p>
    <w:p w:rsidR="001C0947" w:rsidRPr="00C017A7" w:rsidRDefault="001C0947" w:rsidP="001C0947">
      <w:pPr>
        <w:spacing w:before="0" w:after="200"/>
        <w:rPr>
          <w:noProof/>
        </w:rPr>
      </w:pPr>
      <w:r w:rsidRPr="00C017A7">
        <w:rPr>
          <w:noProof/>
        </w:rPr>
        <w:t>În prezent, țările terțe care beneficiază de acces preferențial scutit de taxe vamale pe piața Uniunii în temeiul acordurilor comerciale preferențiale sunt principalii furnizori de azot și uree. Cu toate acestea, importuri semnificative provin din țări care fac obiectul Tarifului vamal comun, ratele tarifare variind în prezent între 5,5 și 6,5 %. Pentru a spori stabilitatea aprovizionării, este oportun să se extindă temporar sfera geografică de cuprindere a țărilor furnizoare care beneficiază de scutirea de taxe vamale dincolo de cele care beneficiază de un acord de liber schimb. Acest lucru este consecința faptului că aprovizionarea este concentrată în prezent într-un număr relativ mic de furnizori nepreferențiali, dintre care Federația Rusă se numără printre cei mai importanți. Cu toate acestea, spre deosebire de accesul scutit de taxe vamale prin intermediul acordurilor comerciale preferențiale, măsurile propuse pentru suspendările tarifare prevăzute în prezenta propunere sunt temporare și sunt limitate în ceea ce privește volumul la nivelul contingentelor tarifare specifice. De asemenea, este oportun să se excludă produsele din Federația Rusă și din Republica Belarus de la reducerea tarifară aplicabilă contingentelor deschise, în special în concordanță cu Regulamentul 1227/2025, care stabilește în mod specific tarife majorate la importurile de îngrășăminte din aceste origini și în conformitate cu obligațiile internaționale ale Uniunii.</w:t>
      </w:r>
    </w:p>
    <w:p w:rsidR="001C0947" w:rsidRPr="00C017A7" w:rsidRDefault="001C0947" w:rsidP="001C0947">
      <w:pPr>
        <w:pStyle w:val="ManualHeading2"/>
        <w:rPr>
          <w:rFonts w:eastAsia="Arial Unicode MS"/>
          <w:noProof/>
        </w:rPr>
      </w:pPr>
      <w:r w:rsidRPr="00C017A7">
        <w:rPr>
          <w:noProof/>
          <w:color w:val="000000"/>
          <w:u w:color="000000"/>
          <w:bdr w:val="nil"/>
        </w:rPr>
        <w:t>•</w:t>
      </w:r>
      <w:r w:rsidRPr="00C017A7">
        <w:rPr>
          <w:noProof/>
          <w:color w:val="000000"/>
          <w:u w:color="000000"/>
          <w:bdr w:val="nil"/>
        </w:rPr>
        <w:tab/>
      </w:r>
      <w:r w:rsidRPr="00C017A7">
        <w:rPr>
          <w:noProof/>
        </w:rPr>
        <w:t>Coerența cu alte politici ale Uniunii</w:t>
      </w:r>
    </w:p>
    <w:p w:rsidR="001C0947" w:rsidRPr="00C017A7" w:rsidRDefault="001C0947" w:rsidP="001C0947">
      <w:pPr>
        <w:spacing w:before="0" w:after="200"/>
        <w:rPr>
          <w:noProof/>
        </w:rPr>
      </w:pPr>
      <w:r w:rsidRPr="00C017A7">
        <w:rPr>
          <w:noProof/>
        </w:rPr>
        <w:t xml:space="preserve">Măsurile de liberalizare a comerțului cuprinse în prezenta propunere vizează asigurarea faptului că suspendarea temporară a tarifului vamal comun al Uniunii se desfășoară în contextul principiilor și al obiectivelor acțiunii externe a Uniunii prevăzute la articolul 21 din TUE și că diferitele domenii de acțiune externă ale Uniunii, precum și acțiunea sa externă și alte politici ale Uniunii, sunt coerente. Prin urmare, este oportun să se excludă produsele originare din Federația Rusă și din Republica Belarus de la reducerea tarifară, în conformitate cu măsurile restrictive luate de Uniune împotriva acestor țări în urma agresiunii Rusiei împotriva Ucrainei. </w:t>
      </w:r>
    </w:p>
    <w:p w:rsidR="001C0947" w:rsidRPr="00C017A7" w:rsidRDefault="001C0947" w:rsidP="001C0947">
      <w:pPr>
        <w:pStyle w:val="ManualHeading1"/>
        <w:rPr>
          <w:noProof/>
        </w:rPr>
      </w:pPr>
      <w:r w:rsidRPr="00C017A7">
        <w:rPr>
          <w:noProof/>
        </w:rPr>
        <w:t>2.</w:t>
      </w:r>
      <w:r w:rsidRPr="00C017A7">
        <w:rPr>
          <w:noProof/>
        </w:rPr>
        <w:tab/>
        <w:t>TEMEI JURIDIC, SUBSIDIARITATE ȘI PROPORȚIONALITATE</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Temei juridic</w:t>
      </w:r>
    </w:p>
    <w:p w:rsidR="001C0947" w:rsidRPr="00C017A7" w:rsidRDefault="001C0947" w:rsidP="001C0947">
      <w:pPr>
        <w:spacing w:before="0" w:after="200"/>
        <w:rPr>
          <w:noProof/>
        </w:rPr>
      </w:pPr>
      <w:r w:rsidRPr="00C017A7">
        <w:rPr>
          <w:noProof/>
        </w:rPr>
        <w:t>Temeiul juridic al prezentei propuneri de regulament îl constituie articolul 31 din Tratatul privind funcționarea Uniunii Europene (TFUE).</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 xml:space="preserve">Subsidiaritatea (în cazul competenței neexclusive) </w:t>
      </w:r>
    </w:p>
    <w:p w:rsidR="001C0947" w:rsidRPr="00C017A7" w:rsidRDefault="001C0947" w:rsidP="001C0947">
      <w:pPr>
        <w:spacing w:before="0" w:after="200"/>
        <w:rPr>
          <w:noProof/>
        </w:rPr>
      </w:pPr>
      <w:r w:rsidRPr="00C017A7">
        <w:rPr>
          <w:noProof/>
        </w:rPr>
        <w:t>Nu se aplică principiul subsidiarității, întrucât propunerea intră în sfera competenței exclusive a Uniunii.</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Proporționalitatea</w:t>
      </w:r>
    </w:p>
    <w:p w:rsidR="001C0947" w:rsidRPr="00C017A7" w:rsidRDefault="1EA50108" w:rsidP="5F847F82">
      <w:pPr>
        <w:pBdr>
          <w:top w:val="nil"/>
          <w:left w:val="nil"/>
          <w:bottom w:val="nil"/>
          <w:right w:val="nil"/>
          <w:between w:val="nil"/>
          <w:bar w:val="nil"/>
        </w:pBdr>
        <w:spacing w:before="0" w:after="240"/>
        <w:rPr>
          <w:rFonts w:eastAsia="Arial Unicode MS"/>
          <w:noProof/>
        </w:rPr>
      </w:pPr>
      <w:r w:rsidRPr="00C017A7">
        <w:rPr>
          <w:noProof/>
        </w:rPr>
        <w:t>Propunerea respectă principiul proporționalității, având în vedere că asigură echilibrul între interesele comerciale ale operatorilor economici (producătorii de îngrășăminte azotoase și consumatorii). Propunerea prevede suspendarea taxelor din Tariful vamal comun numai pentru liniile tarifare de mărfuri utilizate pentru producția de îngrășăminte, de anumite îngrășăminte pe bază de azot și de amestecuri care conțin azot pentru care dependența Uniunii de importuri este cea mai mare și pentru care diversificarea în afara Federației Ruse și a grupului restrâns de furnizori existent este esențială. În plus, suspendarea se va aplica doar temporar.</w:t>
      </w:r>
      <w:r w:rsidRPr="00C017A7">
        <w:rPr>
          <w:rStyle w:val="Heading7Char"/>
          <w:noProof/>
        </w:rPr>
        <w:t xml:space="preserve"> </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Alegerea instrumentului</w:t>
      </w:r>
    </w:p>
    <w:p w:rsidR="001C0947" w:rsidRPr="00C017A7" w:rsidRDefault="001C0947" w:rsidP="001C0947">
      <w:pPr>
        <w:spacing w:before="0" w:after="200"/>
        <w:rPr>
          <w:noProof/>
        </w:rPr>
      </w:pPr>
      <w:r w:rsidRPr="00C017A7">
        <w:rPr>
          <w:noProof/>
        </w:rPr>
        <w:t>În temeiul articolului 31 din TFUE, „taxele prevăzute de Tariful Vamal Comun se stabilesc de către Consiliu, la propunerea Comisiei”. Prin urmare, un regulament al Consiliului este instrumentul adecvat. În temeiul articolului 31 din TFUE, Consiliul stabilește taxele prevăzute de Tariful vamal comun, hotărând cu majoritate calificată, pe baza unei propuneri a Comisiei.</w:t>
      </w:r>
    </w:p>
    <w:p w:rsidR="001C0947" w:rsidRPr="00C017A7" w:rsidRDefault="001C0947" w:rsidP="001C0947">
      <w:pPr>
        <w:pStyle w:val="ManualHeading1"/>
        <w:rPr>
          <w:noProof/>
        </w:rPr>
      </w:pPr>
      <w:r w:rsidRPr="00C017A7">
        <w:rPr>
          <w:noProof/>
        </w:rPr>
        <w:t>3.</w:t>
      </w:r>
      <w:r w:rsidRPr="00C017A7">
        <w:rPr>
          <w:noProof/>
        </w:rPr>
        <w:tab/>
        <w:t>REZULTATELE EVALUĂRILOR EX POST, ALE CONSULTĂRILOR CU PĂRȚILE INTERESATE ȘI ALE EVALUĂRILOR IMPACTULUI</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Evaluările ex-post/verificarea adecvării legislației existente</w:t>
      </w:r>
    </w:p>
    <w:p w:rsidR="001C0947" w:rsidRPr="00C017A7" w:rsidRDefault="001C0947" w:rsidP="001C0947">
      <w:pPr>
        <w:spacing w:before="0" w:after="200"/>
        <w:rPr>
          <w:noProof/>
        </w:rPr>
      </w:pPr>
      <w:r w:rsidRPr="00C017A7">
        <w:rPr>
          <w:noProof/>
        </w:rPr>
        <w:t xml:space="preserve">Nu se aplică. </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Consultarea cu părțile interesate</w:t>
      </w:r>
    </w:p>
    <w:p w:rsidR="001C0947" w:rsidRPr="00C017A7" w:rsidRDefault="001C0947" w:rsidP="001C0947">
      <w:pPr>
        <w:spacing w:before="0" w:after="200"/>
        <w:rPr>
          <w:noProof/>
        </w:rPr>
      </w:pPr>
      <w:r w:rsidRPr="00C017A7">
        <w:rPr>
          <w:noProof/>
        </w:rPr>
        <w:t xml:space="preserve">Nu se aplică. </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Obținerea și utilizarea cunoștințelor de specialitate</w:t>
      </w:r>
    </w:p>
    <w:p w:rsidR="001C0947" w:rsidRPr="00C017A7" w:rsidRDefault="001C0947" w:rsidP="001C0947">
      <w:pPr>
        <w:spacing w:before="0" w:after="200"/>
        <w:rPr>
          <w:noProof/>
        </w:rPr>
      </w:pPr>
      <w:r w:rsidRPr="00C017A7">
        <w:rPr>
          <w:noProof/>
        </w:rPr>
        <w:t xml:space="preserve">Nu se aplică. </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Evaluarea impactului</w:t>
      </w:r>
    </w:p>
    <w:p w:rsidR="001C0947" w:rsidRPr="00C017A7" w:rsidRDefault="001C0947" w:rsidP="001C0947">
      <w:pPr>
        <w:spacing w:before="0" w:after="200"/>
        <w:rPr>
          <w:noProof/>
        </w:rPr>
      </w:pPr>
      <w:r w:rsidRPr="00C017A7">
        <w:rPr>
          <w:noProof/>
        </w:rPr>
        <w:t xml:space="preserve">Având în vedere creșterea semnificativă a importurilor de la furnizori din țări terțe de mărfuri utilizate în producția de îngrășăminte azotoase, agravată de situația de urgență provocată de invazia Ucrainei de către Federația Rusă </w:t>
      </w:r>
      <w:bookmarkStart w:id="1" w:name="_Hlk222331161"/>
      <w:r w:rsidRPr="00C017A7">
        <w:rPr>
          <w:noProof/>
        </w:rPr>
        <w:t xml:space="preserve">– </w:t>
      </w:r>
      <w:bookmarkEnd w:id="1"/>
      <w:r w:rsidRPr="00C017A7">
        <w:rPr>
          <w:noProof/>
        </w:rPr>
        <w:t xml:space="preserve">anterior cel mai mare furnizor de îngrășăminte azotoase al UE – este important ca regulamentul să intre în vigoare cât mai curând posibil, pentru a încuraja diversificarea aprovizionării cu mărfurile necesare pentru producția de îngrășăminte și o reducere a costurilor de producție, înaintea viitorului sezon de plantare/însămânțare. Prin urmare, nu s-a realizat nicio evaluare a impactului pentru măsura în cauză. Cu toate acestea, se preconizează că măsura propusă modifică profilul furnizorilor de îngrășăminte azotoase și de anumite îngrășăminte pe bază de azot către Uniune și contribuie la diversificarea către alți furnizori în afara Federației Ruse și a grupului restrâns de furnizori existent. </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Adecvarea reglementărilor și simplificare</w:t>
      </w:r>
    </w:p>
    <w:p w:rsidR="001C0947" w:rsidRPr="00C017A7" w:rsidRDefault="001C0947" w:rsidP="001C0947">
      <w:pPr>
        <w:spacing w:before="0" w:after="200"/>
        <w:rPr>
          <w:noProof/>
        </w:rPr>
      </w:pPr>
      <w:r w:rsidRPr="00C017A7">
        <w:rPr>
          <w:noProof/>
        </w:rPr>
        <w:t xml:space="preserve">Măsura nu sporește sarcina de reglementare pentru întreprinderi. </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Drepturile fundamentale</w:t>
      </w:r>
    </w:p>
    <w:p w:rsidR="001C0947" w:rsidRPr="00C017A7" w:rsidRDefault="001C0947" w:rsidP="001C0947">
      <w:pPr>
        <w:pBdr>
          <w:top w:val="nil"/>
          <w:left w:val="nil"/>
          <w:bottom w:val="nil"/>
          <w:right w:val="nil"/>
          <w:between w:val="nil"/>
          <w:bar w:val="nil"/>
        </w:pBdr>
        <w:spacing w:before="0" w:after="240"/>
        <w:rPr>
          <w:rFonts w:eastAsia="Arial Unicode MS"/>
          <w:noProof/>
        </w:rPr>
      </w:pPr>
      <w:r w:rsidRPr="00C017A7">
        <w:rPr>
          <w:noProof/>
        </w:rPr>
        <w:t>Nu se aplică.</w:t>
      </w:r>
    </w:p>
    <w:p w:rsidR="001C0947" w:rsidRPr="00C017A7" w:rsidRDefault="001C0947" w:rsidP="001C0947">
      <w:pPr>
        <w:pStyle w:val="ManualHeading1"/>
        <w:rPr>
          <w:noProof/>
        </w:rPr>
      </w:pPr>
      <w:r w:rsidRPr="00C017A7">
        <w:rPr>
          <w:noProof/>
        </w:rPr>
        <w:t>4.</w:t>
      </w:r>
      <w:r w:rsidRPr="00C017A7">
        <w:rPr>
          <w:noProof/>
        </w:rPr>
        <w:tab/>
        <w:t>IMPLICAȚII BUGETARE</w:t>
      </w:r>
    </w:p>
    <w:p w:rsidR="001C0947" w:rsidRPr="00C017A7" w:rsidRDefault="001C0947" w:rsidP="001C0947">
      <w:pPr>
        <w:autoSpaceDE w:val="0"/>
        <w:autoSpaceDN w:val="0"/>
        <w:adjustRightInd w:val="0"/>
        <w:spacing w:before="0" w:after="0"/>
        <w:rPr>
          <w:noProof/>
        </w:rPr>
      </w:pPr>
      <w:r w:rsidRPr="00C017A7">
        <w:rPr>
          <w:noProof/>
        </w:rPr>
        <w:t>Prezenta propunere nu are implicații financiare asupra cheltuielilor, dar are implicații financiare asupra veniturilor. Taxele vamale nepercepute corespunzătoare suspendării se vor ridica la aproximativ 59,5 milioane EUR pentru perioada de 12 luni de aplicare a măsurii. Durata măsurii este de un an, până la mijlocul anului 2027.</w:t>
      </w:r>
    </w:p>
    <w:p w:rsidR="001C0947" w:rsidRPr="00C017A7" w:rsidRDefault="001C0947" w:rsidP="001C0947">
      <w:pPr>
        <w:rPr>
          <w:noProof/>
        </w:rPr>
      </w:pPr>
      <w:r w:rsidRPr="00C017A7">
        <w:rPr>
          <w:noProof/>
        </w:rPr>
        <w:t>Efectul negativ asupra resurselor proprii tradiționale ale bugetului este de 44,7 milioane EUR (adică 75 % din total). Fișa financiară legislativă prezintă mai detaliat implicațiile bugetare ale propunerii.</w:t>
      </w:r>
    </w:p>
    <w:p w:rsidR="001C0947" w:rsidRPr="00C017A7" w:rsidRDefault="001C0947" w:rsidP="001C0947">
      <w:pPr>
        <w:rPr>
          <w:noProof/>
        </w:rPr>
      </w:pPr>
      <w:r w:rsidRPr="00C017A7">
        <w:rPr>
          <w:noProof/>
        </w:rPr>
        <w:t>Pierderea de venituri din resursele proprii tradiționale se va compensa prin contribuții din resurse proprii ale statelor membre calculate pe baza venitului național brut (VNB).</w:t>
      </w:r>
    </w:p>
    <w:p w:rsidR="001C0947" w:rsidRPr="00C017A7" w:rsidRDefault="001C0947" w:rsidP="001C0947">
      <w:pPr>
        <w:pStyle w:val="ManualHeading1"/>
        <w:rPr>
          <w:noProof/>
        </w:rPr>
      </w:pPr>
      <w:r w:rsidRPr="00C017A7">
        <w:rPr>
          <w:noProof/>
        </w:rPr>
        <w:t>5.</w:t>
      </w:r>
      <w:r w:rsidRPr="00C017A7">
        <w:rPr>
          <w:noProof/>
        </w:rPr>
        <w:tab/>
        <w:t>ALTE ELEMENTE</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Planurile de punere în aplicare și măsurile de monitorizare, evaluare și raportare</w:t>
      </w:r>
    </w:p>
    <w:p w:rsidR="001C0947" w:rsidRPr="00C017A7" w:rsidRDefault="001C0947" w:rsidP="001C0947">
      <w:pPr>
        <w:spacing w:before="0" w:after="200"/>
        <w:rPr>
          <w:noProof/>
        </w:rPr>
      </w:pPr>
      <w:r w:rsidRPr="00C017A7">
        <w:rPr>
          <w:noProof/>
        </w:rPr>
        <w:t>Raportarea online cu privire la evoluția importurilor Uniunii de îngrășăminte pe bază de azot este disponibilă pe site-urile internet dedicate ale Comisiei Europene (Eurostat).</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Documentele explicative (în cazul directivelor)</w:t>
      </w:r>
    </w:p>
    <w:p w:rsidR="001C0947" w:rsidRPr="00C017A7" w:rsidRDefault="001C0947" w:rsidP="001C0947">
      <w:pPr>
        <w:spacing w:before="0" w:after="200"/>
        <w:rPr>
          <w:noProof/>
        </w:rPr>
      </w:pPr>
      <w:r w:rsidRPr="00C017A7">
        <w:rPr>
          <w:noProof/>
        </w:rPr>
        <w:t xml:space="preserve">Nu se aplică. </w:t>
      </w:r>
    </w:p>
    <w:p w:rsidR="001C0947" w:rsidRPr="00C017A7" w:rsidRDefault="001C0947" w:rsidP="001C0947">
      <w:pPr>
        <w:pStyle w:val="ManualHeading2"/>
        <w:rPr>
          <w:rFonts w:eastAsia="Arial Unicode MS"/>
          <w:noProof/>
          <w:u w:color="000000"/>
          <w:bdr w:val="nil"/>
        </w:rPr>
      </w:pPr>
      <w:r w:rsidRPr="00C017A7">
        <w:rPr>
          <w:noProof/>
          <w:u w:color="000000"/>
          <w:bdr w:val="nil"/>
        </w:rPr>
        <w:t>•</w:t>
      </w:r>
      <w:r w:rsidRPr="00C017A7">
        <w:rPr>
          <w:noProof/>
          <w:u w:color="000000"/>
          <w:bdr w:val="nil"/>
        </w:rPr>
        <w:tab/>
        <w:t>Explicații detaliate cu privire la dispozițiile specifice ale propunerii</w:t>
      </w:r>
    </w:p>
    <w:p w:rsidR="001C0947" w:rsidRPr="00C017A7" w:rsidRDefault="001C0947" w:rsidP="0D246F12">
      <w:pPr>
        <w:pBdr>
          <w:top w:val="nil"/>
          <w:left w:val="nil"/>
          <w:bottom w:val="nil"/>
          <w:right w:val="nil"/>
          <w:between w:val="nil"/>
          <w:bar w:val="nil"/>
        </w:pBdr>
        <w:spacing w:before="0" w:after="240"/>
        <w:rPr>
          <w:rFonts w:eastAsia="Arial Unicode MS"/>
          <w:noProof/>
        </w:rPr>
      </w:pPr>
      <w:r w:rsidRPr="00C017A7">
        <w:rPr>
          <w:noProof/>
        </w:rPr>
        <w:t>Având în vedere situația extraordinară de pe piața îngrășămintelor din Uniune, măsura vizează creșterea fluxurilor comerciale și promovarea diversificării în ceea ce privește importurile de mărfuri pentru producția de îngrășăminte pe bază de azot, de anumite îngrășăminte pe bază de azot și de amestecuri care conțin azot prin suspendarea temporară a taxelor la import aplicate acestor produse.</w:t>
      </w:r>
    </w:p>
    <w:p w:rsidR="001C0947" w:rsidRPr="00C017A7" w:rsidRDefault="001C0947" w:rsidP="001E189C">
      <w:pPr>
        <w:rPr>
          <w:noProof/>
        </w:rPr>
        <w:sectPr w:rsidR="001C0947" w:rsidRPr="00C017A7" w:rsidSect="00C64F05">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3F4C78" w:rsidRDefault="00DB7C32">
      <w:pPr>
        <w:pStyle w:val="Rfrenceinterinstitutionnelle"/>
        <w:rPr>
          <w:noProof/>
        </w:rPr>
      </w:pPr>
      <w:r>
        <w:rPr>
          <w:noProof/>
        </w:rPr>
        <w:t>2026/0062 (NLE)</w:t>
      </w:r>
    </w:p>
    <w:p w:rsidR="001C0947" w:rsidRPr="00C017A7" w:rsidRDefault="00D54FC8" w:rsidP="00D54FC8">
      <w:pPr>
        <w:pStyle w:val="Statut"/>
        <w:rPr>
          <w:noProof/>
        </w:rPr>
      </w:pPr>
      <w:r w:rsidRPr="00C017A7">
        <w:rPr>
          <w:noProof/>
        </w:rPr>
        <w:t>Propunere de</w:t>
      </w:r>
    </w:p>
    <w:p w:rsidR="001C0947" w:rsidRPr="00C017A7" w:rsidRDefault="00D54FC8" w:rsidP="00D54FC8">
      <w:pPr>
        <w:pStyle w:val="Typedudocument"/>
        <w:rPr>
          <w:noProof/>
        </w:rPr>
      </w:pPr>
      <w:r w:rsidRPr="00C017A7">
        <w:rPr>
          <w:noProof/>
        </w:rPr>
        <w:t>REGULAMENT AL CONSILIULUI</w:t>
      </w:r>
    </w:p>
    <w:p w:rsidR="001C0947" w:rsidRPr="00C017A7" w:rsidRDefault="00D54FC8" w:rsidP="00D54FC8">
      <w:pPr>
        <w:pStyle w:val="Titreobjet"/>
        <w:rPr>
          <w:noProof/>
        </w:rPr>
      </w:pPr>
      <w:r w:rsidRPr="00C017A7">
        <w:rPr>
          <w:noProof/>
        </w:rPr>
        <w:t>de suspendare a taxelor din Tariful vamal comun menționate la articolul 56 alineatul (2) litera (c) din Regulamentul (UE) nr. 952/2013 al Parlamentului European și al Consiliului, privind deschiderea și modul de gestionare a unor contingente tarifare autonome pentru anumite îngrășăminte</w:t>
      </w:r>
    </w:p>
    <w:p w:rsidR="001C0947" w:rsidRPr="00C017A7" w:rsidRDefault="001C0947" w:rsidP="001C0947">
      <w:pPr>
        <w:pStyle w:val="Institutionquiagit"/>
        <w:rPr>
          <w:noProof/>
        </w:rPr>
      </w:pPr>
      <w:r w:rsidRPr="00C017A7">
        <w:rPr>
          <w:noProof/>
        </w:rPr>
        <w:t>CONSILIUL UNIUNII EUROPENE,</w:t>
      </w:r>
    </w:p>
    <w:p w:rsidR="001C0947" w:rsidRPr="00C017A7" w:rsidRDefault="001C0947" w:rsidP="001C0947">
      <w:pPr>
        <w:rPr>
          <w:noProof/>
        </w:rPr>
      </w:pPr>
      <w:r w:rsidRPr="00C017A7">
        <w:rPr>
          <w:noProof/>
        </w:rPr>
        <w:t>având în vedere Tratatul privind funcționarea Uniunii Europene, în special articolul 31,</w:t>
      </w:r>
    </w:p>
    <w:p w:rsidR="001C0947" w:rsidRPr="00C017A7" w:rsidRDefault="001C0947" w:rsidP="001C0947">
      <w:pPr>
        <w:rPr>
          <w:noProof/>
        </w:rPr>
      </w:pPr>
      <w:r w:rsidRPr="00C017A7">
        <w:rPr>
          <w:noProof/>
        </w:rPr>
        <w:t>având în vedere propunerea Comisiei Europene,</w:t>
      </w:r>
    </w:p>
    <w:p w:rsidR="009757F1" w:rsidRPr="00C017A7" w:rsidRDefault="009757F1" w:rsidP="001C0947">
      <w:pPr>
        <w:rPr>
          <w:noProof/>
        </w:rPr>
      </w:pPr>
      <w:r w:rsidRPr="00C017A7">
        <w:rPr>
          <w:noProof/>
        </w:rPr>
        <w:t>după transmiterea proiectului de act legislativ către parlamentele naționale,</w:t>
      </w:r>
    </w:p>
    <w:p w:rsidR="001C0947" w:rsidRPr="00C017A7" w:rsidRDefault="001C0947" w:rsidP="001C0947">
      <w:pPr>
        <w:rPr>
          <w:noProof/>
        </w:rPr>
      </w:pPr>
      <w:r w:rsidRPr="00C017A7">
        <w:rPr>
          <w:noProof/>
        </w:rPr>
        <w:t>hotărând în conformitate cu o procedură legislativă specială,</w:t>
      </w:r>
    </w:p>
    <w:p w:rsidR="001C0947" w:rsidRPr="00C017A7" w:rsidRDefault="001C0947" w:rsidP="001C0947">
      <w:pPr>
        <w:rPr>
          <w:noProof/>
        </w:rPr>
      </w:pPr>
      <w:r w:rsidRPr="00C017A7">
        <w:rPr>
          <w:noProof/>
        </w:rPr>
        <w:t>întrucât:</w:t>
      </w:r>
    </w:p>
    <w:p w:rsidR="001C0947" w:rsidRPr="00C017A7" w:rsidRDefault="2D475717" w:rsidP="00D75F9A">
      <w:pPr>
        <w:pStyle w:val="ManualConsidrant"/>
        <w:rPr>
          <w:noProof/>
        </w:rPr>
      </w:pPr>
      <w:r>
        <w:rPr>
          <w:noProof/>
        </w:rPr>
        <w:t>(1)</w:t>
      </w:r>
      <w:r>
        <w:rPr>
          <w:noProof/>
        </w:rPr>
        <w:tab/>
      </w:r>
      <w:r w:rsidRPr="00C017A7">
        <w:rPr>
          <w:noProof/>
        </w:rPr>
        <w:t xml:space="preserve">Piața </w:t>
      </w:r>
      <w:r w:rsidRPr="00C017A7">
        <w:rPr>
          <w:rStyle w:val="Heading7Char"/>
          <w:noProof/>
        </w:rPr>
        <w:t>Uniunii</w:t>
      </w:r>
      <w:r w:rsidRPr="00C017A7">
        <w:rPr>
          <w:noProof/>
        </w:rPr>
        <w:t xml:space="preserve"> pentru anumiți factori de producție ai îngrășămintelor azotoase depinde în mod considerabil de importurile din țări terțe. În 2024, Uniunea a importat 2 milioane de tone de amoniac și 5,9 milioane de tone de uree în special pentru a produce îngrășăminte azotoase. În plus, Uniunea a importat în total 6,7 milioane de tone de îngrășăminte pe bază de azot și de amestecuri care conțin azot. Acestea sunt mărfuri cu emisii ridicate de dioxid de carbon pentru îngrășăminte, în cazul cărora diversificarea este dificilă și necesită timp. Aceste îngrășăminte sunt, de asemenea, esențiale pentru fermierii europeni care au nevoie de un flux comercial sigur și regulat de îngrășăminte la prețuri competitive pentru a garanta producția agricolă și securitatea alimentară. Prețurile acestor produse au crescut substanțial din 2021.</w:t>
      </w:r>
    </w:p>
    <w:p w:rsidR="001C0947" w:rsidRPr="00C017A7" w:rsidRDefault="2D475717" w:rsidP="001C0947">
      <w:pPr>
        <w:pStyle w:val="ManualConsidrant"/>
        <w:rPr>
          <w:noProof/>
        </w:rPr>
      </w:pPr>
      <w:r>
        <w:rPr>
          <w:noProof/>
        </w:rPr>
        <w:t>(2)</w:t>
      </w:r>
      <w:r>
        <w:rPr>
          <w:noProof/>
        </w:rPr>
        <w:tab/>
      </w:r>
      <w:r w:rsidRPr="00C017A7">
        <w:rPr>
          <w:rStyle w:val="Heading7Char"/>
          <w:noProof/>
        </w:rPr>
        <w:t>Pentru</w:t>
      </w:r>
      <w:r w:rsidRPr="00C017A7">
        <w:rPr>
          <w:noProof/>
        </w:rPr>
        <w:t xml:space="preserve"> îngrășămintele pe bază de azot care intră în domeniul de aplicare al prezentului regulament, Uniunea este un importator net structural, aprovizionarea fiind concentrată în câteva țări, unul dintre principalii furnizori fiind </w:t>
      </w:r>
      <w:bookmarkStart w:id="2" w:name="_Hlk222330734"/>
      <w:r w:rsidRPr="00C017A7">
        <w:rPr>
          <w:noProof/>
        </w:rPr>
        <w:t>Federația Rusă</w:t>
      </w:r>
      <w:bookmarkEnd w:id="2"/>
      <w:r w:rsidRPr="00C017A7">
        <w:rPr>
          <w:noProof/>
        </w:rPr>
        <w:t>.</w:t>
      </w:r>
    </w:p>
    <w:p w:rsidR="001C0947" w:rsidRPr="00C017A7" w:rsidRDefault="2D475717" w:rsidP="00B71A3E">
      <w:pPr>
        <w:pStyle w:val="ManualConsidrant"/>
        <w:rPr>
          <w:noProof/>
        </w:rPr>
      </w:pPr>
      <w:r>
        <w:rPr>
          <w:noProof/>
        </w:rPr>
        <w:t>(3)</w:t>
      </w:r>
      <w:r>
        <w:rPr>
          <w:noProof/>
        </w:rPr>
        <w:tab/>
      </w:r>
      <w:r w:rsidRPr="00C017A7">
        <w:rPr>
          <w:noProof/>
        </w:rPr>
        <w:t>În prezent, o parte semnificativă a acestor mărfuri pentru producția de îngrășăminte pe bază de azot și a îngrășămintelor pe bază de azot este deja importată în Uniune cu scutire de taxe vamale din țări terțe care beneficiază de acces preferențial pe piața Uniunii. Cu toate acestea, Uniunea importă încă un volum mare de astfel de mărfuri originare din țări care fac obiectul Tarifului vamal comun, nivelurile taxelor vamale variind în prezent între 5,5 și 6,5 %.</w:t>
      </w:r>
    </w:p>
    <w:p w:rsidR="001C0947" w:rsidRPr="00C017A7" w:rsidRDefault="2D475717" w:rsidP="001C0947">
      <w:pPr>
        <w:pStyle w:val="ManualConsidrant"/>
        <w:rPr>
          <w:noProof/>
        </w:rPr>
      </w:pPr>
      <w:r>
        <w:rPr>
          <w:noProof/>
        </w:rPr>
        <w:t>(4)</w:t>
      </w:r>
      <w:r>
        <w:rPr>
          <w:noProof/>
        </w:rPr>
        <w:tab/>
      </w:r>
      <w:r w:rsidRPr="00C017A7">
        <w:rPr>
          <w:noProof/>
        </w:rPr>
        <w:t>Aceste taxe cresc costurile pentru producătorii de îngrășăminte azotoase și afectează prețul îngrășămintelor, ceea ce, la rândul său, afectează prețul alimentelor, generând preocupări în ceea ce privește puterea de cumpărare a consumatorilor, inclusiv a fermierilor europeni. În ultimii ani, Uniunea a înregistrat o creștere semnificativă a prețurilor îngrășămintelor, în timp ce prețurile anumitor produse agricole nu au reflectat pe deplin aceeași tendință. Această situație pune sub presiune viabilitatea producției agricole a Uniunii.</w:t>
      </w:r>
    </w:p>
    <w:p w:rsidR="001C0947" w:rsidRPr="00C017A7" w:rsidRDefault="2D475717" w:rsidP="001C0947">
      <w:pPr>
        <w:pStyle w:val="ManualConsidrant"/>
        <w:rPr>
          <w:noProof/>
        </w:rPr>
      </w:pPr>
      <w:r>
        <w:rPr>
          <w:noProof/>
        </w:rPr>
        <w:t>(5)</w:t>
      </w:r>
      <w:r>
        <w:rPr>
          <w:noProof/>
        </w:rPr>
        <w:tab/>
      </w:r>
      <w:r w:rsidRPr="00C017A7">
        <w:rPr>
          <w:noProof/>
        </w:rPr>
        <w:t>Pentru a asigura un dinamism puternic al pieței îngrășămintelor din Uniune și pentru a diversifica lanțurile de aprovizionare, este necesar să se faciliteze importurile de mărfuri utilizate pentru a produce îngrășăminte pe bază de azot, anumite îngrășăminte pe bază de azot și amestecuri care conțin azot. În plus, diversificarea urgentă a surselor de aprovizionare în afara Federației Ruse este esențială, în special având în vedere măsurile stabilite prin Regulamentul 2025/1227 al Parlamentului European și al Consiliului, care vor crește treptat tarifele pentru unele dintre mărfurile care intră în domeniul de aplicare al prezentului regulament.</w:t>
      </w:r>
    </w:p>
    <w:p w:rsidR="001C0947" w:rsidRPr="00C017A7" w:rsidRDefault="2D475717" w:rsidP="001C0947">
      <w:pPr>
        <w:pStyle w:val="ManualConsidrant"/>
        <w:rPr>
          <w:noProof/>
        </w:rPr>
      </w:pPr>
      <w:r>
        <w:rPr>
          <w:noProof/>
        </w:rPr>
        <w:t>(6)</w:t>
      </w:r>
      <w:r>
        <w:rPr>
          <w:noProof/>
        </w:rPr>
        <w:tab/>
      </w:r>
      <w:r w:rsidRPr="00C017A7">
        <w:rPr>
          <w:noProof/>
        </w:rPr>
        <w:t xml:space="preserve">Uniunea s-a confruntat cu costuri ridicate ale energiei în ultimii ani, care au afectat producția de îngrășăminte în Uniune și, în special, de îngrășăminte pe bază de azot, având în vedere că gazele naturale sunt principala sursă de energie și o materie primă. Acest lucru a condus la un impact semnificativ asupra producției și vânzărilor industriei îngrășămintelor din Uniune. Producătorii de îngrășăminte din Uniune trebuie să se adapteze în continuare la acest mediu complex determinat de factori geopolitici. Prin urmare, orice măsură luată pentru a îmbunătăți aprovizionarea cu îngrășăminte ar trebui să evite cauzarea unui impact negativ asupra producătorilor de îngrășăminte din Uniune. </w:t>
      </w:r>
    </w:p>
    <w:p w:rsidR="001C0947" w:rsidRPr="00C017A7" w:rsidRDefault="2D475717" w:rsidP="001C0947">
      <w:pPr>
        <w:pStyle w:val="ManualConsidrant"/>
        <w:rPr>
          <w:noProof/>
        </w:rPr>
      </w:pPr>
      <w:r>
        <w:rPr>
          <w:noProof/>
        </w:rPr>
        <w:t>(7)</w:t>
      </w:r>
      <w:r>
        <w:rPr>
          <w:noProof/>
        </w:rPr>
        <w:tab/>
      </w:r>
      <w:r w:rsidRPr="00C017A7">
        <w:rPr>
          <w:noProof/>
        </w:rPr>
        <w:t xml:space="preserve">Întrucât producția existentă de îngrășăminte a Uniunii trebuie să rămână protejată, este necesar să se sporească reziliența acestui lanț de aprovizionare prin favorizarea diversificării factorilor săi de producție și prin reducerea la minimum a riscului de dependențe externe. </w:t>
      </w:r>
    </w:p>
    <w:p w:rsidR="001C0947" w:rsidRPr="00C017A7" w:rsidRDefault="2D475717" w:rsidP="001C0947">
      <w:pPr>
        <w:pStyle w:val="ManualConsidrant"/>
        <w:rPr>
          <w:noProof/>
        </w:rPr>
      </w:pPr>
      <w:r>
        <w:rPr>
          <w:noProof/>
        </w:rPr>
        <w:t>(8)</w:t>
      </w:r>
      <w:r>
        <w:rPr>
          <w:noProof/>
        </w:rPr>
        <w:tab/>
      </w:r>
      <w:r w:rsidRPr="00C017A7">
        <w:rPr>
          <w:noProof/>
        </w:rPr>
        <w:t xml:space="preserve">De asemenea, este oportun să se ia măsuri pentru a reduce costurile importului de mărfuri pentru producția de îngrășăminte pe bază de azot, de anumite îngrășăminte pe bază de azot și de amestecuri care conțin azot pentru care producția Uniunii este insuficientă. </w:t>
      </w:r>
    </w:p>
    <w:p w:rsidR="001C0947" w:rsidRPr="00C017A7" w:rsidRDefault="2D475717" w:rsidP="001C0947">
      <w:pPr>
        <w:pStyle w:val="ManualConsidrant"/>
        <w:rPr>
          <w:noProof/>
        </w:rPr>
      </w:pPr>
      <w:r>
        <w:rPr>
          <w:noProof/>
        </w:rPr>
        <w:t>(9)</w:t>
      </w:r>
      <w:r>
        <w:rPr>
          <w:noProof/>
        </w:rPr>
        <w:tab/>
      </w:r>
      <w:r w:rsidRPr="00C017A7">
        <w:rPr>
          <w:noProof/>
        </w:rPr>
        <w:t>Prin urmare, este oportun să se suspende temporar taxa prevăzută în Tariful vamal comun menționată la articolul 56 alineatul (2) litera (c) din Regulamentul (UE) nr. 952/2013 al Parlamentului European și al Consiliului</w:t>
      </w:r>
      <w:r w:rsidR="0078576C" w:rsidRPr="00C017A7">
        <w:rPr>
          <w:rStyle w:val="FootnoteReference"/>
          <w:noProof/>
        </w:rPr>
        <w:footnoteReference w:id="3"/>
      </w:r>
      <w:r w:rsidRPr="00C017A7">
        <w:rPr>
          <w:noProof/>
        </w:rPr>
        <w:t xml:space="preserve"> pentru uree și amoniac, precum și pentru anumite îngrășăminte pe bază de azot și amestecuri care conțin azot până la un anumit volum din importurile lor. Pentru a găsi un echilibru între interesele producătorilor din Uniune și cele ale consumatorilor de îngrășăminte din Uniune, suspendarea temporară a taxelor din Tariful vamal comun este limitată per produs la volumul importurilor Uniunii în regimul clauzei </w:t>
      </w:r>
      <w:bookmarkStart w:id="3" w:name="_Hlk222330814"/>
      <w:r w:rsidRPr="00C017A7">
        <w:rPr>
          <w:noProof/>
        </w:rPr>
        <w:t>națiunii celei mai favorizate (CNF) pentru 2024, cu excepția importurilor din Federația Rusă și din Republica Belarus</w:t>
      </w:r>
      <w:bookmarkEnd w:id="3"/>
      <w:r w:rsidRPr="00C017A7">
        <w:rPr>
          <w:noProof/>
        </w:rPr>
        <w:t>, dar majorat cu un supliment de 20 % din volumele importate în Uniune din aceste două țări în 2024.</w:t>
      </w:r>
      <w:r w:rsidRPr="00C017A7">
        <w:rPr>
          <w:b/>
          <w:noProof/>
        </w:rPr>
        <w:t xml:space="preserve"> </w:t>
      </w:r>
      <w:r w:rsidRPr="00C017A7">
        <w:rPr>
          <w:noProof/>
        </w:rPr>
        <w:t>Suspendarea temporară a tarifelor ar trebui să se aplice pentru o perioadă de un an. Comisia va monitoriza situația de pe piața îngrășămintelor și, dacă este necesar, va propune reînnoirea suspendării tarifelor pentru a realiza o diversificare suficientă și pentru a îmbunătăți disponibilitatea îngrășămintelor la prețuri competitive pentru fermierii europeni.</w:t>
      </w:r>
    </w:p>
    <w:p w:rsidR="0097760B" w:rsidRPr="00C017A7" w:rsidRDefault="00461123" w:rsidP="0097760B">
      <w:pPr>
        <w:pStyle w:val="ManualConsidrant"/>
        <w:rPr>
          <w:noProof/>
        </w:rPr>
      </w:pPr>
      <w:r>
        <w:rPr>
          <w:noProof/>
        </w:rPr>
        <w:t>(10)</w:t>
      </w:r>
      <w:r>
        <w:rPr>
          <w:noProof/>
        </w:rPr>
        <w:tab/>
      </w:r>
      <w:r w:rsidRPr="00C017A7">
        <w:rPr>
          <w:noProof/>
        </w:rPr>
        <w:t xml:space="preserve">Este necesar să se excludă importurile de mărfuri utilizate pentru a produce îngrășăminte pe bază de azot, anumite îngrășăminte pe bază de azot și amestecuri care conțin azot din Federația Rusă și din Republica Belarus din domeniul de aplicare al măsurii tarifare temporare prevăzute în prezentul regulament. Excluderea importurilor din Federația Rusă și din Republica Belarus de la suspendarea temporară prevăzută în prezentul regulament este în concordanță cu acțiunea externă a Uniunii în alte domenii, astfel cum se prevede la articolul 21 alineatul (3) din Tratatul privind Uniunea Europeană. </w:t>
      </w:r>
    </w:p>
    <w:p w:rsidR="00C51014" w:rsidRPr="00C017A7" w:rsidRDefault="654C4EF3" w:rsidP="72A3A898">
      <w:pPr>
        <w:pStyle w:val="ManualConsidrant"/>
        <w:rPr>
          <w:noProof/>
        </w:rPr>
      </w:pPr>
      <w:r>
        <w:rPr>
          <w:noProof/>
        </w:rPr>
        <w:t>(11)</w:t>
      </w:r>
      <w:r>
        <w:rPr>
          <w:noProof/>
        </w:rPr>
        <w:tab/>
      </w:r>
      <w:r w:rsidRPr="00C017A7">
        <w:rPr>
          <w:noProof/>
        </w:rPr>
        <w:t>Situația relațiilor dintre Uniune și Federația Rusă s-a deteriorat considerabil în ultimii ani, în special începând din 2022. Respectiva deteriorare a relațiilor se datorează nerespectării flagrante de către Federația Rusă a dreptului internațional și războiului său de agresiune neprovocat și nejustificat împotriva Ucrainei. Începând din iulie 2014, Uniunea a impus progresiv măsuri restrictive privind comerțul cu Federația Rusă ca răspuns la acțiunile Federației Ruse împotriva Ucrainei. Uniunea a impus și tarife mai mari la importurile de îngrășăminte pe bază de azot din Federația Rusă care intră, de asemenea, în domeniul de aplicare al prezentului regulament.</w:t>
      </w:r>
    </w:p>
    <w:p w:rsidR="001C0947" w:rsidRPr="00C017A7" w:rsidRDefault="2D475717" w:rsidP="001C0947">
      <w:pPr>
        <w:pStyle w:val="ManualConsidrant"/>
        <w:rPr>
          <w:noProof/>
        </w:rPr>
      </w:pPr>
      <w:r>
        <w:rPr>
          <w:noProof/>
        </w:rPr>
        <w:t>(12)</w:t>
      </w:r>
      <w:r>
        <w:rPr>
          <w:noProof/>
        </w:rPr>
        <w:tab/>
      </w:r>
      <w:r w:rsidRPr="00C017A7">
        <w:rPr>
          <w:noProof/>
        </w:rPr>
        <w:t>Federația Rusă este membră a Organizației Mondiale a Comerțului (OMC). Cu toate acestea, în virtutea excepțiilor care se aplică în temeiul Acordului de instituire a Organizației Mondiale a Comerțului (denumit în continuare „Acordul OMC”), în special al articolului XXI din Acordul general pentru tarife și comerț din 1994 (excepții de securitate), Uniunii i se permite în prezent să nu țină seama de obligația de a acorda mărfurilor importate din Federația Rusă tratamentul în baza clauzei națiunii celei mai favorizate și nu este împiedicată să aplice taxe la import mai mari decât cele cuprinse în lista angajamentelor tarifare ale Uniunii privind comerțul cu mărfuri, în cazul în care Uniunea consideră că astfel de măsuri sunt necesare pentru a-și proteja interesele esențiale de securitate.</w:t>
      </w:r>
    </w:p>
    <w:p w:rsidR="001C0947" w:rsidRPr="00C017A7" w:rsidRDefault="2D475717" w:rsidP="00B71A3E">
      <w:pPr>
        <w:pStyle w:val="ManualConsidrant"/>
        <w:rPr>
          <w:noProof/>
        </w:rPr>
      </w:pPr>
      <w:r>
        <w:rPr>
          <w:noProof/>
        </w:rPr>
        <w:t>(13)</w:t>
      </w:r>
      <w:r>
        <w:rPr>
          <w:noProof/>
        </w:rPr>
        <w:tab/>
      </w:r>
      <w:r w:rsidRPr="00C017A7">
        <w:rPr>
          <w:noProof/>
        </w:rPr>
        <w:t xml:space="preserve">Relațiile dintre Uniune și </w:t>
      </w:r>
      <w:bookmarkStart w:id="4" w:name="_Hlk222330720"/>
      <w:r w:rsidRPr="00C017A7">
        <w:rPr>
          <w:noProof/>
        </w:rPr>
        <w:t>Republica Belarus</w:t>
      </w:r>
      <w:bookmarkEnd w:id="4"/>
      <w:r w:rsidRPr="00C017A7">
        <w:rPr>
          <w:noProof/>
        </w:rPr>
        <w:t xml:space="preserve"> s-au deteriorat, de asemenea, în ultimii ani, din cauza nerespectării de către Republica Belarus a dreptului internațional, a libertăților fundamentale și a drepturilor omului, precum și din cauza sprijinului acordat de aceasta războiului de agresiune al Federației Ruse împotriva Ucrainei. Începând din octombrie 2020, Uniunea a instituit, treptat, măsuri restrictive pentru schimburile comerciale cu Republica Belarus. Uniunea a impus, de asemenea, tarife mai mari la importurile de îngrășăminte pe bază de azot din Belarus. </w:t>
      </w:r>
    </w:p>
    <w:p w:rsidR="001C0947" w:rsidRPr="00C017A7" w:rsidRDefault="2D475717" w:rsidP="001C0947">
      <w:pPr>
        <w:pStyle w:val="ManualConsidrant"/>
        <w:rPr>
          <w:noProof/>
        </w:rPr>
      </w:pPr>
      <w:r>
        <w:rPr>
          <w:noProof/>
        </w:rPr>
        <w:t>(14)</w:t>
      </w:r>
      <w:r>
        <w:rPr>
          <w:noProof/>
        </w:rPr>
        <w:tab/>
      </w:r>
      <w:r w:rsidRPr="00C017A7">
        <w:rPr>
          <w:noProof/>
        </w:rPr>
        <w:t xml:space="preserve">Republica Belarus nu este membră a OMC. Prin urmare, Uniunea nu este obligată, în temeiul Acordului OMC, să acorde mărfurilor din Republica Belarus tratamentul în baza clauzei națiunii celei mai favorizate și alte tratamente în conformitate cu acordul respectiv. În plus, acordurile comerciale existente dintre Uniune și Republica Belarus permit acțiuni justificate pe baza clauzelor de exceptare aplicabile, în special a excepțiilor în materie de securitate. </w:t>
      </w:r>
    </w:p>
    <w:p w:rsidR="001C0947" w:rsidRPr="00C017A7" w:rsidRDefault="2D475717" w:rsidP="001C0947">
      <w:pPr>
        <w:pStyle w:val="ManualConsidrant"/>
        <w:rPr>
          <w:noProof/>
        </w:rPr>
      </w:pPr>
      <w:r>
        <w:rPr>
          <w:noProof/>
        </w:rPr>
        <w:t>(15)</w:t>
      </w:r>
      <w:r>
        <w:rPr>
          <w:noProof/>
        </w:rPr>
        <w:tab/>
      </w:r>
      <w:r w:rsidRPr="00C017A7">
        <w:rPr>
          <w:noProof/>
        </w:rPr>
        <w:t xml:space="preserve">Pentru a stimula diversificarea furnizorilor și o reducere a costurilor de producție înaintea viitorului sezon de plantare/însămânțare, prezentul regulament trebuie să intre în vigoare în ziua următoare datei publicării sale în </w:t>
      </w:r>
      <w:r w:rsidRPr="00C017A7">
        <w:rPr>
          <w:i/>
          <w:noProof/>
        </w:rPr>
        <w:t>Jurnalul Oficial al Uniunii Europene</w:t>
      </w:r>
      <w:r w:rsidR="00CD4AE1" w:rsidRPr="00C017A7">
        <w:rPr>
          <w:noProof/>
        </w:rPr>
        <w:t>,</w:t>
      </w:r>
    </w:p>
    <w:p w:rsidR="001C0947" w:rsidRPr="00C017A7" w:rsidRDefault="001C0947" w:rsidP="001C0947">
      <w:pPr>
        <w:pStyle w:val="Formuledadoption"/>
        <w:rPr>
          <w:noProof/>
        </w:rPr>
      </w:pPr>
      <w:r w:rsidRPr="00C017A7">
        <w:rPr>
          <w:noProof/>
        </w:rPr>
        <w:t>ADOPTĂ PREZENTUL REGULAMENT:</w:t>
      </w:r>
    </w:p>
    <w:p w:rsidR="001C0947" w:rsidRPr="00C017A7" w:rsidRDefault="001C0947" w:rsidP="001C0947">
      <w:pPr>
        <w:pStyle w:val="Titrearticle"/>
        <w:rPr>
          <w:noProof/>
        </w:rPr>
      </w:pPr>
      <w:r w:rsidRPr="00C017A7">
        <w:rPr>
          <w:noProof/>
        </w:rPr>
        <w:t>Articolul 1</w:t>
      </w:r>
    </w:p>
    <w:p w:rsidR="007100B3" w:rsidRPr="00C017A7" w:rsidRDefault="007100B3" w:rsidP="005927CC">
      <w:pPr>
        <w:pStyle w:val="ManualNumPar1"/>
        <w:rPr>
          <w:noProof/>
        </w:rPr>
      </w:pPr>
      <w:r>
        <w:rPr>
          <w:noProof/>
        </w:rPr>
        <w:t>1.</w:t>
      </w:r>
      <w:r>
        <w:rPr>
          <w:noProof/>
        </w:rPr>
        <w:tab/>
      </w:r>
      <w:r w:rsidRPr="00C017A7">
        <w:rPr>
          <w:noProof/>
        </w:rPr>
        <w:t>Taxele din Tariful vamal comun menționate la articolul 56 alineatul (2) litera (c) din Regulamentul (UE) nr. 952/2013 se suspendă pentru următoarele coduri NC, pentru volumele totale agregate stabilite în anexa la prezentul regulament:</w:t>
      </w:r>
    </w:p>
    <w:p w:rsidR="007100B3" w:rsidRPr="00C017A7" w:rsidRDefault="007100B3" w:rsidP="005927CC">
      <w:pPr>
        <w:pStyle w:val="Point1"/>
        <w:rPr>
          <w:noProof/>
        </w:rPr>
      </w:pPr>
      <w:r>
        <w:rPr>
          <w:noProof/>
        </w:rPr>
        <w:t>(a)</w:t>
      </w:r>
      <w:r>
        <w:rPr>
          <w:noProof/>
        </w:rPr>
        <w:tab/>
      </w:r>
      <w:r w:rsidRPr="00C017A7">
        <w:rPr>
          <w:noProof/>
        </w:rPr>
        <w:t>codurile NC 2814 10 00 și 2814 20 00;</w:t>
      </w:r>
    </w:p>
    <w:p w:rsidR="007100B3" w:rsidRPr="00C017A7" w:rsidRDefault="007100B3" w:rsidP="005927CC">
      <w:pPr>
        <w:pStyle w:val="Point1"/>
        <w:rPr>
          <w:noProof/>
        </w:rPr>
      </w:pPr>
      <w:r>
        <w:rPr>
          <w:noProof/>
        </w:rPr>
        <w:t>(b)</w:t>
      </w:r>
      <w:r>
        <w:rPr>
          <w:noProof/>
        </w:rPr>
        <w:tab/>
      </w:r>
      <w:r w:rsidRPr="00C017A7">
        <w:rPr>
          <w:noProof/>
        </w:rPr>
        <w:t>codurile NC 3102 10 12, 3102 10 15, 3102 10 19 și 3102 10 90;</w:t>
      </w:r>
    </w:p>
    <w:p w:rsidR="00507419" w:rsidRPr="00C017A7" w:rsidRDefault="00507419" w:rsidP="005927CC">
      <w:pPr>
        <w:pStyle w:val="Point1"/>
        <w:rPr>
          <w:noProof/>
        </w:rPr>
      </w:pPr>
      <w:r>
        <w:rPr>
          <w:noProof/>
        </w:rPr>
        <w:t>(c)</w:t>
      </w:r>
      <w:r>
        <w:rPr>
          <w:noProof/>
        </w:rPr>
        <w:tab/>
      </w:r>
      <w:r w:rsidRPr="00C017A7">
        <w:rPr>
          <w:noProof/>
        </w:rPr>
        <w:t>codul NC 3102 21 00;</w:t>
      </w:r>
    </w:p>
    <w:p w:rsidR="00507419" w:rsidRPr="00C017A7" w:rsidRDefault="00507419" w:rsidP="005927CC">
      <w:pPr>
        <w:pStyle w:val="Point1"/>
        <w:rPr>
          <w:noProof/>
        </w:rPr>
      </w:pPr>
      <w:r>
        <w:rPr>
          <w:noProof/>
        </w:rPr>
        <w:t>(d)</w:t>
      </w:r>
      <w:r>
        <w:rPr>
          <w:noProof/>
        </w:rPr>
        <w:tab/>
      </w:r>
      <w:r w:rsidRPr="00C017A7">
        <w:rPr>
          <w:noProof/>
        </w:rPr>
        <w:t>codul NC 3102 60 00;</w:t>
      </w:r>
    </w:p>
    <w:p w:rsidR="00507419" w:rsidRPr="00C017A7" w:rsidRDefault="00507419" w:rsidP="005927CC">
      <w:pPr>
        <w:pStyle w:val="Point1"/>
        <w:rPr>
          <w:noProof/>
        </w:rPr>
      </w:pPr>
      <w:r>
        <w:rPr>
          <w:noProof/>
        </w:rPr>
        <w:t>(e)</w:t>
      </w:r>
      <w:r>
        <w:rPr>
          <w:noProof/>
        </w:rPr>
        <w:tab/>
      </w:r>
      <w:r w:rsidRPr="00C017A7">
        <w:rPr>
          <w:noProof/>
        </w:rPr>
        <w:t>codul NC 3102 80 00;</w:t>
      </w:r>
    </w:p>
    <w:p w:rsidR="00507419" w:rsidRPr="00C017A7" w:rsidRDefault="00507419" w:rsidP="005927CC">
      <w:pPr>
        <w:pStyle w:val="Point1"/>
        <w:rPr>
          <w:noProof/>
        </w:rPr>
      </w:pPr>
      <w:r>
        <w:rPr>
          <w:noProof/>
        </w:rPr>
        <w:t>(f)</w:t>
      </w:r>
      <w:r>
        <w:rPr>
          <w:noProof/>
        </w:rPr>
        <w:tab/>
      </w:r>
      <w:r w:rsidRPr="00C017A7">
        <w:rPr>
          <w:noProof/>
        </w:rPr>
        <w:t>codurile NC 3105 20 10 și 3105 20 90;</w:t>
      </w:r>
    </w:p>
    <w:p w:rsidR="007100B3" w:rsidRPr="00C017A7" w:rsidRDefault="007100B3" w:rsidP="005927CC">
      <w:pPr>
        <w:pStyle w:val="Point1"/>
        <w:rPr>
          <w:noProof/>
        </w:rPr>
      </w:pPr>
      <w:r>
        <w:rPr>
          <w:noProof/>
        </w:rPr>
        <w:t>(g)</w:t>
      </w:r>
      <w:r>
        <w:rPr>
          <w:noProof/>
        </w:rPr>
        <w:tab/>
      </w:r>
      <w:r w:rsidRPr="00C017A7">
        <w:rPr>
          <w:noProof/>
        </w:rPr>
        <w:t>codul NC 3105 30 00;</w:t>
      </w:r>
    </w:p>
    <w:p w:rsidR="007100B3" w:rsidRPr="00C017A7" w:rsidRDefault="007100B3" w:rsidP="005927CC">
      <w:pPr>
        <w:pStyle w:val="Point1"/>
        <w:rPr>
          <w:noProof/>
        </w:rPr>
      </w:pPr>
      <w:r>
        <w:rPr>
          <w:noProof/>
        </w:rPr>
        <w:t>(h)</w:t>
      </w:r>
      <w:r>
        <w:rPr>
          <w:noProof/>
        </w:rPr>
        <w:tab/>
      </w:r>
      <w:r w:rsidRPr="00C017A7">
        <w:rPr>
          <w:noProof/>
        </w:rPr>
        <w:t>codul NC 3105 40 00</w:t>
      </w:r>
      <w:r w:rsidR="00CD4AE1" w:rsidRPr="00C017A7">
        <w:rPr>
          <w:noProof/>
        </w:rPr>
        <w:t>.</w:t>
      </w:r>
    </w:p>
    <w:p w:rsidR="007100B3" w:rsidRPr="00C017A7" w:rsidRDefault="007100B3" w:rsidP="005927CC">
      <w:pPr>
        <w:pStyle w:val="ManualNumPar1"/>
        <w:rPr>
          <w:noProof/>
        </w:rPr>
      </w:pPr>
      <w:r>
        <w:rPr>
          <w:noProof/>
        </w:rPr>
        <w:t>2.</w:t>
      </w:r>
      <w:r>
        <w:rPr>
          <w:noProof/>
        </w:rPr>
        <w:tab/>
      </w:r>
      <w:r w:rsidRPr="00C017A7">
        <w:rPr>
          <w:noProof/>
        </w:rPr>
        <w:t>Suspendarea taxelor vamale pentru mărfurile încadrate la codurile NC menționate la alineatul (1) litera (a) nu se aplică importurilor de mărfuri</w:t>
      </w:r>
      <w:r w:rsidR="00CD4AE1" w:rsidRPr="00C017A7">
        <w:rPr>
          <w:noProof/>
        </w:rPr>
        <w:t xml:space="preserve"> </w:t>
      </w:r>
      <w:r w:rsidRPr="00C017A7">
        <w:rPr>
          <w:noProof/>
        </w:rPr>
        <w:t xml:space="preserve">încadrate la codurile NC respective originare din Federația Rusă și din Republica Belarus. </w:t>
      </w:r>
    </w:p>
    <w:p w:rsidR="007100B3" w:rsidRPr="00C017A7" w:rsidRDefault="007100B3" w:rsidP="005927CC">
      <w:pPr>
        <w:pStyle w:val="ManualNumPar1"/>
        <w:rPr>
          <w:noProof/>
        </w:rPr>
      </w:pPr>
      <w:r>
        <w:rPr>
          <w:noProof/>
        </w:rPr>
        <w:t>3.</w:t>
      </w:r>
      <w:r>
        <w:rPr>
          <w:noProof/>
        </w:rPr>
        <w:tab/>
      </w:r>
      <w:r w:rsidRPr="00C017A7">
        <w:rPr>
          <w:noProof/>
        </w:rPr>
        <w:t>Suspendarea taxelor vamale pentru mărfurile încadrate la codurile NC menționate la alineatul (1) literele (b), (c), (d), (e), (f), (g) și (h) nu se aplică importurilor de mărfuri încadrate la codurile respective originare din Federația Rusă și din Republica Belarus care intră în domeniul de aplicare al Regulamentului (UE) 2025/1227 al Parlamentului European și al Consiliului.</w:t>
      </w:r>
    </w:p>
    <w:p w:rsidR="007100B3" w:rsidRPr="00C017A7" w:rsidRDefault="007100B3" w:rsidP="005927CC">
      <w:pPr>
        <w:pStyle w:val="ManualNumPar1"/>
        <w:rPr>
          <w:noProof/>
        </w:rPr>
      </w:pPr>
      <w:r>
        <w:rPr>
          <w:noProof/>
        </w:rPr>
        <w:t>4.</w:t>
      </w:r>
      <w:r>
        <w:rPr>
          <w:noProof/>
        </w:rPr>
        <w:tab/>
      </w:r>
      <w:r w:rsidRPr="00C017A7">
        <w:rPr>
          <w:noProof/>
        </w:rPr>
        <w:t>Se deschid noi numere de ordine ale contingentelor tarifare cu referințele enumerate în anexa la prezentul regulament.</w:t>
      </w:r>
    </w:p>
    <w:p w:rsidR="2BB4B88B" w:rsidRPr="00C017A7" w:rsidRDefault="2BB4B88B" w:rsidP="6CE9FC8C">
      <w:pPr>
        <w:pStyle w:val="Titrearticle"/>
        <w:rPr>
          <w:noProof/>
        </w:rPr>
      </w:pPr>
      <w:r w:rsidRPr="00C017A7">
        <w:rPr>
          <w:noProof/>
        </w:rPr>
        <w:t>Articolul 2</w:t>
      </w:r>
    </w:p>
    <w:p w:rsidR="003C0BF3" w:rsidRPr="00C017A7" w:rsidRDefault="00B46313" w:rsidP="003C0BF3">
      <w:pPr>
        <w:rPr>
          <w:noProof/>
        </w:rPr>
      </w:pPr>
      <w:r w:rsidRPr="00C017A7">
        <w:rPr>
          <w:noProof/>
        </w:rPr>
        <w:t>Comisia și statele membre gestionează volumul contingentelor de import stabilite la articolul 1 din prezentul regulament în conformitate cu sistemul de gestionare a contingentelor tarifare prevăzut la articolele 49-54 din Regulamentul de punere în aplicare (UE) 2015/2447 al Comisiei</w:t>
      </w:r>
      <w:r w:rsidR="2BB4B88B" w:rsidRPr="00C017A7">
        <w:rPr>
          <w:rStyle w:val="FootnoteReference"/>
          <w:noProof/>
        </w:rPr>
        <w:footnoteReference w:id="4"/>
      </w:r>
      <w:r w:rsidRPr="00C017A7">
        <w:rPr>
          <w:noProof/>
        </w:rPr>
        <w:t>.</w:t>
      </w:r>
    </w:p>
    <w:p w:rsidR="0371F31E" w:rsidRPr="00C017A7" w:rsidRDefault="0371F31E" w:rsidP="0D246F12">
      <w:pPr>
        <w:pStyle w:val="Titrearticle"/>
        <w:rPr>
          <w:noProof/>
        </w:rPr>
      </w:pPr>
      <w:r w:rsidRPr="00C017A7">
        <w:rPr>
          <w:noProof/>
        </w:rPr>
        <w:t>Articolul 3</w:t>
      </w:r>
    </w:p>
    <w:p w:rsidR="1802088B" w:rsidRPr="00C017A7" w:rsidRDefault="1802088B" w:rsidP="00B71A3E">
      <w:pPr>
        <w:rPr>
          <w:noProof/>
        </w:rPr>
      </w:pPr>
      <w:r w:rsidRPr="00C017A7">
        <w:rPr>
          <w:noProof/>
        </w:rPr>
        <w:t>Comisia monitorizează situația de pe piața îngrășămintelor și, dacă este necesar, propune prelungirea suspendării prevăzute la articolul 1.</w:t>
      </w:r>
    </w:p>
    <w:p w:rsidR="001C0947" w:rsidRPr="00C017A7" w:rsidRDefault="001C0947" w:rsidP="001C0947">
      <w:pPr>
        <w:pStyle w:val="Titrearticle"/>
        <w:rPr>
          <w:noProof/>
        </w:rPr>
      </w:pPr>
      <w:r w:rsidRPr="00C017A7">
        <w:rPr>
          <w:noProof/>
        </w:rPr>
        <w:t>Articolul 4</w:t>
      </w:r>
    </w:p>
    <w:p w:rsidR="001C0947" w:rsidRPr="00C017A7" w:rsidRDefault="001C0947" w:rsidP="001C0947">
      <w:pPr>
        <w:rPr>
          <w:noProof/>
        </w:rPr>
      </w:pPr>
      <w:r w:rsidRPr="00C017A7">
        <w:rPr>
          <w:noProof/>
        </w:rPr>
        <w:t xml:space="preserve">Prezentul regulament intră în vigoare în ziua următoare datei publicării în </w:t>
      </w:r>
      <w:r w:rsidRPr="00C017A7">
        <w:rPr>
          <w:i/>
          <w:iCs/>
          <w:noProof/>
        </w:rPr>
        <w:t>Jurnalul Oficial al Uniunii Europene</w:t>
      </w:r>
      <w:r w:rsidRPr="00C017A7">
        <w:rPr>
          <w:noProof/>
        </w:rPr>
        <w:t xml:space="preserve">. </w:t>
      </w:r>
    </w:p>
    <w:p w:rsidR="001C0947" w:rsidRPr="00C017A7" w:rsidRDefault="001C0947" w:rsidP="001C0947">
      <w:pPr>
        <w:rPr>
          <w:noProof/>
        </w:rPr>
      </w:pPr>
      <w:r w:rsidRPr="00C017A7">
        <w:rPr>
          <w:noProof/>
        </w:rPr>
        <w:t>Se aplică până la [</w:t>
      </w:r>
      <w:r w:rsidRPr="00C017A7">
        <w:rPr>
          <w:i/>
          <w:iCs/>
          <w:noProof/>
        </w:rPr>
        <w:t>OP vă rugăm să adăugați:</w:t>
      </w:r>
      <w:r w:rsidRPr="00C017A7">
        <w:rPr>
          <w:i/>
          <w:noProof/>
        </w:rPr>
        <w:t xml:space="preserve"> </w:t>
      </w:r>
      <w:r w:rsidRPr="00C017A7">
        <w:rPr>
          <w:i/>
          <w:iCs/>
          <w:noProof/>
        </w:rPr>
        <w:t>1 an de la data intrării în vigoare a prezentului regulament</w:t>
      </w:r>
      <w:r w:rsidRPr="00C017A7">
        <w:rPr>
          <w:noProof/>
        </w:rPr>
        <w:t xml:space="preserve">]. </w:t>
      </w:r>
    </w:p>
    <w:p w:rsidR="001C0947" w:rsidRPr="00C017A7" w:rsidRDefault="001C0947" w:rsidP="00A51210">
      <w:pPr>
        <w:pStyle w:val="Applicationdirecte"/>
        <w:keepNext/>
        <w:keepLines/>
        <w:rPr>
          <w:noProof/>
        </w:rPr>
      </w:pPr>
      <w:r w:rsidRPr="00C017A7">
        <w:rPr>
          <w:noProof/>
        </w:rPr>
        <w:t>Prezentul regulament este obligatoriu în toate elementele sale și se aplică direct în toate statele membre.</w:t>
      </w:r>
    </w:p>
    <w:p w:rsidR="001C0947" w:rsidRPr="00C017A7" w:rsidRDefault="00D54FC8" w:rsidP="00A51210">
      <w:pPr>
        <w:pStyle w:val="Fait"/>
        <w:rPr>
          <w:noProof/>
        </w:rPr>
      </w:pPr>
      <w:r>
        <w:rPr>
          <w:noProof/>
        </w:rPr>
        <w:t>Adoptat la Bruxelles,</w:t>
      </w:r>
    </w:p>
    <w:p w:rsidR="001C0947" w:rsidRPr="00C017A7" w:rsidRDefault="001C0947" w:rsidP="00A51210">
      <w:pPr>
        <w:pStyle w:val="Institutionquisigne"/>
        <w:rPr>
          <w:noProof/>
        </w:rPr>
      </w:pPr>
      <w:r w:rsidRPr="00C017A7">
        <w:rPr>
          <w:noProof/>
        </w:rPr>
        <w:tab/>
        <w:t>Pentru Consiliu</w:t>
      </w:r>
    </w:p>
    <w:p w:rsidR="001C0947" w:rsidRPr="00C017A7" w:rsidRDefault="001C0947" w:rsidP="001C0947">
      <w:pPr>
        <w:pStyle w:val="Personnequisigne"/>
        <w:rPr>
          <w:noProof/>
        </w:rPr>
      </w:pPr>
      <w:r w:rsidRPr="00C017A7">
        <w:rPr>
          <w:noProof/>
        </w:rPr>
        <w:tab/>
        <w:t>Președintele</w:t>
      </w:r>
    </w:p>
    <w:p w:rsidR="001C0947" w:rsidRPr="00C017A7" w:rsidRDefault="001C0947" w:rsidP="001C0947">
      <w:pPr>
        <w:rPr>
          <w:noProof/>
        </w:rPr>
        <w:sectPr w:rsidR="001C0947" w:rsidRPr="00C017A7" w:rsidSect="00C64F05">
          <w:pgSz w:w="11907" w:h="16839"/>
          <w:pgMar w:top="1134" w:right="1417" w:bottom="1134" w:left="1417" w:header="709" w:footer="709" w:gutter="0"/>
          <w:cols w:space="708"/>
          <w:docGrid w:linePitch="360"/>
        </w:sectPr>
      </w:pPr>
    </w:p>
    <w:p w:rsidR="001C0947" w:rsidRPr="00C017A7" w:rsidRDefault="001C0947" w:rsidP="001C0947">
      <w:pPr>
        <w:pStyle w:val="Fichefinanciretitre"/>
        <w:keepNext/>
        <w:rPr>
          <w:noProof/>
        </w:rPr>
      </w:pPr>
      <w:r w:rsidRPr="00C017A7">
        <w:rPr>
          <w:noProof/>
        </w:rPr>
        <w:t>FIȘĂ FINANCIARĂ LEGISLATIVĂ „VENITURI” – PENTRU PROPUNERI CU IMPACT BUGETAR ASUPRA PĂRȚII DE VENITURI A BUGETULUI</w:t>
      </w:r>
    </w:p>
    <w:p w:rsidR="001C0947" w:rsidRPr="00C017A7" w:rsidRDefault="001C0947" w:rsidP="001C0947">
      <w:pPr>
        <w:pStyle w:val="ManualHeading1"/>
        <w:rPr>
          <w:bCs/>
          <w:noProof/>
        </w:rPr>
      </w:pPr>
      <w:r w:rsidRPr="00C017A7">
        <w:rPr>
          <w:noProof/>
        </w:rPr>
        <w:t>1.</w:t>
      </w:r>
      <w:r w:rsidRPr="00C017A7">
        <w:rPr>
          <w:noProof/>
        </w:rPr>
        <w:tab/>
        <w:t>TITLUL PROPUNERII:</w:t>
      </w:r>
    </w:p>
    <w:p w:rsidR="001C0947" w:rsidRPr="00C017A7" w:rsidRDefault="001C0947" w:rsidP="001C0947">
      <w:pPr>
        <w:autoSpaceDE w:val="0"/>
        <w:autoSpaceDN w:val="0"/>
        <w:adjustRightInd w:val="0"/>
        <w:rPr>
          <w:noProof/>
          <w:szCs w:val="24"/>
        </w:rPr>
      </w:pPr>
      <w:r w:rsidRPr="00C017A7">
        <w:rPr>
          <w:noProof/>
        </w:rPr>
        <w:t>Propunere de Regulament al Consiliului de suspendare a taxelor din Tariful vamal comun menționate la articolul 56 alineatul (2) litera (c) din Regulamentul (UE) nr. 952/2013 al Parlamentului European și al Consiliului, privind deschiderea și modul de gestionare a unor contingente tarifare autonome pentru anumite îngrășăminte.</w:t>
      </w:r>
    </w:p>
    <w:p w:rsidR="001C0947" w:rsidRPr="00C017A7" w:rsidRDefault="001C0947" w:rsidP="001C0947">
      <w:pPr>
        <w:pStyle w:val="ManualHeading1"/>
        <w:rPr>
          <w:bCs/>
          <w:noProof/>
        </w:rPr>
      </w:pPr>
      <w:r w:rsidRPr="00C017A7">
        <w:rPr>
          <w:noProof/>
        </w:rPr>
        <w:t>2.</w:t>
      </w:r>
      <w:r w:rsidRPr="00C017A7">
        <w:rPr>
          <w:noProof/>
        </w:rPr>
        <w:tab/>
        <w:t>LINII BUGETARE:</w:t>
      </w:r>
    </w:p>
    <w:p w:rsidR="001C0947" w:rsidRPr="00C017A7" w:rsidRDefault="001C0947" w:rsidP="001C0947">
      <w:pPr>
        <w:pStyle w:val="Text1"/>
        <w:rPr>
          <w:noProof/>
        </w:rPr>
      </w:pPr>
      <w:r w:rsidRPr="00C017A7">
        <w:rPr>
          <w:noProof/>
        </w:rPr>
        <w:t>Linia de venituri (capitol/articol/post): Capitolul 12, articolul 120</w:t>
      </w:r>
    </w:p>
    <w:p w:rsidR="001C0947" w:rsidRPr="00C017A7" w:rsidRDefault="001C0947" w:rsidP="001C0947">
      <w:pPr>
        <w:pStyle w:val="Text1"/>
        <w:rPr>
          <w:noProof/>
        </w:rPr>
      </w:pPr>
      <w:r w:rsidRPr="00C017A7">
        <w:rPr>
          <w:noProof/>
        </w:rPr>
        <w:t>Suma înscrisă în buget pentru exercițiul financiar în cauză: 2026: 21 368 300 000 EUR</w:t>
      </w:r>
    </w:p>
    <w:p w:rsidR="001C0947" w:rsidRPr="00C017A7" w:rsidRDefault="001C0947" w:rsidP="001C0947">
      <w:pPr>
        <w:pStyle w:val="ManualHeading1"/>
        <w:rPr>
          <w:bCs/>
          <w:noProof/>
        </w:rPr>
      </w:pPr>
      <w:r w:rsidRPr="00C017A7">
        <w:rPr>
          <w:noProof/>
        </w:rPr>
        <w:t>3.</w:t>
      </w:r>
      <w:r w:rsidRPr="00C017A7">
        <w:rPr>
          <w:noProof/>
        </w:rPr>
        <w:tab/>
        <w:t>IMPACTUL FINANCIAR</w:t>
      </w:r>
    </w:p>
    <w:p w:rsidR="001C0947" w:rsidRPr="00C017A7" w:rsidRDefault="001C0947" w:rsidP="001C0947">
      <w:pPr>
        <w:pStyle w:val="Text1"/>
        <w:rPr>
          <w:noProof/>
        </w:rPr>
      </w:pPr>
      <w:r w:rsidRPr="00C017A7">
        <w:rPr>
          <w:rFonts w:ascii="Wingdings" w:hAnsi="Wingdings"/>
          <w:noProof/>
        </w:rPr>
        <w:t></w:t>
      </w:r>
      <w:r w:rsidRPr="00C017A7">
        <w:rPr>
          <w:noProof/>
        </w:rPr>
        <w:tab/>
        <w:t>Propunerea nu are impact financiar</w:t>
      </w:r>
    </w:p>
    <w:p w:rsidR="001C0947" w:rsidRPr="00C017A7" w:rsidRDefault="001C0947" w:rsidP="001C0947">
      <w:pPr>
        <w:pStyle w:val="Text1"/>
        <w:ind w:left="1435" w:hanging="585"/>
        <w:rPr>
          <w:noProof/>
        </w:rPr>
      </w:pPr>
      <w:r w:rsidRPr="00C017A7">
        <w:rPr>
          <w:noProof/>
        </w:rPr>
        <w:t xml:space="preserve">X </w:t>
      </w:r>
      <w:r w:rsidRPr="00C017A7">
        <w:rPr>
          <w:noProof/>
        </w:rPr>
        <w:tab/>
        <w:t>Propunerea nu are impact financiar asupra cheltuielilor, dar are impact financiar asupra veniturilor</w:t>
      </w:r>
    </w:p>
    <w:p w:rsidR="001C0947" w:rsidRPr="00C017A7" w:rsidRDefault="001C0947" w:rsidP="001C0947">
      <w:pPr>
        <w:pStyle w:val="Text1"/>
        <w:rPr>
          <w:noProof/>
        </w:rPr>
      </w:pPr>
      <w:r w:rsidRPr="00C017A7">
        <w:rPr>
          <w:rFonts w:ascii="Wingdings" w:hAnsi="Wingdings"/>
          <w:noProof/>
        </w:rPr>
        <w:t></w:t>
      </w:r>
      <w:r w:rsidRPr="00C017A7">
        <w:rPr>
          <w:noProof/>
        </w:rPr>
        <w:tab/>
        <w:t>Propunerea are un impact financiar asupra veniturilor alocate</w:t>
      </w:r>
    </w:p>
    <w:p w:rsidR="001C0947" w:rsidRPr="00C017A7" w:rsidRDefault="001C0947" w:rsidP="001C0947">
      <w:pPr>
        <w:spacing w:before="240"/>
        <w:ind w:firstLine="720"/>
        <w:rPr>
          <w:i/>
          <w:noProof/>
          <w:sz w:val="20"/>
          <w:szCs w:val="20"/>
        </w:rPr>
      </w:pPr>
      <w:r w:rsidRPr="00C017A7">
        <w:rPr>
          <w:noProof/>
        </w:rPr>
        <w:t>Efectul este următorul:</w:t>
      </w:r>
      <w:r w:rsidRPr="00C017A7">
        <w:rPr>
          <w:i/>
          <w:noProof/>
          <w:sz w:val="20"/>
        </w:rPr>
        <w:t xml:space="preserve"> </w:t>
      </w:r>
    </w:p>
    <w:p w:rsidR="001C0947" w:rsidRPr="00C017A7" w:rsidRDefault="001C0947" w:rsidP="001C0947">
      <w:pPr>
        <w:ind w:firstLine="720"/>
        <w:jc w:val="right"/>
        <w:rPr>
          <w:i/>
          <w:noProof/>
          <w:sz w:val="20"/>
          <w:szCs w:val="20"/>
        </w:rPr>
      </w:pPr>
      <w:r w:rsidRPr="00C017A7">
        <w:rPr>
          <w:i/>
          <w:noProof/>
          <w:sz w:val="20"/>
        </w:rPr>
        <w:t>(milioane EUR cu o zecimală)</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1C0947" w:rsidRPr="00C017A7" w:rsidTr="0D246F12">
        <w:trPr>
          <w:cantSplit/>
        </w:trPr>
        <w:tc>
          <w:tcPr>
            <w:tcW w:w="2074" w:type="dxa"/>
          </w:tcPr>
          <w:p w:rsidR="001C0947" w:rsidRPr="00C017A7" w:rsidRDefault="001C0947" w:rsidP="001E189C">
            <w:pPr>
              <w:rPr>
                <w:noProof/>
              </w:rPr>
            </w:pPr>
            <w:r w:rsidRPr="00C017A7">
              <w:rPr>
                <w:noProof/>
                <w:sz w:val="22"/>
              </w:rPr>
              <w:t>Linia bugetară pentru venituri</w:t>
            </w:r>
          </w:p>
        </w:tc>
        <w:tc>
          <w:tcPr>
            <w:tcW w:w="1984" w:type="dxa"/>
          </w:tcPr>
          <w:p w:rsidR="001C0947" w:rsidRPr="00C017A7" w:rsidRDefault="001C0947" w:rsidP="001E189C">
            <w:pPr>
              <w:jc w:val="center"/>
              <w:rPr>
                <w:noProof/>
              </w:rPr>
            </w:pPr>
            <w:r w:rsidRPr="00C017A7">
              <w:rPr>
                <w:noProof/>
                <w:sz w:val="22"/>
              </w:rPr>
              <w:t>Impactul asupra veniturilor</w:t>
            </w:r>
            <w:r w:rsidRPr="00C017A7">
              <w:rPr>
                <w:rStyle w:val="FootnoteReference"/>
                <w:noProof/>
                <w:sz w:val="22"/>
              </w:rPr>
              <w:footnoteReference w:id="5"/>
            </w:r>
            <w:r w:rsidRPr="00C017A7">
              <w:rPr>
                <w:rStyle w:val="FootnoteReference"/>
                <w:noProof/>
                <w:sz w:val="22"/>
              </w:rPr>
              <w:footnoteReference w:id="6"/>
            </w:r>
          </w:p>
        </w:tc>
        <w:tc>
          <w:tcPr>
            <w:tcW w:w="2694" w:type="dxa"/>
          </w:tcPr>
          <w:p w:rsidR="001C0947" w:rsidRPr="00C017A7" w:rsidRDefault="001C0947" w:rsidP="001E189C">
            <w:pPr>
              <w:jc w:val="center"/>
              <w:rPr>
                <w:i/>
                <w:noProof/>
                <w:snapToGrid w:val="0"/>
                <w:sz w:val="20"/>
                <w:szCs w:val="20"/>
              </w:rPr>
            </w:pPr>
            <w:r w:rsidRPr="00C017A7">
              <w:rPr>
                <w:noProof/>
                <w:snapToGrid w:val="0"/>
                <w:sz w:val="22"/>
              </w:rPr>
              <w:t xml:space="preserve">perioadă de 12 luni începând cu </w:t>
            </w:r>
          </w:p>
        </w:tc>
        <w:tc>
          <w:tcPr>
            <w:tcW w:w="1590" w:type="dxa"/>
          </w:tcPr>
          <w:p w:rsidR="001C0947" w:rsidRPr="00C017A7" w:rsidRDefault="001C0947" w:rsidP="001E189C">
            <w:pPr>
              <w:jc w:val="center"/>
              <w:rPr>
                <w:noProof/>
                <w:snapToGrid w:val="0"/>
              </w:rPr>
            </w:pPr>
            <w:r w:rsidRPr="00C017A7">
              <w:rPr>
                <w:noProof/>
                <w:snapToGrid w:val="0"/>
                <w:sz w:val="22"/>
              </w:rPr>
              <w:t>Anul N</w:t>
            </w:r>
          </w:p>
          <w:p w:rsidR="001C0947" w:rsidRPr="00C017A7" w:rsidRDefault="001C0947" w:rsidP="001E189C">
            <w:pPr>
              <w:jc w:val="center"/>
              <w:rPr>
                <w:noProof/>
              </w:rPr>
            </w:pPr>
          </w:p>
        </w:tc>
      </w:tr>
      <w:tr w:rsidR="001C0947" w:rsidRPr="00C017A7" w:rsidTr="0D246F12">
        <w:trPr>
          <w:cantSplit/>
        </w:trPr>
        <w:tc>
          <w:tcPr>
            <w:tcW w:w="2074" w:type="dxa"/>
          </w:tcPr>
          <w:p w:rsidR="001C0947" w:rsidRPr="00C017A7" w:rsidRDefault="001C0947" w:rsidP="001E189C">
            <w:pPr>
              <w:rPr>
                <w:noProof/>
                <w:sz w:val="20"/>
                <w:szCs w:val="20"/>
              </w:rPr>
            </w:pPr>
            <w:r w:rsidRPr="00C017A7">
              <w:rPr>
                <w:noProof/>
                <w:sz w:val="20"/>
              </w:rPr>
              <w:t xml:space="preserve">NC 2814 </w:t>
            </w:r>
          </w:p>
        </w:tc>
        <w:tc>
          <w:tcPr>
            <w:tcW w:w="1984" w:type="dxa"/>
          </w:tcPr>
          <w:p w:rsidR="001C0947" w:rsidRPr="00C017A7" w:rsidRDefault="001C0947" w:rsidP="0D246F12">
            <w:pPr>
              <w:jc w:val="center"/>
              <w:rPr>
                <w:i/>
                <w:iCs/>
                <w:noProof/>
                <w:sz w:val="20"/>
                <w:szCs w:val="20"/>
              </w:rPr>
            </w:pPr>
            <w:r w:rsidRPr="00C017A7">
              <w:rPr>
                <w:i/>
                <w:noProof/>
                <w:sz w:val="20"/>
              </w:rPr>
              <w:t>6,1 milioane EUR</w:t>
            </w:r>
          </w:p>
        </w:tc>
        <w:tc>
          <w:tcPr>
            <w:tcW w:w="2694" w:type="dxa"/>
          </w:tcPr>
          <w:p w:rsidR="001C0947" w:rsidRPr="00C017A7" w:rsidRDefault="001C0947" w:rsidP="001E189C">
            <w:pPr>
              <w:jc w:val="center"/>
              <w:rPr>
                <w:noProof/>
                <w:snapToGrid w:val="0"/>
              </w:rPr>
            </w:pPr>
            <w:r w:rsidRPr="00C017A7">
              <w:rPr>
                <w:i/>
                <w:noProof/>
                <w:sz w:val="20"/>
              </w:rPr>
              <w:t>1 mai 2026</w:t>
            </w:r>
          </w:p>
        </w:tc>
        <w:tc>
          <w:tcPr>
            <w:tcW w:w="1590" w:type="dxa"/>
          </w:tcPr>
          <w:p w:rsidR="001C0947" w:rsidRPr="00C017A7" w:rsidRDefault="001C0947" w:rsidP="001E189C">
            <w:pPr>
              <w:jc w:val="center"/>
              <w:rPr>
                <w:i/>
                <w:noProof/>
                <w:sz w:val="20"/>
                <w:szCs w:val="20"/>
              </w:rPr>
            </w:pPr>
            <w:r w:rsidRPr="00C017A7">
              <w:rPr>
                <w:i/>
                <w:noProof/>
                <w:sz w:val="20"/>
              </w:rPr>
              <w:t>2026</w:t>
            </w:r>
          </w:p>
        </w:tc>
      </w:tr>
      <w:tr w:rsidR="0D246F12" w:rsidRPr="00C017A7" w:rsidTr="0D246F12">
        <w:trPr>
          <w:cantSplit/>
          <w:trHeight w:val="300"/>
        </w:trPr>
        <w:tc>
          <w:tcPr>
            <w:tcW w:w="2074" w:type="dxa"/>
          </w:tcPr>
          <w:p w:rsidR="0D246F12" w:rsidRPr="00C017A7" w:rsidRDefault="0D246F12" w:rsidP="0D246F12">
            <w:pPr>
              <w:rPr>
                <w:noProof/>
                <w:sz w:val="20"/>
                <w:szCs w:val="20"/>
              </w:rPr>
            </w:pPr>
            <w:r w:rsidRPr="00C017A7">
              <w:rPr>
                <w:noProof/>
                <w:sz w:val="20"/>
              </w:rPr>
              <w:t>NC 3102 10 12, 3102 10 12, 3102 10 15, 3102 10 19 și 3102 10 90</w:t>
            </w:r>
          </w:p>
        </w:tc>
        <w:tc>
          <w:tcPr>
            <w:tcW w:w="1984" w:type="dxa"/>
          </w:tcPr>
          <w:p w:rsidR="0D246F12" w:rsidRPr="00C017A7" w:rsidRDefault="0D246F12" w:rsidP="0D246F12">
            <w:pPr>
              <w:jc w:val="center"/>
              <w:rPr>
                <w:i/>
                <w:iCs/>
                <w:noProof/>
                <w:sz w:val="20"/>
                <w:szCs w:val="20"/>
              </w:rPr>
            </w:pPr>
            <w:r w:rsidRPr="00C017A7">
              <w:rPr>
                <w:i/>
                <w:noProof/>
                <w:sz w:val="20"/>
              </w:rPr>
              <w:t>14,6 milioane EUR</w:t>
            </w:r>
          </w:p>
        </w:tc>
        <w:tc>
          <w:tcPr>
            <w:tcW w:w="2694" w:type="dxa"/>
          </w:tcPr>
          <w:p w:rsidR="0D246F12" w:rsidRPr="00C017A7" w:rsidRDefault="0D246F12" w:rsidP="0D246F12">
            <w:pPr>
              <w:jc w:val="center"/>
              <w:rPr>
                <w:noProof/>
              </w:rPr>
            </w:pPr>
            <w:r w:rsidRPr="00C017A7">
              <w:rPr>
                <w:i/>
                <w:noProof/>
                <w:sz w:val="20"/>
              </w:rPr>
              <w:t>1 mai 2026</w:t>
            </w:r>
          </w:p>
        </w:tc>
        <w:tc>
          <w:tcPr>
            <w:tcW w:w="1590" w:type="dxa"/>
          </w:tcPr>
          <w:p w:rsidR="0D246F12" w:rsidRPr="00C017A7" w:rsidRDefault="0D246F12" w:rsidP="0D246F12">
            <w:pPr>
              <w:jc w:val="center"/>
              <w:rPr>
                <w:noProof/>
              </w:rPr>
            </w:pPr>
            <w:r w:rsidRPr="00C017A7">
              <w:rPr>
                <w:i/>
                <w:noProof/>
                <w:sz w:val="20"/>
              </w:rPr>
              <w:t>2026</w:t>
            </w:r>
          </w:p>
        </w:tc>
      </w:tr>
      <w:tr w:rsidR="0D246F12" w:rsidRPr="00C017A7" w:rsidTr="0D246F12">
        <w:trPr>
          <w:cantSplit/>
          <w:trHeight w:val="300"/>
        </w:trPr>
        <w:tc>
          <w:tcPr>
            <w:tcW w:w="2074" w:type="dxa"/>
          </w:tcPr>
          <w:p w:rsidR="70B4D41E" w:rsidRPr="00C017A7" w:rsidRDefault="70B4D41E" w:rsidP="0D246F12">
            <w:pPr>
              <w:rPr>
                <w:noProof/>
                <w:sz w:val="20"/>
                <w:szCs w:val="20"/>
              </w:rPr>
            </w:pPr>
            <w:r w:rsidRPr="00C017A7">
              <w:rPr>
                <w:noProof/>
                <w:sz w:val="20"/>
              </w:rPr>
              <w:t>NC 3102 21</w:t>
            </w:r>
          </w:p>
        </w:tc>
        <w:tc>
          <w:tcPr>
            <w:tcW w:w="1984" w:type="dxa"/>
          </w:tcPr>
          <w:p w:rsidR="3DED4866" w:rsidRPr="00C017A7" w:rsidRDefault="3DED4866" w:rsidP="0D246F12">
            <w:pPr>
              <w:jc w:val="center"/>
              <w:rPr>
                <w:i/>
                <w:iCs/>
                <w:noProof/>
                <w:sz w:val="20"/>
                <w:szCs w:val="20"/>
              </w:rPr>
            </w:pPr>
            <w:r w:rsidRPr="00C017A7">
              <w:rPr>
                <w:i/>
                <w:noProof/>
                <w:sz w:val="20"/>
              </w:rPr>
              <w:t>4,3 milioane EUR</w:t>
            </w:r>
          </w:p>
        </w:tc>
        <w:tc>
          <w:tcPr>
            <w:tcW w:w="2694" w:type="dxa"/>
          </w:tcPr>
          <w:p w:rsidR="73178034" w:rsidRPr="00C017A7" w:rsidRDefault="73178034" w:rsidP="0D246F12">
            <w:pPr>
              <w:jc w:val="center"/>
              <w:rPr>
                <w:noProof/>
              </w:rPr>
            </w:pPr>
            <w:r w:rsidRPr="00C017A7">
              <w:rPr>
                <w:i/>
                <w:noProof/>
                <w:sz w:val="20"/>
              </w:rPr>
              <w:t>1 mai 2026</w:t>
            </w:r>
          </w:p>
        </w:tc>
        <w:tc>
          <w:tcPr>
            <w:tcW w:w="1590" w:type="dxa"/>
          </w:tcPr>
          <w:p w:rsidR="1E6E7F3A" w:rsidRPr="00C017A7" w:rsidRDefault="1E6E7F3A" w:rsidP="0D246F12">
            <w:pPr>
              <w:jc w:val="center"/>
              <w:rPr>
                <w:i/>
                <w:iCs/>
                <w:noProof/>
                <w:sz w:val="20"/>
                <w:szCs w:val="20"/>
              </w:rPr>
            </w:pPr>
            <w:r w:rsidRPr="00C017A7">
              <w:rPr>
                <w:i/>
                <w:noProof/>
                <w:sz w:val="20"/>
              </w:rPr>
              <w:t>2026</w:t>
            </w:r>
          </w:p>
        </w:tc>
      </w:tr>
      <w:tr w:rsidR="0D246F12" w:rsidRPr="00C017A7" w:rsidTr="0D246F12">
        <w:trPr>
          <w:cantSplit/>
          <w:trHeight w:val="300"/>
        </w:trPr>
        <w:tc>
          <w:tcPr>
            <w:tcW w:w="2074" w:type="dxa"/>
          </w:tcPr>
          <w:p w:rsidR="36F576E6" w:rsidRPr="00C017A7" w:rsidRDefault="36F576E6" w:rsidP="0D246F12">
            <w:pPr>
              <w:rPr>
                <w:noProof/>
                <w:sz w:val="20"/>
                <w:szCs w:val="20"/>
              </w:rPr>
            </w:pPr>
            <w:r w:rsidRPr="00C017A7">
              <w:rPr>
                <w:noProof/>
                <w:sz w:val="20"/>
              </w:rPr>
              <w:t>NC 3102 60</w:t>
            </w:r>
          </w:p>
        </w:tc>
        <w:tc>
          <w:tcPr>
            <w:tcW w:w="1984" w:type="dxa"/>
          </w:tcPr>
          <w:p w:rsidR="61CFC249" w:rsidRPr="00C017A7" w:rsidRDefault="61CFC249" w:rsidP="0D246F12">
            <w:pPr>
              <w:jc w:val="center"/>
              <w:rPr>
                <w:i/>
                <w:iCs/>
                <w:noProof/>
                <w:sz w:val="20"/>
                <w:szCs w:val="20"/>
              </w:rPr>
            </w:pPr>
            <w:r w:rsidRPr="00C017A7">
              <w:rPr>
                <w:i/>
                <w:noProof/>
                <w:sz w:val="20"/>
              </w:rPr>
              <w:t>0,4 milioane EUR</w:t>
            </w:r>
          </w:p>
        </w:tc>
        <w:tc>
          <w:tcPr>
            <w:tcW w:w="2694" w:type="dxa"/>
          </w:tcPr>
          <w:p w:rsidR="04E37A36" w:rsidRPr="00C017A7" w:rsidRDefault="04E37A36" w:rsidP="0D246F12">
            <w:pPr>
              <w:jc w:val="center"/>
              <w:rPr>
                <w:noProof/>
              </w:rPr>
            </w:pPr>
            <w:r w:rsidRPr="00C017A7">
              <w:rPr>
                <w:i/>
                <w:noProof/>
                <w:sz w:val="20"/>
              </w:rPr>
              <w:t>1 mai 2026</w:t>
            </w:r>
          </w:p>
        </w:tc>
        <w:tc>
          <w:tcPr>
            <w:tcW w:w="1590" w:type="dxa"/>
          </w:tcPr>
          <w:p w:rsidR="4A3442C7" w:rsidRPr="00C017A7" w:rsidRDefault="4A3442C7" w:rsidP="0D246F12">
            <w:pPr>
              <w:jc w:val="center"/>
              <w:rPr>
                <w:i/>
                <w:iCs/>
                <w:noProof/>
                <w:sz w:val="20"/>
                <w:szCs w:val="20"/>
              </w:rPr>
            </w:pPr>
            <w:r w:rsidRPr="00C017A7">
              <w:rPr>
                <w:i/>
                <w:noProof/>
                <w:sz w:val="20"/>
              </w:rPr>
              <w:t>2026</w:t>
            </w:r>
          </w:p>
        </w:tc>
      </w:tr>
      <w:tr w:rsidR="0D246F12" w:rsidRPr="00C017A7" w:rsidTr="0D246F12">
        <w:trPr>
          <w:cantSplit/>
          <w:trHeight w:val="300"/>
        </w:trPr>
        <w:tc>
          <w:tcPr>
            <w:tcW w:w="2074" w:type="dxa"/>
          </w:tcPr>
          <w:p w:rsidR="36F576E6" w:rsidRPr="00C017A7" w:rsidRDefault="36F576E6" w:rsidP="0D246F12">
            <w:pPr>
              <w:rPr>
                <w:noProof/>
                <w:sz w:val="20"/>
                <w:szCs w:val="20"/>
              </w:rPr>
            </w:pPr>
            <w:r w:rsidRPr="00C017A7">
              <w:rPr>
                <w:noProof/>
                <w:sz w:val="20"/>
              </w:rPr>
              <w:t>NC 3102 80</w:t>
            </w:r>
          </w:p>
        </w:tc>
        <w:tc>
          <w:tcPr>
            <w:tcW w:w="1984" w:type="dxa"/>
          </w:tcPr>
          <w:p w:rsidR="2421C05B" w:rsidRPr="00C017A7" w:rsidRDefault="2421C05B" w:rsidP="0D246F12">
            <w:pPr>
              <w:jc w:val="center"/>
              <w:rPr>
                <w:i/>
                <w:iCs/>
                <w:noProof/>
                <w:sz w:val="20"/>
                <w:szCs w:val="20"/>
              </w:rPr>
            </w:pPr>
            <w:r w:rsidRPr="00C017A7">
              <w:rPr>
                <w:i/>
                <w:noProof/>
                <w:sz w:val="20"/>
              </w:rPr>
              <w:t>5,4 milioane EUR</w:t>
            </w:r>
          </w:p>
        </w:tc>
        <w:tc>
          <w:tcPr>
            <w:tcW w:w="2694" w:type="dxa"/>
          </w:tcPr>
          <w:p w:rsidR="4A81D19C" w:rsidRPr="00C017A7" w:rsidRDefault="4A81D19C" w:rsidP="0D246F12">
            <w:pPr>
              <w:jc w:val="center"/>
              <w:rPr>
                <w:i/>
                <w:iCs/>
                <w:noProof/>
                <w:sz w:val="20"/>
                <w:szCs w:val="20"/>
              </w:rPr>
            </w:pPr>
            <w:r w:rsidRPr="00C017A7">
              <w:rPr>
                <w:i/>
                <w:noProof/>
                <w:sz w:val="20"/>
              </w:rPr>
              <w:t>1 mai 2026</w:t>
            </w:r>
          </w:p>
        </w:tc>
        <w:tc>
          <w:tcPr>
            <w:tcW w:w="1590" w:type="dxa"/>
          </w:tcPr>
          <w:p w:rsidR="02FE269F" w:rsidRPr="00C017A7" w:rsidRDefault="02FE269F" w:rsidP="0D246F12">
            <w:pPr>
              <w:jc w:val="center"/>
              <w:rPr>
                <w:i/>
                <w:iCs/>
                <w:noProof/>
                <w:sz w:val="20"/>
                <w:szCs w:val="20"/>
              </w:rPr>
            </w:pPr>
            <w:r w:rsidRPr="00C017A7">
              <w:rPr>
                <w:i/>
                <w:noProof/>
                <w:sz w:val="20"/>
              </w:rPr>
              <w:t>2026</w:t>
            </w:r>
          </w:p>
        </w:tc>
      </w:tr>
      <w:tr w:rsidR="0D246F12" w:rsidRPr="00C017A7" w:rsidTr="0D246F12">
        <w:trPr>
          <w:cantSplit/>
          <w:trHeight w:val="300"/>
        </w:trPr>
        <w:tc>
          <w:tcPr>
            <w:tcW w:w="2074" w:type="dxa"/>
          </w:tcPr>
          <w:p w:rsidR="36F576E6" w:rsidRPr="00C017A7" w:rsidRDefault="36F576E6" w:rsidP="0D246F12">
            <w:pPr>
              <w:rPr>
                <w:noProof/>
                <w:sz w:val="20"/>
                <w:szCs w:val="20"/>
              </w:rPr>
            </w:pPr>
            <w:r w:rsidRPr="00C017A7">
              <w:rPr>
                <w:noProof/>
                <w:sz w:val="20"/>
              </w:rPr>
              <w:t>NC 3105 20</w:t>
            </w:r>
          </w:p>
        </w:tc>
        <w:tc>
          <w:tcPr>
            <w:tcW w:w="1984" w:type="dxa"/>
          </w:tcPr>
          <w:p w:rsidR="651E768A" w:rsidRPr="00C017A7" w:rsidRDefault="651E768A" w:rsidP="0D246F12">
            <w:pPr>
              <w:jc w:val="center"/>
              <w:rPr>
                <w:i/>
                <w:iCs/>
                <w:noProof/>
                <w:sz w:val="20"/>
                <w:szCs w:val="20"/>
              </w:rPr>
            </w:pPr>
            <w:r w:rsidRPr="00C017A7">
              <w:rPr>
                <w:i/>
                <w:noProof/>
                <w:sz w:val="20"/>
              </w:rPr>
              <w:t>7,0 milioane EUR</w:t>
            </w:r>
          </w:p>
        </w:tc>
        <w:tc>
          <w:tcPr>
            <w:tcW w:w="2694" w:type="dxa"/>
          </w:tcPr>
          <w:p w:rsidR="6D82B1BE" w:rsidRPr="00C017A7" w:rsidRDefault="6D82B1BE" w:rsidP="0D246F12">
            <w:pPr>
              <w:jc w:val="center"/>
              <w:rPr>
                <w:i/>
                <w:iCs/>
                <w:noProof/>
                <w:sz w:val="20"/>
                <w:szCs w:val="20"/>
              </w:rPr>
            </w:pPr>
            <w:r w:rsidRPr="00C017A7">
              <w:rPr>
                <w:i/>
                <w:noProof/>
                <w:sz w:val="20"/>
              </w:rPr>
              <w:t>1 mai 2026</w:t>
            </w:r>
          </w:p>
        </w:tc>
        <w:tc>
          <w:tcPr>
            <w:tcW w:w="1590" w:type="dxa"/>
          </w:tcPr>
          <w:p w:rsidR="01CEDDBD" w:rsidRPr="00C017A7" w:rsidRDefault="01CEDDBD" w:rsidP="0D246F12">
            <w:pPr>
              <w:jc w:val="center"/>
              <w:rPr>
                <w:i/>
                <w:iCs/>
                <w:noProof/>
                <w:sz w:val="20"/>
                <w:szCs w:val="20"/>
              </w:rPr>
            </w:pPr>
            <w:r w:rsidRPr="00C017A7">
              <w:rPr>
                <w:i/>
                <w:noProof/>
                <w:sz w:val="20"/>
              </w:rPr>
              <w:t>2026</w:t>
            </w:r>
          </w:p>
        </w:tc>
      </w:tr>
      <w:tr w:rsidR="0D246F12" w:rsidRPr="00C017A7" w:rsidTr="0D246F12">
        <w:trPr>
          <w:cantSplit/>
          <w:trHeight w:val="300"/>
        </w:trPr>
        <w:tc>
          <w:tcPr>
            <w:tcW w:w="2074" w:type="dxa"/>
          </w:tcPr>
          <w:p w:rsidR="36F576E6" w:rsidRPr="00C017A7" w:rsidRDefault="36F576E6" w:rsidP="0D246F12">
            <w:pPr>
              <w:rPr>
                <w:noProof/>
                <w:sz w:val="20"/>
                <w:szCs w:val="20"/>
              </w:rPr>
            </w:pPr>
            <w:r w:rsidRPr="00C017A7">
              <w:rPr>
                <w:noProof/>
                <w:sz w:val="20"/>
              </w:rPr>
              <w:t>NC 3105 30</w:t>
            </w:r>
          </w:p>
        </w:tc>
        <w:tc>
          <w:tcPr>
            <w:tcW w:w="1984" w:type="dxa"/>
          </w:tcPr>
          <w:p w:rsidR="69AC9EC7" w:rsidRPr="00C017A7" w:rsidRDefault="69AC9EC7" w:rsidP="0D246F12">
            <w:pPr>
              <w:jc w:val="center"/>
              <w:rPr>
                <w:i/>
                <w:iCs/>
                <w:noProof/>
                <w:sz w:val="20"/>
                <w:szCs w:val="20"/>
              </w:rPr>
            </w:pPr>
            <w:r w:rsidRPr="00C017A7">
              <w:rPr>
                <w:i/>
                <w:noProof/>
                <w:sz w:val="20"/>
              </w:rPr>
              <w:t>4,0 milioane EUR</w:t>
            </w:r>
          </w:p>
        </w:tc>
        <w:tc>
          <w:tcPr>
            <w:tcW w:w="2694" w:type="dxa"/>
          </w:tcPr>
          <w:p w:rsidR="7163C54E" w:rsidRPr="00C017A7" w:rsidRDefault="7163C54E" w:rsidP="0D246F12">
            <w:pPr>
              <w:jc w:val="center"/>
              <w:rPr>
                <w:i/>
                <w:iCs/>
                <w:noProof/>
                <w:sz w:val="20"/>
                <w:szCs w:val="20"/>
              </w:rPr>
            </w:pPr>
            <w:r w:rsidRPr="00C017A7">
              <w:rPr>
                <w:i/>
                <w:noProof/>
                <w:sz w:val="20"/>
              </w:rPr>
              <w:t>1 mai 2026</w:t>
            </w:r>
          </w:p>
        </w:tc>
        <w:tc>
          <w:tcPr>
            <w:tcW w:w="1590" w:type="dxa"/>
          </w:tcPr>
          <w:p w:rsidR="382DCCD1" w:rsidRPr="00C017A7" w:rsidRDefault="382DCCD1" w:rsidP="0D246F12">
            <w:pPr>
              <w:jc w:val="center"/>
              <w:rPr>
                <w:i/>
                <w:iCs/>
                <w:noProof/>
                <w:sz w:val="20"/>
                <w:szCs w:val="20"/>
              </w:rPr>
            </w:pPr>
            <w:r w:rsidRPr="00C017A7">
              <w:rPr>
                <w:i/>
                <w:noProof/>
                <w:sz w:val="20"/>
              </w:rPr>
              <w:t>2026</w:t>
            </w:r>
          </w:p>
        </w:tc>
      </w:tr>
      <w:tr w:rsidR="0D246F12" w:rsidRPr="00C017A7" w:rsidTr="0D246F12">
        <w:trPr>
          <w:cantSplit/>
          <w:trHeight w:val="300"/>
        </w:trPr>
        <w:tc>
          <w:tcPr>
            <w:tcW w:w="2074" w:type="dxa"/>
          </w:tcPr>
          <w:p w:rsidR="36F576E6" w:rsidRPr="00C017A7" w:rsidRDefault="36F576E6" w:rsidP="0D246F12">
            <w:pPr>
              <w:rPr>
                <w:noProof/>
                <w:sz w:val="20"/>
                <w:szCs w:val="20"/>
              </w:rPr>
            </w:pPr>
            <w:r w:rsidRPr="00C017A7">
              <w:rPr>
                <w:noProof/>
                <w:sz w:val="20"/>
              </w:rPr>
              <w:t>NC 3105 40</w:t>
            </w:r>
          </w:p>
        </w:tc>
        <w:tc>
          <w:tcPr>
            <w:tcW w:w="1984" w:type="dxa"/>
          </w:tcPr>
          <w:p w:rsidR="43A052E7" w:rsidRPr="00C017A7" w:rsidRDefault="43A052E7" w:rsidP="0D246F12">
            <w:pPr>
              <w:jc w:val="center"/>
              <w:rPr>
                <w:i/>
                <w:iCs/>
                <w:noProof/>
                <w:sz w:val="20"/>
                <w:szCs w:val="20"/>
              </w:rPr>
            </w:pPr>
            <w:r w:rsidRPr="00C017A7">
              <w:rPr>
                <w:i/>
                <w:noProof/>
                <w:sz w:val="20"/>
              </w:rPr>
              <w:t>2,9 milioane EUR</w:t>
            </w:r>
          </w:p>
        </w:tc>
        <w:tc>
          <w:tcPr>
            <w:tcW w:w="2694" w:type="dxa"/>
          </w:tcPr>
          <w:p w:rsidR="5D22C6E1" w:rsidRPr="00C017A7" w:rsidRDefault="5D22C6E1" w:rsidP="0D246F12">
            <w:pPr>
              <w:jc w:val="center"/>
              <w:rPr>
                <w:i/>
                <w:iCs/>
                <w:noProof/>
                <w:sz w:val="20"/>
                <w:szCs w:val="20"/>
              </w:rPr>
            </w:pPr>
            <w:r w:rsidRPr="00C017A7">
              <w:rPr>
                <w:i/>
                <w:noProof/>
                <w:sz w:val="20"/>
              </w:rPr>
              <w:t>1 mai 2026</w:t>
            </w:r>
          </w:p>
        </w:tc>
        <w:tc>
          <w:tcPr>
            <w:tcW w:w="1590" w:type="dxa"/>
          </w:tcPr>
          <w:p w:rsidR="5216D048" w:rsidRPr="00C017A7" w:rsidRDefault="5216D048" w:rsidP="0D246F12">
            <w:pPr>
              <w:jc w:val="center"/>
              <w:rPr>
                <w:i/>
                <w:iCs/>
                <w:noProof/>
                <w:sz w:val="20"/>
                <w:szCs w:val="20"/>
              </w:rPr>
            </w:pPr>
            <w:r w:rsidRPr="00C017A7">
              <w:rPr>
                <w:i/>
                <w:noProof/>
                <w:sz w:val="20"/>
              </w:rPr>
              <w:t>2026</w:t>
            </w:r>
          </w:p>
        </w:tc>
      </w:tr>
    </w:tbl>
    <w:p w:rsidR="001C0947" w:rsidRPr="00C017A7" w:rsidRDefault="001C0947" w:rsidP="001C0947">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1C0947" w:rsidRPr="00C017A7" w:rsidTr="0D246F12">
        <w:trPr>
          <w:cantSplit/>
        </w:trPr>
        <w:tc>
          <w:tcPr>
            <w:tcW w:w="8342" w:type="dxa"/>
            <w:gridSpan w:val="6"/>
          </w:tcPr>
          <w:p w:rsidR="001C0947" w:rsidRPr="00C017A7" w:rsidRDefault="001C0947" w:rsidP="001E189C">
            <w:pPr>
              <w:jc w:val="center"/>
              <w:rPr>
                <w:noProof/>
              </w:rPr>
            </w:pPr>
            <w:r w:rsidRPr="00C017A7">
              <w:rPr>
                <w:noProof/>
                <w:sz w:val="18"/>
              </w:rPr>
              <w:t>Situația după acțiune</w:t>
            </w:r>
          </w:p>
        </w:tc>
      </w:tr>
      <w:tr w:rsidR="0001609C" w:rsidRPr="00C017A7" w:rsidTr="0D246F12">
        <w:trPr>
          <w:cantSplit/>
        </w:trPr>
        <w:tc>
          <w:tcPr>
            <w:tcW w:w="2074" w:type="dxa"/>
          </w:tcPr>
          <w:p w:rsidR="001C0947" w:rsidRPr="00C017A7" w:rsidRDefault="001C0947" w:rsidP="001E189C">
            <w:pPr>
              <w:jc w:val="center"/>
              <w:rPr>
                <w:noProof/>
                <w:sz w:val="18"/>
              </w:rPr>
            </w:pPr>
            <w:r w:rsidRPr="00C017A7">
              <w:rPr>
                <w:noProof/>
                <w:sz w:val="22"/>
              </w:rPr>
              <w:t>Linia de venituri</w:t>
            </w:r>
          </w:p>
        </w:tc>
        <w:tc>
          <w:tcPr>
            <w:tcW w:w="1276" w:type="dxa"/>
          </w:tcPr>
          <w:p w:rsidR="001C0947" w:rsidRPr="00C017A7" w:rsidRDefault="001C0947" w:rsidP="001E189C">
            <w:pPr>
              <w:jc w:val="center"/>
              <w:rPr>
                <w:noProof/>
              </w:rPr>
            </w:pPr>
            <w:r w:rsidRPr="00C017A7">
              <w:rPr>
                <w:noProof/>
                <w:sz w:val="18"/>
              </w:rPr>
              <w:t>[N+1]</w:t>
            </w:r>
          </w:p>
        </w:tc>
        <w:tc>
          <w:tcPr>
            <w:tcW w:w="1275" w:type="dxa"/>
          </w:tcPr>
          <w:p w:rsidR="001C0947" w:rsidRPr="00C017A7" w:rsidRDefault="001C0947" w:rsidP="001E189C">
            <w:pPr>
              <w:jc w:val="center"/>
              <w:rPr>
                <w:noProof/>
              </w:rPr>
            </w:pPr>
            <w:r w:rsidRPr="00C017A7">
              <w:rPr>
                <w:noProof/>
                <w:sz w:val="18"/>
              </w:rPr>
              <w:t>[N+2]</w:t>
            </w:r>
          </w:p>
        </w:tc>
        <w:tc>
          <w:tcPr>
            <w:tcW w:w="1276" w:type="dxa"/>
          </w:tcPr>
          <w:p w:rsidR="001C0947" w:rsidRPr="00C017A7" w:rsidRDefault="001C0947" w:rsidP="001E189C">
            <w:pPr>
              <w:jc w:val="center"/>
              <w:rPr>
                <w:noProof/>
              </w:rPr>
            </w:pPr>
            <w:r w:rsidRPr="00C017A7">
              <w:rPr>
                <w:noProof/>
                <w:sz w:val="18"/>
              </w:rPr>
              <w:t>[N+3]</w:t>
            </w:r>
          </w:p>
        </w:tc>
        <w:tc>
          <w:tcPr>
            <w:tcW w:w="1276" w:type="dxa"/>
          </w:tcPr>
          <w:p w:rsidR="001C0947" w:rsidRPr="00C017A7" w:rsidRDefault="001C0947" w:rsidP="001E189C">
            <w:pPr>
              <w:jc w:val="center"/>
              <w:rPr>
                <w:noProof/>
              </w:rPr>
            </w:pPr>
            <w:r w:rsidRPr="00C017A7">
              <w:rPr>
                <w:noProof/>
                <w:sz w:val="18"/>
              </w:rPr>
              <w:t>[N+4]</w:t>
            </w:r>
          </w:p>
        </w:tc>
        <w:tc>
          <w:tcPr>
            <w:tcW w:w="1165" w:type="dxa"/>
          </w:tcPr>
          <w:p w:rsidR="001C0947" w:rsidRPr="00C017A7" w:rsidRDefault="001C0947" w:rsidP="001E189C">
            <w:pPr>
              <w:jc w:val="center"/>
              <w:rPr>
                <w:noProof/>
              </w:rPr>
            </w:pPr>
            <w:r w:rsidRPr="00C017A7">
              <w:rPr>
                <w:noProof/>
                <w:sz w:val="18"/>
              </w:rPr>
              <w:t>[N+5]</w:t>
            </w:r>
          </w:p>
        </w:tc>
      </w:tr>
      <w:tr w:rsidR="001C0947" w:rsidRPr="00C017A7" w:rsidTr="0D246F12">
        <w:trPr>
          <w:cantSplit/>
        </w:trPr>
        <w:tc>
          <w:tcPr>
            <w:tcW w:w="2074" w:type="dxa"/>
          </w:tcPr>
          <w:p w:rsidR="001C0947" w:rsidRPr="00C017A7" w:rsidRDefault="007F5320" w:rsidP="001E189C">
            <w:pPr>
              <w:rPr>
                <w:noProof/>
                <w:sz w:val="20"/>
                <w:szCs w:val="20"/>
              </w:rPr>
            </w:pPr>
            <w:r w:rsidRPr="00C017A7">
              <w:rPr>
                <w:noProof/>
                <w:sz w:val="20"/>
              </w:rPr>
              <w:t xml:space="preserve">NC 2814 </w:t>
            </w:r>
          </w:p>
        </w:tc>
        <w:tc>
          <w:tcPr>
            <w:tcW w:w="1276" w:type="dxa"/>
          </w:tcPr>
          <w:p w:rsidR="001C0947" w:rsidRPr="00C017A7" w:rsidRDefault="001C0947" w:rsidP="001E189C">
            <w:pPr>
              <w:jc w:val="center"/>
              <w:rPr>
                <w:iCs/>
                <w:noProof/>
                <w:szCs w:val="24"/>
              </w:rPr>
            </w:pPr>
            <w:r w:rsidRPr="00C017A7">
              <w:rPr>
                <w:noProof/>
              </w:rPr>
              <w:t>0</w:t>
            </w:r>
          </w:p>
        </w:tc>
        <w:tc>
          <w:tcPr>
            <w:tcW w:w="1275" w:type="dxa"/>
          </w:tcPr>
          <w:p w:rsidR="001C0947" w:rsidRPr="00C017A7" w:rsidRDefault="001C0947" w:rsidP="001E189C">
            <w:pPr>
              <w:jc w:val="center"/>
              <w:rPr>
                <w:noProof/>
              </w:rPr>
            </w:pPr>
            <w:r w:rsidRPr="00C017A7">
              <w:rPr>
                <w:noProof/>
              </w:rPr>
              <w:t>0</w:t>
            </w:r>
          </w:p>
        </w:tc>
        <w:tc>
          <w:tcPr>
            <w:tcW w:w="1276" w:type="dxa"/>
          </w:tcPr>
          <w:p w:rsidR="001C0947" w:rsidRPr="00C017A7" w:rsidRDefault="001C0947" w:rsidP="001E189C">
            <w:pPr>
              <w:jc w:val="center"/>
              <w:rPr>
                <w:noProof/>
              </w:rPr>
            </w:pPr>
            <w:r w:rsidRPr="00C017A7">
              <w:rPr>
                <w:noProof/>
              </w:rPr>
              <w:t>0</w:t>
            </w:r>
          </w:p>
        </w:tc>
        <w:tc>
          <w:tcPr>
            <w:tcW w:w="1276" w:type="dxa"/>
          </w:tcPr>
          <w:p w:rsidR="001C0947" w:rsidRPr="00C017A7" w:rsidRDefault="001C0947" w:rsidP="001E189C">
            <w:pPr>
              <w:jc w:val="center"/>
              <w:rPr>
                <w:noProof/>
              </w:rPr>
            </w:pPr>
            <w:r w:rsidRPr="00C017A7">
              <w:rPr>
                <w:noProof/>
              </w:rPr>
              <w:t>0</w:t>
            </w:r>
          </w:p>
        </w:tc>
        <w:tc>
          <w:tcPr>
            <w:tcW w:w="1165" w:type="dxa"/>
          </w:tcPr>
          <w:p w:rsidR="001C0947" w:rsidRPr="00C017A7" w:rsidRDefault="001C0947" w:rsidP="001E189C">
            <w:pPr>
              <w:jc w:val="center"/>
              <w:rPr>
                <w:noProof/>
              </w:rPr>
            </w:pPr>
            <w:r w:rsidRPr="00C017A7">
              <w:rPr>
                <w:noProof/>
              </w:rPr>
              <w:t>0</w:t>
            </w:r>
          </w:p>
        </w:tc>
      </w:tr>
      <w:tr w:rsidR="001C0947" w:rsidRPr="00C017A7" w:rsidTr="0D246F12">
        <w:trPr>
          <w:cantSplit/>
        </w:trPr>
        <w:tc>
          <w:tcPr>
            <w:tcW w:w="2074" w:type="dxa"/>
          </w:tcPr>
          <w:p w:rsidR="001C0947" w:rsidRPr="00C017A7" w:rsidRDefault="007F5320" w:rsidP="001E189C">
            <w:pPr>
              <w:rPr>
                <w:noProof/>
                <w:sz w:val="20"/>
                <w:szCs w:val="20"/>
              </w:rPr>
            </w:pPr>
            <w:r w:rsidRPr="00C017A7">
              <w:rPr>
                <w:noProof/>
                <w:sz w:val="20"/>
              </w:rPr>
              <w:t>NC 3102 10</w:t>
            </w:r>
          </w:p>
        </w:tc>
        <w:tc>
          <w:tcPr>
            <w:tcW w:w="1276" w:type="dxa"/>
          </w:tcPr>
          <w:p w:rsidR="001C0947" w:rsidRPr="00C017A7" w:rsidRDefault="001C0947" w:rsidP="001E189C">
            <w:pPr>
              <w:jc w:val="center"/>
              <w:rPr>
                <w:iCs/>
                <w:noProof/>
                <w:szCs w:val="24"/>
              </w:rPr>
            </w:pPr>
            <w:r w:rsidRPr="00C017A7">
              <w:rPr>
                <w:noProof/>
              </w:rPr>
              <w:t>0</w:t>
            </w:r>
          </w:p>
        </w:tc>
        <w:tc>
          <w:tcPr>
            <w:tcW w:w="1275" w:type="dxa"/>
          </w:tcPr>
          <w:p w:rsidR="001C0947" w:rsidRPr="00C017A7" w:rsidRDefault="001C0947" w:rsidP="001E189C">
            <w:pPr>
              <w:jc w:val="center"/>
              <w:rPr>
                <w:noProof/>
              </w:rPr>
            </w:pPr>
            <w:r w:rsidRPr="00C017A7">
              <w:rPr>
                <w:noProof/>
              </w:rPr>
              <w:t>0</w:t>
            </w:r>
          </w:p>
        </w:tc>
        <w:tc>
          <w:tcPr>
            <w:tcW w:w="1276" w:type="dxa"/>
          </w:tcPr>
          <w:p w:rsidR="001C0947" w:rsidRPr="00C017A7" w:rsidRDefault="001C0947" w:rsidP="001E189C">
            <w:pPr>
              <w:jc w:val="center"/>
              <w:rPr>
                <w:noProof/>
              </w:rPr>
            </w:pPr>
            <w:r w:rsidRPr="00C017A7">
              <w:rPr>
                <w:noProof/>
              </w:rPr>
              <w:t>0</w:t>
            </w:r>
          </w:p>
        </w:tc>
        <w:tc>
          <w:tcPr>
            <w:tcW w:w="1276" w:type="dxa"/>
          </w:tcPr>
          <w:p w:rsidR="001C0947" w:rsidRPr="00C017A7" w:rsidRDefault="001C0947" w:rsidP="001E189C">
            <w:pPr>
              <w:jc w:val="center"/>
              <w:rPr>
                <w:noProof/>
              </w:rPr>
            </w:pPr>
            <w:r w:rsidRPr="00C017A7">
              <w:rPr>
                <w:noProof/>
              </w:rPr>
              <w:t>0</w:t>
            </w:r>
          </w:p>
        </w:tc>
        <w:tc>
          <w:tcPr>
            <w:tcW w:w="1165" w:type="dxa"/>
          </w:tcPr>
          <w:p w:rsidR="001C0947" w:rsidRPr="00C017A7" w:rsidRDefault="001C0947" w:rsidP="001E189C">
            <w:pPr>
              <w:jc w:val="center"/>
              <w:rPr>
                <w:noProof/>
              </w:rPr>
            </w:pPr>
            <w:r w:rsidRPr="00C017A7">
              <w:rPr>
                <w:noProof/>
              </w:rPr>
              <w:t>0</w:t>
            </w:r>
          </w:p>
        </w:tc>
      </w:tr>
      <w:tr w:rsidR="0D246F12" w:rsidRPr="00C017A7" w:rsidTr="0D246F12">
        <w:trPr>
          <w:cantSplit/>
          <w:trHeight w:val="300"/>
        </w:trPr>
        <w:tc>
          <w:tcPr>
            <w:tcW w:w="2074" w:type="dxa"/>
          </w:tcPr>
          <w:p w:rsidR="0D246F12" w:rsidRPr="00C017A7" w:rsidRDefault="0D246F12" w:rsidP="0D246F12">
            <w:pPr>
              <w:rPr>
                <w:noProof/>
                <w:sz w:val="20"/>
                <w:szCs w:val="20"/>
              </w:rPr>
            </w:pPr>
            <w:r w:rsidRPr="00C017A7">
              <w:rPr>
                <w:noProof/>
                <w:sz w:val="20"/>
              </w:rPr>
              <w:t>NC 3102 21</w:t>
            </w:r>
          </w:p>
        </w:tc>
        <w:tc>
          <w:tcPr>
            <w:tcW w:w="1276" w:type="dxa"/>
          </w:tcPr>
          <w:p w:rsidR="2497C023" w:rsidRPr="00C017A7" w:rsidRDefault="2497C023" w:rsidP="0D246F12">
            <w:pPr>
              <w:jc w:val="center"/>
              <w:rPr>
                <w:iCs/>
                <w:noProof/>
                <w:szCs w:val="24"/>
              </w:rPr>
            </w:pPr>
            <w:r w:rsidRPr="00C017A7">
              <w:rPr>
                <w:noProof/>
              </w:rPr>
              <w:t>0</w:t>
            </w:r>
          </w:p>
        </w:tc>
        <w:tc>
          <w:tcPr>
            <w:tcW w:w="1275" w:type="dxa"/>
          </w:tcPr>
          <w:p w:rsidR="2AA2DC84" w:rsidRPr="00C017A7" w:rsidRDefault="2AA2DC84" w:rsidP="0D246F12">
            <w:pPr>
              <w:jc w:val="center"/>
              <w:rPr>
                <w:noProof/>
              </w:rPr>
            </w:pPr>
            <w:r w:rsidRPr="00C017A7">
              <w:rPr>
                <w:noProof/>
              </w:rPr>
              <w:t>0</w:t>
            </w:r>
          </w:p>
        </w:tc>
        <w:tc>
          <w:tcPr>
            <w:tcW w:w="1276" w:type="dxa"/>
          </w:tcPr>
          <w:p w:rsidR="2AA2DC84" w:rsidRPr="00C017A7" w:rsidRDefault="2AA2DC84" w:rsidP="0D246F12">
            <w:pPr>
              <w:jc w:val="center"/>
              <w:rPr>
                <w:noProof/>
              </w:rPr>
            </w:pPr>
            <w:r w:rsidRPr="00C017A7">
              <w:rPr>
                <w:noProof/>
              </w:rPr>
              <w:t>0</w:t>
            </w:r>
          </w:p>
        </w:tc>
        <w:tc>
          <w:tcPr>
            <w:tcW w:w="1276" w:type="dxa"/>
          </w:tcPr>
          <w:p w:rsidR="2AA2DC84" w:rsidRPr="00C017A7" w:rsidRDefault="2AA2DC84" w:rsidP="0D246F12">
            <w:pPr>
              <w:jc w:val="center"/>
              <w:rPr>
                <w:noProof/>
              </w:rPr>
            </w:pPr>
            <w:r w:rsidRPr="00C017A7">
              <w:rPr>
                <w:noProof/>
              </w:rPr>
              <w:t>0</w:t>
            </w:r>
          </w:p>
        </w:tc>
        <w:tc>
          <w:tcPr>
            <w:tcW w:w="1165" w:type="dxa"/>
          </w:tcPr>
          <w:p w:rsidR="2AA2DC84" w:rsidRPr="00C017A7" w:rsidRDefault="2AA2DC84" w:rsidP="0D246F12">
            <w:pPr>
              <w:jc w:val="center"/>
              <w:rPr>
                <w:noProof/>
              </w:rPr>
            </w:pPr>
            <w:r w:rsidRPr="00C017A7">
              <w:rPr>
                <w:noProof/>
              </w:rPr>
              <w:t>0</w:t>
            </w:r>
          </w:p>
        </w:tc>
      </w:tr>
      <w:tr w:rsidR="0D246F12" w:rsidRPr="00C017A7" w:rsidTr="0D246F12">
        <w:trPr>
          <w:cantSplit/>
          <w:trHeight w:val="300"/>
        </w:trPr>
        <w:tc>
          <w:tcPr>
            <w:tcW w:w="2074" w:type="dxa"/>
          </w:tcPr>
          <w:p w:rsidR="0D246F12" w:rsidRPr="00C017A7" w:rsidRDefault="0D246F12" w:rsidP="0D246F12">
            <w:pPr>
              <w:rPr>
                <w:noProof/>
                <w:sz w:val="20"/>
                <w:szCs w:val="20"/>
              </w:rPr>
            </w:pPr>
            <w:r w:rsidRPr="00C017A7">
              <w:rPr>
                <w:noProof/>
                <w:sz w:val="20"/>
              </w:rPr>
              <w:t>NC 3102 60</w:t>
            </w:r>
          </w:p>
        </w:tc>
        <w:tc>
          <w:tcPr>
            <w:tcW w:w="1276" w:type="dxa"/>
          </w:tcPr>
          <w:p w:rsidR="2AA2DC84" w:rsidRPr="00C017A7" w:rsidRDefault="2AA2DC84" w:rsidP="0D246F12">
            <w:pPr>
              <w:jc w:val="center"/>
              <w:rPr>
                <w:iCs/>
                <w:noProof/>
                <w:szCs w:val="24"/>
              </w:rPr>
            </w:pPr>
            <w:r w:rsidRPr="00C017A7">
              <w:rPr>
                <w:noProof/>
              </w:rPr>
              <w:t>0</w:t>
            </w:r>
          </w:p>
        </w:tc>
        <w:tc>
          <w:tcPr>
            <w:tcW w:w="1275" w:type="dxa"/>
          </w:tcPr>
          <w:p w:rsidR="2AA2DC84" w:rsidRPr="00C017A7" w:rsidRDefault="2AA2DC84" w:rsidP="0D246F12">
            <w:pPr>
              <w:jc w:val="center"/>
              <w:rPr>
                <w:noProof/>
              </w:rPr>
            </w:pPr>
            <w:r w:rsidRPr="00C017A7">
              <w:rPr>
                <w:noProof/>
              </w:rPr>
              <w:t>0</w:t>
            </w:r>
          </w:p>
        </w:tc>
        <w:tc>
          <w:tcPr>
            <w:tcW w:w="1276" w:type="dxa"/>
          </w:tcPr>
          <w:p w:rsidR="2AA2DC84" w:rsidRPr="00C017A7" w:rsidRDefault="2AA2DC84" w:rsidP="0D246F12">
            <w:pPr>
              <w:jc w:val="center"/>
              <w:rPr>
                <w:noProof/>
              </w:rPr>
            </w:pPr>
            <w:r w:rsidRPr="00C017A7">
              <w:rPr>
                <w:noProof/>
              </w:rPr>
              <w:t>0</w:t>
            </w:r>
          </w:p>
        </w:tc>
        <w:tc>
          <w:tcPr>
            <w:tcW w:w="1276" w:type="dxa"/>
          </w:tcPr>
          <w:p w:rsidR="2AA2DC84" w:rsidRPr="00C017A7" w:rsidRDefault="2AA2DC84" w:rsidP="0D246F12">
            <w:pPr>
              <w:jc w:val="center"/>
              <w:rPr>
                <w:noProof/>
              </w:rPr>
            </w:pPr>
            <w:r w:rsidRPr="00C017A7">
              <w:rPr>
                <w:noProof/>
              </w:rPr>
              <w:t>0</w:t>
            </w:r>
          </w:p>
        </w:tc>
        <w:tc>
          <w:tcPr>
            <w:tcW w:w="1165" w:type="dxa"/>
          </w:tcPr>
          <w:p w:rsidR="2AA2DC84" w:rsidRPr="00C017A7" w:rsidRDefault="2AA2DC84" w:rsidP="0D246F12">
            <w:pPr>
              <w:jc w:val="center"/>
              <w:rPr>
                <w:noProof/>
              </w:rPr>
            </w:pPr>
            <w:r w:rsidRPr="00C017A7">
              <w:rPr>
                <w:noProof/>
              </w:rPr>
              <w:t>0</w:t>
            </w:r>
          </w:p>
        </w:tc>
      </w:tr>
      <w:tr w:rsidR="0D246F12" w:rsidRPr="00C017A7" w:rsidTr="0D246F12">
        <w:trPr>
          <w:cantSplit/>
          <w:trHeight w:val="300"/>
        </w:trPr>
        <w:tc>
          <w:tcPr>
            <w:tcW w:w="2074" w:type="dxa"/>
          </w:tcPr>
          <w:p w:rsidR="0D246F12" w:rsidRPr="00C017A7" w:rsidRDefault="0D246F12" w:rsidP="0D246F12">
            <w:pPr>
              <w:rPr>
                <w:noProof/>
                <w:sz w:val="20"/>
                <w:szCs w:val="20"/>
              </w:rPr>
            </w:pPr>
            <w:r w:rsidRPr="00C017A7">
              <w:rPr>
                <w:noProof/>
                <w:sz w:val="20"/>
              </w:rPr>
              <w:t>NC 3102 80</w:t>
            </w:r>
          </w:p>
        </w:tc>
        <w:tc>
          <w:tcPr>
            <w:tcW w:w="1276" w:type="dxa"/>
          </w:tcPr>
          <w:p w:rsidR="214209B0" w:rsidRPr="00C017A7" w:rsidRDefault="214209B0" w:rsidP="0D246F12">
            <w:pPr>
              <w:jc w:val="center"/>
              <w:rPr>
                <w:iCs/>
                <w:noProof/>
                <w:szCs w:val="24"/>
              </w:rPr>
            </w:pPr>
            <w:r w:rsidRPr="00C017A7">
              <w:rPr>
                <w:noProof/>
              </w:rPr>
              <w:t>0</w:t>
            </w:r>
          </w:p>
        </w:tc>
        <w:tc>
          <w:tcPr>
            <w:tcW w:w="1275" w:type="dxa"/>
          </w:tcPr>
          <w:p w:rsidR="0A910EC5" w:rsidRPr="00C017A7" w:rsidRDefault="0A910EC5" w:rsidP="0D246F12">
            <w:pPr>
              <w:jc w:val="center"/>
              <w:rPr>
                <w:noProof/>
              </w:rPr>
            </w:pPr>
            <w:r w:rsidRPr="00C017A7">
              <w:rPr>
                <w:noProof/>
              </w:rPr>
              <w:t>0</w:t>
            </w:r>
          </w:p>
        </w:tc>
        <w:tc>
          <w:tcPr>
            <w:tcW w:w="1276" w:type="dxa"/>
          </w:tcPr>
          <w:p w:rsidR="0A910EC5" w:rsidRPr="00C017A7" w:rsidRDefault="0A910EC5" w:rsidP="0D246F12">
            <w:pPr>
              <w:jc w:val="center"/>
              <w:rPr>
                <w:noProof/>
              </w:rPr>
            </w:pPr>
            <w:r w:rsidRPr="00C017A7">
              <w:rPr>
                <w:noProof/>
              </w:rPr>
              <w:t>0</w:t>
            </w:r>
          </w:p>
        </w:tc>
        <w:tc>
          <w:tcPr>
            <w:tcW w:w="1276" w:type="dxa"/>
          </w:tcPr>
          <w:p w:rsidR="0A910EC5" w:rsidRPr="00C017A7" w:rsidRDefault="0A910EC5" w:rsidP="0D246F12">
            <w:pPr>
              <w:jc w:val="center"/>
              <w:rPr>
                <w:noProof/>
              </w:rPr>
            </w:pPr>
            <w:r w:rsidRPr="00C017A7">
              <w:rPr>
                <w:noProof/>
              </w:rPr>
              <w:t>0</w:t>
            </w:r>
          </w:p>
        </w:tc>
        <w:tc>
          <w:tcPr>
            <w:tcW w:w="1165" w:type="dxa"/>
          </w:tcPr>
          <w:p w:rsidR="0A910EC5" w:rsidRPr="00C017A7" w:rsidRDefault="0A910EC5" w:rsidP="0D246F12">
            <w:pPr>
              <w:jc w:val="center"/>
              <w:rPr>
                <w:noProof/>
              </w:rPr>
            </w:pPr>
            <w:r w:rsidRPr="00C017A7">
              <w:rPr>
                <w:noProof/>
              </w:rPr>
              <w:t>0</w:t>
            </w:r>
          </w:p>
        </w:tc>
      </w:tr>
      <w:tr w:rsidR="0D246F12" w:rsidRPr="00C017A7" w:rsidTr="0D246F12">
        <w:trPr>
          <w:cantSplit/>
          <w:trHeight w:val="300"/>
        </w:trPr>
        <w:tc>
          <w:tcPr>
            <w:tcW w:w="2074" w:type="dxa"/>
          </w:tcPr>
          <w:p w:rsidR="0D246F12" w:rsidRPr="00C017A7" w:rsidRDefault="0D246F12" w:rsidP="0D246F12">
            <w:pPr>
              <w:rPr>
                <w:noProof/>
                <w:sz w:val="20"/>
                <w:szCs w:val="20"/>
              </w:rPr>
            </w:pPr>
            <w:r w:rsidRPr="00C017A7">
              <w:rPr>
                <w:noProof/>
                <w:sz w:val="20"/>
              </w:rPr>
              <w:t>NC 3105 20</w:t>
            </w:r>
          </w:p>
        </w:tc>
        <w:tc>
          <w:tcPr>
            <w:tcW w:w="1276" w:type="dxa"/>
          </w:tcPr>
          <w:p w:rsidR="123546B1" w:rsidRPr="00C017A7" w:rsidRDefault="123546B1" w:rsidP="0D246F12">
            <w:pPr>
              <w:jc w:val="center"/>
              <w:rPr>
                <w:iCs/>
                <w:noProof/>
                <w:szCs w:val="24"/>
              </w:rPr>
            </w:pPr>
            <w:r w:rsidRPr="00C017A7">
              <w:rPr>
                <w:noProof/>
              </w:rPr>
              <w:t>0</w:t>
            </w:r>
          </w:p>
        </w:tc>
        <w:tc>
          <w:tcPr>
            <w:tcW w:w="1275" w:type="dxa"/>
          </w:tcPr>
          <w:p w:rsidR="123546B1" w:rsidRPr="00C017A7" w:rsidRDefault="123546B1" w:rsidP="0D246F12">
            <w:pPr>
              <w:jc w:val="center"/>
              <w:rPr>
                <w:noProof/>
              </w:rPr>
            </w:pPr>
            <w:r w:rsidRPr="00C017A7">
              <w:rPr>
                <w:noProof/>
              </w:rPr>
              <w:t>0</w:t>
            </w:r>
          </w:p>
        </w:tc>
        <w:tc>
          <w:tcPr>
            <w:tcW w:w="1276" w:type="dxa"/>
          </w:tcPr>
          <w:p w:rsidR="781776B8" w:rsidRPr="00C017A7" w:rsidRDefault="781776B8" w:rsidP="0D246F12">
            <w:pPr>
              <w:jc w:val="center"/>
              <w:rPr>
                <w:noProof/>
              </w:rPr>
            </w:pPr>
            <w:r w:rsidRPr="00C017A7">
              <w:rPr>
                <w:noProof/>
              </w:rPr>
              <w:t>0</w:t>
            </w:r>
          </w:p>
        </w:tc>
        <w:tc>
          <w:tcPr>
            <w:tcW w:w="1276" w:type="dxa"/>
          </w:tcPr>
          <w:p w:rsidR="781776B8" w:rsidRPr="00C017A7" w:rsidRDefault="781776B8" w:rsidP="0D246F12">
            <w:pPr>
              <w:jc w:val="center"/>
              <w:rPr>
                <w:noProof/>
              </w:rPr>
            </w:pPr>
            <w:r w:rsidRPr="00C017A7">
              <w:rPr>
                <w:noProof/>
              </w:rPr>
              <w:t>0</w:t>
            </w:r>
          </w:p>
        </w:tc>
        <w:tc>
          <w:tcPr>
            <w:tcW w:w="1165" w:type="dxa"/>
          </w:tcPr>
          <w:p w:rsidR="2A1FA5AB" w:rsidRPr="00C017A7" w:rsidRDefault="2A1FA5AB" w:rsidP="0D246F12">
            <w:pPr>
              <w:jc w:val="center"/>
              <w:rPr>
                <w:noProof/>
              </w:rPr>
            </w:pPr>
            <w:r w:rsidRPr="00C017A7">
              <w:rPr>
                <w:noProof/>
              </w:rPr>
              <w:t>0</w:t>
            </w:r>
          </w:p>
        </w:tc>
      </w:tr>
      <w:tr w:rsidR="0D246F12" w:rsidRPr="00C017A7" w:rsidTr="0D246F12">
        <w:trPr>
          <w:cantSplit/>
          <w:trHeight w:val="300"/>
        </w:trPr>
        <w:tc>
          <w:tcPr>
            <w:tcW w:w="2074" w:type="dxa"/>
          </w:tcPr>
          <w:p w:rsidR="0D246F12" w:rsidRPr="00C017A7" w:rsidRDefault="0D246F12" w:rsidP="0D246F12">
            <w:pPr>
              <w:rPr>
                <w:noProof/>
                <w:sz w:val="20"/>
                <w:szCs w:val="20"/>
              </w:rPr>
            </w:pPr>
            <w:r w:rsidRPr="00C017A7">
              <w:rPr>
                <w:noProof/>
                <w:sz w:val="20"/>
              </w:rPr>
              <w:t>NC 3105 30</w:t>
            </w:r>
          </w:p>
        </w:tc>
        <w:tc>
          <w:tcPr>
            <w:tcW w:w="1276" w:type="dxa"/>
          </w:tcPr>
          <w:p w:rsidR="214209B0" w:rsidRPr="00C017A7" w:rsidRDefault="214209B0" w:rsidP="0D246F12">
            <w:pPr>
              <w:jc w:val="center"/>
              <w:rPr>
                <w:iCs/>
                <w:noProof/>
                <w:szCs w:val="24"/>
              </w:rPr>
            </w:pPr>
            <w:r w:rsidRPr="00C017A7">
              <w:rPr>
                <w:noProof/>
              </w:rPr>
              <w:t>0</w:t>
            </w:r>
          </w:p>
        </w:tc>
        <w:tc>
          <w:tcPr>
            <w:tcW w:w="1275" w:type="dxa"/>
          </w:tcPr>
          <w:p w:rsidR="123546B1" w:rsidRPr="00C017A7" w:rsidRDefault="123546B1" w:rsidP="0D246F12">
            <w:pPr>
              <w:jc w:val="center"/>
              <w:rPr>
                <w:noProof/>
              </w:rPr>
            </w:pPr>
            <w:r w:rsidRPr="00C017A7">
              <w:rPr>
                <w:noProof/>
              </w:rPr>
              <w:t>0</w:t>
            </w:r>
          </w:p>
        </w:tc>
        <w:tc>
          <w:tcPr>
            <w:tcW w:w="1276" w:type="dxa"/>
          </w:tcPr>
          <w:p w:rsidR="123546B1" w:rsidRPr="00C017A7" w:rsidRDefault="123546B1" w:rsidP="0D246F12">
            <w:pPr>
              <w:jc w:val="center"/>
              <w:rPr>
                <w:noProof/>
              </w:rPr>
            </w:pPr>
            <w:r w:rsidRPr="00C017A7">
              <w:rPr>
                <w:noProof/>
              </w:rPr>
              <w:t>0</w:t>
            </w:r>
          </w:p>
        </w:tc>
        <w:tc>
          <w:tcPr>
            <w:tcW w:w="1276" w:type="dxa"/>
          </w:tcPr>
          <w:p w:rsidR="0DBC2038" w:rsidRPr="00C017A7" w:rsidRDefault="0DBC2038" w:rsidP="0D246F12">
            <w:pPr>
              <w:jc w:val="center"/>
              <w:rPr>
                <w:noProof/>
              </w:rPr>
            </w:pPr>
            <w:r w:rsidRPr="00C017A7">
              <w:rPr>
                <w:noProof/>
              </w:rPr>
              <w:t>0</w:t>
            </w:r>
          </w:p>
        </w:tc>
        <w:tc>
          <w:tcPr>
            <w:tcW w:w="1165" w:type="dxa"/>
          </w:tcPr>
          <w:p w:rsidR="0DBC2038" w:rsidRPr="00C017A7" w:rsidRDefault="0DBC2038" w:rsidP="0D246F12">
            <w:pPr>
              <w:jc w:val="center"/>
              <w:rPr>
                <w:noProof/>
              </w:rPr>
            </w:pPr>
            <w:r w:rsidRPr="00C017A7">
              <w:rPr>
                <w:noProof/>
              </w:rPr>
              <w:t>0</w:t>
            </w:r>
          </w:p>
        </w:tc>
      </w:tr>
      <w:tr w:rsidR="0D246F12" w:rsidRPr="00C017A7" w:rsidTr="0D246F12">
        <w:trPr>
          <w:cantSplit/>
          <w:trHeight w:val="300"/>
        </w:trPr>
        <w:tc>
          <w:tcPr>
            <w:tcW w:w="2074" w:type="dxa"/>
          </w:tcPr>
          <w:p w:rsidR="0D246F12" w:rsidRPr="00C017A7" w:rsidRDefault="0D246F12" w:rsidP="0D246F12">
            <w:pPr>
              <w:rPr>
                <w:noProof/>
                <w:sz w:val="20"/>
                <w:szCs w:val="20"/>
              </w:rPr>
            </w:pPr>
            <w:r w:rsidRPr="00C017A7">
              <w:rPr>
                <w:noProof/>
                <w:sz w:val="20"/>
              </w:rPr>
              <w:t>NC 3105 40</w:t>
            </w:r>
          </w:p>
        </w:tc>
        <w:tc>
          <w:tcPr>
            <w:tcW w:w="1276" w:type="dxa"/>
          </w:tcPr>
          <w:p w:rsidR="1DDC4DC4" w:rsidRPr="00C017A7" w:rsidRDefault="1DDC4DC4" w:rsidP="0D246F12">
            <w:pPr>
              <w:jc w:val="center"/>
              <w:rPr>
                <w:iCs/>
                <w:noProof/>
                <w:szCs w:val="24"/>
              </w:rPr>
            </w:pPr>
            <w:r w:rsidRPr="00C017A7">
              <w:rPr>
                <w:noProof/>
              </w:rPr>
              <w:t>0</w:t>
            </w:r>
          </w:p>
        </w:tc>
        <w:tc>
          <w:tcPr>
            <w:tcW w:w="1275" w:type="dxa"/>
          </w:tcPr>
          <w:p w:rsidR="2A1FA5AB" w:rsidRPr="00C017A7" w:rsidRDefault="2A1FA5AB" w:rsidP="0D246F12">
            <w:pPr>
              <w:jc w:val="center"/>
              <w:rPr>
                <w:noProof/>
              </w:rPr>
            </w:pPr>
            <w:r w:rsidRPr="00C017A7">
              <w:rPr>
                <w:noProof/>
              </w:rPr>
              <w:t>0</w:t>
            </w:r>
          </w:p>
        </w:tc>
        <w:tc>
          <w:tcPr>
            <w:tcW w:w="1276" w:type="dxa"/>
          </w:tcPr>
          <w:p w:rsidR="3FC5CFEA" w:rsidRPr="00C017A7" w:rsidRDefault="3FC5CFEA" w:rsidP="0D246F12">
            <w:pPr>
              <w:jc w:val="center"/>
              <w:rPr>
                <w:noProof/>
              </w:rPr>
            </w:pPr>
            <w:r w:rsidRPr="00C017A7">
              <w:rPr>
                <w:noProof/>
              </w:rPr>
              <w:t>0</w:t>
            </w:r>
          </w:p>
        </w:tc>
        <w:tc>
          <w:tcPr>
            <w:tcW w:w="1276" w:type="dxa"/>
          </w:tcPr>
          <w:p w:rsidR="3FC5CFEA" w:rsidRPr="00C017A7" w:rsidRDefault="3FC5CFEA" w:rsidP="0D246F12">
            <w:pPr>
              <w:jc w:val="center"/>
              <w:rPr>
                <w:noProof/>
              </w:rPr>
            </w:pPr>
            <w:r w:rsidRPr="00C017A7">
              <w:rPr>
                <w:noProof/>
              </w:rPr>
              <w:t>0</w:t>
            </w:r>
          </w:p>
        </w:tc>
        <w:tc>
          <w:tcPr>
            <w:tcW w:w="1165" w:type="dxa"/>
          </w:tcPr>
          <w:p w:rsidR="3FC5CFEA" w:rsidRPr="00C017A7" w:rsidRDefault="3FC5CFEA" w:rsidP="0D246F12">
            <w:pPr>
              <w:jc w:val="center"/>
              <w:rPr>
                <w:noProof/>
              </w:rPr>
            </w:pPr>
            <w:r w:rsidRPr="00C017A7">
              <w:rPr>
                <w:noProof/>
              </w:rPr>
              <w:t>0</w:t>
            </w:r>
          </w:p>
        </w:tc>
      </w:tr>
    </w:tbl>
    <w:p w:rsidR="001C0947" w:rsidRPr="00C017A7" w:rsidRDefault="001C0947" w:rsidP="001C0947">
      <w:pPr>
        <w:pStyle w:val="ManualHeading1"/>
        <w:rPr>
          <w:bCs/>
          <w:noProof/>
        </w:rPr>
      </w:pPr>
      <w:r w:rsidRPr="00C017A7">
        <w:rPr>
          <w:noProof/>
        </w:rPr>
        <w:t>4.</w:t>
      </w:r>
      <w:r w:rsidRPr="00C017A7">
        <w:rPr>
          <w:noProof/>
        </w:rPr>
        <w:tab/>
        <w:t>MĂSURI ANTIFRAUDĂ</w:t>
      </w:r>
    </w:p>
    <w:p w:rsidR="001C0947" w:rsidRPr="00C017A7" w:rsidRDefault="001C0947" w:rsidP="001C0947">
      <w:pPr>
        <w:pStyle w:val="Text1"/>
        <w:rPr>
          <w:noProof/>
        </w:rPr>
      </w:pPr>
      <w:r w:rsidRPr="00C017A7">
        <w:rPr>
          <w:noProof/>
        </w:rPr>
        <w:t>Nu</w:t>
      </w:r>
    </w:p>
    <w:p w:rsidR="001C0947" w:rsidRPr="00C017A7" w:rsidRDefault="001C0947" w:rsidP="001C0947">
      <w:pPr>
        <w:pStyle w:val="ManualHeading1"/>
        <w:rPr>
          <w:bCs/>
          <w:noProof/>
        </w:rPr>
      </w:pPr>
      <w:r w:rsidRPr="00C017A7">
        <w:rPr>
          <w:noProof/>
        </w:rPr>
        <w:t>5.</w:t>
      </w:r>
      <w:r w:rsidRPr="00C017A7">
        <w:rPr>
          <w:noProof/>
        </w:rPr>
        <w:tab/>
        <w:t>ALTE OBSERVAȚII</w:t>
      </w:r>
    </w:p>
    <w:p w:rsidR="001C0947" w:rsidRPr="00C017A7" w:rsidRDefault="001C0947" w:rsidP="0D246F12">
      <w:pPr>
        <w:autoSpaceDE w:val="0"/>
        <w:autoSpaceDN w:val="0"/>
        <w:adjustRightInd w:val="0"/>
        <w:rPr>
          <w:noProof/>
        </w:rPr>
      </w:pPr>
      <w:r w:rsidRPr="00C017A7">
        <w:rPr>
          <w:noProof/>
        </w:rPr>
        <w:t>În 2024, valoarea totală a importurilor de la codul NC 2814 s-a ridicat la 1,1 miliarde EUR. Taxa vamală convențională pentru acest cod NC este 5,5 %. Majoritatea acestor importuri au fost scutite de taxe vamale ca urmare a punerii în aplicare a acordurilor de liber schimb. Restul au fost importuri care au plătit nivelul taxei din Tariful vamal comun, iar valoarea unitară a acestor importuri, cu excepția Federației Ruse și a Republicii Belarus, care nu vor face obiectul unei reduceri tarifare, a fost de 489</w:t>
      </w:r>
      <w:r w:rsidR="00CD4AE1" w:rsidRPr="00C017A7">
        <w:rPr>
          <w:noProof/>
        </w:rPr>
        <w:t> </w:t>
      </w:r>
      <w:r w:rsidRPr="00C017A7">
        <w:rPr>
          <w:noProof/>
        </w:rPr>
        <w:t>EUR/tonă metrică. Taxele vamale nepercepute estimate pentru un contingent de 300 000 de tone metrice sunt, prin urmare, de 8,1 milioane EUR (489 x 300 000 x 5,5 %) pe an. Costurile de colectare de 25 % sunt deduse din această valoare, astfel încât valoarea maximă estimată a taxelor vamale nepercepute pentru bugetul UE pentru acest produs este de 6,1 milioane EUR pentru o perioadă de 12 luni.</w:t>
      </w:r>
    </w:p>
    <w:p w:rsidR="001C0947" w:rsidRPr="00C017A7" w:rsidRDefault="001C0947" w:rsidP="0D246F12">
      <w:pPr>
        <w:autoSpaceDE w:val="0"/>
        <w:autoSpaceDN w:val="0"/>
        <w:adjustRightInd w:val="0"/>
        <w:rPr>
          <w:noProof/>
        </w:rPr>
      </w:pPr>
      <w:r w:rsidRPr="00C017A7">
        <w:rPr>
          <w:noProof/>
        </w:rPr>
        <w:t>În 2024, valoarea totală a importurilor de la codul NC 3102 10 s-a ridicat la 2 miliarde EUR. Taxa vamală convențională pentru acest cod NC este 6,5 %. Majoritatea acestor importuri au fost scutite de taxe vamale ca urmare a punerii în aplicare a acordurilor de liber schimb. Restul au fost importuri care au plătit nivelul taxei din Tariful vamal comun, iar valoarea unitară a acestor importuri, cu excepția Federației Ruse și a Republicii Belarus, care nu vor face obiectul unei reduceri tarifare, a fost de 336</w:t>
      </w:r>
      <w:r w:rsidR="00CD4AE1" w:rsidRPr="00C017A7">
        <w:rPr>
          <w:noProof/>
        </w:rPr>
        <w:t> </w:t>
      </w:r>
      <w:r w:rsidRPr="00C017A7">
        <w:rPr>
          <w:noProof/>
        </w:rPr>
        <w:t>EUR/tonă metrică. Taxele vamale nepercepute estimate pentru un contingent de 890 000 de tone metrice sunt, prin urmare, de 19,5 milioane EUR (336 x 890 000 x 6,5 %) pe an. Costurile de colectare de 25 % sunt deduse din această valoare, astfel încât valoarea maximă estimată a taxelor vamale nepercepute pentru bugetul UE pentru acest produs este de 14,6 milioane EUR pentru o perioadă de 12 luni.</w:t>
      </w:r>
    </w:p>
    <w:p w:rsidR="6CBA2EBE" w:rsidRPr="00C017A7" w:rsidRDefault="6CBA2EBE" w:rsidP="00CD4AE1">
      <w:pPr>
        <w:rPr>
          <w:rFonts w:eastAsia="Times New Roman"/>
          <w:noProof/>
          <w:szCs w:val="24"/>
        </w:rPr>
      </w:pPr>
      <w:r w:rsidRPr="00C017A7">
        <w:rPr>
          <w:noProof/>
        </w:rPr>
        <w:t>În 2024, valoarea totală a importurilor de la codul NC 3102 21 s-a ridicat la 119 milioane EUR. Taxa vamală convențională pentru acest cod NC este 6,5 %. Majoritatea acestor importuri au fost scutite de taxe vamale ca urmare a punerii în aplicare a acordurilor de liber schimb. Restul au fost importuri care au plătit nivelul taxei din Tariful vamal comun, iar valoarea unitară a acestor importuri, cu excepția Federației Ruse și a Republicii Belarus, care nu vor face obiectul unei reduceri tarifare, a fost de 212</w:t>
      </w:r>
      <w:r w:rsidR="00CD4AE1" w:rsidRPr="00C017A7">
        <w:rPr>
          <w:noProof/>
        </w:rPr>
        <w:t> </w:t>
      </w:r>
      <w:r w:rsidRPr="00C017A7">
        <w:rPr>
          <w:noProof/>
        </w:rPr>
        <w:t>EUR/tonă metrică. Prin urmare, taxele vamale nepercepute estimate sunt de 5,7 milioane EUR (212 x 413</w:t>
      </w:r>
      <w:r w:rsidR="00CD4AE1" w:rsidRPr="00C017A7">
        <w:rPr>
          <w:noProof/>
        </w:rPr>
        <w:t> </w:t>
      </w:r>
      <w:r w:rsidRPr="00C017A7">
        <w:rPr>
          <w:noProof/>
        </w:rPr>
        <w:t>000 x 6,5 %) pe an. Costurile de colectare de 25 % sunt deduse din această valoare, astfel încât valoarea maximă estimată a taxelor vamale nepercepute pentru bugetul UE pentru acest produs este de 4,3 milioane EUR pentru o perioadă de 12 luni.</w:t>
      </w:r>
    </w:p>
    <w:p w:rsidR="6CBA2EBE" w:rsidRPr="00C017A7" w:rsidRDefault="6CBA2EBE" w:rsidP="0D246F12">
      <w:pPr>
        <w:rPr>
          <w:rFonts w:eastAsia="Times New Roman"/>
          <w:noProof/>
          <w:szCs w:val="24"/>
        </w:rPr>
      </w:pPr>
      <w:r w:rsidRPr="00C017A7">
        <w:rPr>
          <w:noProof/>
        </w:rPr>
        <w:t>În 2024, valoarea totală a importurilor de la codul NC 3102 60 s-a ridicat la 84 milioane EUR. Taxa vamală convențională pentru acest cod NC este 6,5 %. Majoritatea acestor importuri au fost scutite de taxe vamale ca urmare a punerii în aplicare a acordurilor de liber schimb. Restul au fost importuri care au plătit nivelul taxei din Tariful vamal comun, iar valoarea unitară a acestor importuri, cu excepția Federației Ruse și a Republicii Belarus, care nu vor face obiectul unei reduceri tarifare, a fost de 298 EUR/tonă metrică. Prin urmare, taxele vamale nepercepute estimate sunt de 0,5 milioane EUR (298 x 27 000 x 6,5 %) pe an. Costurile de colectare de 25 % sunt deduse din această valoare, astfel încât valoarea maximă estimată a taxelor vamale nepercepute pentru bugetul UE pentru acest produs este de 0,4 milioane EUR pentru o perioadă de 12 luni.</w:t>
      </w:r>
    </w:p>
    <w:p w:rsidR="6CBA2EBE" w:rsidRPr="00C017A7" w:rsidRDefault="6CBA2EBE" w:rsidP="0D246F12">
      <w:pPr>
        <w:rPr>
          <w:rFonts w:eastAsia="Times New Roman"/>
          <w:noProof/>
          <w:szCs w:val="24"/>
        </w:rPr>
      </w:pPr>
      <w:r w:rsidRPr="00C017A7">
        <w:rPr>
          <w:noProof/>
        </w:rPr>
        <w:t>În 2024, valoarea totală a importurilor de la codul NC 3102 80 s-a ridicat la 269 milioane EUR. Taxa vamală convențională pentru acest cod NC este 6,5 %. O parte a acestor importuri a fost scutită de taxe vamale ca urmare a punerii în aplicare a acordurilor de liber schimb. Restul au fost importuri care au plătit nivelul taxei din Tariful vamal comun, iar valoarea unitară a acestor importuri, cu excepția Federației Ruse și a Republicii Belarus, care nu vor face obiectul unei reduceri tarifare, a fost de 190</w:t>
      </w:r>
      <w:r w:rsidR="00CD4AE1" w:rsidRPr="00C017A7">
        <w:rPr>
          <w:noProof/>
        </w:rPr>
        <w:t> </w:t>
      </w:r>
      <w:r w:rsidRPr="00C017A7">
        <w:rPr>
          <w:noProof/>
        </w:rPr>
        <w:t>EUR/tonă metrică. Prin urmare, taxele vamale nepercepute estimate sunt de 7,2 milioane EUR (190 x 583 000 x 6,5 %) pe an. Costurile de colectare de 25 % sunt deduse din această valoare, astfel încât valoarea maximă estimată a taxelor vamale nepercepute pentru bugetul UE pentru acest produs este de 5,4 milioane EUR pentru o perioadă de 12 luni.</w:t>
      </w:r>
    </w:p>
    <w:p w:rsidR="6CBA2EBE" w:rsidRPr="00C017A7" w:rsidRDefault="6CBA2EBE" w:rsidP="0D246F12">
      <w:pPr>
        <w:rPr>
          <w:rFonts w:eastAsia="Times New Roman"/>
          <w:noProof/>
          <w:szCs w:val="24"/>
        </w:rPr>
      </w:pPr>
      <w:r w:rsidRPr="00C017A7">
        <w:rPr>
          <w:noProof/>
        </w:rPr>
        <w:t>În 2024, valoarea totală a importurilor de la codul NC 3105 20 s-a ridicat la 915 milioane EUR. Taxa vamală convențională pentru acest cod NC este 6,5 %. O parte a acestor importuri a fost scutită de taxe vamale ca urmare a punerii în aplicare a acordurilor de liber schimb. Restul au fost importuri care au plătit nivelul taxei din Tariful vamal comun, iar valoarea unitară a acestor importuri, cu excepția Federației Ruse și a Republicii Belarus, care nu vor face obiectul unei reduceri tarifare, a fost de 401</w:t>
      </w:r>
      <w:r w:rsidR="00CD4AE1" w:rsidRPr="00C017A7">
        <w:rPr>
          <w:noProof/>
        </w:rPr>
        <w:t> </w:t>
      </w:r>
      <w:r w:rsidRPr="00C017A7">
        <w:rPr>
          <w:noProof/>
        </w:rPr>
        <w:t>EUR/tonă metrică. Prin urmare, taxele vamale nepercepute estimate sunt de 9,4 milioane EUR (401 x 360 000 x 6,5 %) pe an. Costurile de colectare de 25 % sunt deduse din această valoare, astfel încât valoarea maximă estimată a taxelor vamale nepercepute pentru bugetul UE pentru acest produs este de 7 milioane EUR pentru o perioadă de 12 luni.</w:t>
      </w:r>
    </w:p>
    <w:p w:rsidR="6CBA2EBE" w:rsidRPr="00C017A7" w:rsidRDefault="6CBA2EBE" w:rsidP="0D246F12">
      <w:pPr>
        <w:rPr>
          <w:rFonts w:eastAsia="Times New Roman"/>
          <w:noProof/>
          <w:szCs w:val="24"/>
        </w:rPr>
      </w:pPr>
      <w:r w:rsidRPr="00C017A7">
        <w:rPr>
          <w:noProof/>
        </w:rPr>
        <w:t>În 2024, valoarea totală a importurilor de la codul NC 3105 30 s-a ridicat la 881 milioane EUR. Taxa vamală convențională pentru acest cod NC este 6,5 %. Majoritatea acestor importuri au fost scutite de taxe vamale ca urmare a punerii în aplicare a acordurilor de liber schimb. Restul au fost importuri care au plătit nivelul taxei din Tariful vamal comun, iar valoarea unitară a acestor importuri, cu excepția Federației Ruse și a Republicii Belarus, care nu vor face obiectul unei reduceri tarifare, a fost de 945</w:t>
      </w:r>
      <w:r w:rsidR="00CD4AE1" w:rsidRPr="00C017A7">
        <w:rPr>
          <w:noProof/>
        </w:rPr>
        <w:t> </w:t>
      </w:r>
      <w:r w:rsidRPr="00C017A7">
        <w:rPr>
          <w:noProof/>
        </w:rPr>
        <w:t>EUR/tonă metrică. Prin urmare, taxele vamale nepercepute estimate sunt de 5,3 milioane EUR (945 x 87 000 x 6,5 %) pe an. Costurile de colectare de 25 % sunt deduse din această valoare, astfel încât valoarea maximă estimată a taxelor vamale nepercepute pentru bugetul UE pentru acest produs este de 4 milioane EUR pentru o perioadă de 12 luni.</w:t>
      </w:r>
    </w:p>
    <w:p w:rsidR="6CBA2EBE" w:rsidRPr="00C017A7" w:rsidRDefault="6CBA2EBE" w:rsidP="0D246F12">
      <w:pPr>
        <w:rPr>
          <w:rFonts w:eastAsia="Times New Roman"/>
          <w:noProof/>
          <w:szCs w:val="24"/>
        </w:rPr>
      </w:pPr>
      <w:r w:rsidRPr="00C017A7">
        <w:rPr>
          <w:noProof/>
        </w:rPr>
        <w:t>În 2024, valoarea totală a importurilor de la codul NC 3105 40 s-a ridicat la 357 milioane EUR. Taxa vamală convențională pentru acest cod NC este 6,5 %. Majoritatea acestor importuri au fost scutite de taxe vamale ca urmare a punerii în aplicare a acordurilor de liber schimb. Restul au fost importuri care au plătit nivelul taxei din Tariful vamal comun, iar valoarea unitară a acestor importuri, cu excepția Federației Ruse și a Republicii Belarus, care nu vor face obiectul unei reduceri tarifare, a fost de 710</w:t>
      </w:r>
      <w:r w:rsidR="00CD4AE1" w:rsidRPr="00C017A7">
        <w:rPr>
          <w:noProof/>
        </w:rPr>
        <w:t> </w:t>
      </w:r>
      <w:r w:rsidRPr="00C017A7">
        <w:rPr>
          <w:noProof/>
        </w:rPr>
        <w:t>EUR/tonă metrică. Prin urmare, taxele vamale nepercepute estimate sunt de 3,8 milioane EUR (710 x 83 000 x 6,5 %) pe an. Costurile de colectare de 25 % sunt deduse din această valoare, astfel încât valoarea maximă estimată a taxelor vamale nepercepute pentru bugetul UE pentru acest produs este de 2,9 milioane EUR pentru o perioadă de 12 luni.</w:t>
      </w:r>
    </w:p>
    <w:p w:rsidR="6CBA2EBE" w:rsidRPr="00C017A7" w:rsidRDefault="6CBA2EBE" w:rsidP="0D246F12">
      <w:pPr>
        <w:rPr>
          <w:rFonts w:eastAsia="Times New Roman"/>
          <w:noProof/>
          <w:szCs w:val="24"/>
        </w:rPr>
      </w:pPr>
      <w:r w:rsidRPr="00C017A7">
        <w:rPr>
          <w:noProof/>
        </w:rPr>
        <w:t>Pe baza celor de mai sus, impactul asupra pierderii de venituri pentru bugetul UE care rezultă din prezentul regulament este estimat la 44,7 milioane EUR pe an (6,1 mil. EUR + 14,6 mil. EUR + 4,3 mil. EUR +0,4 mil. EUR + 5,4 mil. EUR + 7 mil. EUR + 4 mil. EUR + 2,9 mil. EUR).</w:t>
      </w:r>
    </w:p>
    <w:p w:rsidR="6CBA2EBE" w:rsidRPr="00C017A7" w:rsidRDefault="6CBA2EBE">
      <w:pPr>
        <w:rPr>
          <w:rFonts w:eastAsia="Times New Roman"/>
          <w:noProof/>
          <w:szCs w:val="24"/>
        </w:rPr>
      </w:pPr>
      <w:r w:rsidRPr="00C017A7">
        <w:rPr>
          <w:noProof/>
        </w:rPr>
        <w:t xml:space="preserve">Pentru perioada de 12 luni a aplicării sale în 2026 și 2027, impactul asupra pierderii de venituri din resurse proprii tradiționale pentru bugetul UE este estimat la 75 % din valoarea brută totală a taxelor vamale nepercepute de 59,5 mil. EUR, și anume 44,7 mil. EUR. </w:t>
      </w:r>
    </w:p>
    <w:p w:rsidR="0D246F12" w:rsidRPr="00C017A7" w:rsidRDefault="6CBA2EBE">
      <w:pPr>
        <w:rPr>
          <w:rFonts w:eastAsia="Times New Roman"/>
          <w:noProof/>
          <w:szCs w:val="24"/>
        </w:rPr>
      </w:pPr>
      <w:r w:rsidRPr="00C017A7">
        <w:rPr>
          <w:noProof/>
        </w:rPr>
        <w:t>Pierderea de venituri din resursele proprii tradiționale se va compensa prin contribuții din resurse proprii ale statelor membre calculate pe baza venitului național brut (VNB).</w:t>
      </w:r>
    </w:p>
    <w:sectPr w:rsidR="0D246F12" w:rsidRPr="00C017A7" w:rsidSect="00C64F05">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55E" w:rsidRPr="00C017A7" w:rsidRDefault="00E7255E" w:rsidP="001C0947">
      <w:pPr>
        <w:spacing w:before="0" w:after="0"/>
      </w:pPr>
      <w:r w:rsidRPr="00C017A7">
        <w:separator/>
      </w:r>
    </w:p>
  </w:endnote>
  <w:endnote w:type="continuationSeparator" w:id="0">
    <w:p w:rsidR="00E7255E" w:rsidRPr="00C017A7" w:rsidRDefault="00E7255E" w:rsidP="001C0947">
      <w:pPr>
        <w:spacing w:before="0" w:after="0"/>
      </w:pPr>
      <w:r w:rsidRPr="00C017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05" w:rsidRPr="00C64F05" w:rsidRDefault="00C64F05" w:rsidP="00C64F05">
    <w:pPr>
      <w:pStyle w:val="Footer"/>
      <w:rPr>
        <w:rFonts w:ascii="Arial" w:hAnsi="Arial" w:cs="Arial"/>
        <w:b/>
        <w:sz w:val="48"/>
      </w:rPr>
    </w:pPr>
    <w:r w:rsidRPr="00C64F05">
      <w:rPr>
        <w:rFonts w:ascii="Arial" w:hAnsi="Arial" w:cs="Arial"/>
        <w:b/>
        <w:sz w:val="48"/>
      </w:rPr>
      <w:t>RO</w:t>
    </w:r>
    <w:r w:rsidRPr="00C64F05">
      <w:rPr>
        <w:rFonts w:ascii="Arial" w:hAnsi="Arial" w:cs="Arial"/>
        <w:b/>
        <w:sz w:val="48"/>
      </w:rPr>
      <w:tab/>
    </w:r>
    <w:r w:rsidRPr="00C64F05">
      <w:rPr>
        <w:rFonts w:ascii="Arial" w:hAnsi="Arial" w:cs="Arial"/>
        <w:b/>
        <w:sz w:val="48"/>
      </w:rPr>
      <w:tab/>
    </w:r>
    <w:r w:rsidRPr="00C64F05">
      <w:tab/>
    </w:r>
    <w:r w:rsidRPr="00C64F0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05" w:rsidRPr="00C64F05" w:rsidRDefault="00C64F05" w:rsidP="00C64F05">
    <w:pPr>
      <w:pStyle w:val="Footer"/>
      <w:rPr>
        <w:rFonts w:ascii="Arial" w:hAnsi="Arial" w:cs="Arial"/>
        <w:b/>
        <w:sz w:val="48"/>
      </w:rPr>
    </w:pPr>
    <w:r w:rsidRPr="00C64F05">
      <w:rPr>
        <w:rFonts w:ascii="Arial" w:hAnsi="Arial" w:cs="Arial"/>
        <w:b/>
        <w:sz w:val="48"/>
      </w:rPr>
      <w:t>RO</w:t>
    </w:r>
    <w:r w:rsidRPr="00C64F05">
      <w:rPr>
        <w:rFonts w:ascii="Arial" w:hAnsi="Arial" w:cs="Arial"/>
        <w:b/>
        <w:sz w:val="48"/>
      </w:rPr>
      <w:tab/>
    </w:r>
    <w:r w:rsidRPr="00C64F05">
      <w:rPr>
        <w:rFonts w:ascii="Arial" w:hAnsi="Arial" w:cs="Arial"/>
        <w:b/>
        <w:sz w:val="48"/>
      </w:rPr>
      <w:tab/>
    </w:r>
    <w:r w:rsidRPr="00C64F05">
      <w:tab/>
    </w:r>
    <w:r w:rsidRPr="00C64F0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05" w:rsidRDefault="00C64F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05" w:rsidRPr="00C64F05" w:rsidRDefault="00C64F05" w:rsidP="00C64F05">
    <w:pPr>
      <w:pStyle w:val="Footer"/>
      <w:rPr>
        <w:rFonts w:ascii="Arial" w:hAnsi="Arial" w:cs="Arial"/>
        <w:b/>
        <w:sz w:val="48"/>
      </w:rPr>
    </w:pPr>
    <w:r w:rsidRPr="00C64F05">
      <w:rPr>
        <w:rFonts w:ascii="Arial" w:hAnsi="Arial" w:cs="Arial"/>
        <w:b/>
        <w:sz w:val="48"/>
      </w:rPr>
      <w:t>RO</w:t>
    </w:r>
    <w:r w:rsidRPr="00C64F05">
      <w:rPr>
        <w:rFonts w:ascii="Arial" w:hAnsi="Arial" w:cs="Arial"/>
        <w:b/>
        <w:sz w:val="48"/>
      </w:rPr>
      <w:tab/>
    </w:r>
    <w:r>
      <w:fldChar w:fldCharType="begin"/>
    </w:r>
    <w:r>
      <w:instrText xml:space="preserve"> PAGE  \* MERGEFORMAT </w:instrText>
    </w:r>
    <w:r>
      <w:fldChar w:fldCharType="separate"/>
    </w:r>
    <w:r w:rsidR="00A51210">
      <w:rPr>
        <w:noProof/>
      </w:rPr>
      <w:t>9</w:t>
    </w:r>
    <w:r>
      <w:fldChar w:fldCharType="end"/>
    </w:r>
    <w:r>
      <w:tab/>
    </w:r>
    <w:r w:rsidRPr="00C64F05">
      <w:tab/>
    </w:r>
    <w:r w:rsidRPr="00C64F0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05" w:rsidRDefault="00C64F05" w:rsidP="00C64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55E" w:rsidRPr="00C017A7" w:rsidRDefault="00E7255E" w:rsidP="001C0947">
      <w:pPr>
        <w:spacing w:before="0" w:after="0"/>
      </w:pPr>
      <w:r w:rsidRPr="00C017A7">
        <w:separator/>
      </w:r>
    </w:p>
  </w:footnote>
  <w:footnote w:type="continuationSeparator" w:id="0">
    <w:p w:rsidR="00E7255E" w:rsidRPr="00C017A7" w:rsidRDefault="00E7255E" w:rsidP="001C0947">
      <w:pPr>
        <w:spacing w:before="0" w:after="0"/>
      </w:pPr>
      <w:r w:rsidRPr="00C017A7">
        <w:continuationSeparator/>
      </w:r>
    </w:p>
  </w:footnote>
  <w:footnote w:id="1">
    <w:p w:rsidR="001C0947" w:rsidRPr="00C017A7" w:rsidRDefault="001C0947" w:rsidP="001C0947">
      <w:pPr>
        <w:pStyle w:val="FootnoteText"/>
      </w:pPr>
      <w:r w:rsidRPr="00C017A7">
        <w:rPr>
          <w:rStyle w:val="FootnoteReference"/>
        </w:rPr>
        <w:footnoteRef/>
      </w:r>
      <w:r w:rsidRPr="00C017A7">
        <w:tab/>
      </w:r>
      <w:hyperlink r:id="rId1" w:history="1">
        <w:r w:rsidRPr="00C017A7">
          <w:rPr>
            <w:rStyle w:val="Hyperlink"/>
          </w:rPr>
          <w:t>Monitorizarea prețurilor îngrășămintelor – Bibliotecă</w:t>
        </w:r>
      </w:hyperlink>
      <w:r w:rsidRPr="00C017A7">
        <w:t>.</w:t>
      </w:r>
    </w:p>
  </w:footnote>
  <w:footnote w:id="2">
    <w:p w:rsidR="001C0947" w:rsidRPr="00C017A7" w:rsidRDefault="001C0947" w:rsidP="001C0947">
      <w:pPr>
        <w:pStyle w:val="FootnoteText"/>
      </w:pPr>
      <w:r w:rsidRPr="00C017A7">
        <w:rPr>
          <w:rStyle w:val="FootnoteReference"/>
        </w:rPr>
        <w:footnoteRef/>
      </w:r>
      <w:r w:rsidRPr="00C017A7">
        <w:tab/>
      </w:r>
      <w:hyperlink r:id="rId2" w:history="1">
        <w:r w:rsidRPr="00C017A7">
          <w:rPr>
            <w:rStyle w:val="Hyperlink"/>
          </w:rPr>
          <w:t>Regulamentul (UE) 2025/1227 al Parlamentului European și al Consiliului din 17 iunie 2025 privind modificarea taxelor vamale aplicabile importurilor de anumite produse originare sau exportate din Federația Rusă și din Republica Belarus</w:t>
        </w:r>
      </w:hyperlink>
      <w:r w:rsidRPr="00C017A7">
        <w:t>.</w:t>
      </w:r>
    </w:p>
  </w:footnote>
  <w:footnote w:id="3">
    <w:p w:rsidR="0078576C" w:rsidRPr="00C017A7" w:rsidRDefault="0078576C" w:rsidP="0078576C">
      <w:pPr>
        <w:pStyle w:val="FootnoteText"/>
      </w:pPr>
      <w:r w:rsidRPr="00C017A7">
        <w:rPr>
          <w:rStyle w:val="FootnoteReference"/>
        </w:rPr>
        <w:footnoteRef/>
      </w:r>
      <w:r w:rsidRPr="00C017A7">
        <w:tab/>
        <w:t>Regulamentul (UE) nr. 952/2013 al Parlamentului European și al Consiliului din 9 octombrie 2013 de stabilire a Codului vamal al Uniunii (JO L 269, 10.10.2013, p. 1, ELI: http://data.europa.eu/eli/reg/2013/952/oj).</w:t>
      </w:r>
    </w:p>
  </w:footnote>
  <w:footnote w:id="4">
    <w:p w:rsidR="6CE9FC8C" w:rsidRPr="00C017A7" w:rsidRDefault="6CE9FC8C" w:rsidP="00B71A3E">
      <w:pPr>
        <w:pStyle w:val="FootnoteText"/>
      </w:pPr>
      <w:r w:rsidRPr="00C017A7">
        <w:rPr>
          <w:rStyle w:val="FootnoteReference"/>
        </w:rPr>
        <w:footnoteRef/>
      </w:r>
      <w:r w:rsidRPr="00C017A7">
        <w:tab/>
        <w:t>Regulamentul de punere în aplicare (UE) 2015/2447 al Comisiei din 24 noiembrie 2015 de stabilire a unor norme pentru punerea în aplicare a anumitor dispoziții din Regulamentul (UE) nr. 952/2013 al Parlamentului European și al Consiliului de stabilire a Codului vamal al Uniunii (JO L 343, 29.12.2015, p. 558).</w:t>
      </w:r>
    </w:p>
  </w:footnote>
  <w:footnote w:id="5">
    <w:p w:rsidR="001C0947" w:rsidRPr="00C017A7" w:rsidRDefault="001C0947" w:rsidP="001C0947">
      <w:pPr>
        <w:pStyle w:val="FootnoteText"/>
      </w:pPr>
      <w:r w:rsidRPr="00C017A7">
        <w:rPr>
          <w:rStyle w:val="FootnoteReference"/>
        </w:rPr>
        <w:footnoteRef/>
      </w:r>
      <w:r w:rsidRPr="00C017A7">
        <w:tab/>
        <w:t>Sumele pe an trebuie să fie estimate pe baza formulei sau a metodei definite la punctul 5. Pentru primul an, suma anuală se plătește de obicei fără o reducere sau o cotă-parte proporțională.</w:t>
      </w:r>
    </w:p>
  </w:footnote>
  <w:footnote w:id="6">
    <w:p w:rsidR="001C0947" w:rsidRPr="00D54FC8" w:rsidRDefault="001C0947" w:rsidP="001C0947">
      <w:pPr>
        <w:pStyle w:val="FootnoteText"/>
        <w:rPr>
          <w:lang w:val="fr-FR"/>
        </w:rPr>
      </w:pPr>
      <w:r w:rsidRPr="00C017A7">
        <w:rPr>
          <w:rStyle w:val="FootnoteReference"/>
        </w:rPr>
        <w:footnoteRef/>
      </w:r>
      <w:r w:rsidRPr="00C017A7">
        <w:tab/>
        <w:t>În ceea ce privește resursele proprii tradiționale (taxe vamale, cotizații pentru zahăr), sumele indicate trebuie să fie sume nete, și anume sumele brute după deducerea unei cote de 25 %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05" w:rsidRDefault="00C64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05" w:rsidRDefault="00C64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5 10:43: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C158C82-BA83-4012-A6E4-404EB591E0A8"/>
    <w:docVar w:name="LW_COVERPAGE_TYPE" w:val="1"/>
    <w:docVar w:name="LW_CreatedUtc" w:val="2026-02-06T09:49:08.9632146Z"/>
    <w:docVar w:name="LW_CROSSREFERENCE" w:val="&lt;UNUSED&gt;"/>
    <w:docVar w:name="LW_DocType" w:val="COM"/>
    <w:docVar w:name="LW_EMISSION" w:val="20.2.2026"/>
    <w:docVar w:name="LW_EMISSION_ISODATE" w:val="2026-02-20"/>
    <w:docVar w:name="LW_EMISSION_LOCATION" w:val="BRX"/>
    <w:docVar w:name="LW_EMISSION_PREFIX" w:val="Bruxelles,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62"/>
    <w:docVar w:name="LW_REF.II.NEW.CP_YEAR" w:val="2026"/>
    <w:docVar w:name="LW_REF.INST.NEW" w:val="COM"/>
    <w:docVar w:name="LW_REF.INST.NEW_ADOPTED" w:val="final"/>
    <w:docVar w:name="LW_REF.INST.NEW_TEXT" w:val="(2026) 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suspendare a taxelor din Tariful vamal comun men\u539?ionate la articolul 56 alineatul (2) litera (c) din Regulamentul (UE) nr. 952/2013 al Parlamentului European \u537?i al Consiliului, privind deschiderea \u537?i modul de gestionare a unor contingente tarifare autonome pentru anumite îngr\u259?\u537?\u259?minte"/>
    <w:docVar w:name="LW_TYPE.DOC.CP" w:val="REGULAMENT AL CONSILIULUI"/>
    <w:docVar w:name="LwApiVersions" w:val="LW4CoDe 1.24.5.0; LW 9.2, Build 20251112"/>
  </w:docVars>
  <w:rsids>
    <w:rsidRoot w:val="001C0947"/>
    <w:rsid w:val="00005B6F"/>
    <w:rsid w:val="00012A4D"/>
    <w:rsid w:val="000131B4"/>
    <w:rsid w:val="0001609C"/>
    <w:rsid w:val="000200FE"/>
    <w:rsid w:val="00020684"/>
    <w:rsid w:val="000341B8"/>
    <w:rsid w:val="000428AF"/>
    <w:rsid w:val="000451C0"/>
    <w:rsid w:val="0005507B"/>
    <w:rsid w:val="00072C36"/>
    <w:rsid w:val="00073255"/>
    <w:rsid w:val="00080B2A"/>
    <w:rsid w:val="000828B1"/>
    <w:rsid w:val="00091818"/>
    <w:rsid w:val="00092FCE"/>
    <w:rsid w:val="00093D70"/>
    <w:rsid w:val="00094354"/>
    <w:rsid w:val="000A1A49"/>
    <w:rsid w:val="000B3EFF"/>
    <w:rsid w:val="000C13A1"/>
    <w:rsid w:val="000C27F3"/>
    <w:rsid w:val="000C382C"/>
    <w:rsid w:val="000D0B6C"/>
    <w:rsid w:val="000D330B"/>
    <w:rsid w:val="000E07C1"/>
    <w:rsid w:val="000E6836"/>
    <w:rsid w:val="000E78B9"/>
    <w:rsid w:val="000F00A9"/>
    <w:rsid w:val="000F37E1"/>
    <w:rsid w:val="001031A1"/>
    <w:rsid w:val="001065F5"/>
    <w:rsid w:val="00111033"/>
    <w:rsid w:val="00112EC6"/>
    <w:rsid w:val="00121994"/>
    <w:rsid w:val="001238EF"/>
    <w:rsid w:val="00125EC9"/>
    <w:rsid w:val="0013598B"/>
    <w:rsid w:val="00140378"/>
    <w:rsid w:val="0014140B"/>
    <w:rsid w:val="0014191C"/>
    <w:rsid w:val="00147CBD"/>
    <w:rsid w:val="00151B87"/>
    <w:rsid w:val="00151BD0"/>
    <w:rsid w:val="001620B1"/>
    <w:rsid w:val="001626C5"/>
    <w:rsid w:val="00163D2D"/>
    <w:rsid w:val="001655D5"/>
    <w:rsid w:val="00171855"/>
    <w:rsid w:val="00171B95"/>
    <w:rsid w:val="00180EC2"/>
    <w:rsid w:val="001820BE"/>
    <w:rsid w:val="0018795A"/>
    <w:rsid w:val="00192B78"/>
    <w:rsid w:val="001937EA"/>
    <w:rsid w:val="00196472"/>
    <w:rsid w:val="00197613"/>
    <w:rsid w:val="001A0B82"/>
    <w:rsid w:val="001A11A4"/>
    <w:rsid w:val="001A18A5"/>
    <w:rsid w:val="001A356C"/>
    <w:rsid w:val="001B177E"/>
    <w:rsid w:val="001C0947"/>
    <w:rsid w:val="001C43B6"/>
    <w:rsid w:val="001C6B3E"/>
    <w:rsid w:val="001E189C"/>
    <w:rsid w:val="001E46CF"/>
    <w:rsid w:val="001F2060"/>
    <w:rsid w:val="001F2592"/>
    <w:rsid w:val="001F37AA"/>
    <w:rsid w:val="00202A6F"/>
    <w:rsid w:val="0020554D"/>
    <w:rsid w:val="00214199"/>
    <w:rsid w:val="00221D07"/>
    <w:rsid w:val="002301EF"/>
    <w:rsid w:val="00230FBC"/>
    <w:rsid w:val="00233DC7"/>
    <w:rsid w:val="00235EA7"/>
    <w:rsid w:val="00241A26"/>
    <w:rsid w:val="00245074"/>
    <w:rsid w:val="00247779"/>
    <w:rsid w:val="00250B35"/>
    <w:rsid w:val="002542A3"/>
    <w:rsid w:val="0026269B"/>
    <w:rsid w:val="002679C0"/>
    <w:rsid w:val="00272EBE"/>
    <w:rsid w:val="00283478"/>
    <w:rsid w:val="00285BEE"/>
    <w:rsid w:val="00286803"/>
    <w:rsid w:val="00287070"/>
    <w:rsid w:val="002877E8"/>
    <w:rsid w:val="00290788"/>
    <w:rsid w:val="00290BF3"/>
    <w:rsid w:val="00290EC0"/>
    <w:rsid w:val="00293788"/>
    <w:rsid w:val="0029533F"/>
    <w:rsid w:val="002B1BA1"/>
    <w:rsid w:val="002B30AF"/>
    <w:rsid w:val="002C2BAF"/>
    <w:rsid w:val="002C4A75"/>
    <w:rsid w:val="002C649A"/>
    <w:rsid w:val="002C6BF3"/>
    <w:rsid w:val="002C798D"/>
    <w:rsid w:val="002D36F2"/>
    <w:rsid w:val="002D78EE"/>
    <w:rsid w:val="002E53DE"/>
    <w:rsid w:val="002F1E6E"/>
    <w:rsid w:val="00301E91"/>
    <w:rsid w:val="00304DAF"/>
    <w:rsid w:val="003073C4"/>
    <w:rsid w:val="00316409"/>
    <w:rsid w:val="00322230"/>
    <w:rsid w:val="0033007C"/>
    <w:rsid w:val="0033344A"/>
    <w:rsid w:val="00342AFE"/>
    <w:rsid w:val="00345CD1"/>
    <w:rsid w:val="00353938"/>
    <w:rsid w:val="003554BD"/>
    <w:rsid w:val="00366D0D"/>
    <w:rsid w:val="0036785E"/>
    <w:rsid w:val="003730DE"/>
    <w:rsid w:val="0038017A"/>
    <w:rsid w:val="00380295"/>
    <w:rsid w:val="00382B7A"/>
    <w:rsid w:val="00384AB3"/>
    <w:rsid w:val="00391455"/>
    <w:rsid w:val="00395309"/>
    <w:rsid w:val="003A540F"/>
    <w:rsid w:val="003B1416"/>
    <w:rsid w:val="003B7EF2"/>
    <w:rsid w:val="003C0BF3"/>
    <w:rsid w:val="003C278A"/>
    <w:rsid w:val="003C6AFB"/>
    <w:rsid w:val="003D067E"/>
    <w:rsid w:val="003D3386"/>
    <w:rsid w:val="003D4DCC"/>
    <w:rsid w:val="003D625B"/>
    <w:rsid w:val="003D69D5"/>
    <w:rsid w:val="003E74A8"/>
    <w:rsid w:val="003F1F9E"/>
    <w:rsid w:val="003F38D0"/>
    <w:rsid w:val="003F4C78"/>
    <w:rsid w:val="003F5420"/>
    <w:rsid w:val="003F7F98"/>
    <w:rsid w:val="00405D4A"/>
    <w:rsid w:val="00410CC2"/>
    <w:rsid w:val="00411A14"/>
    <w:rsid w:val="004127B7"/>
    <w:rsid w:val="00424400"/>
    <w:rsid w:val="004255A8"/>
    <w:rsid w:val="0042648E"/>
    <w:rsid w:val="00437CEF"/>
    <w:rsid w:val="004415A6"/>
    <w:rsid w:val="00444137"/>
    <w:rsid w:val="00461123"/>
    <w:rsid w:val="00461C83"/>
    <w:rsid w:val="004628BD"/>
    <w:rsid w:val="004660C0"/>
    <w:rsid w:val="00477C8E"/>
    <w:rsid w:val="00481A3E"/>
    <w:rsid w:val="00482468"/>
    <w:rsid w:val="004840FC"/>
    <w:rsid w:val="00484DE2"/>
    <w:rsid w:val="00486EF7"/>
    <w:rsid w:val="00492941"/>
    <w:rsid w:val="004936D2"/>
    <w:rsid w:val="004979FC"/>
    <w:rsid w:val="004A3425"/>
    <w:rsid w:val="004A4AF1"/>
    <w:rsid w:val="004A56A7"/>
    <w:rsid w:val="004A639D"/>
    <w:rsid w:val="004B1593"/>
    <w:rsid w:val="004B5BA2"/>
    <w:rsid w:val="004C11BD"/>
    <w:rsid w:val="004C1F8F"/>
    <w:rsid w:val="004E038C"/>
    <w:rsid w:val="004E2CF0"/>
    <w:rsid w:val="004E3A6A"/>
    <w:rsid w:val="004E4F1C"/>
    <w:rsid w:val="004E52C8"/>
    <w:rsid w:val="004E53D8"/>
    <w:rsid w:val="004E7387"/>
    <w:rsid w:val="004F39C1"/>
    <w:rsid w:val="004F4161"/>
    <w:rsid w:val="005001C4"/>
    <w:rsid w:val="00501C5E"/>
    <w:rsid w:val="00502B42"/>
    <w:rsid w:val="00503884"/>
    <w:rsid w:val="00507419"/>
    <w:rsid w:val="005119CF"/>
    <w:rsid w:val="00514874"/>
    <w:rsid w:val="005164F9"/>
    <w:rsid w:val="00520DC3"/>
    <w:rsid w:val="00521244"/>
    <w:rsid w:val="00525F63"/>
    <w:rsid w:val="005277BC"/>
    <w:rsid w:val="00527AD2"/>
    <w:rsid w:val="00530E6F"/>
    <w:rsid w:val="00531C79"/>
    <w:rsid w:val="00535DE6"/>
    <w:rsid w:val="0054505B"/>
    <w:rsid w:val="00550054"/>
    <w:rsid w:val="00551ACC"/>
    <w:rsid w:val="00552811"/>
    <w:rsid w:val="005621D6"/>
    <w:rsid w:val="00570284"/>
    <w:rsid w:val="00572492"/>
    <w:rsid w:val="005757AA"/>
    <w:rsid w:val="0057591D"/>
    <w:rsid w:val="00586BC8"/>
    <w:rsid w:val="00591374"/>
    <w:rsid w:val="005925CB"/>
    <w:rsid w:val="005927CC"/>
    <w:rsid w:val="005A0448"/>
    <w:rsid w:val="005A2B7B"/>
    <w:rsid w:val="005A3469"/>
    <w:rsid w:val="005A55A7"/>
    <w:rsid w:val="005A77C7"/>
    <w:rsid w:val="005B08F7"/>
    <w:rsid w:val="005B1EB6"/>
    <w:rsid w:val="005B36E6"/>
    <w:rsid w:val="005C10ED"/>
    <w:rsid w:val="005C41F9"/>
    <w:rsid w:val="005D00CE"/>
    <w:rsid w:val="005D19D2"/>
    <w:rsid w:val="005D1F90"/>
    <w:rsid w:val="005D2F35"/>
    <w:rsid w:val="005D5E65"/>
    <w:rsid w:val="005F647A"/>
    <w:rsid w:val="006001BF"/>
    <w:rsid w:val="00602748"/>
    <w:rsid w:val="006151A5"/>
    <w:rsid w:val="006240D0"/>
    <w:rsid w:val="0062789C"/>
    <w:rsid w:val="00631532"/>
    <w:rsid w:val="00634093"/>
    <w:rsid w:val="006349F7"/>
    <w:rsid w:val="00635FAC"/>
    <w:rsid w:val="00637D78"/>
    <w:rsid w:val="00640AEB"/>
    <w:rsid w:val="006564A2"/>
    <w:rsid w:val="00663BE6"/>
    <w:rsid w:val="0067302A"/>
    <w:rsid w:val="006737CC"/>
    <w:rsid w:val="00693B0E"/>
    <w:rsid w:val="00694702"/>
    <w:rsid w:val="006958F7"/>
    <w:rsid w:val="006A6286"/>
    <w:rsid w:val="006A7847"/>
    <w:rsid w:val="006B451F"/>
    <w:rsid w:val="006B6C42"/>
    <w:rsid w:val="006C05D7"/>
    <w:rsid w:val="006C64A0"/>
    <w:rsid w:val="006D0E6A"/>
    <w:rsid w:val="006D3250"/>
    <w:rsid w:val="006D4F3C"/>
    <w:rsid w:val="006F513A"/>
    <w:rsid w:val="006F719D"/>
    <w:rsid w:val="007100B3"/>
    <w:rsid w:val="0071637E"/>
    <w:rsid w:val="00722241"/>
    <w:rsid w:val="00731A39"/>
    <w:rsid w:val="0073591D"/>
    <w:rsid w:val="007366EF"/>
    <w:rsid w:val="00736F15"/>
    <w:rsid w:val="007401A6"/>
    <w:rsid w:val="00747320"/>
    <w:rsid w:val="00751495"/>
    <w:rsid w:val="00765F54"/>
    <w:rsid w:val="0077214E"/>
    <w:rsid w:val="00773331"/>
    <w:rsid w:val="00780F4F"/>
    <w:rsid w:val="007828DE"/>
    <w:rsid w:val="00783B72"/>
    <w:rsid w:val="00784837"/>
    <w:rsid w:val="0078576C"/>
    <w:rsid w:val="007932EF"/>
    <w:rsid w:val="00793661"/>
    <w:rsid w:val="00795B92"/>
    <w:rsid w:val="0079785C"/>
    <w:rsid w:val="007A5772"/>
    <w:rsid w:val="007B135F"/>
    <w:rsid w:val="007C0705"/>
    <w:rsid w:val="007C291A"/>
    <w:rsid w:val="007C292D"/>
    <w:rsid w:val="007C4A4C"/>
    <w:rsid w:val="007C7FBD"/>
    <w:rsid w:val="007D3442"/>
    <w:rsid w:val="007E05B0"/>
    <w:rsid w:val="007E1522"/>
    <w:rsid w:val="007E5E5E"/>
    <w:rsid w:val="007E66EC"/>
    <w:rsid w:val="007F1099"/>
    <w:rsid w:val="007F1958"/>
    <w:rsid w:val="007F5320"/>
    <w:rsid w:val="007F6AED"/>
    <w:rsid w:val="00802C67"/>
    <w:rsid w:val="008033C1"/>
    <w:rsid w:val="00806BEE"/>
    <w:rsid w:val="0081066C"/>
    <w:rsid w:val="00815C78"/>
    <w:rsid w:val="00816DFF"/>
    <w:rsid w:val="00816E8B"/>
    <w:rsid w:val="00820F5B"/>
    <w:rsid w:val="008227EA"/>
    <w:rsid w:val="00827388"/>
    <w:rsid w:val="0084430E"/>
    <w:rsid w:val="00850AF6"/>
    <w:rsid w:val="0085282A"/>
    <w:rsid w:val="00857A2D"/>
    <w:rsid w:val="00863DF1"/>
    <w:rsid w:val="00866088"/>
    <w:rsid w:val="00872C12"/>
    <w:rsid w:val="00874D22"/>
    <w:rsid w:val="00880F92"/>
    <w:rsid w:val="008842FF"/>
    <w:rsid w:val="008903F1"/>
    <w:rsid w:val="008A0D5A"/>
    <w:rsid w:val="008A13F0"/>
    <w:rsid w:val="008A2914"/>
    <w:rsid w:val="008A3074"/>
    <w:rsid w:val="008A6CE1"/>
    <w:rsid w:val="008B022B"/>
    <w:rsid w:val="008B33E3"/>
    <w:rsid w:val="008C0D25"/>
    <w:rsid w:val="008C68F1"/>
    <w:rsid w:val="008C77B4"/>
    <w:rsid w:val="008C7DC7"/>
    <w:rsid w:val="008D226B"/>
    <w:rsid w:val="008E4D8E"/>
    <w:rsid w:val="008E615E"/>
    <w:rsid w:val="008E7379"/>
    <w:rsid w:val="008F24D9"/>
    <w:rsid w:val="008F2804"/>
    <w:rsid w:val="008F3E80"/>
    <w:rsid w:val="00903DEC"/>
    <w:rsid w:val="00911416"/>
    <w:rsid w:val="009269AA"/>
    <w:rsid w:val="00931FDA"/>
    <w:rsid w:val="009352C3"/>
    <w:rsid w:val="00944D4F"/>
    <w:rsid w:val="00955205"/>
    <w:rsid w:val="009566C5"/>
    <w:rsid w:val="00972F5F"/>
    <w:rsid w:val="00974909"/>
    <w:rsid w:val="009757F1"/>
    <w:rsid w:val="0097760B"/>
    <w:rsid w:val="00977FAA"/>
    <w:rsid w:val="00986279"/>
    <w:rsid w:val="00993912"/>
    <w:rsid w:val="009A510C"/>
    <w:rsid w:val="009B1852"/>
    <w:rsid w:val="009B2385"/>
    <w:rsid w:val="009B6AAF"/>
    <w:rsid w:val="009D35B9"/>
    <w:rsid w:val="009D5585"/>
    <w:rsid w:val="009E039E"/>
    <w:rsid w:val="009E27ED"/>
    <w:rsid w:val="009E4E88"/>
    <w:rsid w:val="009E5D85"/>
    <w:rsid w:val="009F3513"/>
    <w:rsid w:val="00A034E0"/>
    <w:rsid w:val="00A0414D"/>
    <w:rsid w:val="00A04D2E"/>
    <w:rsid w:val="00A10F9B"/>
    <w:rsid w:val="00A130F9"/>
    <w:rsid w:val="00A20519"/>
    <w:rsid w:val="00A51210"/>
    <w:rsid w:val="00A639B1"/>
    <w:rsid w:val="00A70CAE"/>
    <w:rsid w:val="00A711A6"/>
    <w:rsid w:val="00A75001"/>
    <w:rsid w:val="00A83684"/>
    <w:rsid w:val="00A92C0A"/>
    <w:rsid w:val="00A93A69"/>
    <w:rsid w:val="00AA4A69"/>
    <w:rsid w:val="00AA53D2"/>
    <w:rsid w:val="00AA6930"/>
    <w:rsid w:val="00AB56EE"/>
    <w:rsid w:val="00AD2575"/>
    <w:rsid w:val="00AD3B81"/>
    <w:rsid w:val="00AD5F4D"/>
    <w:rsid w:val="00AD6FA7"/>
    <w:rsid w:val="00AE4941"/>
    <w:rsid w:val="00AE67BE"/>
    <w:rsid w:val="00AE745D"/>
    <w:rsid w:val="00AF1288"/>
    <w:rsid w:val="00B03428"/>
    <w:rsid w:val="00B06122"/>
    <w:rsid w:val="00B07ED2"/>
    <w:rsid w:val="00B13181"/>
    <w:rsid w:val="00B155F2"/>
    <w:rsid w:val="00B20AB3"/>
    <w:rsid w:val="00B23F18"/>
    <w:rsid w:val="00B34BF9"/>
    <w:rsid w:val="00B45F5A"/>
    <w:rsid w:val="00B46313"/>
    <w:rsid w:val="00B5194F"/>
    <w:rsid w:val="00B57A6C"/>
    <w:rsid w:val="00B6074C"/>
    <w:rsid w:val="00B71A3E"/>
    <w:rsid w:val="00B71B0B"/>
    <w:rsid w:val="00B72B53"/>
    <w:rsid w:val="00B72EC7"/>
    <w:rsid w:val="00B73DF7"/>
    <w:rsid w:val="00B74E99"/>
    <w:rsid w:val="00B83DFA"/>
    <w:rsid w:val="00B86C87"/>
    <w:rsid w:val="00B93BB5"/>
    <w:rsid w:val="00BA169E"/>
    <w:rsid w:val="00BA3082"/>
    <w:rsid w:val="00BB0CCF"/>
    <w:rsid w:val="00BC12BF"/>
    <w:rsid w:val="00BD611F"/>
    <w:rsid w:val="00BE07DB"/>
    <w:rsid w:val="00BF0068"/>
    <w:rsid w:val="00BF17F7"/>
    <w:rsid w:val="00BF5AA1"/>
    <w:rsid w:val="00C017A7"/>
    <w:rsid w:val="00C02596"/>
    <w:rsid w:val="00C04178"/>
    <w:rsid w:val="00C07B2C"/>
    <w:rsid w:val="00C12301"/>
    <w:rsid w:val="00C219DC"/>
    <w:rsid w:val="00C21E9D"/>
    <w:rsid w:val="00C26A18"/>
    <w:rsid w:val="00C27CA1"/>
    <w:rsid w:val="00C368DC"/>
    <w:rsid w:val="00C425A4"/>
    <w:rsid w:val="00C440A1"/>
    <w:rsid w:val="00C46640"/>
    <w:rsid w:val="00C467D3"/>
    <w:rsid w:val="00C47390"/>
    <w:rsid w:val="00C51014"/>
    <w:rsid w:val="00C61C5E"/>
    <w:rsid w:val="00C6319A"/>
    <w:rsid w:val="00C64F05"/>
    <w:rsid w:val="00C71330"/>
    <w:rsid w:val="00C73EF3"/>
    <w:rsid w:val="00C80288"/>
    <w:rsid w:val="00C82561"/>
    <w:rsid w:val="00C83D7E"/>
    <w:rsid w:val="00C8411F"/>
    <w:rsid w:val="00C92C3A"/>
    <w:rsid w:val="00CA3803"/>
    <w:rsid w:val="00CB0455"/>
    <w:rsid w:val="00CB0FB3"/>
    <w:rsid w:val="00CB1443"/>
    <w:rsid w:val="00CB5672"/>
    <w:rsid w:val="00CB6F8D"/>
    <w:rsid w:val="00CC240A"/>
    <w:rsid w:val="00CC738D"/>
    <w:rsid w:val="00CD0397"/>
    <w:rsid w:val="00CD49FE"/>
    <w:rsid w:val="00CD4AE1"/>
    <w:rsid w:val="00CE1AAF"/>
    <w:rsid w:val="00CE3367"/>
    <w:rsid w:val="00CF0FC8"/>
    <w:rsid w:val="00CF4C9E"/>
    <w:rsid w:val="00D00BA9"/>
    <w:rsid w:val="00D032BB"/>
    <w:rsid w:val="00D03AAE"/>
    <w:rsid w:val="00D10338"/>
    <w:rsid w:val="00D167B2"/>
    <w:rsid w:val="00D17012"/>
    <w:rsid w:val="00D171AC"/>
    <w:rsid w:val="00D17665"/>
    <w:rsid w:val="00D20381"/>
    <w:rsid w:val="00D3631C"/>
    <w:rsid w:val="00D4686A"/>
    <w:rsid w:val="00D4715F"/>
    <w:rsid w:val="00D51580"/>
    <w:rsid w:val="00D54FC8"/>
    <w:rsid w:val="00D62EAA"/>
    <w:rsid w:val="00D634CF"/>
    <w:rsid w:val="00D75220"/>
    <w:rsid w:val="00D75F9A"/>
    <w:rsid w:val="00D81540"/>
    <w:rsid w:val="00D95F6B"/>
    <w:rsid w:val="00DB1686"/>
    <w:rsid w:val="00DB2608"/>
    <w:rsid w:val="00DC2BBE"/>
    <w:rsid w:val="00DC2D3A"/>
    <w:rsid w:val="00DC5F56"/>
    <w:rsid w:val="00DD2157"/>
    <w:rsid w:val="00DD6669"/>
    <w:rsid w:val="00DD6747"/>
    <w:rsid w:val="00DE0F88"/>
    <w:rsid w:val="00DE1308"/>
    <w:rsid w:val="00DE18F6"/>
    <w:rsid w:val="00DE381D"/>
    <w:rsid w:val="00DE513E"/>
    <w:rsid w:val="00DF0363"/>
    <w:rsid w:val="00DF091A"/>
    <w:rsid w:val="00DF3C01"/>
    <w:rsid w:val="00DF3F5A"/>
    <w:rsid w:val="00DF7038"/>
    <w:rsid w:val="00E020BD"/>
    <w:rsid w:val="00E078AC"/>
    <w:rsid w:val="00E13DD9"/>
    <w:rsid w:val="00E14039"/>
    <w:rsid w:val="00E152D5"/>
    <w:rsid w:val="00E1DB4F"/>
    <w:rsid w:val="00E24ABE"/>
    <w:rsid w:val="00E24B7E"/>
    <w:rsid w:val="00E321B2"/>
    <w:rsid w:val="00E32D82"/>
    <w:rsid w:val="00E40AD3"/>
    <w:rsid w:val="00E4268F"/>
    <w:rsid w:val="00E4292D"/>
    <w:rsid w:val="00E44707"/>
    <w:rsid w:val="00E450F0"/>
    <w:rsid w:val="00E46EF6"/>
    <w:rsid w:val="00E53D30"/>
    <w:rsid w:val="00E65BE8"/>
    <w:rsid w:val="00E664ED"/>
    <w:rsid w:val="00E67790"/>
    <w:rsid w:val="00E7255E"/>
    <w:rsid w:val="00E769D7"/>
    <w:rsid w:val="00E77B7F"/>
    <w:rsid w:val="00E920CB"/>
    <w:rsid w:val="00E94762"/>
    <w:rsid w:val="00E960DF"/>
    <w:rsid w:val="00EA0FF5"/>
    <w:rsid w:val="00EA3C3E"/>
    <w:rsid w:val="00EA4BB9"/>
    <w:rsid w:val="00EB147A"/>
    <w:rsid w:val="00EB352C"/>
    <w:rsid w:val="00EB4426"/>
    <w:rsid w:val="00EB6044"/>
    <w:rsid w:val="00EC31AD"/>
    <w:rsid w:val="00EC38A3"/>
    <w:rsid w:val="00EC4E5C"/>
    <w:rsid w:val="00ED1086"/>
    <w:rsid w:val="00ED3AFC"/>
    <w:rsid w:val="00ED62EE"/>
    <w:rsid w:val="00EE0371"/>
    <w:rsid w:val="00F021D4"/>
    <w:rsid w:val="00F02F31"/>
    <w:rsid w:val="00F04D92"/>
    <w:rsid w:val="00F126E2"/>
    <w:rsid w:val="00F177D6"/>
    <w:rsid w:val="00F17D70"/>
    <w:rsid w:val="00F4117C"/>
    <w:rsid w:val="00F423A5"/>
    <w:rsid w:val="00F50AA1"/>
    <w:rsid w:val="00F50AF6"/>
    <w:rsid w:val="00F51438"/>
    <w:rsid w:val="00F52C8B"/>
    <w:rsid w:val="00F53257"/>
    <w:rsid w:val="00F534E3"/>
    <w:rsid w:val="00F6289A"/>
    <w:rsid w:val="00F7236C"/>
    <w:rsid w:val="00F74161"/>
    <w:rsid w:val="00F776E3"/>
    <w:rsid w:val="00F77726"/>
    <w:rsid w:val="00F82D66"/>
    <w:rsid w:val="00F910AB"/>
    <w:rsid w:val="00F912FD"/>
    <w:rsid w:val="00FA4A06"/>
    <w:rsid w:val="00FA6384"/>
    <w:rsid w:val="00FB25D5"/>
    <w:rsid w:val="00FC38F8"/>
    <w:rsid w:val="00FC5BE7"/>
    <w:rsid w:val="00FD45D7"/>
    <w:rsid w:val="00FD4E39"/>
    <w:rsid w:val="00FE6872"/>
    <w:rsid w:val="00FF5898"/>
    <w:rsid w:val="00FF70A0"/>
    <w:rsid w:val="01444046"/>
    <w:rsid w:val="018EBF64"/>
    <w:rsid w:val="018FEE71"/>
    <w:rsid w:val="01CD9AF2"/>
    <w:rsid w:val="01CEDDBD"/>
    <w:rsid w:val="025D515C"/>
    <w:rsid w:val="02774587"/>
    <w:rsid w:val="02DBDD3C"/>
    <w:rsid w:val="02FE269F"/>
    <w:rsid w:val="0371F31E"/>
    <w:rsid w:val="0374432F"/>
    <w:rsid w:val="04C1F740"/>
    <w:rsid w:val="04DCC108"/>
    <w:rsid w:val="04E37A36"/>
    <w:rsid w:val="06A81A42"/>
    <w:rsid w:val="06BF10A1"/>
    <w:rsid w:val="06E64F9C"/>
    <w:rsid w:val="074AFF98"/>
    <w:rsid w:val="07F33E1F"/>
    <w:rsid w:val="082F8BB7"/>
    <w:rsid w:val="0833153F"/>
    <w:rsid w:val="0838F9C4"/>
    <w:rsid w:val="09743E31"/>
    <w:rsid w:val="09933E1B"/>
    <w:rsid w:val="0A15C465"/>
    <w:rsid w:val="0A6A8500"/>
    <w:rsid w:val="0A910EC5"/>
    <w:rsid w:val="0B4DFC17"/>
    <w:rsid w:val="0B8445AB"/>
    <w:rsid w:val="0C3B05DF"/>
    <w:rsid w:val="0C3B5A54"/>
    <w:rsid w:val="0C506B98"/>
    <w:rsid w:val="0D246F12"/>
    <w:rsid w:val="0D54F9CE"/>
    <w:rsid w:val="0DA12280"/>
    <w:rsid w:val="0DBC2038"/>
    <w:rsid w:val="0DCF2E71"/>
    <w:rsid w:val="0E7B52AB"/>
    <w:rsid w:val="0EF7EE9A"/>
    <w:rsid w:val="0F1F2DD0"/>
    <w:rsid w:val="0FE1243A"/>
    <w:rsid w:val="106AEB08"/>
    <w:rsid w:val="110C69D3"/>
    <w:rsid w:val="112C6518"/>
    <w:rsid w:val="115EEACD"/>
    <w:rsid w:val="116F3A6A"/>
    <w:rsid w:val="11B34695"/>
    <w:rsid w:val="11F959AB"/>
    <w:rsid w:val="122B58DB"/>
    <w:rsid w:val="123546B1"/>
    <w:rsid w:val="125E1791"/>
    <w:rsid w:val="12DE6037"/>
    <w:rsid w:val="136AD146"/>
    <w:rsid w:val="1381784B"/>
    <w:rsid w:val="13917E7A"/>
    <w:rsid w:val="13D99630"/>
    <w:rsid w:val="13E95184"/>
    <w:rsid w:val="14074128"/>
    <w:rsid w:val="14614076"/>
    <w:rsid w:val="14B327F1"/>
    <w:rsid w:val="14C8EC41"/>
    <w:rsid w:val="155FC8AF"/>
    <w:rsid w:val="15EED0DD"/>
    <w:rsid w:val="165EDAB0"/>
    <w:rsid w:val="16638CF9"/>
    <w:rsid w:val="166CA5E7"/>
    <w:rsid w:val="16763FAC"/>
    <w:rsid w:val="16B0751E"/>
    <w:rsid w:val="17116E98"/>
    <w:rsid w:val="17C33071"/>
    <w:rsid w:val="17C76370"/>
    <w:rsid w:val="1802088B"/>
    <w:rsid w:val="182481B4"/>
    <w:rsid w:val="182D7602"/>
    <w:rsid w:val="18884CD9"/>
    <w:rsid w:val="18909EA3"/>
    <w:rsid w:val="18CF9A46"/>
    <w:rsid w:val="19761B87"/>
    <w:rsid w:val="19849F54"/>
    <w:rsid w:val="199F8562"/>
    <w:rsid w:val="1AB70FF4"/>
    <w:rsid w:val="1ABF5992"/>
    <w:rsid w:val="1B37E813"/>
    <w:rsid w:val="1B508CAE"/>
    <w:rsid w:val="1B9567ED"/>
    <w:rsid w:val="1B9D7F96"/>
    <w:rsid w:val="1BE4F2EF"/>
    <w:rsid w:val="1C995065"/>
    <w:rsid w:val="1CEC2A52"/>
    <w:rsid w:val="1D5866BB"/>
    <w:rsid w:val="1DDC4DC4"/>
    <w:rsid w:val="1DEA02C5"/>
    <w:rsid w:val="1E6E7F3A"/>
    <w:rsid w:val="1E6E9FB5"/>
    <w:rsid w:val="1EA50108"/>
    <w:rsid w:val="1FF8EE5F"/>
    <w:rsid w:val="214209B0"/>
    <w:rsid w:val="232825BA"/>
    <w:rsid w:val="2421C05B"/>
    <w:rsid w:val="24892E45"/>
    <w:rsid w:val="2497C023"/>
    <w:rsid w:val="256DEA99"/>
    <w:rsid w:val="256FFF3D"/>
    <w:rsid w:val="25800514"/>
    <w:rsid w:val="26470FAB"/>
    <w:rsid w:val="267424A3"/>
    <w:rsid w:val="2692CEDC"/>
    <w:rsid w:val="26B6540D"/>
    <w:rsid w:val="26FE9FC4"/>
    <w:rsid w:val="27310D89"/>
    <w:rsid w:val="274BEFFB"/>
    <w:rsid w:val="279CDF51"/>
    <w:rsid w:val="27C3D8DB"/>
    <w:rsid w:val="28828232"/>
    <w:rsid w:val="288BC698"/>
    <w:rsid w:val="28B4A61B"/>
    <w:rsid w:val="29344D33"/>
    <w:rsid w:val="29615247"/>
    <w:rsid w:val="297B2029"/>
    <w:rsid w:val="29AE7297"/>
    <w:rsid w:val="2A1FA5AB"/>
    <w:rsid w:val="2A27867F"/>
    <w:rsid w:val="2A33BBA1"/>
    <w:rsid w:val="2A80EFED"/>
    <w:rsid w:val="2AA2DC84"/>
    <w:rsid w:val="2B010D0B"/>
    <w:rsid w:val="2B054FCE"/>
    <w:rsid w:val="2B4400F7"/>
    <w:rsid w:val="2BB4B88B"/>
    <w:rsid w:val="2BE6126D"/>
    <w:rsid w:val="2BF19A70"/>
    <w:rsid w:val="2C1F9320"/>
    <w:rsid w:val="2C371BF0"/>
    <w:rsid w:val="2C3D5DE4"/>
    <w:rsid w:val="2C4E081B"/>
    <w:rsid w:val="2C5CD32E"/>
    <w:rsid w:val="2CB09EE2"/>
    <w:rsid w:val="2D475717"/>
    <w:rsid w:val="2D51890C"/>
    <w:rsid w:val="2E2518F4"/>
    <w:rsid w:val="2EB7A24B"/>
    <w:rsid w:val="2F253E39"/>
    <w:rsid w:val="2F6443C0"/>
    <w:rsid w:val="2F66ABCE"/>
    <w:rsid w:val="2F896D8F"/>
    <w:rsid w:val="300DB340"/>
    <w:rsid w:val="3033F951"/>
    <w:rsid w:val="30EAD015"/>
    <w:rsid w:val="31B3FE1E"/>
    <w:rsid w:val="3242C17F"/>
    <w:rsid w:val="3284AEB4"/>
    <w:rsid w:val="32EB76C1"/>
    <w:rsid w:val="330531D3"/>
    <w:rsid w:val="33790F31"/>
    <w:rsid w:val="33A2A67A"/>
    <w:rsid w:val="33B1AF43"/>
    <w:rsid w:val="33C11135"/>
    <w:rsid w:val="34D6B160"/>
    <w:rsid w:val="355F0266"/>
    <w:rsid w:val="35CE4FE5"/>
    <w:rsid w:val="3643677A"/>
    <w:rsid w:val="36D847D7"/>
    <w:rsid w:val="36F576E6"/>
    <w:rsid w:val="37CCBBA2"/>
    <w:rsid w:val="382DCCD1"/>
    <w:rsid w:val="38B12E9D"/>
    <w:rsid w:val="38B78421"/>
    <w:rsid w:val="395545F2"/>
    <w:rsid w:val="39B1D688"/>
    <w:rsid w:val="39BB9FF1"/>
    <w:rsid w:val="39D4DA5D"/>
    <w:rsid w:val="39EA1A1C"/>
    <w:rsid w:val="39EA5FB4"/>
    <w:rsid w:val="39F47840"/>
    <w:rsid w:val="39FB2FEB"/>
    <w:rsid w:val="3A74EB93"/>
    <w:rsid w:val="3B0B963F"/>
    <w:rsid w:val="3B5363DB"/>
    <w:rsid w:val="3BC0641A"/>
    <w:rsid w:val="3BF7B3EE"/>
    <w:rsid w:val="3C002F0C"/>
    <w:rsid w:val="3C6C115D"/>
    <w:rsid w:val="3CB342E8"/>
    <w:rsid w:val="3D049477"/>
    <w:rsid w:val="3D778519"/>
    <w:rsid w:val="3D8E9E1A"/>
    <w:rsid w:val="3DDFAB73"/>
    <w:rsid w:val="3DED4866"/>
    <w:rsid w:val="3E0EEB18"/>
    <w:rsid w:val="3EB17371"/>
    <w:rsid w:val="3F1E2121"/>
    <w:rsid w:val="3F2E4E96"/>
    <w:rsid w:val="3F96F5A1"/>
    <w:rsid w:val="3FC5CFEA"/>
    <w:rsid w:val="40768457"/>
    <w:rsid w:val="4146DBF3"/>
    <w:rsid w:val="419C3E17"/>
    <w:rsid w:val="41D01F8F"/>
    <w:rsid w:val="41E3DBDE"/>
    <w:rsid w:val="41F6FA55"/>
    <w:rsid w:val="4246500D"/>
    <w:rsid w:val="42919D07"/>
    <w:rsid w:val="429268D3"/>
    <w:rsid w:val="430462D0"/>
    <w:rsid w:val="43474481"/>
    <w:rsid w:val="434CF781"/>
    <w:rsid w:val="435F6163"/>
    <w:rsid w:val="43A052E7"/>
    <w:rsid w:val="43E64508"/>
    <w:rsid w:val="4451FA5D"/>
    <w:rsid w:val="44546F89"/>
    <w:rsid w:val="4454B59A"/>
    <w:rsid w:val="446FDCED"/>
    <w:rsid w:val="450F32FD"/>
    <w:rsid w:val="455DD31F"/>
    <w:rsid w:val="457F2797"/>
    <w:rsid w:val="4599FD22"/>
    <w:rsid w:val="45E6D354"/>
    <w:rsid w:val="45F2B4FA"/>
    <w:rsid w:val="4610CC0D"/>
    <w:rsid w:val="464B856F"/>
    <w:rsid w:val="465C8456"/>
    <w:rsid w:val="472CA9FD"/>
    <w:rsid w:val="477774BE"/>
    <w:rsid w:val="47CC31CD"/>
    <w:rsid w:val="47E44366"/>
    <w:rsid w:val="4814B359"/>
    <w:rsid w:val="48D02C9D"/>
    <w:rsid w:val="48F22BD9"/>
    <w:rsid w:val="4925CFFA"/>
    <w:rsid w:val="49402CA6"/>
    <w:rsid w:val="496E05D1"/>
    <w:rsid w:val="4986A5E9"/>
    <w:rsid w:val="49BC7342"/>
    <w:rsid w:val="4A337AAA"/>
    <w:rsid w:val="4A3442C7"/>
    <w:rsid w:val="4A44E419"/>
    <w:rsid w:val="4A81D19C"/>
    <w:rsid w:val="4ABAFAD0"/>
    <w:rsid w:val="4B2A41C4"/>
    <w:rsid w:val="4BAB18F5"/>
    <w:rsid w:val="4C41DBD9"/>
    <w:rsid w:val="4CC93AB4"/>
    <w:rsid w:val="4D5AF457"/>
    <w:rsid w:val="4DA8625C"/>
    <w:rsid w:val="4E1E29ED"/>
    <w:rsid w:val="4EBD4570"/>
    <w:rsid w:val="4F31F736"/>
    <w:rsid w:val="4F4D3CA0"/>
    <w:rsid w:val="4F549703"/>
    <w:rsid w:val="4FD12E61"/>
    <w:rsid w:val="50013B3D"/>
    <w:rsid w:val="50273949"/>
    <w:rsid w:val="505A3228"/>
    <w:rsid w:val="50F8E784"/>
    <w:rsid w:val="5100A589"/>
    <w:rsid w:val="5216D048"/>
    <w:rsid w:val="524B0891"/>
    <w:rsid w:val="524F6BCE"/>
    <w:rsid w:val="535FE27B"/>
    <w:rsid w:val="54437D16"/>
    <w:rsid w:val="54603594"/>
    <w:rsid w:val="5494545F"/>
    <w:rsid w:val="54B3F9E2"/>
    <w:rsid w:val="54C1122B"/>
    <w:rsid w:val="551C7081"/>
    <w:rsid w:val="5734165A"/>
    <w:rsid w:val="57D110D6"/>
    <w:rsid w:val="581C7018"/>
    <w:rsid w:val="5833070C"/>
    <w:rsid w:val="58C40429"/>
    <w:rsid w:val="5A33C10A"/>
    <w:rsid w:val="5A37DAAA"/>
    <w:rsid w:val="5A42EA3A"/>
    <w:rsid w:val="5ADFFF6E"/>
    <w:rsid w:val="5AE54019"/>
    <w:rsid w:val="5B0F26DE"/>
    <w:rsid w:val="5B152409"/>
    <w:rsid w:val="5B425B09"/>
    <w:rsid w:val="5B47AE4E"/>
    <w:rsid w:val="5B488593"/>
    <w:rsid w:val="5BEC1DD4"/>
    <w:rsid w:val="5C9B0FA1"/>
    <w:rsid w:val="5CA42AAE"/>
    <w:rsid w:val="5CEFB2D5"/>
    <w:rsid w:val="5D0771FA"/>
    <w:rsid w:val="5D22C6E1"/>
    <w:rsid w:val="5D6F6B48"/>
    <w:rsid w:val="5DC9DF13"/>
    <w:rsid w:val="5E4B3BDB"/>
    <w:rsid w:val="5E7ED07C"/>
    <w:rsid w:val="5F22B719"/>
    <w:rsid w:val="5F2A65C5"/>
    <w:rsid w:val="5F2DAB85"/>
    <w:rsid w:val="5F35B337"/>
    <w:rsid w:val="5F847F82"/>
    <w:rsid w:val="5F8961C2"/>
    <w:rsid w:val="5FA64FB4"/>
    <w:rsid w:val="5FDEE862"/>
    <w:rsid w:val="5FE02177"/>
    <w:rsid w:val="60956A8D"/>
    <w:rsid w:val="6113476D"/>
    <w:rsid w:val="6169B813"/>
    <w:rsid w:val="61958B94"/>
    <w:rsid w:val="61C1A4D4"/>
    <w:rsid w:val="61CFC249"/>
    <w:rsid w:val="625D8FE5"/>
    <w:rsid w:val="62780194"/>
    <w:rsid w:val="62EAA444"/>
    <w:rsid w:val="63ED72F0"/>
    <w:rsid w:val="6425BA8F"/>
    <w:rsid w:val="64406C6F"/>
    <w:rsid w:val="64421135"/>
    <w:rsid w:val="6449911E"/>
    <w:rsid w:val="649C2B07"/>
    <w:rsid w:val="64C018BD"/>
    <w:rsid w:val="650D896C"/>
    <w:rsid w:val="651E768A"/>
    <w:rsid w:val="653970F0"/>
    <w:rsid w:val="654C4EF3"/>
    <w:rsid w:val="65FA3DB9"/>
    <w:rsid w:val="6643D4EE"/>
    <w:rsid w:val="66D9B4B8"/>
    <w:rsid w:val="674E4326"/>
    <w:rsid w:val="684F5D0B"/>
    <w:rsid w:val="687DF7DD"/>
    <w:rsid w:val="690B0800"/>
    <w:rsid w:val="692230A9"/>
    <w:rsid w:val="692DAC4B"/>
    <w:rsid w:val="69301775"/>
    <w:rsid w:val="69660660"/>
    <w:rsid w:val="69AC9EC7"/>
    <w:rsid w:val="69B8D112"/>
    <w:rsid w:val="6A19B124"/>
    <w:rsid w:val="6B0EA643"/>
    <w:rsid w:val="6C4718BA"/>
    <w:rsid w:val="6C5B1563"/>
    <w:rsid w:val="6C6C8D73"/>
    <w:rsid w:val="6CBA2EBE"/>
    <w:rsid w:val="6CE9FC8C"/>
    <w:rsid w:val="6D1B94E5"/>
    <w:rsid w:val="6D3B2A01"/>
    <w:rsid w:val="6D652210"/>
    <w:rsid w:val="6D82B1BE"/>
    <w:rsid w:val="6DE782F2"/>
    <w:rsid w:val="6F40278F"/>
    <w:rsid w:val="7020D994"/>
    <w:rsid w:val="70B4D41E"/>
    <w:rsid w:val="70DC73AC"/>
    <w:rsid w:val="70DCBA28"/>
    <w:rsid w:val="711563D0"/>
    <w:rsid w:val="714DA5E6"/>
    <w:rsid w:val="7163C54E"/>
    <w:rsid w:val="717C2064"/>
    <w:rsid w:val="718A7D95"/>
    <w:rsid w:val="719081A8"/>
    <w:rsid w:val="71C93CDF"/>
    <w:rsid w:val="720D48E4"/>
    <w:rsid w:val="72A3A898"/>
    <w:rsid w:val="73178034"/>
    <w:rsid w:val="7345702D"/>
    <w:rsid w:val="73A9841B"/>
    <w:rsid w:val="73AF2DDE"/>
    <w:rsid w:val="743213BD"/>
    <w:rsid w:val="747D3EF0"/>
    <w:rsid w:val="74FCF078"/>
    <w:rsid w:val="759D36A2"/>
    <w:rsid w:val="762C407A"/>
    <w:rsid w:val="77411D96"/>
    <w:rsid w:val="77A78383"/>
    <w:rsid w:val="781776B8"/>
    <w:rsid w:val="7849C0D7"/>
    <w:rsid w:val="78523FEB"/>
    <w:rsid w:val="786D2C46"/>
    <w:rsid w:val="78EE71DE"/>
    <w:rsid w:val="7935E381"/>
    <w:rsid w:val="798BD4A2"/>
    <w:rsid w:val="79B48398"/>
    <w:rsid w:val="79E5DBBB"/>
    <w:rsid w:val="7A8AFB05"/>
    <w:rsid w:val="7AEF8E93"/>
    <w:rsid w:val="7B5211A7"/>
    <w:rsid w:val="7BC1673A"/>
    <w:rsid w:val="7BC7EC0D"/>
    <w:rsid w:val="7BF648B1"/>
    <w:rsid w:val="7C2A0D88"/>
    <w:rsid w:val="7C2EF799"/>
    <w:rsid w:val="7C593307"/>
    <w:rsid w:val="7C8C3DEF"/>
    <w:rsid w:val="7D0DC603"/>
    <w:rsid w:val="7D2252EB"/>
    <w:rsid w:val="7DCBD51E"/>
    <w:rsid w:val="7DEF338B"/>
    <w:rsid w:val="7E0B4D8A"/>
    <w:rsid w:val="7E274BAC"/>
    <w:rsid w:val="7E2E8B46"/>
    <w:rsid w:val="7E655349"/>
    <w:rsid w:val="7E82B2D2"/>
    <w:rsid w:val="7F308C03"/>
    <w:rsid w:val="7F9A6848"/>
    <w:rsid w:val="7FA99E59"/>
    <w:rsid w:val="7FE0D92C"/>
    <w:rsid w:val="7FE1CB0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5:docId w15:val="{B369B265-CF00-4D62-93BE-37A6B9C34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C0947"/>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1C0947"/>
    <w:pPr>
      <w:numPr>
        <w:numId w:val="6"/>
      </w:numPr>
      <w:tabs>
        <w:tab w:val="clear" w:pos="709"/>
      </w:tabs>
      <w:ind w:left="0" w:firstLine="0"/>
    </w:pPr>
    <w:rPr>
      <w:rFonts w:eastAsia="Times New Roman"/>
      <w:lang w:eastAsia="de-DE"/>
    </w:rPr>
  </w:style>
  <w:style w:type="paragraph" w:customStyle="1" w:styleId="ListBullet1">
    <w:name w:val="List Bullet 1"/>
    <w:basedOn w:val="Normal"/>
    <w:rsid w:val="001C0947"/>
    <w:pPr>
      <w:numPr>
        <w:numId w:val="1"/>
      </w:numPr>
      <w:tabs>
        <w:tab w:val="clear" w:pos="1134"/>
      </w:tabs>
      <w:ind w:left="0" w:firstLine="0"/>
    </w:pPr>
    <w:rPr>
      <w:rFonts w:eastAsia="Times New Roman"/>
      <w:lang w:eastAsia="de-DE"/>
    </w:rPr>
  </w:style>
  <w:style w:type="paragraph" w:customStyle="1" w:styleId="ListDash">
    <w:name w:val="List Dash"/>
    <w:basedOn w:val="Normal"/>
    <w:rsid w:val="001C0947"/>
    <w:pPr>
      <w:numPr>
        <w:numId w:val="3"/>
      </w:numPr>
      <w:tabs>
        <w:tab w:val="clear" w:pos="283"/>
      </w:tabs>
      <w:ind w:left="0" w:firstLine="0"/>
    </w:pPr>
    <w:rPr>
      <w:rFonts w:eastAsia="Times New Roman"/>
      <w:lang w:eastAsia="de-DE"/>
    </w:rPr>
  </w:style>
  <w:style w:type="paragraph" w:customStyle="1" w:styleId="ListDash1">
    <w:name w:val="List Dash 1"/>
    <w:basedOn w:val="Normal"/>
    <w:rsid w:val="001C0947"/>
    <w:pPr>
      <w:numPr>
        <w:numId w:val="4"/>
      </w:numPr>
      <w:tabs>
        <w:tab w:val="clear" w:pos="1134"/>
      </w:tabs>
      <w:ind w:left="0" w:firstLine="0"/>
    </w:pPr>
    <w:rPr>
      <w:rFonts w:eastAsia="Times New Roman"/>
      <w:lang w:eastAsia="de-DE"/>
    </w:rPr>
  </w:style>
  <w:style w:type="paragraph" w:customStyle="1" w:styleId="ListDash2">
    <w:name w:val="List Dash 2"/>
    <w:basedOn w:val="Normal"/>
    <w:rsid w:val="001C0947"/>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1C0947"/>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1C0947"/>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1C0947"/>
    <w:pPr>
      <w:numPr>
        <w:ilvl w:val="3"/>
        <w:numId w:val="6"/>
      </w:numPr>
      <w:tabs>
        <w:tab w:val="clear" w:pos="2835"/>
      </w:tabs>
      <w:ind w:left="0" w:firstLine="0"/>
    </w:pPr>
    <w:rPr>
      <w:rFonts w:eastAsia="Times New Roman"/>
      <w:lang w:eastAsia="de-DE"/>
    </w:rPr>
  </w:style>
  <w:style w:type="table" w:styleId="TableGrid">
    <w:name w:val="Table Grid"/>
    <w:basedOn w:val="TableNormal"/>
    <w:rsid w:val="001C094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C0947"/>
    <w:rPr>
      <w:color w:val="0000FF"/>
      <w:u w:val="single"/>
    </w:rPr>
  </w:style>
  <w:style w:type="paragraph" w:styleId="ListBullet">
    <w:name w:val="List Bullet"/>
    <w:basedOn w:val="Normal"/>
    <w:rsid w:val="001C0947"/>
    <w:pPr>
      <w:numPr>
        <w:numId w:val="7"/>
      </w:numPr>
      <w:tabs>
        <w:tab w:val="clear" w:pos="283"/>
      </w:tabs>
      <w:ind w:left="0" w:firstLine="0"/>
    </w:pPr>
    <w:rPr>
      <w:rFonts w:eastAsia="Times New Roman"/>
      <w:lang w:eastAsia="en-GB"/>
    </w:rPr>
  </w:style>
  <w:style w:type="paragraph" w:styleId="ListBullet2">
    <w:name w:val="List Bullet 2"/>
    <w:basedOn w:val="Normal"/>
    <w:rsid w:val="001C0947"/>
    <w:pPr>
      <w:numPr>
        <w:numId w:val="8"/>
      </w:numPr>
      <w:tabs>
        <w:tab w:val="clear" w:pos="1134"/>
      </w:tabs>
      <w:ind w:left="0" w:firstLine="0"/>
    </w:pPr>
    <w:rPr>
      <w:rFonts w:eastAsia="Times New Roman"/>
      <w:lang w:eastAsia="en-GB"/>
    </w:rPr>
  </w:style>
  <w:style w:type="paragraph" w:styleId="ListBullet3">
    <w:name w:val="List Bullet 3"/>
    <w:basedOn w:val="Normal"/>
    <w:rsid w:val="001C0947"/>
    <w:pPr>
      <w:numPr>
        <w:numId w:val="9"/>
      </w:numPr>
      <w:tabs>
        <w:tab w:val="clear" w:pos="1134"/>
      </w:tabs>
      <w:ind w:left="0" w:firstLine="0"/>
    </w:pPr>
    <w:rPr>
      <w:rFonts w:eastAsia="Times New Roman"/>
      <w:lang w:eastAsia="en-GB"/>
    </w:rPr>
  </w:style>
  <w:style w:type="paragraph" w:styleId="ListNumber2">
    <w:name w:val="List Number 2"/>
    <w:basedOn w:val="Normal"/>
    <w:rsid w:val="001C0947"/>
    <w:pPr>
      <w:numPr>
        <w:numId w:val="13"/>
      </w:numPr>
      <w:tabs>
        <w:tab w:val="clear" w:pos="1560"/>
      </w:tabs>
      <w:ind w:left="0" w:firstLine="0"/>
    </w:pPr>
    <w:rPr>
      <w:rFonts w:eastAsia="Times New Roman"/>
      <w:lang w:eastAsia="en-GB"/>
    </w:rPr>
  </w:style>
  <w:style w:type="paragraph" w:styleId="ListNumber3">
    <w:name w:val="List Number 3"/>
    <w:basedOn w:val="Normal"/>
    <w:rsid w:val="001C0947"/>
    <w:pPr>
      <w:numPr>
        <w:numId w:val="14"/>
      </w:numPr>
      <w:tabs>
        <w:tab w:val="clear" w:pos="1560"/>
      </w:tabs>
      <w:ind w:left="0" w:firstLine="0"/>
    </w:pPr>
    <w:rPr>
      <w:rFonts w:eastAsia="Times New Roman"/>
      <w:lang w:eastAsia="en-GB"/>
    </w:rPr>
  </w:style>
  <w:style w:type="paragraph" w:styleId="ListNumber4">
    <w:name w:val="List Number 4"/>
    <w:basedOn w:val="Normal"/>
    <w:rsid w:val="001C0947"/>
    <w:pPr>
      <w:numPr>
        <w:numId w:val="15"/>
      </w:numPr>
      <w:tabs>
        <w:tab w:val="clear" w:pos="1560"/>
      </w:tabs>
      <w:ind w:left="0" w:firstLine="0"/>
    </w:pPr>
    <w:rPr>
      <w:rFonts w:eastAsia="Times New Roman"/>
      <w:lang w:eastAsia="en-GB"/>
    </w:rPr>
  </w:style>
  <w:style w:type="paragraph" w:customStyle="1" w:styleId="ListDash3">
    <w:name w:val="List Dash 3"/>
    <w:basedOn w:val="Normal"/>
    <w:rsid w:val="001C0947"/>
    <w:pPr>
      <w:numPr>
        <w:numId w:val="10"/>
      </w:numPr>
      <w:tabs>
        <w:tab w:val="clear" w:pos="1134"/>
      </w:tabs>
      <w:ind w:left="0" w:firstLine="0"/>
    </w:pPr>
    <w:rPr>
      <w:rFonts w:eastAsia="Times New Roman"/>
      <w:lang w:eastAsia="en-GB"/>
    </w:rPr>
  </w:style>
  <w:style w:type="paragraph" w:customStyle="1" w:styleId="ListDash4">
    <w:name w:val="List Dash 4"/>
    <w:basedOn w:val="Normal"/>
    <w:rsid w:val="001C0947"/>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1C0947"/>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1C0947"/>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1C0947"/>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1C0947"/>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1C0947"/>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1C0947"/>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1C0947"/>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1C0947"/>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1C0947"/>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1C0947"/>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1C0947"/>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1C0947"/>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1C0947"/>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1C0947"/>
    <w:pPr>
      <w:jc w:val="center"/>
    </w:pPr>
    <w:rPr>
      <w:rFonts w:eastAsia="Times New Roman"/>
      <w:b/>
      <w:u w:val="single"/>
      <w:lang w:eastAsia="en-GB"/>
    </w:rPr>
  </w:style>
  <w:style w:type="paragraph" w:customStyle="1" w:styleId="Annexetitreexposglobal">
    <w:name w:val="Annexe titre (exposé global)"/>
    <w:basedOn w:val="Normal"/>
    <w:next w:val="Normal"/>
    <w:rsid w:val="001C0947"/>
    <w:pPr>
      <w:jc w:val="center"/>
    </w:pPr>
    <w:rPr>
      <w:rFonts w:eastAsia="Times New Roman"/>
      <w:b/>
      <w:u w:val="single"/>
      <w:lang w:eastAsia="en-GB"/>
    </w:rPr>
  </w:style>
  <w:style w:type="paragraph" w:customStyle="1" w:styleId="Annexetitrefichefinacte">
    <w:name w:val="Annexe titre (fiche fin. acte)"/>
    <w:basedOn w:val="Normal"/>
    <w:next w:val="Normal"/>
    <w:rsid w:val="001C0947"/>
    <w:pPr>
      <w:jc w:val="center"/>
    </w:pPr>
    <w:rPr>
      <w:rFonts w:eastAsia="Times New Roman"/>
      <w:b/>
      <w:u w:val="single"/>
      <w:lang w:eastAsia="en-GB"/>
    </w:rPr>
  </w:style>
  <w:style w:type="paragraph" w:customStyle="1" w:styleId="Annexetitrefichefinglobale">
    <w:name w:val="Annexe titre (fiche fin. globale)"/>
    <w:basedOn w:val="Normal"/>
    <w:next w:val="Normal"/>
    <w:rsid w:val="001C0947"/>
    <w:pPr>
      <w:jc w:val="center"/>
    </w:pPr>
    <w:rPr>
      <w:rFonts w:eastAsia="Times New Roman"/>
      <w:b/>
      <w:u w:val="single"/>
      <w:lang w:eastAsia="en-GB"/>
    </w:rPr>
  </w:style>
  <w:style w:type="paragraph" w:customStyle="1" w:styleId="Annexetitreglobale">
    <w:name w:val="Annexe titre (globale)"/>
    <w:basedOn w:val="Normal"/>
    <w:next w:val="Normal"/>
    <w:rsid w:val="001C0947"/>
    <w:pPr>
      <w:jc w:val="center"/>
    </w:pPr>
    <w:rPr>
      <w:rFonts w:eastAsia="Times New Roman"/>
      <w:b/>
      <w:u w:val="single"/>
      <w:lang w:eastAsia="en-GB"/>
    </w:rPr>
  </w:style>
  <w:style w:type="paragraph" w:customStyle="1" w:styleId="Exposdesmotifstitreglobal">
    <w:name w:val="Exposé des motifs titre (global)"/>
    <w:basedOn w:val="Normal"/>
    <w:next w:val="Normal"/>
    <w:rsid w:val="001C0947"/>
    <w:pPr>
      <w:jc w:val="center"/>
    </w:pPr>
    <w:rPr>
      <w:rFonts w:eastAsia="Times New Roman"/>
      <w:b/>
      <w:u w:val="single"/>
      <w:lang w:eastAsia="en-GB"/>
    </w:rPr>
  </w:style>
  <w:style w:type="paragraph" w:customStyle="1" w:styleId="Langueoriginale">
    <w:name w:val="Langue originale"/>
    <w:basedOn w:val="Normal"/>
    <w:rsid w:val="001C0947"/>
    <w:pPr>
      <w:spacing w:before="360"/>
      <w:jc w:val="center"/>
    </w:pPr>
    <w:rPr>
      <w:rFonts w:eastAsia="Times New Roman"/>
      <w:caps/>
      <w:lang w:eastAsia="en-GB"/>
    </w:rPr>
  </w:style>
  <w:style w:type="paragraph" w:customStyle="1" w:styleId="Phrasefinale">
    <w:name w:val="Phrase finale"/>
    <w:basedOn w:val="Normal"/>
    <w:next w:val="Normal"/>
    <w:rsid w:val="001C0947"/>
    <w:pPr>
      <w:spacing w:before="360" w:after="0"/>
      <w:jc w:val="center"/>
    </w:pPr>
    <w:rPr>
      <w:rFonts w:eastAsia="Times New Roman"/>
      <w:lang w:eastAsia="en-GB"/>
    </w:rPr>
  </w:style>
  <w:style w:type="paragraph" w:customStyle="1" w:styleId="Prliminairetitre">
    <w:name w:val="Préliminaire titre"/>
    <w:basedOn w:val="Normal"/>
    <w:next w:val="Normal"/>
    <w:rsid w:val="001C0947"/>
    <w:pPr>
      <w:spacing w:before="360" w:after="360"/>
      <w:jc w:val="center"/>
    </w:pPr>
    <w:rPr>
      <w:rFonts w:eastAsia="Times New Roman"/>
      <w:b/>
      <w:lang w:eastAsia="en-GB"/>
    </w:rPr>
  </w:style>
  <w:style w:type="paragraph" w:customStyle="1" w:styleId="Prliminairetype">
    <w:name w:val="Préliminaire type"/>
    <w:basedOn w:val="Normal"/>
    <w:next w:val="Normal"/>
    <w:rsid w:val="001C094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C094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C094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C0947"/>
    <w:pPr>
      <w:spacing w:before="0" w:after="0"/>
      <w:ind w:left="5103"/>
      <w:jc w:val="left"/>
    </w:pPr>
    <w:rPr>
      <w:rFonts w:eastAsia="Times New Roman"/>
      <w:lang w:eastAsia="en-GB"/>
    </w:rPr>
  </w:style>
  <w:style w:type="paragraph" w:customStyle="1" w:styleId="Sous-titreobjetprliminaire">
    <w:name w:val="Sous-titre objet (préliminaire)"/>
    <w:basedOn w:val="Normal"/>
    <w:rsid w:val="001C0947"/>
    <w:pPr>
      <w:spacing w:before="0" w:after="0"/>
      <w:jc w:val="center"/>
    </w:pPr>
    <w:rPr>
      <w:rFonts w:eastAsia="Times New Roman"/>
      <w:b/>
      <w:lang w:eastAsia="en-GB"/>
    </w:rPr>
  </w:style>
  <w:style w:type="paragraph" w:customStyle="1" w:styleId="Statutprliminaire">
    <w:name w:val="Statut (préliminaire)"/>
    <w:basedOn w:val="Normal"/>
    <w:next w:val="Normal"/>
    <w:rsid w:val="001C0947"/>
    <w:pPr>
      <w:spacing w:before="360" w:after="0"/>
      <w:jc w:val="center"/>
    </w:pPr>
    <w:rPr>
      <w:rFonts w:eastAsia="Times New Roman"/>
      <w:lang w:eastAsia="en-GB"/>
    </w:rPr>
  </w:style>
  <w:style w:type="paragraph" w:customStyle="1" w:styleId="Titreobjetprliminaire">
    <w:name w:val="Titre objet (préliminaire)"/>
    <w:basedOn w:val="Normal"/>
    <w:next w:val="Normal"/>
    <w:rsid w:val="001C094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C094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C094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C0947"/>
    <w:pPr>
      <w:jc w:val="center"/>
    </w:pPr>
    <w:rPr>
      <w:rFonts w:eastAsia="Times New Roman"/>
      <w:b/>
      <w:u w:val="single"/>
      <w:lang w:eastAsia="en-GB"/>
    </w:rPr>
  </w:style>
  <w:style w:type="paragraph" w:customStyle="1" w:styleId="Fichefinanciretravailtitre">
    <w:name w:val="Fiche financière (travail) titre"/>
    <w:basedOn w:val="Normal"/>
    <w:next w:val="Normal"/>
    <w:rsid w:val="001C094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C094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C094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C0947"/>
    <w:pPr>
      <w:jc w:val="center"/>
    </w:pPr>
    <w:rPr>
      <w:rFonts w:eastAsia="Times New Roman"/>
      <w:b/>
      <w:u w:val="single"/>
      <w:lang w:eastAsia="en-GB"/>
    </w:rPr>
  </w:style>
  <w:style w:type="character" w:styleId="CommentReference">
    <w:name w:val="annotation reference"/>
    <w:rsid w:val="001C0947"/>
    <w:rPr>
      <w:rFonts w:cs="Times New Roman"/>
      <w:sz w:val="16"/>
      <w:szCs w:val="16"/>
    </w:rPr>
  </w:style>
  <w:style w:type="paragraph" w:styleId="CommentText">
    <w:name w:val="annotation text"/>
    <w:basedOn w:val="Normal"/>
    <w:link w:val="CommentTextChar"/>
    <w:rsid w:val="001C0947"/>
    <w:rPr>
      <w:rFonts w:eastAsia="Times New Roman"/>
      <w:sz w:val="20"/>
      <w:szCs w:val="20"/>
      <w:lang w:eastAsia="en-GB"/>
    </w:rPr>
  </w:style>
  <w:style w:type="character" w:customStyle="1" w:styleId="CommentTextChar">
    <w:name w:val="Comment Text Char"/>
    <w:basedOn w:val="DefaultParagraphFont"/>
    <w:link w:val="CommentText"/>
    <w:rsid w:val="001C094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1C0947"/>
    <w:rPr>
      <w:b/>
      <w:bCs/>
    </w:rPr>
  </w:style>
  <w:style w:type="character" w:customStyle="1" w:styleId="CommentSubjectChar">
    <w:name w:val="Comment Subject Char"/>
    <w:basedOn w:val="CommentTextChar"/>
    <w:link w:val="CommentSubject"/>
    <w:rsid w:val="001C094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1C0947"/>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C0947"/>
    <w:rPr>
      <w:rFonts w:ascii="Tahoma" w:eastAsia="Times New Roman" w:hAnsi="Tahoma" w:cs="Tahoma"/>
      <w:sz w:val="16"/>
      <w:szCs w:val="16"/>
      <w:lang w:val="ro-RO" w:eastAsia="en-GB"/>
    </w:rPr>
  </w:style>
  <w:style w:type="paragraph" w:styleId="Caption">
    <w:name w:val="caption"/>
    <w:basedOn w:val="Normal"/>
    <w:next w:val="Normal"/>
    <w:qFormat/>
    <w:rsid w:val="001C0947"/>
    <w:rPr>
      <w:rFonts w:eastAsia="Times New Roman"/>
      <w:b/>
      <w:bCs/>
      <w:sz w:val="20"/>
      <w:szCs w:val="20"/>
      <w:lang w:eastAsia="en-GB"/>
    </w:rPr>
  </w:style>
  <w:style w:type="paragraph" w:styleId="TableofFigures">
    <w:name w:val="table of figures"/>
    <w:basedOn w:val="Normal"/>
    <w:next w:val="Normal"/>
    <w:rsid w:val="001C0947"/>
    <w:rPr>
      <w:rFonts w:eastAsia="Times New Roman"/>
      <w:lang w:eastAsia="en-GB"/>
    </w:rPr>
  </w:style>
  <w:style w:type="character" w:styleId="PageNumber">
    <w:name w:val="page number"/>
    <w:rsid w:val="001C0947"/>
  </w:style>
  <w:style w:type="character" w:customStyle="1" w:styleId="tw4winMark">
    <w:name w:val="tw4winMark"/>
    <w:rsid w:val="001C0947"/>
    <w:rPr>
      <w:vanish/>
      <w:color w:val="800080"/>
      <w:vertAlign w:val="subscript"/>
    </w:rPr>
  </w:style>
  <w:style w:type="character" w:styleId="FollowedHyperlink">
    <w:name w:val="FollowedHyperlink"/>
    <w:rsid w:val="001C0947"/>
    <w:rPr>
      <w:color w:val="800080"/>
      <w:u w:val="single"/>
    </w:rPr>
  </w:style>
  <w:style w:type="paragraph" w:customStyle="1" w:styleId="Sous-titreobjet">
    <w:name w:val="Sous-titre objet"/>
    <w:basedOn w:val="Normal"/>
    <w:rsid w:val="001C094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C0947"/>
  </w:style>
  <w:style w:type="paragraph" w:styleId="Revision">
    <w:name w:val="Revision"/>
    <w:hidden/>
    <w:uiPriority w:val="99"/>
    <w:semiHidden/>
    <w:rsid w:val="001C0947"/>
    <w:rPr>
      <w:rFonts w:ascii="Calibri" w:eastAsia="Calibri" w:hAnsi="Calibri" w:cs="Times New Roman"/>
      <w:sz w:val="24"/>
      <w:lang w:eastAsia="en-GB"/>
    </w:rPr>
  </w:style>
  <w:style w:type="paragraph" w:customStyle="1" w:styleId="FooterCoverPage">
    <w:name w:val="Footer Cover Page"/>
    <w:basedOn w:val="Normal"/>
    <w:link w:val="FooterCoverPageChar"/>
    <w:rsid w:val="001C094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C0947"/>
    <w:rPr>
      <w:rFonts w:ascii="Times New Roman" w:hAnsi="Times New Roman" w:cs="Times New Roman"/>
      <w:b/>
      <w:sz w:val="28"/>
      <w:lang w:val="ro-RO"/>
    </w:rPr>
  </w:style>
  <w:style w:type="character" w:customStyle="1" w:styleId="FooterCoverPageChar">
    <w:name w:val="Footer Cover Page Char"/>
    <w:link w:val="FooterCoverPage"/>
    <w:rsid w:val="001C094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C094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C0947"/>
    <w:rPr>
      <w:rFonts w:ascii="Times New Roman" w:eastAsia="Calibri" w:hAnsi="Times New Roman" w:cs="Times New Roman"/>
      <w:sz w:val="24"/>
      <w:lang w:val="ro-RO" w:eastAsia="en-GB"/>
    </w:rPr>
  </w:style>
  <w:style w:type="character" w:customStyle="1" w:styleId="FooterSensitivityChar">
    <w:name w:val="Footer Sensitivity Char"/>
    <w:rsid w:val="001C0947"/>
    <w:rPr>
      <w:rFonts w:ascii="Times New Roman" w:hAnsi="Times New Roman" w:cs="Times New Roman"/>
      <w:b/>
      <w:sz w:val="32"/>
      <w:lang w:val="ro-RO"/>
    </w:rPr>
  </w:style>
  <w:style w:type="character" w:customStyle="1" w:styleId="HeaderSensitivityChar">
    <w:name w:val="Header Sensitivity Char"/>
    <w:rsid w:val="001C0947"/>
    <w:rPr>
      <w:rFonts w:ascii="Times New Roman" w:hAnsi="Times New Roman" w:cs="Times New Roman"/>
      <w:b/>
      <w:sz w:val="32"/>
      <w:lang w:val="ro-RO"/>
    </w:rPr>
  </w:style>
  <w:style w:type="character" w:customStyle="1" w:styleId="HeaderSensitivityRightChar">
    <w:name w:val="Header Sensitivity Right Char"/>
    <w:rsid w:val="001C0947"/>
    <w:rPr>
      <w:rFonts w:ascii="Times New Roman" w:hAnsi="Times New Roman" w:cs="Times New Roman"/>
      <w:sz w:val="28"/>
      <w:lang w:val="ro-RO"/>
    </w:rPr>
  </w:style>
  <w:style w:type="paragraph" w:customStyle="1" w:styleId="LegalNumPar">
    <w:name w:val="LegalNumPar"/>
    <w:basedOn w:val="Normal"/>
    <w:rsid w:val="001C0947"/>
    <w:pPr>
      <w:numPr>
        <w:numId w:val="16"/>
      </w:numPr>
      <w:spacing w:line="360" w:lineRule="auto"/>
      <w:ind w:left="0" w:firstLine="0"/>
    </w:pPr>
    <w:rPr>
      <w:rFonts w:eastAsia="Times New Roman"/>
      <w:lang w:eastAsia="en-GB"/>
    </w:rPr>
  </w:style>
  <w:style w:type="paragraph" w:customStyle="1" w:styleId="LegalNumPar2">
    <w:name w:val="LegalNumPar2"/>
    <w:basedOn w:val="Normal"/>
    <w:rsid w:val="001C0947"/>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C0947"/>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1C094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C0947"/>
    <w:rPr>
      <w:color w:val="605E5C"/>
      <w:shd w:val="clear" w:color="auto" w:fill="E1DFDD"/>
    </w:rPr>
  </w:style>
  <w:style w:type="character" w:styleId="Strong">
    <w:name w:val="Strong"/>
    <w:basedOn w:val="DefaultParagraphFont"/>
    <w:qFormat/>
    <w:rsid w:val="001C0947"/>
    <w:rPr>
      <w:b/>
      <w:bCs/>
    </w:rPr>
  </w:style>
  <w:style w:type="character" w:styleId="Emphasis">
    <w:name w:val="Emphasis"/>
    <w:basedOn w:val="DefaultParagraphFont"/>
    <w:qFormat/>
    <w:rsid w:val="001C0947"/>
    <w:rPr>
      <w:i/>
      <w:iCs/>
    </w:rPr>
  </w:style>
  <w:style w:type="character" w:customStyle="1" w:styleId="Mention">
    <w:name w:val="Mention"/>
    <w:basedOn w:val="DefaultParagraphFont"/>
    <w:uiPriority w:val="99"/>
    <w:unhideWhenUsed/>
    <w:rsid w:val="001C0947"/>
    <w:rPr>
      <w:color w:val="2B579A"/>
      <w:shd w:val="clear" w:color="auto" w:fill="E1DFDD"/>
    </w:rPr>
  </w:style>
  <w:style w:type="character" w:customStyle="1" w:styleId="normaltextrun">
    <w:name w:val="normaltextrun"/>
    <w:basedOn w:val="DefaultParagraphFont"/>
    <w:rsid w:val="001C0947"/>
  </w:style>
  <w:style w:type="character" w:customStyle="1" w:styleId="eop">
    <w:name w:val="eop"/>
    <w:basedOn w:val="DefaultParagraphFont"/>
    <w:rsid w:val="001C0947"/>
  </w:style>
  <w:style w:type="character" w:customStyle="1" w:styleId="HeaderChar">
    <w:name w:val="Header Char"/>
    <w:basedOn w:val="DefaultParagraphFont"/>
    <w:link w:val="Header"/>
    <w:uiPriority w:val="99"/>
    <w:rsid w:val="00C64F05"/>
    <w:rPr>
      <w:rFonts w:ascii="Times New Roman" w:hAnsi="Times New Roman" w:cs="Times New Roman"/>
      <w:sz w:val="24"/>
      <w:lang w:val="ro-RO"/>
    </w:rPr>
  </w:style>
  <w:style w:type="character" w:customStyle="1" w:styleId="FooterChar">
    <w:name w:val="Footer Char"/>
    <w:basedOn w:val="DefaultParagraphFont"/>
    <w:link w:val="Footer"/>
    <w:uiPriority w:val="99"/>
    <w:rsid w:val="00C64F0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64F0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64F05"/>
    <w:pPr>
      <w:spacing w:before="0"/>
      <w:jc w:val="right"/>
    </w:pPr>
    <w:rPr>
      <w:sz w:val="28"/>
    </w:rPr>
  </w:style>
  <w:style w:type="paragraph" w:customStyle="1" w:styleId="FooterSensitivity">
    <w:name w:val="Footer Sensitivity"/>
    <w:basedOn w:val="Normal"/>
    <w:rsid w:val="00C64F0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64F05"/>
    <w:pPr>
      <w:tabs>
        <w:tab w:val="center" w:pos="4535"/>
        <w:tab w:val="right" w:pos="9071"/>
      </w:tabs>
      <w:spacing w:before="0"/>
    </w:pPr>
  </w:style>
  <w:style w:type="paragraph" w:customStyle="1" w:styleId="HeaderLandscape">
    <w:name w:val="HeaderLandscape"/>
    <w:basedOn w:val="Normal"/>
    <w:rsid w:val="00C64F05"/>
    <w:pPr>
      <w:tabs>
        <w:tab w:val="center" w:pos="7285"/>
        <w:tab w:val="right" w:pos="14003"/>
      </w:tabs>
      <w:spacing w:before="0"/>
    </w:pPr>
  </w:style>
  <w:style w:type="paragraph" w:styleId="Footer">
    <w:name w:val="footer"/>
    <w:basedOn w:val="Normal"/>
    <w:link w:val="FooterChar"/>
    <w:uiPriority w:val="99"/>
    <w:unhideWhenUsed/>
    <w:rsid w:val="00C64F0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64F0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RO/TXT/PDF/?uri=CELEX:32025R1227" TargetMode="External"/><Relationship Id="rId1" Type="http://schemas.openxmlformats.org/officeDocument/2006/relationships/hyperlink" Target="https://circabc.europa.eu/ui/group/c6498975-35be-488b-9da4-6fe8f85055f7/library/75450380-c7ec-4641-9e04-480b76dda7a2/detai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38</TotalTime>
  <Pages>12</Pages>
  <Words>4920</Words>
  <Characters>28048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2026-02-18T18:29:00Z</dcterms:created>
  <dcterms:modified xsi:type="dcterms:W3CDTF">2026-03-05T09:43:00Z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2026-02-17T19:24:44Z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8f4592eb-a6d2-427b-9648-005c0e68c488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SJ-016</vt:lpwstr>
  </property>
  <property fmtid="{D5CDD505-2E9C-101B-9397-08002B2CF9AE}" pid="16" name="DQCStatus">
    <vt:lpwstr>Green (DQC version 03)</vt:lpwstr>
  </property>
</Properties>
</file>