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9DE" w:rsidRPr="00273B14" w:rsidRDefault="0033490A" w:rsidP="0033490A"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alt="729E6AB3-091A-4D74-A29C-B56A192B301C" style="width:455.25pt;height:304.5pt">
            <v:imagedata r:id="rId8" o:title=""/>
          </v:shape>
        </w:pict>
      </w:r>
    </w:p>
    <w:p w:rsidR="001979DE" w:rsidRPr="00273B14" w:rsidRDefault="001979DE" w:rsidP="00DC103E">
      <w:pPr>
        <w:rPr>
          <w:noProof/>
          <w:szCs w:val="24"/>
        </w:rPr>
        <w:sectPr w:rsidR="001979DE" w:rsidRPr="00273B14" w:rsidSect="0033490A">
          <w:footerReference w:type="even" r:id="rId9"/>
          <w:footerReference w:type="default" r:id="rId10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1979DE" w:rsidRPr="00273B14" w:rsidRDefault="00FC2035" w:rsidP="00FC2035">
      <w:pPr>
        <w:pStyle w:val="Typedudocument"/>
        <w:rPr>
          <w:noProof/>
        </w:rPr>
      </w:pPr>
      <w:bookmarkStart w:id="0" w:name="_Hlk212568192"/>
      <w:bookmarkStart w:id="1" w:name="_GoBack"/>
      <w:bookmarkEnd w:id="1"/>
      <w:r w:rsidRPr="00FC2035">
        <w:rPr>
          <w:noProof/>
        </w:rPr>
        <w:lastRenderedPageBreak/>
        <w:t>COMMISSION RECOMMENDATION</w:t>
      </w:r>
    </w:p>
    <w:p w:rsidR="001979DE" w:rsidRPr="00273B14" w:rsidRDefault="00FC2035" w:rsidP="00FC2035">
      <w:pPr>
        <w:pStyle w:val="Datedadoption"/>
        <w:rPr>
          <w:noProof/>
        </w:rPr>
      </w:pPr>
      <w:r>
        <w:rPr>
          <w:noProof/>
        </w:rPr>
        <w:t>of 18.3.2026</w:t>
      </w:r>
    </w:p>
    <w:p w:rsidR="001979DE" w:rsidRPr="00273B14" w:rsidRDefault="00FC2035" w:rsidP="00FC2035">
      <w:pPr>
        <w:pStyle w:val="Titreobjet"/>
        <w:rPr>
          <w:noProof/>
        </w:rPr>
      </w:pPr>
      <w:r w:rsidRPr="00FC2035">
        <w:rPr>
          <w:noProof/>
        </w:rPr>
        <w:t>on the definition of innovative enterprises, innovative startups and innovative scaleups</w:t>
      </w:r>
    </w:p>
    <w:p w:rsidR="001979DE" w:rsidRPr="00273B14" w:rsidRDefault="001979DE" w:rsidP="00DC103E">
      <w:pPr>
        <w:pStyle w:val="Institutionquiagit"/>
        <w:rPr>
          <w:noProof/>
          <w:szCs w:val="24"/>
        </w:rPr>
      </w:pPr>
      <w:r w:rsidRPr="00273B14">
        <w:rPr>
          <w:noProof/>
          <w:szCs w:val="24"/>
        </w:rPr>
        <w:t>THE EUROPEAN COMMISSION,</w:t>
      </w:r>
    </w:p>
    <w:p w:rsidR="001979DE" w:rsidRPr="00273B14" w:rsidRDefault="001979DE" w:rsidP="00DC103E">
      <w:pPr>
        <w:rPr>
          <w:noProof/>
          <w:szCs w:val="24"/>
        </w:rPr>
      </w:pPr>
      <w:r w:rsidRPr="00273B14">
        <w:rPr>
          <w:noProof/>
          <w:szCs w:val="24"/>
        </w:rPr>
        <w:t>Having regard to the Treaty on the Functioning of the European Union, and in particular Article 292 thereof,</w:t>
      </w:r>
    </w:p>
    <w:p w:rsidR="001979DE" w:rsidRPr="00273B14" w:rsidRDefault="001979DE" w:rsidP="00DC103E">
      <w:pPr>
        <w:rPr>
          <w:noProof/>
          <w:color w:val="000000" w:themeColor="text1"/>
          <w:szCs w:val="24"/>
        </w:rPr>
      </w:pPr>
      <w:r w:rsidRPr="00273B14">
        <w:rPr>
          <w:noProof/>
          <w:color w:val="000000" w:themeColor="text1"/>
        </w:rPr>
        <w:t>Whereas:</w:t>
      </w:r>
    </w:p>
    <w:p w:rsidR="001979DE" w:rsidRPr="00273B14" w:rsidRDefault="75E961D3" w:rsidP="1C4CDCDC">
      <w:pPr>
        <w:pStyle w:val="ManualConsidrant"/>
        <w:rPr>
          <w:noProof/>
        </w:rPr>
      </w:pPr>
      <w:r>
        <w:rPr>
          <w:noProof/>
        </w:rPr>
        <w:t>(1)</w:t>
      </w:r>
      <w:r>
        <w:rPr>
          <w:noProof/>
        </w:rPr>
        <w:tab/>
      </w:r>
      <w:r w:rsidRPr="00021447">
        <w:rPr>
          <w:noProof/>
        </w:rPr>
        <w:t xml:space="preserve">Commission Communication </w:t>
      </w:r>
      <w:r w:rsidR="743B8100" w:rsidRPr="00273B14">
        <w:rPr>
          <w:noProof/>
        </w:rPr>
        <w:t>on a</w:t>
      </w:r>
      <w:r w:rsidR="165BC51D" w:rsidRPr="00273B14">
        <w:rPr>
          <w:noProof/>
        </w:rPr>
        <w:t xml:space="preserve"> </w:t>
      </w:r>
      <w:r w:rsidRPr="00273B14">
        <w:rPr>
          <w:noProof/>
        </w:rPr>
        <w:t>‘</w:t>
      </w:r>
      <w:r w:rsidRPr="00021447">
        <w:rPr>
          <w:noProof/>
        </w:rPr>
        <w:t>Competitiveness Compass of the EU’</w:t>
      </w:r>
      <w:r w:rsidR="001979DE" w:rsidRPr="00021447">
        <w:rPr>
          <w:rStyle w:val="FootnoteReference"/>
          <w:noProof/>
        </w:rPr>
        <w:footnoteReference w:id="1"/>
      </w:r>
      <w:r w:rsidRPr="00021447">
        <w:rPr>
          <w:noProof/>
        </w:rPr>
        <w:t xml:space="preserve"> recalls that </w:t>
      </w:r>
      <w:r w:rsidRPr="00273B14">
        <w:rPr>
          <w:noProof/>
        </w:rPr>
        <w:t xml:space="preserve">innovation is a key driver of competitiveness and growth in the Union. </w:t>
      </w:r>
    </w:p>
    <w:p w:rsidR="001979DE" w:rsidRPr="00273B14" w:rsidRDefault="75E961D3" w:rsidP="008E7E75">
      <w:pPr>
        <w:pStyle w:val="ManualConsidrant"/>
        <w:rPr>
          <w:noProof/>
        </w:rPr>
      </w:pPr>
      <w:r>
        <w:rPr>
          <w:noProof/>
        </w:rPr>
        <w:t>(2)</w:t>
      </w:r>
      <w:r>
        <w:rPr>
          <w:noProof/>
        </w:rPr>
        <w:tab/>
        <w:t>A new competitiveness model based on innovation</w:t>
      </w:r>
      <w:r w:rsidR="7EDEFFFA">
        <w:rPr>
          <w:noProof/>
        </w:rPr>
        <w:t>-</w:t>
      </w:r>
      <w:r>
        <w:rPr>
          <w:noProof/>
        </w:rPr>
        <w:t xml:space="preserve">led productivity is needed to drive future economic growth. Innovative enterprises, </w:t>
      </w:r>
      <w:r w:rsidR="0D73B8E1">
        <w:rPr>
          <w:noProof/>
        </w:rPr>
        <w:t xml:space="preserve">innovative </w:t>
      </w:r>
      <w:r>
        <w:rPr>
          <w:noProof/>
        </w:rPr>
        <w:t xml:space="preserve">startups and </w:t>
      </w:r>
      <w:bookmarkStart w:id="2" w:name="_Hlk223533785"/>
      <w:r w:rsidR="0D73B8E1">
        <w:rPr>
          <w:noProof/>
        </w:rPr>
        <w:t xml:space="preserve">innovative </w:t>
      </w:r>
      <w:bookmarkEnd w:id="2"/>
      <w:r>
        <w:rPr>
          <w:noProof/>
        </w:rPr>
        <w:t>scaleups</w:t>
      </w:r>
      <w:r w:rsidR="34FE0A9F">
        <w:rPr>
          <w:noProof/>
        </w:rPr>
        <w:t>, in particular in the deep</w:t>
      </w:r>
      <w:r w:rsidR="55966140">
        <w:rPr>
          <w:noProof/>
        </w:rPr>
        <w:t xml:space="preserve"> </w:t>
      </w:r>
      <w:r w:rsidR="34FE0A9F">
        <w:rPr>
          <w:noProof/>
        </w:rPr>
        <w:t>tech area,</w:t>
      </w:r>
      <w:r>
        <w:rPr>
          <w:noProof/>
        </w:rPr>
        <w:t xml:space="preserve"> play a key role in the development and commercialisation of innovative technologies, placing them at the heart of economic models based on innovation.</w:t>
      </w:r>
    </w:p>
    <w:p w:rsidR="00FB7068" w:rsidRPr="00273B14" w:rsidRDefault="68D2E022" w:rsidP="008E7E75">
      <w:pPr>
        <w:pStyle w:val="ManualConsidrant"/>
        <w:rPr>
          <w:noProof/>
        </w:rPr>
      </w:pPr>
      <w:r>
        <w:rPr>
          <w:noProof/>
        </w:rPr>
        <w:t>(3)</w:t>
      </w:r>
      <w:r>
        <w:rPr>
          <w:noProof/>
        </w:rPr>
        <w:tab/>
      </w:r>
      <w:r w:rsidRPr="00273B14">
        <w:rPr>
          <w:noProof/>
        </w:rPr>
        <w:t>In its Communication ‘EU Startup and Scaleup Strategy’</w:t>
      </w:r>
      <w:r w:rsidR="08733365">
        <w:rPr>
          <w:noProof/>
        </w:rPr>
        <w:t>,</w:t>
      </w:r>
      <w:r w:rsidR="00FB7068" w:rsidRPr="00273B14">
        <w:rPr>
          <w:rStyle w:val="FootnoteReference"/>
          <w:noProof/>
        </w:rPr>
        <w:footnoteReference w:id="2"/>
      </w:r>
      <w:r w:rsidRPr="00273B14">
        <w:rPr>
          <w:noProof/>
        </w:rPr>
        <w:t xml:space="preserve"> the Commission announced that it would propose a definition of innovative enterprises, startups and scaleups.</w:t>
      </w:r>
    </w:p>
    <w:p w:rsidR="00A722C9" w:rsidRPr="00273B14" w:rsidRDefault="48BC08D6" w:rsidP="008E7E75">
      <w:pPr>
        <w:pStyle w:val="ManualConsidrant"/>
        <w:rPr>
          <w:noProof/>
        </w:rPr>
      </w:pPr>
      <w:r>
        <w:rPr>
          <w:noProof/>
        </w:rPr>
        <w:t>(4)</w:t>
      </w:r>
      <w:r>
        <w:rPr>
          <w:noProof/>
        </w:rPr>
        <w:tab/>
        <w:t>Deep</w:t>
      </w:r>
      <w:r w:rsidR="55966140">
        <w:rPr>
          <w:noProof/>
        </w:rPr>
        <w:t xml:space="preserve"> </w:t>
      </w:r>
      <w:r>
        <w:rPr>
          <w:noProof/>
        </w:rPr>
        <w:t xml:space="preserve">tech </w:t>
      </w:r>
      <w:r w:rsidR="73161707">
        <w:rPr>
          <w:noProof/>
        </w:rPr>
        <w:t>enterprises</w:t>
      </w:r>
      <w:r w:rsidR="0F599746">
        <w:rPr>
          <w:noProof/>
        </w:rPr>
        <w:t>,</w:t>
      </w:r>
      <w:r>
        <w:rPr>
          <w:noProof/>
        </w:rPr>
        <w:t xml:space="preserve"> </w:t>
      </w:r>
      <w:r w:rsidR="02756D5C">
        <w:rPr>
          <w:noProof/>
        </w:rPr>
        <w:t>including but not limited to those in strategic technologies such as digital</w:t>
      </w:r>
      <w:r w:rsidR="559BB8F8">
        <w:rPr>
          <w:noProof/>
        </w:rPr>
        <w:t xml:space="preserve"> tech</w:t>
      </w:r>
      <w:r w:rsidR="02756D5C">
        <w:rPr>
          <w:noProof/>
        </w:rPr>
        <w:t>, biotech and clean tech</w:t>
      </w:r>
      <w:r w:rsidR="1FA0670B">
        <w:rPr>
          <w:noProof/>
        </w:rPr>
        <w:t xml:space="preserve">, </w:t>
      </w:r>
      <w:r>
        <w:rPr>
          <w:noProof/>
        </w:rPr>
        <w:t>are particularly important for innovation because they translate frontier scientific and technological breakthroughs into scalable products and industries, often generating transformative solutions with significant long-term economic and societal impact.</w:t>
      </w:r>
      <w:r w:rsidR="13D17EB0">
        <w:rPr>
          <w:noProof/>
        </w:rPr>
        <w:t xml:space="preserve"> Therefore, definitions should </w:t>
      </w:r>
      <w:r>
        <w:rPr>
          <w:noProof/>
        </w:rPr>
        <w:t>take into account the particular features of deep</w:t>
      </w:r>
      <w:r w:rsidR="55966140">
        <w:rPr>
          <w:noProof/>
        </w:rPr>
        <w:t xml:space="preserve"> </w:t>
      </w:r>
      <w:r>
        <w:rPr>
          <w:noProof/>
        </w:rPr>
        <w:t xml:space="preserve">tech </w:t>
      </w:r>
      <w:r w:rsidR="73161707">
        <w:rPr>
          <w:noProof/>
        </w:rPr>
        <w:t>enterprises</w:t>
      </w:r>
      <w:r>
        <w:rPr>
          <w:noProof/>
        </w:rPr>
        <w:t xml:space="preserve"> because their development cycles are typically longer and more capital-intensive due to complex </w:t>
      </w:r>
      <w:r w:rsidR="0ADA9CDD">
        <w:rPr>
          <w:noProof/>
        </w:rPr>
        <w:t>research and development (</w:t>
      </w:r>
      <w:r>
        <w:rPr>
          <w:noProof/>
        </w:rPr>
        <w:t>R&amp;D</w:t>
      </w:r>
      <w:r w:rsidR="0ADA9CDD">
        <w:rPr>
          <w:noProof/>
        </w:rPr>
        <w:t>) activities</w:t>
      </w:r>
      <w:r>
        <w:rPr>
          <w:noProof/>
        </w:rPr>
        <w:t>, regulatory validation and technology maturation</w:t>
      </w:r>
      <w:r w:rsidR="39A2B2C8">
        <w:rPr>
          <w:noProof/>
        </w:rPr>
        <w:t>.</w:t>
      </w:r>
    </w:p>
    <w:p w:rsidR="00C7712D" w:rsidRPr="00273B14" w:rsidRDefault="75E961D3" w:rsidP="008E7E75">
      <w:pPr>
        <w:pStyle w:val="ManualConsidrant"/>
        <w:rPr>
          <w:noProof/>
        </w:rPr>
      </w:pPr>
      <w:r>
        <w:rPr>
          <w:noProof/>
        </w:rPr>
        <w:t>(5)</w:t>
      </w:r>
      <w:r>
        <w:rPr>
          <w:noProof/>
        </w:rPr>
        <w:tab/>
      </w:r>
      <w:r w:rsidRPr="00273B14">
        <w:rPr>
          <w:noProof/>
        </w:rPr>
        <w:t xml:space="preserve">Several Member States have adopted different legal definitions of </w:t>
      </w:r>
      <w:r w:rsidR="0EA3DA08" w:rsidRPr="00273B14">
        <w:rPr>
          <w:noProof/>
        </w:rPr>
        <w:t xml:space="preserve">innovative enterprises, </w:t>
      </w:r>
      <w:r w:rsidRPr="00273B14">
        <w:rPr>
          <w:noProof/>
        </w:rPr>
        <w:t xml:space="preserve">startups and scaleups, while </w:t>
      </w:r>
      <w:r w:rsidR="542143EE" w:rsidRPr="00273B14">
        <w:rPr>
          <w:noProof/>
        </w:rPr>
        <w:t>Commission Regulation (EU) No 651/2014</w:t>
      </w:r>
      <w:r w:rsidR="00ED114F" w:rsidRPr="00273B14">
        <w:rPr>
          <w:rStyle w:val="FootnoteReference"/>
          <w:noProof/>
        </w:rPr>
        <w:footnoteReference w:id="3"/>
      </w:r>
      <w:r w:rsidRPr="00273B14">
        <w:rPr>
          <w:noProof/>
        </w:rPr>
        <w:t xml:space="preserve"> and Regulation </w:t>
      </w:r>
      <w:r w:rsidR="1D4E2FA0" w:rsidRPr="00273B14">
        <w:rPr>
          <w:noProof/>
        </w:rPr>
        <w:t>(EU) 2021/695 of the European Parliament and of the Council</w:t>
      </w:r>
      <w:r w:rsidR="009D6D2A" w:rsidRPr="00273B14">
        <w:rPr>
          <w:rStyle w:val="FootnoteReference"/>
          <w:noProof/>
        </w:rPr>
        <w:footnoteReference w:id="4"/>
      </w:r>
      <w:r w:rsidR="1D4E2FA0" w:rsidRPr="00273B14">
        <w:rPr>
          <w:noProof/>
        </w:rPr>
        <w:t xml:space="preserve"> </w:t>
      </w:r>
      <w:r w:rsidRPr="00273B14">
        <w:rPr>
          <w:noProof/>
        </w:rPr>
        <w:t xml:space="preserve">also set out definitions at Union level for </w:t>
      </w:r>
      <w:r w:rsidR="1D4E2FA0" w:rsidRPr="00273B14">
        <w:rPr>
          <w:noProof/>
        </w:rPr>
        <w:t xml:space="preserve">their respective </w:t>
      </w:r>
      <w:r w:rsidRPr="00273B14">
        <w:rPr>
          <w:noProof/>
        </w:rPr>
        <w:t xml:space="preserve">purposes. </w:t>
      </w:r>
    </w:p>
    <w:p w:rsidR="001979DE" w:rsidRPr="00273B14" w:rsidRDefault="4E8BAAF4" w:rsidP="008E7E75">
      <w:pPr>
        <w:pStyle w:val="ManualConsidrant"/>
        <w:rPr>
          <w:noProof/>
        </w:rPr>
      </w:pPr>
      <w:r>
        <w:rPr>
          <w:noProof/>
        </w:rPr>
        <w:t>(6)</w:t>
      </w:r>
      <w:r>
        <w:rPr>
          <w:noProof/>
        </w:rPr>
        <w:tab/>
        <w:t xml:space="preserve">Innovation policy </w:t>
      </w:r>
      <w:r w:rsidR="346709C5">
        <w:rPr>
          <w:noProof/>
        </w:rPr>
        <w:t>measures</w:t>
      </w:r>
      <w:r w:rsidR="2853EC81">
        <w:rPr>
          <w:noProof/>
        </w:rPr>
        <w:t xml:space="preserve"> </w:t>
      </w:r>
      <w:r w:rsidR="34FFB062">
        <w:rPr>
          <w:noProof/>
        </w:rPr>
        <w:t>are designed at</w:t>
      </w:r>
      <w:r w:rsidR="2853EC81">
        <w:rPr>
          <w:noProof/>
        </w:rPr>
        <w:t xml:space="preserve"> </w:t>
      </w:r>
      <w:r w:rsidR="0D73B8E1">
        <w:rPr>
          <w:noProof/>
        </w:rPr>
        <w:t>M</w:t>
      </w:r>
      <w:r w:rsidR="035E80C0">
        <w:rPr>
          <w:noProof/>
        </w:rPr>
        <w:t>ember</w:t>
      </w:r>
      <w:r w:rsidR="753E5E3D">
        <w:rPr>
          <w:noProof/>
        </w:rPr>
        <w:t xml:space="preserve"> </w:t>
      </w:r>
      <w:r w:rsidR="0D73B8E1">
        <w:rPr>
          <w:noProof/>
        </w:rPr>
        <w:t>S</w:t>
      </w:r>
      <w:r w:rsidR="753E5E3D">
        <w:rPr>
          <w:noProof/>
        </w:rPr>
        <w:t xml:space="preserve">tate </w:t>
      </w:r>
      <w:r w:rsidR="2853EC81">
        <w:rPr>
          <w:noProof/>
        </w:rPr>
        <w:t>and Union</w:t>
      </w:r>
      <w:r w:rsidR="683E6D40">
        <w:rPr>
          <w:noProof/>
        </w:rPr>
        <w:t xml:space="preserve"> </w:t>
      </w:r>
      <w:r w:rsidR="2853EC81">
        <w:rPr>
          <w:noProof/>
        </w:rPr>
        <w:t xml:space="preserve">level to </w:t>
      </w:r>
      <w:r w:rsidR="5C3AE918">
        <w:rPr>
          <w:noProof/>
        </w:rPr>
        <w:t>support</w:t>
      </w:r>
      <w:r w:rsidR="2853EC81">
        <w:rPr>
          <w:noProof/>
        </w:rPr>
        <w:t xml:space="preserve"> innovative enterprises, </w:t>
      </w:r>
      <w:r w:rsidR="2056D231">
        <w:rPr>
          <w:noProof/>
        </w:rPr>
        <w:t xml:space="preserve">innovative </w:t>
      </w:r>
      <w:r w:rsidR="2853EC81">
        <w:rPr>
          <w:noProof/>
        </w:rPr>
        <w:t xml:space="preserve">startups or </w:t>
      </w:r>
      <w:r w:rsidR="2056D231">
        <w:rPr>
          <w:noProof/>
        </w:rPr>
        <w:t>innovative</w:t>
      </w:r>
      <w:r w:rsidR="4394EB81">
        <w:rPr>
          <w:noProof/>
        </w:rPr>
        <w:t xml:space="preserve"> </w:t>
      </w:r>
      <w:r w:rsidR="2853EC81">
        <w:rPr>
          <w:noProof/>
        </w:rPr>
        <w:t xml:space="preserve">scaleups. In the absence of </w:t>
      </w:r>
      <w:r w:rsidR="4467BFB6">
        <w:rPr>
          <w:noProof/>
        </w:rPr>
        <w:t xml:space="preserve">common </w:t>
      </w:r>
      <w:r w:rsidR="2853EC81">
        <w:rPr>
          <w:noProof/>
        </w:rPr>
        <w:t>definitions, such measures may</w:t>
      </w:r>
      <w:r w:rsidR="57E8EEFD">
        <w:rPr>
          <w:noProof/>
        </w:rPr>
        <w:t xml:space="preserve"> be </w:t>
      </w:r>
      <w:r w:rsidR="2853EC81">
        <w:rPr>
          <w:noProof/>
        </w:rPr>
        <w:t xml:space="preserve">applied inconsistently between Member States and between the Union and the Member States. This may </w:t>
      </w:r>
      <w:r w:rsidR="6D83CBC7">
        <w:rPr>
          <w:noProof/>
        </w:rPr>
        <w:t xml:space="preserve">result in </w:t>
      </w:r>
      <w:r w:rsidR="2853EC81">
        <w:rPr>
          <w:noProof/>
        </w:rPr>
        <w:t xml:space="preserve">undertakings classified as innovative enterprises, </w:t>
      </w:r>
      <w:r w:rsidR="2056D231">
        <w:rPr>
          <w:noProof/>
        </w:rPr>
        <w:t xml:space="preserve">innovative </w:t>
      </w:r>
      <w:r w:rsidR="2853EC81">
        <w:rPr>
          <w:noProof/>
        </w:rPr>
        <w:t xml:space="preserve">startups or </w:t>
      </w:r>
      <w:r w:rsidR="2056D231">
        <w:rPr>
          <w:noProof/>
        </w:rPr>
        <w:t xml:space="preserve">innovative </w:t>
      </w:r>
      <w:r w:rsidR="2853EC81">
        <w:rPr>
          <w:noProof/>
        </w:rPr>
        <w:t xml:space="preserve">scaleups in one Member State not qualifying for comparable support schemes in another Member State, thereby restricting cross-border activities and expansion within the </w:t>
      </w:r>
      <w:r w:rsidR="0203A449">
        <w:rPr>
          <w:noProof/>
        </w:rPr>
        <w:t>s</w:t>
      </w:r>
      <w:r w:rsidR="2853EC81">
        <w:rPr>
          <w:noProof/>
        </w:rPr>
        <w:t xml:space="preserve">ingle </w:t>
      </w:r>
      <w:r w:rsidR="0203A449">
        <w:rPr>
          <w:noProof/>
        </w:rPr>
        <w:t>m</w:t>
      </w:r>
      <w:r w:rsidR="2853EC81">
        <w:rPr>
          <w:noProof/>
        </w:rPr>
        <w:t xml:space="preserve">arket. Such legal uncertainty may </w:t>
      </w:r>
      <w:r w:rsidR="1F4AEFCA">
        <w:rPr>
          <w:noProof/>
        </w:rPr>
        <w:t xml:space="preserve">be one among many reasons </w:t>
      </w:r>
      <w:r w:rsidR="2853EC81">
        <w:rPr>
          <w:noProof/>
        </w:rPr>
        <w:t>discourag</w:t>
      </w:r>
      <w:r w:rsidR="3F3865E1">
        <w:rPr>
          <w:noProof/>
        </w:rPr>
        <w:t>ing</w:t>
      </w:r>
      <w:r w:rsidR="2853EC81">
        <w:rPr>
          <w:noProof/>
        </w:rPr>
        <w:t xml:space="preserve"> </w:t>
      </w:r>
      <w:r w:rsidR="3192CDA3">
        <w:rPr>
          <w:noProof/>
        </w:rPr>
        <w:t xml:space="preserve">the </w:t>
      </w:r>
      <w:r w:rsidR="2853EC81">
        <w:rPr>
          <w:noProof/>
        </w:rPr>
        <w:t xml:space="preserve">enterprises </w:t>
      </w:r>
      <w:r w:rsidR="3192CDA3">
        <w:rPr>
          <w:noProof/>
        </w:rPr>
        <w:t xml:space="preserve">concerned </w:t>
      </w:r>
      <w:r w:rsidR="2853EC81">
        <w:rPr>
          <w:noProof/>
        </w:rPr>
        <w:t>from operating or relocating across Member States</w:t>
      </w:r>
      <w:r w:rsidR="599E54F7">
        <w:rPr>
          <w:noProof/>
        </w:rPr>
        <w:t>.</w:t>
      </w:r>
      <w:r w:rsidR="13AB9BB6">
        <w:rPr>
          <w:noProof/>
        </w:rPr>
        <w:t xml:space="preserve"> </w:t>
      </w:r>
      <w:r w:rsidR="599E54F7">
        <w:rPr>
          <w:noProof/>
        </w:rPr>
        <w:t>Following the logic of an EU single market without internal borders,</w:t>
      </w:r>
      <w:r w:rsidR="62ED4296">
        <w:rPr>
          <w:noProof/>
        </w:rPr>
        <w:t xml:space="preserve"> and ensuring that the Union institutions and the Member States can base themselves on a consistent reference,</w:t>
      </w:r>
      <w:r w:rsidR="599E54F7">
        <w:rPr>
          <w:noProof/>
        </w:rPr>
        <w:t xml:space="preserve"> the use of common </w:t>
      </w:r>
      <w:r w:rsidR="56A080DF">
        <w:rPr>
          <w:noProof/>
        </w:rPr>
        <w:t>definitions</w:t>
      </w:r>
      <w:r w:rsidR="599E54F7">
        <w:rPr>
          <w:noProof/>
        </w:rPr>
        <w:t xml:space="preserve"> </w:t>
      </w:r>
      <w:r w:rsidR="6BB5E942">
        <w:rPr>
          <w:noProof/>
        </w:rPr>
        <w:t xml:space="preserve">of </w:t>
      </w:r>
      <w:r w:rsidR="2A45A5AD">
        <w:rPr>
          <w:noProof/>
        </w:rPr>
        <w:t xml:space="preserve">innovative enterprises, </w:t>
      </w:r>
      <w:r w:rsidR="33FD0963">
        <w:rPr>
          <w:noProof/>
        </w:rPr>
        <w:t xml:space="preserve">innovative </w:t>
      </w:r>
      <w:r w:rsidR="2A45A5AD">
        <w:rPr>
          <w:noProof/>
        </w:rPr>
        <w:t xml:space="preserve">startups and </w:t>
      </w:r>
      <w:r w:rsidR="33FD0963">
        <w:rPr>
          <w:noProof/>
        </w:rPr>
        <w:t>innovative</w:t>
      </w:r>
      <w:r w:rsidR="2A45A5AD">
        <w:rPr>
          <w:noProof/>
        </w:rPr>
        <w:t xml:space="preserve"> scaleups</w:t>
      </w:r>
      <w:r w:rsidR="599E54F7">
        <w:rPr>
          <w:noProof/>
        </w:rPr>
        <w:t xml:space="preserve"> would help to ensure a level playing field in the treatment of enterprises across the U</w:t>
      </w:r>
      <w:r>
        <w:rPr>
          <w:noProof/>
        </w:rPr>
        <w:t>nion</w:t>
      </w:r>
      <w:r w:rsidR="2A45A5AD">
        <w:rPr>
          <w:noProof/>
        </w:rPr>
        <w:t>.</w:t>
      </w:r>
      <w:r w:rsidR="73E88802">
        <w:rPr>
          <w:noProof/>
        </w:rPr>
        <w:t xml:space="preserve"> </w:t>
      </w:r>
    </w:p>
    <w:p w:rsidR="001979DE" w:rsidRPr="00273B14" w:rsidRDefault="75E961D3" w:rsidP="008E7E75">
      <w:pPr>
        <w:pStyle w:val="ManualConsidrant"/>
        <w:rPr>
          <w:noProof/>
        </w:rPr>
      </w:pPr>
      <w:r>
        <w:rPr>
          <w:noProof/>
        </w:rPr>
        <w:t>(7)</w:t>
      </w:r>
      <w:r>
        <w:rPr>
          <w:noProof/>
        </w:rPr>
        <w:tab/>
      </w:r>
      <w:r w:rsidRPr="00273B14">
        <w:rPr>
          <w:noProof/>
        </w:rPr>
        <w:t xml:space="preserve">Common definitions are </w:t>
      </w:r>
      <w:r w:rsidR="5DE615FD" w:rsidRPr="00273B14">
        <w:rPr>
          <w:noProof/>
        </w:rPr>
        <w:t xml:space="preserve">also </w:t>
      </w:r>
      <w:r w:rsidR="297691AD" w:rsidRPr="00273B14">
        <w:rPr>
          <w:noProof/>
        </w:rPr>
        <w:t xml:space="preserve">necessary </w:t>
      </w:r>
      <w:r w:rsidRPr="00273B14">
        <w:rPr>
          <w:noProof/>
        </w:rPr>
        <w:t xml:space="preserve">in view of the extensive interaction between national and Union measures assisting innovative enterprises, </w:t>
      </w:r>
      <w:r w:rsidR="20F217E3">
        <w:rPr>
          <w:noProof/>
        </w:rPr>
        <w:t xml:space="preserve">innovative </w:t>
      </w:r>
      <w:r w:rsidRPr="00273B14">
        <w:rPr>
          <w:noProof/>
        </w:rPr>
        <w:t xml:space="preserve">startups and </w:t>
      </w:r>
      <w:r w:rsidR="20F217E3">
        <w:rPr>
          <w:noProof/>
        </w:rPr>
        <w:t xml:space="preserve">innovative </w:t>
      </w:r>
      <w:r w:rsidRPr="00273B14">
        <w:rPr>
          <w:noProof/>
        </w:rPr>
        <w:t>scaleups. In addition, the application of the same definition by the Commission, the Member States, the European Investment Bank (EIB) and the European Investment Fund (EIF) would improve the</w:t>
      </w:r>
      <w:r w:rsidR="054AC32E" w:rsidRPr="00273B14">
        <w:rPr>
          <w:noProof/>
        </w:rPr>
        <w:t xml:space="preserve"> alignment, </w:t>
      </w:r>
      <w:r w:rsidRPr="00273B14">
        <w:rPr>
          <w:noProof/>
        </w:rPr>
        <w:t xml:space="preserve">consistency and effectiveness of policies targeting innovative enterprises, </w:t>
      </w:r>
      <w:r w:rsidR="20F217E3">
        <w:rPr>
          <w:noProof/>
        </w:rPr>
        <w:t xml:space="preserve">innovative </w:t>
      </w:r>
      <w:r w:rsidRPr="00273B14">
        <w:rPr>
          <w:noProof/>
        </w:rPr>
        <w:t xml:space="preserve">startups and </w:t>
      </w:r>
      <w:r w:rsidR="20F217E3">
        <w:rPr>
          <w:noProof/>
        </w:rPr>
        <w:t xml:space="preserve">innovative </w:t>
      </w:r>
      <w:r w:rsidRPr="00273B14">
        <w:rPr>
          <w:noProof/>
        </w:rPr>
        <w:t>scaleups and would, therefore, limit the risk of distortion of competition</w:t>
      </w:r>
      <w:r w:rsidR="4DDCC842" w:rsidRPr="00273B14">
        <w:rPr>
          <w:noProof/>
        </w:rPr>
        <w:t xml:space="preserve"> related to inequal access to public support</w:t>
      </w:r>
      <w:r w:rsidR="21462D17">
        <w:rPr>
          <w:noProof/>
        </w:rPr>
        <w:t>.</w:t>
      </w:r>
      <w:r w:rsidR="00330B87">
        <w:rPr>
          <w:rStyle w:val="FootnoteReference"/>
          <w:noProof/>
        </w:rPr>
        <w:footnoteReference w:id="5"/>
      </w:r>
    </w:p>
    <w:p w:rsidR="001979DE" w:rsidRPr="00021447" w:rsidRDefault="75E961D3" w:rsidP="008E7E75">
      <w:pPr>
        <w:pStyle w:val="ManualConsidrant"/>
        <w:rPr>
          <w:noProof/>
        </w:rPr>
      </w:pPr>
      <w:r>
        <w:rPr>
          <w:noProof/>
        </w:rPr>
        <w:t>(8)</w:t>
      </w:r>
      <w:r>
        <w:rPr>
          <w:noProof/>
        </w:rPr>
        <w:tab/>
        <w:t xml:space="preserve">The </w:t>
      </w:r>
      <w:r w:rsidR="5A4DDC57">
        <w:rPr>
          <w:noProof/>
        </w:rPr>
        <w:t xml:space="preserve">Commission </w:t>
      </w:r>
      <w:r>
        <w:rPr>
          <w:noProof/>
        </w:rPr>
        <w:t xml:space="preserve">has already established definitions enabling the classification of enterprises by size, distinguishing small and medium-sized enterprises </w:t>
      </w:r>
      <w:r w:rsidR="78EA3D66">
        <w:rPr>
          <w:noProof/>
        </w:rPr>
        <w:t>(SMEs)</w:t>
      </w:r>
      <w:r w:rsidR="17EE0936">
        <w:rPr>
          <w:noProof/>
        </w:rPr>
        <w:t xml:space="preserve">, </w:t>
      </w:r>
      <w:r w:rsidR="6A23BB9A">
        <w:rPr>
          <w:noProof/>
        </w:rPr>
        <w:t>s</w:t>
      </w:r>
      <w:r w:rsidR="17EE0936">
        <w:rPr>
          <w:noProof/>
        </w:rPr>
        <w:t xml:space="preserve">mall </w:t>
      </w:r>
      <w:r w:rsidR="11952E25">
        <w:rPr>
          <w:noProof/>
        </w:rPr>
        <w:t>mid-caps</w:t>
      </w:r>
      <w:r w:rsidR="1E8D8BBB">
        <w:rPr>
          <w:noProof/>
        </w:rPr>
        <w:t xml:space="preserve"> (SMC</w:t>
      </w:r>
      <w:r w:rsidR="3358164D">
        <w:rPr>
          <w:noProof/>
        </w:rPr>
        <w:t>s</w:t>
      </w:r>
      <w:r w:rsidR="1E8D8BBB">
        <w:rPr>
          <w:noProof/>
        </w:rPr>
        <w:t>)</w:t>
      </w:r>
      <w:r w:rsidR="17EE0936">
        <w:rPr>
          <w:noProof/>
        </w:rPr>
        <w:t xml:space="preserve"> and</w:t>
      </w:r>
      <w:r>
        <w:rPr>
          <w:noProof/>
        </w:rPr>
        <w:t xml:space="preserve"> large enterprises. The definitions of innovative enterprises, </w:t>
      </w:r>
      <w:r w:rsidR="20F217E3">
        <w:rPr>
          <w:noProof/>
        </w:rPr>
        <w:t xml:space="preserve">innovative </w:t>
      </w:r>
      <w:r>
        <w:rPr>
          <w:noProof/>
        </w:rPr>
        <w:t xml:space="preserve">startups and </w:t>
      </w:r>
      <w:r w:rsidR="20F217E3">
        <w:rPr>
          <w:noProof/>
        </w:rPr>
        <w:t>innovative</w:t>
      </w:r>
      <w:r w:rsidR="62D5BAF3">
        <w:rPr>
          <w:noProof/>
        </w:rPr>
        <w:t xml:space="preserve"> </w:t>
      </w:r>
      <w:r>
        <w:rPr>
          <w:noProof/>
        </w:rPr>
        <w:t xml:space="preserve">scaleups </w:t>
      </w:r>
      <w:r w:rsidR="78EA3D66">
        <w:rPr>
          <w:noProof/>
        </w:rPr>
        <w:t xml:space="preserve">should </w:t>
      </w:r>
      <w:r>
        <w:rPr>
          <w:noProof/>
        </w:rPr>
        <w:t>not in any way call into question th</w:t>
      </w:r>
      <w:r w:rsidR="78EA3D66">
        <w:rPr>
          <w:noProof/>
        </w:rPr>
        <w:t>o</w:t>
      </w:r>
      <w:r>
        <w:rPr>
          <w:noProof/>
        </w:rPr>
        <w:t xml:space="preserve">se established classifications. Where relevant, the definitions of innovative enterprises, </w:t>
      </w:r>
      <w:r w:rsidR="20F217E3">
        <w:rPr>
          <w:noProof/>
        </w:rPr>
        <w:t xml:space="preserve">innovative </w:t>
      </w:r>
      <w:r>
        <w:rPr>
          <w:noProof/>
        </w:rPr>
        <w:t xml:space="preserve">startups and </w:t>
      </w:r>
      <w:r w:rsidR="20F217E3">
        <w:rPr>
          <w:noProof/>
        </w:rPr>
        <w:t xml:space="preserve">innovative </w:t>
      </w:r>
      <w:r>
        <w:rPr>
          <w:noProof/>
        </w:rPr>
        <w:t>scaleups should build upon the established criteria for SMEs</w:t>
      </w:r>
      <w:r w:rsidR="2A3C4D62">
        <w:rPr>
          <w:noProof/>
        </w:rPr>
        <w:t xml:space="preserve"> and SMCs</w:t>
      </w:r>
      <w:r>
        <w:rPr>
          <w:noProof/>
        </w:rPr>
        <w:t>, including size thresholds and structural characteristics.</w:t>
      </w:r>
    </w:p>
    <w:p w:rsidR="001979DE" w:rsidRPr="00021447" w:rsidRDefault="4F2AD5B6" w:rsidP="008E7E75">
      <w:pPr>
        <w:pStyle w:val="ManualConsidrant"/>
        <w:rPr>
          <w:noProof/>
        </w:rPr>
      </w:pPr>
      <w:r>
        <w:rPr>
          <w:noProof/>
        </w:rPr>
        <w:t>(9)</w:t>
      </w:r>
      <w:r>
        <w:rPr>
          <w:noProof/>
        </w:rPr>
        <w:tab/>
        <w:t>To ensure they serve the intended purposes</w:t>
      </w:r>
      <w:r w:rsidR="75E961D3">
        <w:rPr>
          <w:noProof/>
        </w:rPr>
        <w:t>, th</w:t>
      </w:r>
      <w:r w:rsidR="777FE9F8">
        <w:rPr>
          <w:noProof/>
        </w:rPr>
        <w:t>os</w:t>
      </w:r>
      <w:r w:rsidR="75E961D3">
        <w:rPr>
          <w:noProof/>
        </w:rPr>
        <w:t xml:space="preserve">e definitions should reflect the distinctive features of </w:t>
      </w:r>
      <w:r w:rsidR="5A885D89" w:rsidRPr="1C4CDCDC">
        <w:rPr>
          <w:noProof/>
          <w:lang w:val="en-IE"/>
        </w:rPr>
        <w:t xml:space="preserve">a very specific cluster of </w:t>
      </w:r>
      <w:r w:rsidR="73161707" w:rsidRPr="1C4CDCDC">
        <w:rPr>
          <w:noProof/>
          <w:lang w:val="en-IE"/>
        </w:rPr>
        <w:t>enterprises</w:t>
      </w:r>
      <w:r w:rsidR="5A885D89" w:rsidRPr="1C4CDCDC">
        <w:rPr>
          <w:noProof/>
          <w:lang w:val="en-IE"/>
        </w:rPr>
        <w:t xml:space="preserve">, namely </w:t>
      </w:r>
      <w:r w:rsidR="75E961D3">
        <w:rPr>
          <w:noProof/>
        </w:rPr>
        <w:t xml:space="preserve">innovative enterprises, </w:t>
      </w:r>
      <w:r w:rsidR="20F217E3">
        <w:rPr>
          <w:noProof/>
        </w:rPr>
        <w:t xml:space="preserve">innovative </w:t>
      </w:r>
      <w:r w:rsidR="75E961D3">
        <w:rPr>
          <w:noProof/>
        </w:rPr>
        <w:t xml:space="preserve">startups and </w:t>
      </w:r>
      <w:r w:rsidR="20F217E3">
        <w:rPr>
          <w:noProof/>
        </w:rPr>
        <w:t xml:space="preserve">innovative </w:t>
      </w:r>
      <w:r w:rsidR="75E961D3">
        <w:rPr>
          <w:noProof/>
        </w:rPr>
        <w:t>scaleups and build on objective criteria and thresholds. It is therefore necessary to base th</w:t>
      </w:r>
      <w:r w:rsidR="765DCA79">
        <w:rPr>
          <w:noProof/>
        </w:rPr>
        <w:t>o</w:t>
      </w:r>
      <w:r w:rsidR="75E961D3">
        <w:rPr>
          <w:noProof/>
        </w:rPr>
        <w:t>se definitions on easily applicable criteria</w:t>
      </w:r>
      <w:r w:rsidR="765DCA79">
        <w:rPr>
          <w:noProof/>
        </w:rPr>
        <w:t>,</w:t>
      </w:r>
      <w:r w:rsidR="75E961D3">
        <w:rPr>
          <w:noProof/>
        </w:rPr>
        <w:t xml:space="preserve"> such as investments in innovation activities, age, size or growt</w:t>
      </w:r>
      <w:r w:rsidR="639F866B">
        <w:rPr>
          <w:noProof/>
        </w:rPr>
        <w:t>h.</w:t>
      </w:r>
      <w:r w:rsidR="75E961D3">
        <w:rPr>
          <w:noProof/>
        </w:rPr>
        <w:t xml:space="preserve"> </w:t>
      </w:r>
    </w:p>
    <w:p w:rsidR="001979DE" w:rsidRPr="00021447" w:rsidRDefault="75E961D3" w:rsidP="008E7E75">
      <w:pPr>
        <w:pStyle w:val="ManualConsidrant"/>
        <w:rPr>
          <w:noProof/>
        </w:rPr>
      </w:pPr>
      <w:r>
        <w:rPr>
          <w:noProof/>
        </w:rPr>
        <w:t>(10)</w:t>
      </w:r>
      <w:r>
        <w:rPr>
          <w:noProof/>
        </w:rPr>
        <w:tab/>
        <w:t xml:space="preserve">In accordance with </w:t>
      </w:r>
      <w:r w:rsidR="329F0779">
        <w:rPr>
          <w:noProof/>
        </w:rPr>
        <w:t xml:space="preserve">widely used </w:t>
      </w:r>
      <w:r w:rsidR="7762862F">
        <w:rPr>
          <w:noProof/>
        </w:rPr>
        <w:t xml:space="preserve">international classifications, </w:t>
      </w:r>
      <w:r w:rsidR="09AC7652">
        <w:rPr>
          <w:noProof/>
        </w:rPr>
        <w:t>‘</w:t>
      </w:r>
      <w:r>
        <w:rPr>
          <w:noProof/>
        </w:rPr>
        <w:t>innovation</w:t>
      </w:r>
      <w:r w:rsidR="09AC7652">
        <w:rPr>
          <w:noProof/>
        </w:rPr>
        <w:t>’</w:t>
      </w:r>
      <w:r>
        <w:rPr>
          <w:noProof/>
        </w:rPr>
        <w:t xml:space="preserve"> </w:t>
      </w:r>
      <w:r w:rsidR="7762862F">
        <w:rPr>
          <w:noProof/>
        </w:rPr>
        <w:t xml:space="preserve">should be </w:t>
      </w:r>
      <w:r>
        <w:rPr>
          <w:noProof/>
        </w:rPr>
        <w:t xml:space="preserve">defined as a new or improved product, service or process that significantly differs from previous iterations and is made available to potential users.  </w:t>
      </w:r>
    </w:p>
    <w:p w:rsidR="001979DE" w:rsidRPr="00021447" w:rsidRDefault="75E961D3" w:rsidP="008E7E75">
      <w:pPr>
        <w:pStyle w:val="ManualConsidrant"/>
        <w:rPr>
          <w:noProof/>
        </w:rPr>
      </w:pPr>
      <w:r>
        <w:rPr>
          <w:noProof/>
        </w:rPr>
        <w:t>(11)</w:t>
      </w:r>
      <w:r>
        <w:rPr>
          <w:noProof/>
        </w:rPr>
        <w:tab/>
      </w:r>
      <w:r w:rsidRPr="00021447">
        <w:rPr>
          <w:noProof/>
        </w:rPr>
        <w:t xml:space="preserve">Innovation activities can be evidenced by </w:t>
      </w:r>
      <w:r w:rsidRPr="00273B14">
        <w:rPr>
          <w:noProof/>
        </w:rPr>
        <w:t>R&amp;D</w:t>
      </w:r>
      <w:r w:rsidRPr="00021447">
        <w:rPr>
          <w:noProof/>
        </w:rPr>
        <w:t xml:space="preserve"> efforts, which correspond to organised and deliberate activities aimed at generating new knowledge, and developing new or improved products, services and processes. R&amp;D activities </w:t>
      </w:r>
      <w:r w:rsidR="15D9EF94" w:rsidRPr="00273B14">
        <w:rPr>
          <w:noProof/>
        </w:rPr>
        <w:t>should be</w:t>
      </w:r>
      <w:r w:rsidR="15D9EF94" w:rsidRPr="00021447">
        <w:rPr>
          <w:noProof/>
        </w:rPr>
        <w:t xml:space="preserve"> </w:t>
      </w:r>
      <w:r w:rsidRPr="00021447">
        <w:rPr>
          <w:noProof/>
        </w:rPr>
        <w:t>defined in accordance with</w:t>
      </w:r>
      <w:r w:rsidR="07C12776" w:rsidRPr="00021447">
        <w:rPr>
          <w:noProof/>
        </w:rPr>
        <w:t xml:space="preserve"> </w:t>
      </w:r>
      <w:r w:rsidR="07C12776" w:rsidRPr="00273B14">
        <w:rPr>
          <w:noProof/>
        </w:rPr>
        <w:t>widely used international classifications</w:t>
      </w:r>
      <w:r w:rsidR="001979DE" w:rsidRPr="00273B14">
        <w:rPr>
          <w:rStyle w:val="FootnoteReference"/>
          <w:noProof/>
        </w:rPr>
        <w:footnoteReference w:id="6"/>
      </w:r>
      <w:r w:rsidR="2E4695BA" w:rsidRPr="00273B14">
        <w:rPr>
          <w:noProof/>
        </w:rPr>
        <w:t xml:space="preserve"> and Union rules</w:t>
      </w:r>
      <w:r w:rsidRPr="00021447">
        <w:rPr>
          <w:noProof/>
        </w:rPr>
        <w:t xml:space="preserve">. </w:t>
      </w:r>
      <w:r w:rsidRPr="00273B14">
        <w:rPr>
          <w:noProof/>
        </w:rPr>
        <w:t>The strategic commitment of an enterprise to R&amp;D activities can be evidenced by the resources invested in th</w:t>
      </w:r>
      <w:r w:rsidR="15D9EF94" w:rsidRPr="00273B14">
        <w:rPr>
          <w:noProof/>
        </w:rPr>
        <w:t>o</w:t>
      </w:r>
      <w:r w:rsidRPr="00273B14">
        <w:rPr>
          <w:noProof/>
        </w:rPr>
        <w:t xml:space="preserve">se activities either as a proportion of operating costs or as a proportion of revenues, commonly referred </w:t>
      </w:r>
      <w:r w:rsidR="30387C73">
        <w:rPr>
          <w:noProof/>
        </w:rPr>
        <w:t xml:space="preserve">to </w:t>
      </w:r>
      <w:r w:rsidRPr="00273B14">
        <w:rPr>
          <w:noProof/>
        </w:rPr>
        <w:t xml:space="preserve">as R&amp;D intensity. </w:t>
      </w:r>
    </w:p>
    <w:p w:rsidR="001979DE" w:rsidRPr="00021447" w:rsidRDefault="75E961D3" w:rsidP="008E7E75">
      <w:pPr>
        <w:pStyle w:val="ManualConsidrant"/>
        <w:rPr>
          <w:noProof/>
        </w:rPr>
      </w:pPr>
      <w:r>
        <w:rPr>
          <w:noProof/>
        </w:rPr>
        <w:t>(12)</w:t>
      </w:r>
      <w:r>
        <w:rPr>
          <w:noProof/>
        </w:rPr>
        <w:tab/>
        <w:t>An enterprise may be innovative even if it does not invest in R&amp;D activities. Therefore, a</w:t>
      </w:r>
      <w:r w:rsidR="73161707">
        <w:rPr>
          <w:noProof/>
        </w:rPr>
        <w:t>n</w:t>
      </w:r>
      <w:r>
        <w:rPr>
          <w:noProof/>
        </w:rPr>
        <w:t xml:space="preserve"> </w:t>
      </w:r>
      <w:r w:rsidR="73161707">
        <w:rPr>
          <w:noProof/>
        </w:rPr>
        <w:t>enterprise</w:t>
      </w:r>
      <w:r>
        <w:rPr>
          <w:noProof/>
        </w:rPr>
        <w:t xml:space="preserve"> should also be considered innovative if it can demonstrate that it has, in the last three years, developed</w:t>
      </w:r>
      <w:r w:rsidR="4613F11B">
        <w:rPr>
          <w:noProof/>
        </w:rPr>
        <w:t xml:space="preserve">, </w:t>
      </w:r>
      <w:r>
        <w:rPr>
          <w:noProof/>
        </w:rPr>
        <w:t xml:space="preserve">is developing </w:t>
      </w:r>
      <w:r w:rsidR="4613F11B">
        <w:rPr>
          <w:noProof/>
        </w:rPr>
        <w:t xml:space="preserve">or will in the foreseeable future develop </w:t>
      </w:r>
      <w:r>
        <w:rPr>
          <w:noProof/>
        </w:rPr>
        <w:t>products, services or business processes with a view to commercialisation, which are new or substantially improved compared to the state of the art in its industry, and which carry a risk of technological or industrial failure</w:t>
      </w:r>
      <w:r w:rsidR="4AE2037A">
        <w:rPr>
          <w:noProof/>
        </w:rPr>
        <w:t>.</w:t>
      </w:r>
    </w:p>
    <w:p w:rsidR="001979DE" w:rsidRPr="00273B14" w:rsidRDefault="3E73F524" w:rsidP="008E7E75">
      <w:pPr>
        <w:pStyle w:val="ManualConsidrant"/>
        <w:rPr>
          <w:noProof/>
        </w:rPr>
      </w:pPr>
      <w:r>
        <w:rPr>
          <w:noProof/>
        </w:rPr>
        <w:t>(13)</w:t>
      </w:r>
      <w:r>
        <w:rPr>
          <w:noProof/>
        </w:rPr>
        <w:tab/>
        <w:t>Innovative s</w:t>
      </w:r>
      <w:r w:rsidR="75E961D3">
        <w:rPr>
          <w:noProof/>
        </w:rPr>
        <w:t xml:space="preserve">tartups and </w:t>
      </w:r>
      <w:r>
        <w:rPr>
          <w:noProof/>
        </w:rPr>
        <w:t xml:space="preserve">innovative </w:t>
      </w:r>
      <w:r w:rsidR="75E961D3">
        <w:rPr>
          <w:noProof/>
        </w:rPr>
        <w:t xml:space="preserve">scaleups should be defined as a subset of innovative enterprise, because innovation is the core distinguishing feature that </w:t>
      </w:r>
      <w:r w:rsidR="72624232">
        <w:rPr>
          <w:noProof/>
        </w:rPr>
        <w:t xml:space="preserve">may </w:t>
      </w:r>
      <w:r w:rsidR="125965C2">
        <w:rPr>
          <w:noProof/>
        </w:rPr>
        <w:t xml:space="preserve">justify </w:t>
      </w:r>
      <w:r w:rsidR="75E961D3">
        <w:rPr>
          <w:noProof/>
        </w:rPr>
        <w:t>differentiated policy treatment, targeted public support, and regulatory facilitation, separating them from ordinary new or fast-growing firms that expand without generating novel products, services, technologies or business models.</w:t>
      </w:r>
    </w:p>
    <w:p w:rsidR="001979DE" w:rsidRPr="00273B14" w:rsidRDefault="3E73F524" w:rsidP="008E7E75">
      <w:pPr>
        <w:pStyle w:val="ManualConsidrant"/>
        <w:rPr>
          <w:noProof/>
        </w:rPr>
      </w:pPr>
      <w:r>
        <w:rPr>
          <w:noProof/>
        </w:rPr>
        <w:t>(14)</w:t>
      </w:r>
      <w:r>
        <w:rPr>
          <w:noProof/>
        </w:rPr>
        <w:tab/>
        <w:t>Innovative s</w:t>
      </w:r>
      <w:r w:rsidR="75E961D3" w:rsidRPr="00021447">
        <w:rPr>
          <w:noProof/>
        </w:rPr>
        <w:t xml:space="preserve">tartups should be defined </w:t>
      </w:r>
      <w:r w:rsidR="75E961D3" w:rsidRPr="00273B14">
        <w:rPr>
          <w:noProof/>
        </w:rPr>
        <w:t xml:space="preserve">using criteria that reflect their innovative nature, combined with size and age limits. In order to ensure </w:t>
      </w:r>
      <w:r w:rsidR="7FF027B5" w:rsidRPr="00273B14">
        <w:rPr>
          <w:noProof/>
        </w:rPr>
        <w:t xml:space="preserve">as much </w:t>
      </w:r>
      <w:r w:rsidR="75E961D3" w:rsidRPr="00273B14">
        <w:rPr>
          <w:noProof/>
        </w:rPr>
        <w:t>consistenc</w:t>
      </w:r>
      <w:r w:rsidR="75E961D3" w:rsidRPr="00021447">
        <w:rPr>
          <w:noProof/>
        </w:rPr>
        <w:t>y</w:t>
      </w:r>
      <w:r w:rsidR="7FF027B5" w:rsidRPr="00021447">
        <w:rPr>
          <w:noProof/>
        </w:rPr>
        <w:t xml:space="preserve"> </w:t>
      </w:r>
      <w:r w:rsidR="7FF027B5" w:rsidRPr="00273B14">
        <w:rPr>
          <w:noProof/>
        </w:rPr>
        <w:t>as possible</w:t>
      </w:r>
      <w:r w:rsidR="75E961D3" w:rsidRPr="00273B14">
        <w:rPr>
          <w:noProof/>
        </w:rPr>
        <w:t xml:space="preserve"> </w:t>
      </w:r>
      <w:r w:rsidR="75E961D3" w:rsidRPr="00021447">
        <w:rPr>
          <w:noProof/>
        </w:rPr>
        <w:t xml:space="preserve">with </w:t>
      </w:r>
      <w:bookmarkStart w:id="5" w:name="_Hlk222157040"/>
      <w:r w:rsidR="75E961D3" w:rsidRPr="00021447">
        <w:rPr>
          <w:noProof/>
        </w:rPr>
        <w:t>Commission Recommendation 2003/361/EC</w:t>
      </w:r>
      <w:r w:rsidR="00112069" w:rsidRPr="00273B14">
        <w:rPr>
          <w:rStyle w:val="FootnoteReference"/>
          <w:noProof/>
        </w:rPr>
        <w:footnoteReference w:id="7"/>
      </w:r>
      <w:r w:rsidR="75E961D3" w:rsidRPr="00273B14">
        <w:rPr>
          <w:noProof/>
        </w:rPr>
        <w:t xml:space="preserve">, </w:t>
      </w:r>
      <w:r w:rsidR="23FD9AAE" w:rsidRPr="00273B14">
        <w:rPr>
          <w:noProof/>
        </w:rPr>
        <w:t xml:space="preserve">the </w:t>
      </w:r>
      <w:r w:rsidR="7E945EF5" w:rsidRPr="006C692D">
        <w:rPr>
          <w:noProof/>
        </w:rPr>
        <w:t xml:space="preserve">balance sheet total </w:t>
      </w:r>
      <w:r w:rsidR="23FD9AAE" w:rsidRPr="00021447">
        <w:rPr>
          <w:noProof/>
        </w:rPr>
        <w:t xml:space="preserve">and turnover </w:t>
      </w:r>
      <w:r w:rsidR="23FD9AAE" w:rsidRPr="00273B14">
        <w:rPr>
          <w:noProof/>
        </w:rPr>
        <w:t xml:space="preserve">criteria for </w:t>
      </w:r>
      <w:r w:rsidR="75E961D3" w:rsidRPr="00273B14">
        <w:rPr>
          <w:noProof/>
        </w:rPr>
        <w:t xml:space="preserve">a small enterprise </w:t>
      </w:r>
      <w:r w:rsidR="23FD9AAE" w:rsidRPr="00273B14">
        <w:rPr>
          <w:noProof/>
        </w:rPr>
        <w:t xml:space="preserve">laid down </w:t>
      </w:r>
      <w:r w:rsidR="75E961D3" w:rsidRPr="00273B14">
        <w:rPr>
          <w:noProof/>
        </w:rPr>
        <w:t xml:space="preserve">in </w:t>
      </w:r>
      <w:r w:rsidR="75E961D3" w:rsidRPr="00021447">
        <w:rPr>
          <w:noProof/>
        </w:rPr>
        <w:t>Recommendation 2003/361/EC</w:t>
      </w:r>
      <w:r w:rsidR="37983307" w:rsidRPr="00273B14">
        <w:rPr>
          <w:noProof/>
        </w:rPr>
        <w:t xml:space="preserve"> should apply for the definition of a</w:t>
      </w:r>
      <w:r>
        <w:rPr>
          <w:noProof/>
        </w:rPr>
        <w:t>n innovative</w:t>
      </w:r>
      <w:r w:rsidR="37983307" w:rsidRPr="00273B14">
        <w:rPr>
          <w:noProof/>
        </w:rPr>
        <w:t xml:space="preserve"> start</w:t>
      </w:r>
      <w:r w:rsidR="7D5C53B7" w:rsidRPr="00273B14">
        <w:rPr>
          <w:noProof/>
        </w:rPr>
        <w:t>up</w:t>
      </w:r>
      <w:r w:rsidR="75E961D3" w:rsidRPr="00021447">
        <w:rPr>
          <w:noProof/>
        </w:rPr>
        <w:t xml:space="preserve">. </w:t>
      </w:r>
      <w:bookmarkEnd w:id="5"/>
      <w:r w:rsidR="75E961D3" w:rsidRPr="00021447">
        <w:rPr>
          <w:noProof/>
        </w:rPr>
        <w:t xml:space="preserve">However, in terms of the number of persons employed, it is more appropriate to set the </w:t>
      </w:r>
      <w:r w:rsidR="75E961D3" w:rsidRPr="00273B14">
        <w:rPr>
          <w:noProof/>
        </w:rPr>
        <w:t xml:space="preserve">maximum number of persons employed to </w:t>
      </w:r>
      <w:r w:rsidR="50ECB761" w:rsidRPr="00273B14">
        <w:rPr>
          <w:noProof/>
        </w:rPr>
        <w:t>99</w:t>
      </w:r>
      <w:r w:rsidR="75E961D3" w:rsidRPr="00273B14">
        <w:rPr>
          <w:noProof/>
        </w:rPr>
        <w:t xml:space="preserve">, </w:t>
      </w:r>
      <w:r w:rsidR="55D3FF6C" w:rsidRPr="00273B14">
        <w:rPr>
          <w:noProof/>
        </w:rPr>
        <w:t xml:space="preserve">as this may allow </w:t>
      </w:r>
      <w:r w:rsidR="75E961D3" w:rsidRPr="00273B14">
        <w:rPr>
          <w:noProof/>
        </w:rPr>
        <w:t xml:space="preserve">many </w:t>
      </w:r>
      <w:r>
        <w:rPr>
          <w:noProof/>
        </w:rPr>
        <w:t xml:space="preserve">innovative </w:t>
      </w:r>
      <w:r w:rsidR="75E961D3" w:rsidRPr="00273B14">
        <w:rPr>
          <w:noProof/>
        </w:rPr>
        <w:t>startups, particularly in deep</w:t>
      </w:r>
      <w:r w:rsidR="0C253300">
        <w:rPr>
          <w:noProof/>
        </w:rPr>
        <w:t xml:space="preserve"> </w:t>
      </w:r>
      <w:r w:rsidR="75E961D3" w:rsidRPr="00273B14">
        <w:rPr>
          <w:noProof/>
        </w:rPr>
        <w:t>tech and scale</w:t>
      </w:r>
      <w:r w:rsidR="0C253300">
        <w:rPr>
          <w:noProof/>
        </w:rPr>
        <w:t xml:space="preserve"> </w:t>
      </w:r>
      <w:r w:rsidR="75E961D3" w:rsidRPr="00273B14">
        <w:rPr>
          <w:noProof/>
        </w:rPr>
        <w:t>intensive sectors, to build larger multidisciplinary teams during their early growth phase.</w:t>
      </w:r>
      <w:r w:rsidR="75E961D3" w:rsidRPr="00021447">
        <w:rPr>
          <w:noProof/>
        </w:rPr>
        <w:t xml:space="preserve"> </w:t>
      </w:r>
      <w:r w:rsidR="75E961D3" w:rsidRPr="00273B14">
        <w:rPr>
          <w:noProof/>
        </w:rPr>
        <w:t xml:space="preserve">An age limit of ten years for </w:t>
      </w:r>
      <w:r>
        <w:rPr>
          <w:noProof/>
        </w:rPr>
        <w:t xml:space="preserve">innovative </w:t>
      </w:r>
      <w:r w:rsidR="75E961D3" w:rsidRPr="00273B14">
        <w:rPr>
          <w:noProof/>
        </w:rPr>
        <w:t>startups is appropriate to also ca</w:t>
      </w:r>
      <w:r w:rsidR="75E961D3" w:rsidRPr="00021447">
        <w:rPr>
          <w:noProof/>
        </w:rPr>
        <w:t xml:space="preserve">pture </w:t>
      </w:r>
      <w:r w:rsidR="75E961D3" w:rsidRPr="00273B14">
        <w:rPr>
          <w:noProof/>
        </w:rPr>
        <w:t>startups, in particular deep</w:t>
      </w:r>
      <w:r w:rsidR="05481475">
        <w:rPr>
          <w:noProof/>
        </w:rPr>
        <w:t xml:space="preserve"> </w:t>
      </w:r>
      <w:r w:rsidR="75E961D3" w:rsidRPr="00273B14">
        <w:rPr>
          <w:noProof/>
        </w:rPr>
        <w:t xml:space="preserve">tech startups, that </w:t>
      </w:r>
      <w:r w:rsidR="75E961D3" w:rsidRPr="00021447">
        <w:rPr>
          <w:noProof/>
        </w:rPr>
        <w:t xml:space="preserve">may require </w:t>
      </w:r>
      <w:r w:rsidR="75E961D3" w:rsidRPr="00273B14">
        <w:rPr>
          <w:noProof/>
        </w:rPr>
        <w:t>longer R&amp;D cycles, capital-intensive development phases, regulatory validation processes and delayed revenue generation.</w:t>
      </w:r>
    </w:p>
    <w:p w:rsidR="001979DE" w:rsidRPr="00021447" w:rsidRDefault="3E73F524" w:rsidP="008E7E75">
      <w:pPr>
        <w:pStyle w:val="ManualConsidrant"/>
        <w:rPr>
          <w:noProof/>
        </w:rPr>
      </w:pPr>
      <w:r>
        <w:rPr>
          <w:noProof/>
        </w:rPr>
        <w:t>(15)</w:t>
      </w:r>
      <w:r>
        <w:rPr>
          <w:noProof/>
        </w:rPr>
        <w:tab/>
        <w:t>Innovative</w:t>
      </w:r>
      <w:r w:rsidR="25F82616">
        <w:rPr>
          <w:noProof/>
        </w:rPr>
        <w:t xml:space="preserve"> s</w:t>
      </w:r>
      <w:r w:rsidR="75E961D3">
        <w:rPr>
          <w:noProof/>
        </w:rPr>
        <w:t xml:space="preserve">caleups should be defined using criteria that reflect their innovative nature, combined with size and growth dynamics, based on the </w:t>
      </w:r>
      <w:r w:rsidR="2C31D166">
        <w:rPr>
          <w:noProof/>
        </w:rPr>
        <w:t xml:space="preserve">rationale underlying </w:t>
      </w:r>
      <w:r w:rsidR="75E961D3">
        <w:rPr>
          <w:noProof/>
        </w:rPr>
        <w:t>the OECD quantitative definition of scalers</w:t>
      </w:r>
      <w:r w:rsidR="3C63D9C3">
        <w:rPr>
          <w:noProof/>
        </w:rPr>
        <w:t xml:space="preserve"> set out in widely used classifications</w:t>
      </w:r>
      <w:r w:rsidR="75E961D3">
        <w:rPr>
          <w:noProof/>
        </w:rPr>
        <w:t>.</w:t>
      </w:r>
      <w:r>
        <w:rPr>
          <w:noProof/>
        </w:rPr>
        <w:t xml:space="preserve"> </w:t>
      </w:r>
      <w:r w:rsidR="401A6EA5">
        <w:rPr>
          <w:noProof/>
        </w:rPr>
        <w:t>I</w:t>
      </w:r>
      <w:r w:rsidR="169E236F">
        <w:rPr>
          <w:noProof/>
        </w:rPr>
        <w:t xml:space="preserve">n order to distinguish </w:t>
      </w:r>
      <w:r w:rsidR="1C459B6A">
        <w:rPr>
          <w:noProof/>
        </w:rPr>
        <w:t>innovative scaleups</w:t>
      </w:r>
      <w:r w:rsidR="169E236F">
        <w:rPr>
          <w:noProof/>
        </w:rPr>
        <w:t xml:space="preserve"> from </w:t>
      </w:r>
      <w:r w:rsidR="566A94B7">
        <w:rPr>
          <w:noProof/>
        </w:rPr>
        <w:t>more</w:t>
      </w:r>
      <w:r w:rsidR="384CE5C8">
        <w:rPr>
          <w:noProof/>
        </w:rPr>
        <w:t xml:space="preserve"> </w:t>
      </w:r>
      <w:r w:rsidR="169E236F">
        <w:rPr>
          <w:noProof/>
        </w:rPr>
        <w:t xml:space="preserve">established </w:t>
      </w:r>
      <w:r w:rsidR="401A6EA5">
        <w:rPr>
          <w:noProof/>
        </w:rPr>
        <w:t xml:space="preserve">enterprises, </w:t>
      </w:r>
      <w:r w:rsidR="713D4641">
        <w:rPr>
          <w:noProof/>
        </w:rPr>
        <w:t>it i</w:t>
      </w:r>
      <w:r w:rsidR="7954B401">
        <w:rPr>
          <w:noProof/>
        </w:rPr>
        <w:t xml:space="preserve">s appropriate to </w:t>
      </w:r>
      <w:r w:rsidR="322F49DD">
        <w:rPr>
          <w:noProof/>
        </w:rPr>
        <w:t xml:space="preserve">specify a maximum size </w:t>
      </w:r>
      <w:r w:rsidR="53FF1542">
        <w:rPr>
          <w:noProof/>
        </w:rPr>
        <w:t xml:space="preserve">for </w:t>
      </w:r>
      <w:r w:rsidR="10122BBF">
        <w:rPr>
          <w:noProof/>
        </w:rPr>
        <w:t xml:space="preserve">publicly </w:t>
      </w:r>
      <w:r w:rsidR="53FF1542">
        <w:rPr>
          <w:noProof/>
        </w:rPr>
        <w:t xml:space="preserve">listed </w:t>
      </w:r>
      <w:r w:rsidR="10122BBF">
        <w:rPr>
          <w:noProof/>
        </w:rPr>
        <w:t>companies</w:t>
      </w:r>
      <w:r w:rsidR="4FAA5CEF">
        <w:rPr>
          <w:noProof/>
        </w:rPr>
        <w:t>, based o</w:t>
      </w:r>
      <w:r>
        <w:rPr>
          <w:noProof/>
        </w:rPr>
        <w:t>n</w:t>
      </w:r>
      <w:r w:rsidR="4FAA5CEF">
        <w:rPr>
          <w:noProof/>
        </w:rPr>
        <w:t xml:space="preserve"> the threshold </w:t>
      </w:r>
      <w:r w:rsidR="396A1EB3">
        <w:rPr>
          <w:noProof/>
        </w:rPr>
        <w:t xml:space="preserve">established for small mid-caps in Recommendation </w:t>
      </w:r>
      <w:r>
        <w:rPr>
          <w:noProof/>
        </w:rPr>
        <w:t xml:space="preserve">(EU) </w:t>
      </w:r>
      <w:r w:rsidR="170EE9B8">
        <w:rPr>
          <w:noProof/>
        </w:rPr>
        <w:t>2025/</w:t>
      </w:r>
      <w:r w:rsidR="4E48C4E3">
        <w:rPr>
          <w:noProof/>
        </w:rPr>
        <w:t>1099</w:t>
      </w:r>
      <w:r>
        <w:rPr>
          <w:rStyle w:val="FootnoteReference"/>
          <w:noProof/>
        </w:rPr>
        <w:footnoteReference w:id="8"/>
      </w:r>
      <w:r w:rsidR="396A1EB3">
        <w:rPr>
          <w:noProof/>
        </w:rPr>
        <w:t>.</w:t>
      </w:r>
      <w:r>
        <w:rPr>
          <w:noProof/>
        </w:rPr>
        <w:t xml:space="preserve"> </w:t>
      </w:r>
      <w:r w:rsidR="75E961D3">
        <w:rPr>
          <w:noProof/>
        </w:rPr>
        <w:t xml:space="preserve">In addition, </w:t>
      </w:r>
      <w:r w:rsidR="23BC9BBF">
        <w:rPr>
          <w:noProof/>
        </w:rPr>
        <w:t xml:space="preserve">to ensure that the definition of </w:t>
      </w:r>
      <w:r w:rsidR="76B58782">
        <w:rPr>
          <w:noProof/>
        </w:rPr>
        <w:t xml:space="preserve">innovative </w:t>
      </w:r>
      <w:r w:rsidR="23BC9BBF">
        <w:rPr>
          <w:noProof/>
        </w:rPr>
        <w:t xml:space="preserve">scaleups captures enterprises of sufficient maturity and does not overlap with the definition of </w:t>
      </w:r>
      <w:r w:rsidR="76B58782">
        <w:rPr>
          <w:noProof/>
        </w:rPr>
        <w:t xml:space="preserve">innovative </w:t>
      </w:r>
      <w:r w:rsidR="23BC9BBF">
        <w:rPr>
          <w:noProof/>
        </w:rPr>
        <w:t>startups, it is necessary to apply</w:t>
      </w:r>
      <w:r w:rsidR="5383885C">
        <w:rPr>
          <w:noProof/>
        </w:rPr>
        <w:t xml:space="preserve"> </w:t>
      </w:r>
      <w:r w:rsidR="75E961D3">
        <w:rPr>
          <w:noProof/>
        </w:rPr>
        <w:t>a minimum turnover or balance sheet total based on relevant thresholds established for medium</w:t>
      </w:r>
      <w:r w:rsidR="6C4D1C29">
        <w:rPr>
          <w:noProof/>
        </w:rPr>
        <w:t>-</w:t>
      </w:r>
      <w:r w:rsidR="75E961D3">
        <w:rPr>
          <w:noProof/>
        </w:rPr>
        <w:t>sized enterprises in Recommendation 2003/361/EC</w:t>
      </w:r>
      <w:r>
        <w:rPr>
          <w:rStyle w:val="FootnoteReference"/>
          <w:noProof/>
        </w:rPr>
        <w:footnoteReference w:id="9"/>
      </w:r>
      <w:r>
        <w:rPr>
          <w:noProof/>
        </w:rPr>
        <w:t>.</w:t>
      </w:r>
      <w:r w:rsidR="25776376">
        <w:rPr>
          <w:noProof/>
        </w:rPr>
        <w:t xml:space="preserve"> </w:t>
      </w:r>
      <w:r w:rsidR="75E961D3">
        <w:rPr>
          <w:noProof/>
        </w:rPr>
        <w:t xml:space="preserve"> </w:t>
      </w:r>
    </w:p>
    <w:p w:rsidR="001979DE" w:rsidRPr="00021447" w:rsidRDefault="001979DE" w:rsidP="00645246">
      <w:pPr>
        <w:rPr>
          <w:noProof/>
        </w:rPr>
      </w:pPr>
    </w:p>
    <w:p w:rsidR="001979DE" w:rsidRPr="00273B14" w:rsidRDefault="001979DE" w:rsidP="00DC103E">
      <w:pPr>
        <w:pStyle w:val="Formuledadoption"/>
        <w:rPr>
          <w:noProof/>
          <w:szCs w:val="24"/>
        </w:rPr>
      </w:pPr>
      <w:r w:rsidRPr="00273B14">
        <w:rPr>
          <w:noProof/>
          <w:color w:val="000000" w:themeColor="text1"/>
          <w:szCs w:val="24"/>
        </w:rPr>
        <w:t>RECOMMENDS</w:t>
      </w:r>
      <w:r w:rsidRPr="00273B14">
        <w:rPr>
          <w:noProof/>
          <w:szCs w:val="24"/>
        </w:rPr>
        <w:t xml:space="preserve">: </w:t>
      </w:r>
    </w:p>
    <w:p w:rsidR="75E961D3" w:rsidRDefault="75E961D3" w:rsidP="1C4CDCDC">
      <w:pPr>
        <w:pStyle w:val="ManualNumPar1"/>
        <w:rPr>
          <w:i/>
          <w:iCs/>
          <w:noProof/>
        </w:rPr>
      </w:pPr>
      <w:r>
        <w:rPr>
          <w:noProof/>
        </w:rPr>
        <w:t>1.</w:t>
      </w:r>
      <w:r>
        <w:rPr>
          <w:noProof/>
        </w:rPr>
        <w:tab/>
        <w:t xml:space="preserve">This Recommendation concerns the definition of innovative enterprises, </w:t>
      </w:r>
      <w:r w:rsidR="142437AE">
        <w:rPr>
          <w:noProof/>
        </w:rPr>
        <w:t xml:space="preserve">innovative </w:t>
      </w:r>
      <w:r>
        <w:rPr>
          <w:noProof/>
        </w:rPr>
        <w:t xml:space="preserve">startups and </w:t>
      </w:r>
      <w:r w:rsidR="742D300C">
        <w:rPr>
          <w:noProof/>
        </w:rPr>
        <w:t>innov</w:t>
      </w:r>
      <w:r w:rsidR="142437AE">
        <w:rPr>
          <w:noProof/>
        </w:rPr>
        <w:t>ative</w:t>
      </w:r>
      <w:r w:rsidR="25F82616">
        <w:rPr>
          <w:noProof/>
        </w:rPr>
        <w:t xml:space="preserve"> </w:t>
      </w:r>
      <w:r>
        <w:rPr>
          <w:noProof/>
        </w:rPr>
        <w:t>scaleups used in Union policies applied within the Union and the European Economic Area.</w:t>
      </w:r>
    </w:p>
    <w:p w:rsidR="001979DE" w:rsidRPr="00F5323F" w:rsidRDefault="001979DE" w:rsidP="00F5323F">
      <w:pPr>
        <w:pStyle w:val="ManualNumPar1"/>
        <w:rPr>
          <w:i/>
          <w:noProof/>
        </w:rPr>
      </w:pPr>
      <w:r>
        <w:rPr>
          <w:noProof/>
        </w:rPr>
        <w:t>2.</w:t>
      </w:r>
      <w:r>
        <w:rPr>
          <w:noProof/>
        </w:rPr>
        <w:tab/>
      </w:r>
      <w:r w:rsidRPr="00F5323F">
        <w:rPr>
          <w:iCs/>
          <w:noProof/>
          <w:szCs w:val="24"/>
        </w:rPr>
        <w:t>Member States, the European Investment Bank (EIB) and the European Investment Fund (EIF), are invited to:</w:t>
      </w:r>
    </w:p>
    <w:p w:rsidR="00F5323F" w:rsidRDefault="001979DE" w:rsidP="00F5323F">
      <w:pPr>
        <w:pStyle w:val="Point1"/>
        <w:rPr>
          <w:noProof/>
        </w:rPr>
      </w:pPr>
      <w:r>
        <w:rPr>
          <w:noProof/>
        </w:rPr>
        <w:t>(a)</w:t>
      </w:r>
      <w:r>
        <w:rPr>
          <w:noProof/>
        </w:rPr>
        <w:tab/>
      </w:r>
      <w:r w:rsidRPr="00461CE7">
        <w:rPr>
          <w:noProof/>
        </w:rPr>
        <w:t xml:space="preserve">use the definitions set out in the Annex when </w:t>
      </w:r>
      <w:r w:rsidR="00A030BA" w:rsidRPr="00461CE7">
        <w:rPr>
          <w:noProof/>
        </w:rPr>
        <w:t xml:space="preserve">adopting </w:t>
      </w:r>
      <w:r w:rsidR="00BF5398" w:rsidRPr="00461CE7">
        <w:rPr>
          <w:noProof/>
        </w:rPr>
        <w:t>legislative</w:t>
      </w:r>
      <w:r w:rsidR="00927EC4" w:rsidRPr="00461CE7">
        <w:rPr>
          <w:noProof/>
        </w:rPr>
        <w:t>, policy or financial support</w:t>
      </w:r>
      <w:r w:rsidR="00BF5398" w:rsidRPr="00461CE7">
        <w:rPr>
          <w:noProof/>
        </w:rPr>
        <w:t xml:space="preserve"> measures or </w:t>
      </w:r>
      <w:r w:rsidRPr="00461CE7">
        <w:rPr>
          <w:noProof/>
        </w:rPr>
        <w:t xml:space="preserve">implementing programmes directed towards innovative enterprises, </w:t>
      </w:r>
      <w:r w:rsidR="00FF4F9F" w:rsidRPr="00461CE7">
        <w:rPr>
          <w:noProof/>
        </w:rPr>
        <w:t xml:space="preserve">innovative </w:t>
      </w:r>
      <w:r w:rsidRPr="00461CE7">
        <w:rPr>
          <w:noProof/>
        </w:rPr>
        <w:t xml:space="preserve">startups </w:t>
      </w:r>
      <w:r w:rsidR="00140C4C" w:rsidRPr="00461CE7">
        <w:rPr>
          <w:noProof/>
        </w:rPr>
        <w:t>and</w:t>
      </w:r>
      <w:r w:rsidRPr="00461CE7">
        <w:rPr>
          <w:noProof/>
        </w:rPr>
        <w:t xml:space="preserve"> </w:t>
      </w:r>
      <w:r w:rsidR="00FF4F9F" w:rsidRPr="00461CE7">
        <w:rPr>
          <w:noProof/>
        </w:rPr>
        <w:t xml:space="preserve">innovative </w:t>
      </w:r>
      <w:r w:rsidRPr="00461CE7">
        <w:rPr>
          <w:noProof/>
        </w:rPr>
        <w:t xml:space="preserve">scaleups; </w:t>
      </w:r>
    </w:p>
    <w:p w:rsidR="001979DE" w:rsidRPr="00F5323F" w:rsidRDefault="75E961D3" w:rsidP="00F5323F">
      <w:pPr>
        <w:pStyle w:val="Point1"/>
        <w:rPr>
          <w:noProof/>
        </w:rPr>
      </w:pPr>
      <w:r>
        <w:rPr>
          <w:noProof/>
        </w:rPr>
        <w:t>(b)</w:t>
      </w:r>
      <w:r>
        <w:rPr>
          <w:noProof/>
        </w:rPr>
        <w:tab/>
        <w:t xml:space="preserve">use the definitions set out in the Annex for the purpose of data collection on innovative enterprises, </w:t>
      </w:r>
      <w:r w:rsidR="76B58782">
        <w:rPr>
          <w:noProof/>
        </w:rPr>
        <w:t xml:space="preserve">innovative </w:t>
      </w:r>
      <w:r>
        <w:rPr>
          <w:noProof/>
        </w:rPr>
        <w:t xml:space="preserve">startups and </w:t>
      </w:r>
      <w:r w:rsidR="76B58782">
        <w:rPr>
          <w:noProof/>
        </w:rPr>
        <w:t xml:space="preserve">innovative </w:t>
      </w:r>
      <w:r>
        <w:rPr>
          <w:noProof/>
        </w:rPr>
        <w:t>scaleups.</w:t>
      </w:r>
    </w:p>
    <w:p w:rsidR="00F5323F" w:rsidRDefault="001979DE" w:rsidP="00F5323F">
      <w:pPr>
        <w:pStyle w:val="ManualNumPar1"/>
        <w:rPr>
          <w:i/>
          <w:noProof/>
        </w:rPr>
      </w:pPr>
      <w:r>
        <w:rPr>
          <w:noProof/>
        </w:rPr>
        <w:t>3.</w:t>
      </w:r>
      <w:r>
        <w:rPr>
          <w:noProof/>
        </w:rPr>
        <w:tab/>
      </w:r>
      <w:r w:rsidRPr="00273B14">
        <w:rPr>
          <w:noProof/>
        </w:rPr>
        <w:t>This Recommendation is addressed to the Member States, the EIB and the EIF.</w:t>
      </w:r>
    </w:p>
    <w:p w:rsidR="00F5323F" w:rsidRPr="0031631B" w:rsidRDefault="001979DE" w:rsidP="00F5323F">
      <w:pPr>
        <w:pStyle w:val="ManualNumPar1"/>
        <w:rPr>
          <w:i/>
          <w:iCs/>
          <w:noProof/>
        </w:rPr>
      </w:pPr>
      <w:r>
        <w:rPr>
          <w:noProof/>
        </w:rPr>
        <w:t>4.</w:t>
      </w:r>
      <w:r>
        <w:rPr>
          <w:noProof/>
        </w:rPr>
        <w:tab/>
      </w:r>
      <w:r w:rsidRPr="00F5323F">
        <w:rPr>
          <w:noProof/>
        </w:rPr>
        <w:t xml:space="preserve">The Member States, the EIB and the EIF are </w:t>
      </w:r>
      <w:r w:rsidR="009C1063" w:rsidRPr="00F5323F">
        <w:rPr>
          <w:noProof/>
        </w:rPr>
        <w:t xml:space="preserve">invited </w:t>
      </w:r>
      <w:r w:rsidRPr="00F5323F">
        <w:rPr>
          <w:noProof/>
        </w:rPr>
        <w:t>to inform the Commission of any measures they have taken to give effect to this Recommendation.</w:t>
      </w:r>
    </w:p>
    <w:p w:rsidR="001979DE" w:rsidRPr="00273B14" w:rsidRDefault="00FC2035" w:rsidP="00546214">
      <w:pPr>
        <w:pStyle w:val="Fait"/>
        <w:rPr>
          <w:noProof/>
        </w:rPr>
      </w:pPr>
      <w:r>
        <w:rPr>
          <w:noProof/>
        </w:rPr>
        <w:t>Done at Brussels, 18.3.2026</w:t>
      </w:r>
    </w:p>
    <w:p w:rsidR="001979DE" w:rsidRPr="00273B14" w:rsidRDefault="001979DE" w:rsidP="00546214">
      <w:pPr>
        <w:pStyle w:val="Institutionquisigne"/>
        <w:rPr>
          <w:noProof/>
          <w:szCs w:val="24"/>
        </w:rPr>
      </w:pPr>
      <w:r w:rsidRPr="00273B14">
        <w:rPr>
          <w:noProof/>
          <w:szCs w:val="24"/>
        </w:rPr>
        <w:tab/>
        <w:t>For the Commission</w:t>
      </w:r>
    </w:p>
    <w:p w:rsidR="007247F7" w:rsidRPr="00F5323F" w:rsidRDefault="001979DE" w:rsidP="00546214">
      <w:pPr>
        <w:pStyle w:val="Personnequisigne"/>
        <w:keepNext/>
        <w:rPr>
          <w:noProof/>
        </w:rPr>
      </w:pPr>
      <w:r w:rsidRPr="00273B14">
        <w:rPr>
          <w:noProof/>
          <w:szCs w:val="24"/>
        </w:rPr>
        <w:tab/>
      </w:r>
      <w:r w:rsidR="24F25368" w:rsidRPr="00645246">
        <w:rPr>
          <w:noProof/>
        </w:rPr>
        <w:t>Ekaterina Z</w:t>
      </w:r>
      <w:r>
        <w:rPr>
          <w:noProof/>
        </w:rPr>
        <w:t>AHARIEVA</w:t>
      </w:r>
      <w:r w:rsidRPr="00273B14">
        <w:rPr>
          <w:noProof/>
          <w:szCs w:val="24"/>
        </w:rPr>
        <w:br/>
      </w:r>
      <w:r w:rsidRPr="00273B14">
        <w:rPr>
          <w:noProof/>
          <w:szCs w:val="24"/>
        </w:rPr>
        <w:tab/>
      </w:r>
      <w:r w:rsidR="75E961D3" w:rsidRPr="1C4CDCDC">
        <w:rPr>
          <w:noProof/>
        </w:rPr>
        <w:t>Member of the Commission</w:t>
      </w:r>
      <w:bookmarkEnd w:id="0"/>
    </w:p>
    <w:tbl>
      <w:tblPr>
        <w:tblW w:w="0" w:type="auto"/>
        <w:tblInd w:w="4252" w:type="dxa"/>
        <w:tblCellMar>
          <w:top w:w="567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5"/>
      </w:tblGrid>
      <w:tr w:rsidR="00FC343E">
        <w:trPr>
          <w:cantSplit/>
        </w:trPr>
        <w:tc>
          <w:tcPr>
            <w:tcW w:w="0" w:type="auto"/>
            <w:shd w:val="clear" w:color="auto" w:fill="auto"/>
          </w:tcPr>
          <w:p w:rsidR="00FC343E" w:rsidRDefault="00FC5EE3">
            <w:pPr>
              <w:rPr>
                <w:noProof/>
              </w:rPr>
            </w:pPr>
            <w:r>
              <w:rPr>
                <w:noProof/>
              </w:rPr>
              <w:pict>
                <v:shape id="_x0000_i1026" type="#_x0000_t75" style="width:188.25pt;height:102pt">
                  <v:imagedata r:id="rId11" o:title=""/>
                </v:shape>
              </w:pict>
            </w:r>
          </w:p>
        </w:tc>
      </w:tr>
    </w:tbl>
    <w:p w:rsidR="00F567E8" w:rsidRDefault="00F567E8">
      <w:pPr>
        <w:rPr>
          <w:noProof/>
        </w:rPr>
      </w:pPr>
    </w:p>
    <w:sectPr w:rsidR="00F567E8" w:rsidSect="0033490A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1134" w:right="1418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5DA" w:rsidRDefault="007E15DA" w:rsidP="00D959F3">
      <w:pPr>
        <w:spacing w:before="0" w:after="0"/>
      </w:pPr>
      <w:r>
        <w:separator/>
      </w:r>
    </w:p>
  </w:endnote>
  <w:endnote w:type="continuationSeparator" w:id="0">
    <w:p w:rsidR="007E15DA" w:rsidRDefault="007E15DA" w:rsidP="00D959F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0A" w:rsidRPr="0033490A" w:rsidRDefault="0033490A" w:rsidP="0033490A">
    <w:pPr>
      <w:pStyle w:val="Footer"/>
      <w:rPr>
        <w:rFonts w:ascii="Arial" w:hAnsi="Arial" w:cs="Arial"/>
        <w:b/>
        <w:sz w:val="48"/>
      </w:rPr>
    </w:pPr>
    <w:r w:rsidRPr="0033490A">
      <w:rPr>
        <w:rFonts w:ascii="Arial" w:hAnsi="Arial" w:cs="Arial"/>
        <w:b/>
        <w:sz w:val="48"/>
      </w:rPr>
      <w:t>EN</w:t>
    </w:r>
    <w:r w:rsidRPr="0033490A">
      <w:rPr>
        <w:rFonts w:ascii="Arial" w:hAnsi="Arial" w:cs="Arial"/>
        <w:b/>
        <w:sz w:val="48"/>
      </w:rPr>
      <w:tab/>
    </w:r>
    <w:r w:rsidRPr="0033490A">
      <w:rPr>
        <w:rFonts w:ascii="Arial" w:hAnsi="Arial" w:cs="Arial"/>
        <w:b/>
        <w:sz w:val="48"/>
      </w:rPr>
      <w:tab/>
    </w:r>
    <w:r w:rsidRPr="0033490A">
      <w:tab/>
    </w:r>
    <w:r w:rsidRPr="0033490A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0A" w:rsidRPr="0033490A" w:rsidRDefault="0033490A" w:rsidP="0033490A">
    <w:pPr>
      <w:pStyle w:val="Footer"/>
      <w:rPr>
        <w:rFonts w:ascii="Arial" w:hAnsi="Arial" w:cs="Arial"/>
        <w:b/>
        <w:sz w:val="48"/>
      </w:rPr>
    </w:pPr>
    <w:r w:rsidRPr="0033490A">
      <w:rPr>
        <w:rFonts w:ascii="Arial" w:hAnsi="Arial" w:cs="Arial"/>
        <w:b/>
        <w:sz w:val="48"/>
      </w:rPr>
      <w:t>EN</w:t>
    </w:r>
    <w:r w:rsidRPr="0033490A">
      <w:rPr>
        <w:rFonts w:ascii="Arial" w:hAnsi="Arial" w:cs="Arial"/>
        <w:b/>
        <w:sz w:val="48"/>
      </w:rPr>
      <w:tab/>
    </w:r>
    <w:r w:rsidRPr="0033490A">
      <w:rPr>
        <w:rFonts w:ascii="Arial" w:hAnsi="Arial" w:cs="Arial"/>
        <w:b/>
        <w:sz w:val="48"/>
      </w:rPr>
      <w:tab/>
    </w:r>
    <w:r w:rsidRPr="0033490A">
      <w:tab/>
    </w:r>
    <w:r w:rsidRPr="0033490A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0A" w:rsidRDefault="0033490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0A" w:rsidRPr="0033490A" w:rsidRDefault="0033490A" w:rsidP="0033490A">
    <w:pPr>
      <w:pStyle w:val="Footer"/>
      <w:rPr>
        <w:rFonts w:ascii="Arial" w:hAnsi="Arial" w:cs="Arial"/>
        <w:b/>
        <w:sz w:val="48"/>
      </w:rPr>
    </w:pPr>
    <w:r w:rsidRPr="0033490A">
      <w:rPr>
        <w:rFonts w:ascii="Arial" w:hAnsi="Arial" w:cs="Arial"/>
        <w:b/>
        <w:sz w:val="48"/>
      </w:rPr>
      <w:t>EN</w:t>
    </w:r>
    <w:r w:rsidRPr="0033490A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546214">
      <w:rPr>
        <w:noProof/>
      </w:rPr>
      <w:t>4</w:t>
    </w:r>
    <w:r>
      <w:fldChar w:fldCharType="end"/>
    </w:r>
    <w:r>
      <w:tab/>
    </w:r>
    <w:r w:rsidRPr="0033490A">
      <w:tab/>
    </w:r>
    <w:r w:rsidRPr="0033490A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0A" w:rsidRDefault="0033490A" w:rsidP="003349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5DA" w:rsidRDefault="007E15DA" w:rsidP="00D959F3">
      <w:pPr>
        <w:spacing w:before="0" w:after="0"/>
      </w:pPr>
      <w:r>
        <w:separator/>
      </w:r>
    </w:p>
  </w:footnote>
  <w:footnote w:type="continuationSeparator" w:id="0">
    <w:p w:rsidR="007E15DA" w:rsidRDefault="007E15DA" w:rsidP="00D959F3">
      <w:pPr>
        <w:spacing w:before="0" w:after="0"/>
      </w:pPr>
      <w:r>
        <w:continuationSeparator/>
      </w:r>
    </w:p>
  </w:footnote>
  <w:footnote w:id="1">
    <w:p w:rsidR="001979DE" w:rsidRPr="00B93E75" w:rsidRDefault="001979DE" w:rsidP="00705027">
      <w:pPr>
        <w:pStyle w:val="FootnoteText"/>
      </w:pPr>
      <w:r w:rsidRPr="00645246">
        <w:rPr>
          <w:rStyle w:val="FootnoteReference"/>
        </w:rPr>
        <w:footnoteRef/>
      </w:r>
      <w:r w:rsidR="00645246">
        <w:tab/>
      </w:r>
      <w:r w:rsidR="1C4CDCDC" w:rsidRPr="00B93E75">
        <w:t>Communication from the Commission to the European Parliament, the Council, European Economic and Social Committee and the Committee of Regions, A Competitiveness Compass for the EU,</w:t>
      </w:r>
      <w:r>
        <w:t xml:space="preserve"> </w:t>
      </w:r>
      <w:r w:rsidR="1C4CDCDC" w:rsidRPr="00B93E75">
        <w:t xml:space="preserve">COM(2025) 30 final, 29 January 2025. </w:t>
      </w:r>
    </w:p>
  </w:footnote>
  <w:footnote w:id="2">
    <w:p w:rsidR="00FB7068" w:rsidRPr="00021447" w:rsidRDefault="00FB7068" w:rsidP="00705027">
      <w:pPr>
        <w:pStyle w:val="FootnoteText"/>
      </w:pPr>
      <w:r w:rsidRPr="00645246">
        <w:rPr>
          <w:rStyle w:val="FootnoteReference"/>
        </w:rPr>
        <w:footnoteRef/>
      </w:r>
      <w:r w:rsidR="00645246">
        <w:tab/>
      </w:r>
      <w:bookmarkStart w:id="3" w:name="_Hlk221633458"/>
      <w:r w:rsidR="1C4CDCDC" w:rsidRPr="00B93E75">
        <w:t xml:space="preserve">Communication from the Commission to the European Parliament, the Council, the </w:t>
      </w:r>
      <w:bookmarkStart w:id="4" w:name="_Hlk223456587"/>
      <w:r w:rsidR="1C4CDCDC" w:rsidRPr="00B93E75">
        <w:t>European Economic and Social Committee and the Committee of Regions</w:t>
      </w:r>
      <w:bookmarkEnd w:id="3"/>
      <w:bookmarkEnd w:id="4"/>
      <w:r w:rsidR="1C4CDCDC" w:rsidRPr="00B93E75">
        <w:t>, The EU Startup and Scaleup Strategy, COM(2025) 270 final</w:t>
      </w:r>
      <w:r w:rsidR="1C4CDCDC">
        <w:t xml:space="preserve"> of</w:t>
      </w:r>
      <w:r w:rsidR="1C4CDCDC" w:rsidRPr="00B93E75">
        <w:t xml:space="preserve"> 28 May 2025.</w:t>
      </w:r>
    </w:p>
  </w:footnote>
  <w:footnote w:id="3">
    <w:p w:rsidR="00ED114F" w:rsidRPr="00B93E75" w:rsidRDefault="00ED114F">
      <w:pPr>
        <w:pStyle w:val="FootnoteText"/>
      </w:pPr>
      <w:r w:rsidRPr="00645246">
        <w:rPr>
          <w:rStyle w:val="FootnoteReference"/>
        </w:rPr>
        <w:footnoteRef/>
      </w:r>
      <w:r w:rsidR="00645246">
        <w:tab/>
      </w:r>
      <w:r w:rsidR="004A7FAE" w:rsidRPr="00273B14">
        <w:t>Commission Regulation (EU) No 651/2014 of 17 June 2014 declaring certain categories of aid compatible with the internal market in application of Articles 107 and 108 of the Treaty</w:t>
      </w:r>
      <w:r w:rsidR="00F2066C" w:rsidRPr="00273B14">
        <w:t xml:space="preserve"> </w:t>
      </w:r>
      <w:r w:rsidR="00680C45" w:rsidRPr="00273B14">
        <w:t xml:space="preserve">(OJ L 187, 26.6.2014, p. 1, </w:t>
      </w:r>
      <w:r w:rsidR="004C190E" w:rsidRPr="00273B14">
        <w:t>ELI: http://data.europa.eu/eli/reg/2014/651/oj</w:t>
      </w:r>
      <w:r w:rsidR="00680C45" w:rsidRPr="00273B14">
        <w:t>)</w:t>
      </w:r>
      <w:r w:rsidR="004C190E" w:rsidRPr="00273B14">
        <w:t>.</w:t>
      </w:r>
    </w:p>
  </w:footnote>
  <w:footnote w:id="4">
    <w:p w:rsidR="009D6D2A" w:rsidRPr="00B93E75" w:rsidRDefault="009D6D2A">
      <w:pPr>
        <w:pStyle w:val="FootnoteText"/>
      </w:pPr>
      <w:r w:rsidRPr="00645246">
        <w:rPr>
          <w:rStyle w:val="FootnoteReference"/>
        </w:rPr>
        <w:footnoteRef/>
      </w:r>
      <w:r w:rsidR="00645246">
        <w:tab/>
      </w:r>
      <w:r w:rsidRPr="00273B14">
        <w:t>Regulation (EU) 2021/695 of the European Parliament and of the Council of 28 April 2021 establishing Horizon Europe – the Framework Programme for Research and Innovation, laying down its rules for participation and dissemination, and repealing Regulations (EU) No 1290/2013 and (EU) No 1291/2013</w:t>
      </w:r>
      <w:r w:rsidR="00A2521F" w:rsidRPr="00273B14">
        <w:t xml:space="preserve"> (OJ L 170, 12.5.2021, p. 1, </w:t>
      </w:r>
      <w:r w:rsidR="00D96CF8" w:rsidRPr="00273B14">
        <w:t>ELI: http://data.europa.eu/eli/reg/2021/695/oj</w:t>
      </w:r>
      <w:r w:rsidR="00A2521F" w:rsidRPr="00273B14">
        <w:t>)</w:t>
      </w:r>
      <w:r w:rsidR="0015097A" w:rsidRPr="00273B14">
        <w:t>.</w:t>
      </w:r>
    </w:p>
  </w:footnote>
  <w:footnote w:id="5">
    <w:p w:rsidR="00330B87" w:rsidRPr="00A91DD3" w:rsidRDefault="00330B87">
      <w:pPr>
        <w:pStyle w:val="FootnoteText"/>
        <w:rPr>
          <w:lang w:val="en-IE"/>
        </w:rPr>
      </w:pPr>
      <w:r w:rsidRPr="008E7E75">
        <w:rPr>
          <w:rStyle w:val="FootnoteReference"/>
        </w:rPr>
        <w:footnoteRef/>
      </w:r>
      <w:r w:rsidR="008E7E75">
        <w:tab/>
      </w:r>
      <w:r w:rsidRPr="00330B87">
        <w:t xml:space="preserve">This is without prejudice to additional or different requirements that may be imposed to meet the objectives of future policy </w:t>
      </w:r>
      <w:r w:rsidR="00F23734">
        <w:t>initiatives</w:t>
      </w:r>
      <w:r w:rsidRPr="00330B87">
        <w:t>.</w:t>
      </w:r>
    </w:p>
  </w:footnote>
  <w:footnote w:id="6">
    <w:p w:rsidR="001979DE" w:rsidRPr="00B93E75" w:rsidRDefault="001979DE" w:rsidP="00705027">
      <w:pPr>
        <w:pStyle w:val="FootnoteText"/>
      </w:pPr>
      <w:r w:rsidRPr="00645246">
        <w:rPr>
          <w:rStyle w:val="FootnoteReference"/>
        </w:rPr>
        <w:footnoteRef/>
      </w:r>
      <w:r w:rsidR="00645246">
        <w:tab/>
      </w:r>
      <w:r w:rsidR="00615A0C">
        <w:t xml:space="preserve">For example, </w:t>
      </w:r>
      <w:r w:rsidRPr="00B93E75">
        <w:t>OECD, Frascati Manual 2015, Guidelines for Collecting and Reporting Data on Research and Experimental Development</w:t>
      </w:r>
      <w:r w:rsidR="005F1627" w:rsidRPr="00B93E75">
        <w:t>.</w:t>
      </w:r>
    </w:p>
  </w:footnote>
  <w:footnote w:id="7">
    <w:p w:rsidR="00112069" w:rsidRPr="00273B14" w:rsidRDefault="00112069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 w:rsidRPr="00273B14">
        <w:rPr>
          <w:lang w:val="en-IE"/>
        </w:rPr>
        <w:tab/>
        <w:t>Commission Recommendation of 6 May 2003 concerning the definition of micro, small and medium-sized enterprises (</w:t>
      </w:r>
      <w:r w:rsidR="004A7EEE" w:rsidRPr="00273B14">
        <w:rPr>
          <w:lang w:val="en-IE"/>
        </w:rPr>
        <w:t>OJ L 124, 20.5.2003, p. 36</w:t>
      </w:r>
      <w:r w:rsidR="00AC781D" w:rsidRPr="00273B14">
        <w:rPr>
          <w:lang w:val="en-IE"/>
        </w:rPr>
        <w:t>, ELI: http://data.europa.eu/eli/reco/2003/361/oj</w:t>
      </w:r>
      <w:r w:rsidRPr="00273B14">
        <w:rPr>
          <w:lang w:val="en-IE"/>
        </w:rPr>
        <w:t>)</w:t>
      </w:r>
      <w:r w:rsidR="00AC781D" w:rsidRPr="00273B14">
        <w:rPr>
          <w:lang w:val="en-IE"/>
        </w:rPr>
        <w:t>.</w:t>
      </w:r>
    </w:p>
  </w:footnote>
  <w:footnote w:id="8">
    <w:p w:rsidR="00705027" w:rsidRDefault="00705027">
      <w:pPr>
        <w:pStyle w:val="FootnoteText"/>
        <w:rPr>
          <w:lang w:val="de-AT"/>
        </w:rPr>
      </w:pPr>
      <w:r>
        <w:rPr>
          <w:rStyle w:val="FootnoteReference"/>
        </w:rPr>
        <w:footnoteRef/>
      </w:r>
      <w:r>
        <w:tab/>
      </w:r>
      <w:r>
        <w:rPr>
          <w:rFonts w:eastAsia="Calibri"/>
        </w:rPr>
        <w:t xml:space="preserve">Commission Recommendation (EU) 2025/1099 of 21 May 2025 on the definition of small mid-cap enterprises. </w:t>
      </w:r>
      <w:r>
        <w:rPr>
          <w:rFonts w:eastAsia="Calibri"/>
          <w:lang w:val="de-AT"/>
        </w:rPr>
        <w:t xml:space="preserve">OJ L, 2025/1099, 28.5.2025, ELI: </w:t>
      </w:r>
      <w:hyperlink r:id="rId1" w:history="1">
        <w:r>
          <w:rPr>
            <w:rStyle w:val="Hyperlink"/>
            <w:rFonts w:eastAsia="Calibri"/>
            <w:lang w:val="de-AT"/>
          </w:rPr>
          <w:t>http://data.europa.eu/eli/reco/2025/1099/oj</w:t>
        </w:r>
      </w:hyperlink>
    </w:p>
  </w:footnote>
  <w:footnote w:id="9">
    <w:p w:rsidR="00705027" w:rsidRDefault="00705027" w:rsidP="00705027">
      <w:pPr>
        <w:pStyle w:val="FootnoteText"/>
        <w:rPr>
          <w:lang w:val="de-AT"/>
        </w:rPr>
      </w:pPr>
      <w:r>
        <w:rPr>
          <w:rStyle w:val="FootnoteReference"/>
        </w:rPr>
        <w:footnoteRef/>
      </w:r>
      <w:r>
        <w:tab/>
        <w:t xml:space="preserve">Commission Recommendation of 6 May 2003 concerning the definition of micro, small and medium-sized enterprises (Text with EEA relevance) (notified under document number C(2003) 1422). </w:t>
      </w:r>
      <w:r>
        <w:rPr>
          <w:lang w:val="de-AT"/>
        </w:rPr>
        <w:t xml:space="preserve">OJ L 124, 20.5.2003, pp. 36–41 </w:t>
      </w:r>
      <w:r>
        <w:rPr>
          <w:lang w:val="de-AT"/>
        </w:rPr>
        <w:tab/>
      </w:r>
      <w:r>
        <w:rPr>
          <w:lang w:val="de-AT"/>
        </w:rPr>
        <w:br/>
        <w:t xml:space="preserve">ELI: </w:t>
      </w:r>
      <w:hyperlink r:id="rId2" w:history="1">
        <w:r>
          <w:rPr>
            <w:rStyle w:val="Hyperlink"/>
            <w:lang w:val="de-AT"/>
          </w:rPr>
          <w:t>http://data.europa.eu/eli/reco/2003/361/oj</w:t>
        </w:r>
      </w:hyperlink>
      <w:r>
        <w:rPr>
          <w:lang w:val="de-A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0A" w:rsidRDefault="003349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0A" w:rsidRDefault="003349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2AE886B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8DF224F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7C8810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806AD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AE65982"/>
    <w:multiLevelType w:val="hybridMultilevel"/>
    <w:tmpl w:val="8C284CA8"/>
    <w:lvl w:ilvl="0" w:tplc="2AB27626">
      <w:start w:val="1"/>
      <w:numFmt w:val="decimal"/>
      <w:lvlText w:val="(%1)"/>
      <w:lvlJc w:val="left"/>
      <w:pPr>
        <w:ind w:left="720" w:hanging="360"/>
      </w:pPr>
    </w:lvl>
    <w:lvl w:ilvl="1" w:tplc="ECD06DC8">
      <w:start w:val="1"/>
      <w:numFmt w:val="lowerLetter"/>
      <w:lvlText w:val="%2."/>
      <w:lvlJc w:val="left"/>
      <w:pPr>
        <w:ind w:left="1440" w:hanging="360"/>
      </w:pPr>
    </w:lvl>
    <w:lvl w:ilvl="2" w:tplc="12DA98B2">
      <w:start w:val="1"/>
      <w:numFmt w:val="lowerRoman"/>
      <w:lvlText w:val="%3."/>
      <w:lvlJc w:val="right"/>
      <w:pPr>
        <w:ind w:left="2160" w:hanging="180"/>
      </w:pPr>
    </w:lvl>
    <w:lvl w:ilvl="3" w:tplc="938E3250">
      <w:start w:val="1"/>
      <w:numFmt w:val="decimal"/>
      <w:lvlText w:val="%4."/>
      <w:lvlJc w:val="left"/>
      <w:pPr>
        <w:ind w:left="2880" w:hanging="360"/>
      </w:pPr>
    </w:lvl>
    <w:lvl w:ilvl="4" w:tplc="70922BC6">
      <w:start w:val="1"/>
      <w:numFmt w:val="lowerLetter"/>
      <w:lvlText w:val="%5."/>
      <w:lvlJc w:val="left"/>
      <w:pPr>
        <w:ind w:left="3600" w:hanging="360"/>
      </w:pPr>
    </w:lvl>
    <w:lvl w:ilvl="5" w:tplc="B8C61530">
      <w:start w:val="1"/>
      <w:numFmt w:val="lowerRoman"/>
      <w:lvlText w:val="%6."/>
      <w:lvlJc w:val="right"/>
      <w:pPr>
        <w:ind w:left="4320" w:hanging="180"/>
      </w:pPr>
    </w:lvl>
    <w:lvl w:ilvl="6" w:tplc="0F1C0F30">
      <w:start w:val="1"/>
      <w:numFmt w:val="decimal"/>
      <w:lvlText w:val="%7."/>
      <w:lvlJc w:val="left"/>
      <w:pPr>
        <w:ind w:left="5040" w:hanging="360"/>
      </w:pPr>
    </w:lvl>
    <w:lvl w:ilvl="7" w:tplc="E4BC849C">
      <w:start w:val="1"/>
      <w:numFmt w:val="lowerLetter"/>
      <w:lvlText w:val="%8."/>
      <w:lvlJc w:val="left"/>
      <w:pPr>
        <w:ind w:left="5760" w:hanging="360"/>
      </w:pPr>
    </w:lvl>
    <w:lvl w:ilvl="8" w:tplc="F86E56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B0BEDFD"/>
    <w:multiLevelType w:val="hybridMultilevel"/>
    <w:tmpl w:val="E974BA72"/>
    <w:lvl w:ilvl="0" w:tplc="31BC6C2E">
      <w:start w:val="1"/>
      <w:numFmt w:val="decimal"/>
      <w:lvlText w:val="(%1)"/>
      <w:lvlJc w:val="left"/>
      <w:pPr>
        <w:ind w:left="720" w:hanging="360"/>
      </w:pPr>
    </w:lvl>
    <w:lvl w:ilvl="1" w:tplc="A4C0EF0C">
      <w:start w:val="1"/>
      <w:numFmt w:val="lowerLetter"/>
      <w:lvlText w:val="%2."/>
      <w:lvlJc w:val="left"/>
      <w:pPr>
        <w:ind w:left="1440" w:hanging="360"/>
      </w:pPr>
    </w:lvl>
    <w:lvl w:ilvl="2" w:tplc="57444052">
      <w:start w:val="1"/>
      <w:numFmt w:val="lowerRoman"/>
      <w:lvlText w:val="%3."/>
      <w:lvlJc w:val="right"/>
      <w:pPr>
        <w:ind w:left="2160" w:hanging="180"/>
      </w:pPr>
    </w:lvl>
    <w:lvl w:ilvl="3" w:tplc="D67C0ACC">
      <w:start w:val="1"/>
      <w:numFmt w:val="decimal"/>
      <w:lvlText w:val="%4."/>
      <w:lvlJc w:val="left"/>
      <w:pPr>
        <w:ind w:left="2880" w:hanging="360"/>
      </w:pPr>
    </w:lvl>
    <w:lvl w:ilvl="4" w:tplc="A332467A">
      <w:start w:val="1"/>
      <w:numFmt w:val="lowerLetter"/>
      <w:lvlText w:val="%5."/>
      <w:lvlJc w:val="left"/>
      <w:pPr>
        <w:ind w:left="3600" w:hanging="360"/>
      </w:pPr>
    </w:lvl>
    <w:lvl w:ilvl="5" w:tplc="0B32F0A6">
      <w:start w:val="1"/>
      <w:numFmt w:val="lowerRoman"/>
      <w:lvlText w:val="%6."/>
      <w:lvlJc w:val="right"/>
      <w:pPr>
        <w:ind w:left="4320" w:hanging="180"/>
      </w:pPr>
    </w:lvl>
    <w:lvl w:ilvl="6" w:tplc="BC442160">
      <w:start w:val="1"/>
      <w:numFmt w:val="decimal"/>
      <w:lvlText w:val="%7."/>
      <w:lvlJc w:val="left"/>
      <w:pPr>
        <w:ind w:left="5040" w:hanging="360"/>
      </w:pPr>
    </w:lvl>
    <w:lvl w:ilvl="7" w:tplc="BD2241E2">
      <w:start w:val="1"/>
      <w:numFmt w:val="lowerLetter"/>
      <w:lvlText w:val="%8."/>
      <w:lvlJc w:val="left"/>
      <w:pPr>
        <w:ind w:left="5760" w:hanging="360"/>
      </w:pPr>
    </w:lvl>
    <w:lvl w:ilvl="8" w:tplc="078245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8"/>
  </w:num>
  <w:num w:numId="11">
    <w:abstractNumId w:val="11"/>
  </w:num>
  <w:num w:numId="12">
    <w:abstractNumId w:val="20"/>
  </w:num>
  <w:num w:numId="13">
    <w:abstractNumId w:val="8"/>
  </w:num>
  <w:num w:numId="14">
    <w:abstractNumId w:val="12"/>
  </w:num>
  <w:num w:numId="15">
    <w:abstractNumId w:val="13"/>
  </w:num>
  <w:num w:numId="16">
    <w:abstractNumId w:val="6"/>
  </w:num>
  <w:num w:numId="17">
    <w:abstractNumId w:val="19"/>
  </w:num>
  <w:num w:numId="18">
    <w:abstractNumId w:val="5"/>
  </w:num>
  <w:num w:numId="19">
    <w:abstractNumId w:val="14"/>
  </w:num>
  <w:num w:numId="20">
    <w:abstractNumId w:val="16"/>
  </w:num>
  <w:num w:numId="21">
    <w:abstractNumId w:val="17"/>
  </w:num>
  <w:num w:numId="22">
    <w:abstractNumId w:val="7"/>
  </w:num>
  <w:num w:numId="23">
    <w:abstractNumId w:val="15"/>
  </w:num>
  <w:num w:numId="24">
    <w:abstractNumId w:val="21"/>
  </w:num>
  <w:num w:numId="25">
    <w:abstractNumId w:val="18"/>
  </w:num>
  <w:num w:numId="26">
    <w:abstractNumId w:val="11"/>
  </w:num>
  <w:num w:numId="27">
    <w:abstractNumId w:val="20"/>
  </w:num>
  <w:num w:numId="28">
    <w:abstractNumId w:val="8"/>
  </w:num>
  <w:num w:numId="29">
    <w:abstractNumId w:val="12"/>
  </w:num>
  <w:num w:numId="30">
    <w:abstractNumId w:val="13"/>
  </w:num>
  <w:num w:numId="31">
    <w:abstractNumId w:val="6"/>
  </w:num>
  <w:num w:numId="32">
    <w:abstractNumId w:val="19"/>
  </w:num>
  <w:num w:numId="33">
    <w:abstractNumId w:val="5"/>
  </w:num>
  <w:num w:numId="34">
    <w:abstractNumId w:val="14"/>
  </w:num>
  <w:num w:numId="35">
    <w:abstractNumId w:val="16"/>
  </w:num>
  <w:num w:numId="36">
    <w:abstractNumId w:val="17"/>
  </w:num>
  <w:num w:numId="37">
    <w:abstractNumId w:val="7"/>
  </w:num>
  <w:num w:numId="38">
    <w:abstractNumId w:val="15"/>
  </w:num>
  <w:num w:numId="39">
    <w:abstractNumId w:val="21"/>
  </w:num>
  <w:num w:numId="40">
    <w:abstractNumId w:val="21"/>
    <w:lvlOverride w:ilvl="0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3-16 10:34:33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Yellow"/>
    <w:docVar w:name="DQCVersion" w:val="3"/>
    <w:docVar w:name="DQCWithWarnings" w:val="0"/>
    <w:docVar w:name="LW_CORRIGENDUM" w:val="&lt;UNUSED&gt;"/>
    <w:docVar w:name="LW_COVERPAGE_EXISTS" w:val="True"/>
    <w:docVar w:name="LW_COVERPAGE_GUID" w:val="729E6AB3-091A-4D74-A29C-B56A192B301C"/>
    <w:docVar w:name="LW_COVERPAGE_TYPE" w:val="1"/>
    <w:docVar w:name="LW_CreatedUtc" w:val="2025-10-27T10:10:54.9441800Z"/>
    <w:docVar w:name="LW_CROSSREFERENCE" w:val="&lt;UNUSED&gt;"/>
    <w:docVar w:name="LW_DATE.ADOPT.CP" w:val="of 18.3.2026"/>
    <w:docVar w:name="LW_DATE.ADOPT.CP_DATEFORMAT" w:val="of %DATE%"/>
    <w:docVar w:name="LW_DATE.ADOPT.CP_ISODATE" w:val="2026-03-18"/>
    <w:docVar w:name="LW_DocType" w:val="COM"/>
    <w:docVar w:name="LW_EMISSION" w:val="18.3.2026"/>
    <w:docVar w:name="LW_EMISSION_ISODATE" w:val="2026-03-18"/>
    <w:docVar w:name="LW_EMISSION_LOCATION" w:val="BRX"/>
    <w:docVar w:name="LW_EMISSION_PREFIX" w:val="Brussels, "/>
    <w:docVar w:name="LW_EMISSION_SUFFIX" w:val=" "/>
    <w:docVar w:name="LW_ID_DOCMODEL" w:val="SJ-014"/>
    <w:docVar w:name="LW_ID_DOCSIGNATURE" w:val="SJ-014"/>
    <w:docVar w:name="LW_ID_DOCSTRUCTURE" w:val="COM/AA/NOEEA"/>
    <w:docVar w:name="LW_ID_DOCTYPE" w:val="SJ-014"/>
    <w:docVar w:name="LW_LANGUE" w:val="EN"/>
    <w:docVar w:name="LW_LANGUESFAISANTFOI.CP" w:val="&lt;UNUSED&gt;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NST.NEW" w:val="C"/>
    <w:docVar w:name="LW_REF.INST.NEW_ADOPTED" w:val="final"/>
    <w:docVar w:name="LW_REF.INST.NEW_TEXT" w:val="(2026) 1800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on the definition of innovative enterprises, innovative startups and innovative scaleups"/>
    <w:docVar w:name="LW_TYPE.DOC.CP" w:val="COMMISSION RECOMMENDATION"/>
    <w:docVar w:name="LwApiVersions" w:val="LW4CoDe 1.24.5.0; LW 9.2, Build 20251112"/>
  </w:docVars>
  <w:rsids>
    <w:rsidRoot w:val="00D959F3"/>
    <w:rsid w:val="000001F6"/>
    <w:rsid w:val="00000C00"/>
    <w:rsid w:val="00002946"/>
    <w:rsid w:val="00004878"/>
    <w:rsid w:val="00004D36"/>
    <w:rsid w:val="00004EBE"/>
    <w:rsid w:val="00005600"/>
    <w:rsid w:val="000059FD"/>
    <w:rsid w:val="00012F6B"/>
    <w:rsid w:val="0001424C"/>
    <w:rsid w:val="000173BC"/>
    <w:rsid w:val="00020157"/>
    <w:rsid w:val="0002045E"/>
    <w:rsid w:val="000205A0"/>
    <w:rsid w:val="00020D63"/>
    <w:rsid w:val="00021447"/>
    <w:rsid w:val="000228F3"/>
    <w:rsid w:val="00022BAA"/>
    <w:rsid w:val="00025CDC"/>
    <w:rsid w:val="00026E0A"/>
    <w:rsid w:val="00026F28"/>
    <w:rsid w:val="00030E32"/>
    <w:rsid w:val="00031D0E"/>
    <w:rsid w:val="00031FEE"/>
    <w:rsid w:val="000340A3"/>
    <w:rsid w:val="00035904"/>
    <w:rsid w:val="00037104"/>
    <w:rsid w:val="0003754E"/>
    <w:rsid w:val="00040295"/>
    <w:rsid w:val="00040800"/>
    <w:rsid w:val="000412BB"/>
    <w:rsid w:val="00043171"/>
    <w:rsid w:val="00043719"/>
    <w:rsid w:val="0004423C"/>
    <w:rsid w:val="00044967"/>
    <w:rsid w:val="00045CBE"/>
    <w:rsid w:val="00046321"/>
    <w:rsid w:val="0004723B"/>
    <w:rsid w:val="000475DA"/>
    <w:rsid w:val="00047F37"/>
    <w:rsid w:val="00051231"/>
    <w:rsid w:val="000516A4"/>
    <w:rsid w:val="0005240F"/>
    <w:rsid w:val="00052505"/>
    <w:rsid w:val="00053064"/>
    <w:rsid w:val="00053780"/>
    <w:rsid w:val="00054A80"/>
    <w:rsid w:val="00054F56"/>
    <w:rsid w:val="00055D77"/>
    <w:rsid w:val="0005643B"/>
    <w:rsid w:val="00056504"/>
    <w:rsid w:val="000600D1"/>
    <w:rsid w:val="00064531"/>
    <w:rsid w:val="00067134"/>
    <w:rsid w:val="00067768"/>
    <w:rsid w:val="00070CDE"/>
    <w:rsid w:val="0007114D"/>
    <w:rsid w:val="000711CA"/>
    <w:rsid w:val="000724D0"/>
    <w:rsid w:val="0007311E"/>
    <w:rsid w:val="00073E0C"/>
    <w:rsid w:val="0007534C"/>
    <w:rsid w:val="000776FF"/>
    <w:rsid w:val="00080FB1"/>
    <w:rsid w:val="000818E4"/>
    <w:rsid w:val="00081B47"/>
    <w:rsid w:val="00082012"/>
    <w:rsid w:val="0008216A"/>
    <w:rsid w:val="00082A3D"/>
    <w:rsid w:val="000836C2"/>
    <w:rsid w:val="00084B0F"/>
    <w:rsid w:val="00087592"/>
    <w:rsid w:val="00093CA0"/>
    <w:rsid w:val="0009580D"/>
    <w:rsid w:val="00095EE0"/>
    <w:rsid w:val="000977F8"/>
    <w:rsid w:val="000978F4"/>
    <w:rsid w:val="000A1AC9"/>
    <w:rsid w:val="000A22B9"/>
    <w:rsid w:val="000A2BBC"/>
    <w:rsid w:val="000A3B00"/>
    <w:rsid w:val="000A3DA2"/>
    <w:rsid w:val="000A4B0A"/>
    <w:rsid w:val="000A5AF3"/>
    <w:rsid w:val="000A6671"/>
    <w:rsid w:val="000A6F56"/>
    <w:rsid w:val="000A762A"/>
    <w:rsid w:val="000A7993"/>
    <w:rsid w:val="000B0678"/>
    <w:rsid w:val="000B08FF"/>
    <w:rsid w:val="000B48FB"/>
    <w:rsid w:val="000B5656"/>
    <w:rsid w:val="000B58AB"/>
    <w:rsid w:val="000B5ED8"/>
    <w:rsid w:val="000B6906"/>
    <w:rsid w:val="000B76F3"/>
    <w:rsid w:val="000C05A9"/>
    <w:rsid w:val="000C0D51"/>
    <w:rsid w:val="000C1CBE"/>
    <w:rsid w:val="000C2E91"/>
    <w:rsid w:val="000C306B"/>
    <w:rsid w:val="000C4BD1"/>
    <w:rsid w:val="000C5286"/>
    <w:rsid w:val="000C533F"/>
    <w:rsid w:val="000C58A5"/>
    <w:rsid w:val="000C5D82"/>
    <w:rsid w:val="000C7255"/>
    <w:rsid w:val="000C7D80"/>
    <w:rsid w:val="000D0262"/>
    <w:rsid w:val="000D0C33"/>
    <w:rsid w:val="000D2D03"/>
    <w:rsid w:val="000D4DCB"/>
    <w:rsid w:val="000D5018"/>
    <w:rsid w:val="000D628D"/>
    <w:rsid w:val="000D70C3"/>
    <w:rsid w:val="000D73A4"/>
    <w:rsid w:val="000D7A06"/>
    <w:rsid w:val="000E0183"/>
    <w:rsid w:val="000E020B"/>
    <w:rsid w:val="000E0435"/>
    <w:rsid w:val="000E1251"/>
    <w:rsid w:val="000E2243"/>
    <w:rsid w:val="000E29F2"/>
    <w:rsid w:val="000E33E3"/>
    <w:rsid w:val="000E3EAE"/>
    <w:rsid w:val="000E44F5"/>
    <w:rsid w:val="000E60F7"/>
    <w:rsid w:val="000E6ED6"/>
    <w:rsid w:val="000E6EF1"/>
    <w:rsid w:val="000E72C4"/>
    <w:rsid w:val="000E772D"/>
    <w:rsid w:val="000F02A7"/>
    <w:rsid w:val="000F0A69"/>
    <w:rsid w:val="000F0F37"/>
    <w:rsid w:val="000F155F"/>
    <w:rsid w:val="000F185B"/>
    <w:rsid w:val="000F29D8"/>
    <w:rsid w:val="000F5011"/>
    <w:rsid w:val="000F5C7C"/>
    <w:rsid w:val="000F61A6"/>
    <w:rsid w:val="000F621C"/>
    <w:rsid w:val="000F6C5C"/>
    <w:rsid w:val="000F6DFB"/>
    <w:rsid w:val="000F7673"/>
    <w:rsid w:val="000F7FB9"/>
    <w:rsid w:val="00100D12"/>
    <w:rsid w:val="00100E9C"/>
    <w:rsid w:val="00102246"/>
    <w:rsid w:val="001022BB"/>
    <w:rsid w:val="00103034"/>
    <w:rsid w:val="00104248"/>
    <w:rsid w:val="00105154"/>
    <w:rsid w:val="00105497"/>
    <w:rsid w:val="001065F5"/>
    <w:rsid w:val="00106B1D"/>
    <w:rsid w:val="00107A13"/>
    <w:rsid w:val="00107AC5"/>
    <w:rsid w:val="0011025B"/>
    <w:rsid w:val="001115DA"/>
    <w:rsid w:val="00112069"/>
    <w:rsid w:val="00112443"/>
    <w:rsid w:val="00113358"/>
    <w:rsid w:val="001136AD"/>
    <w:rsid w:val="00113736"/>
    <w:rsid w:val="00114CEF"/>
    <w:rsid w:val="00115452"/>
    <w:rsid w:val="001159F4"/>
    <w:rsid w:val="001165EC"/>
    <w:rsid w:val="001212FE"/>
    <w:rsid w:val="00121A18"/>
    <w:rsid w:val="00122583"/>
    <w:rsid w:val="001227BB"/>
    <w:rsid w:val="00122DC3"/>
    <w:rsid w:val="00123805"/>
    <w:rsid w:val="001238EF"/>
    <w:rsid w:val="00123AEC"/>
    <w:rsid w:val="00123D5C"/>
    <w:rsid w:val="00125117"/>
    <w:rsid w:val="0012561F"/>
    <w:rsid w:val="00126661"/>
    <w:rsid w:val="00126FE8"/>
    <w:rsid w:val="00130662"/>
    <w:rsid w:val="001314AA"/>
    <w:rsid w:val="00131606"/>
    <w:rsid w:val="001327D1"/>
    <w:rsid w:val="00132CAD"/>
    <w:rsid w:val="0013376F"/>
    <w:rsid w:val="00133D2B"/>
    <w:rsid w:val="00135DCA"/>
    <w:rsid w:val="001366CA"/>
    <w:rsid w:val="001375F6"/>
    <w:rsid w:val="00140C4C"/>
    <w:rsid w:val="001435EA"/>
    <w:rsid w:val="00143901"/>
    <w:rsid w:val="00145ECB"/>
    <w:rsid w:val="00147A9E"/>
    <w:rsid w:val="0015097A"/>
    <w:rsid w:val="0015135A"/>
    <w:rsid w:val="00151799"/>
    <w:rsid w:val="00151B04"/>
    <w:rsid w:val="0015226C"/>
    <w:rsid w:val="001534E7"/>
    <w:rsid w:val="001535B2"/>
    <w:rsid w:val="001549CA"/>
    <w:rsid w:val="00157A1D"/>
    <w:rsid w:val="00157A8B"/>
    <w:rsid w:val="00157B81"/>
    <w:rsid w:val="00157CDB"/>
    <w:rsid w:val="00160009"/>
    <w:rsid w:val="00160C76"/>
    <w:rsid w:val="001625C3"/>
    <w:rsid w:val="0016305A"/>
    <w:rsid w:val="00164B64"/>
    <w:rsid w:val="0016576C"/>
    <w:rsid w:val="00165ACB"/>
    <w:rsid w:val="00165E8A"/>
    <w:rsid w:val="00166E8E"/>
    <w:rsid w:val="00167B8F"/>
    <w:rsid w:val="00170DD2"/>
    <w:rsid w:val="00170EBA"/>
    <w:rsid w:val="00171A35"/>
    <w:rsid w:val="00172E0C"/>
    <w:rsid w:val="00173247"/>
    <w:rsid w:val="001741CF"/>
    <w:rsid w:val="00175611"/>
    <w:rsid w:val="00175877"/>
    <w:rsid w:val="00175D8F"/>
    <w:rsid w:val="00176112"/>
    <w:rsid w:val="0017638A"/>
    <w:rsid w:val="001764CF"/>
    <w:rsid w:val="001778A4"/>
    <w:rsid w:val="00177A38"/>
    <w:rsid w:val="00180B94"/>
    <w:rsid w:val="001814F6"/>
    <w:rsid w:val="00181C18"/>
    <w:rsid w:val="00181F1F"/>
    <w:rsid w:val="00182115"/>
    <w:rsid w:val="001821AF"/>
    <w:rsid w:val="00182C65"/>
    <w:rsid w:val="0018305B"/>
    <w:rsid w:val="0018390E"/>
    <w:rsid w:val="00184752"/>
    <w:rsid w:val="00184C03"/>
    <w:rsid w:val="0018763B"/>
    <w:rsid w:val="0019095F"/>
    <w:rsid w:val="001918DC"/>
    <w:rsid w:val="001919D9"/>
    <w:rsid w:val="00191D59"/>
    <w:rsid w:val="001923AA"/>
    <w:rsid w:val="00192501"/>
    <w:rsid w:val="00194AEE"/>
    <w:rsid w:val="00194C83"/>
    <w:rsid w:val="001954A2"/>
    <w:rsid w:val="0019641D"/>
    <w:rsid w:val="00196D7F"/>
    <w:rsid w:val="00197613"/>
    <w:rsid w:val="001979DE"/>
    <w:rsid w:val="00197D97"/>
    <w:rsid w:val="001A0453"/>
    <w:rsid w:val="001A060D"/>
    <w:rsid w:val="001A0AC2"/>
    <w:rsid w:val="001A224D"/>
    <w:rsid w:val="001A2534"/>
    <w:rsid w:val="001A286F"/>
    <w:rsid w:val="001A2AEE"/>
    <w:rsid w:val="001A38AA"/>
    <w:rsid w:val="001A3A3E"/>
    <w:rsid w:val="001A57A7"/>
    <w:rsid w:val="001A7A59"/>
    <w:rsid w:val="001A7B07"/>
    <w:rsid w:val="001B0502"/>
    <w:rsid w:val="001B05F5"/>
    <w:rsid w:val="001B0954"/>
    <w:rsid w:val="001B11BC"/>
    <w:rsid w:val="001B1DF2"/>
    <w:rsid w:val="001B3A0C"/>
    <w:rsid w:val="001B3AAA"/>
    <w:rsid w:val="001B6229"/>
    <w:rsid w:val="001B7388"/>
    <w:rsid w:val="001C0577"/>
    <w:rsid w:val="001C0688"/>
    <w:rsid w:val="001C0AAC"/>
    <w:rsid w:val="001C403F"/>
    <w:rsid w:val="001C432C"/>
    <w:rsid w:val="001C454C"/>
    <w:rsid w:val="001C4751"/>
    <w:rsid w:val="001C655B"/>
    <w:rsid w:val="001C6AE3"/>
    <w:rsid w:val="001C6F94"/>
    <w:rsid w:val="001C7EC9"/>
    <w:rsid w:val="001D2F50"/>
    <w:rsid w:val="001D31D2"/>
    <w:rsid w:val="001D34EC"/>
    <w:rsid w:val="001D37A2"/>
    <w:rsid w:val="001D3D3D"/>
    <w:rsid w:val="001D3FCE"/>
    <w:rsid w:val="001D4925"/>
    <w:rsid w:val="001D5E43"/>
    <w:rsid w:val="001D6D59"/>
    <w:rsid w:val="001D7045"/>
    <w:rsid w:val="001D70A7"/>
    <w:rsid w:val="001E05B0"/>
    <w:rsid w:val="001E05FB"/>
    <w:rsid w:val="001E0A9C"/>
    <w:rsid w:val="001E0BF8"/>
    <w:rsid w:val="001E209B"/>
    <w:rsid w:val="001E3B53"/>
    <w:rsid w:val="001E3B5B"/>
    <w:rsid w:val="001E66BA"/>
    <w:rsid w:val="001E7077"/>
    <w:rsid w:val="001E722E"/>
    <w:rsid w:val="001E7F52"/>
    <w:rsid w:val="001F0829"/>
    <w:rsid w:val="001F1A2C"/>
    <w:rsid w:val="001F23CB"/>
    <w:rsid w:val="001F5B3B"/>
    <w:rsid w:val="001F737C"/>
    <w:rsid w:val="001F7541"/>
    <w:rsid w:val="00202C50"/>
    <w:rsid w:val="00204E99"/>
    <w:rsid w:val="002051BB"/>
    <w:rsid w:val="00205468"/>
    <w:rsid w:val="00205853"/>
    <w:rsid w:val="00206662"/>
    <w:rsid w:val="00207409"/>
    <w:rsid w:val="00207B5F"/>
    <w:rsid w:val="00210BFF"/>
    <w:rsid w:val="0021145D"/>
    <w:rsid w:val="00211BA3"/>
    <w:rsid w:val="00211DB2"/>
    <w:rsid w:val="002139E5"/>
    <w:rsid w:val="00216D49"/>
    <w:rsid w:val="0022043B"/>
    <w:rsid w:val="00220765"/>
    <w:rsid w:val="0022090F"/>
    <w:rsid w:val="00220930"/>
    <w:rsid w:val="00221507"/>
    <w:rsid w:val="0022259D"/>
    <w:rsid w:val="00222A7B"/>
    <w:rsid w:val="00225B66"/>
    <w:rsid w:val="00227877"/>
    <w:rsid w:val="00227A45"/>
    <w:rsid w:val="00231440"/>
    <w:rsid w:val="00231DA0"/>
    <w:rsid w:val="002330DB"/>
    <w:rsid w:val="00233220"/>
    <w:rsid w:val="00233A44"/>
    <w:rsid w:val="00233DC7"/>
    <w:rsid w:val="00235525"/>
    <w:rsid w:val="00235992"/>
    <w:rsid w:val="002365C4"/>
    <w:rsid w:val="00236A48"/>
    <w:rsid w:val="00237976"/>
    <w:rsid w:val="00241682"/>
    <w:rsid w:val="0024230A"/>
    <w:rsid w:val="00242791"/>
    <w:rsid w:val="00242DB5"/>
    <w:rsid w:val="00242F8A"/>
    <w:rsid w:val="00244F72"/>
    <w:rsid w:val="002470AB"/>
    <w:rsid w:val="00247779"/>
    <w:rsid w:val="00250541"/>
    <w:rsid w:val="00252012"/>
    <w:rsid w:val="00253B22"/>
    <w:rsid w:val="00253F7F"/>
    <w:rsid w:val="00253F80"/>
    <w:rsid w:val="00255460"/>
    <w:rsid w:val="002577DE"/>
    <w:rsid w:val="00261BA5"/>
    <w:rsid w:val="00263BA1"/>
    <w:rsid w:val="00263D19"/>
    <w:rsid w:val="0026511E"/>
    <w:rsid w:val="00266AA8"/>
    <w:rsid w:val="0026721D"/>
    <w:rsid w:val="00267CF1"/>
    <w:rsid w:val="00267F74"/>
    <w:rsid w:val="00270B06"/>
    <w:rsid w:val="00271373"/>
    <w:rsid w:val="00271AD9"/>
    <w:rsid w:val="00272027"/>
    <w:rsid w:val="00272518"/>
    <w:rsid w:val="00272833"/>
    <w:rsid w:val="00273B14"/>
    <w:rsid w:val="00273FDF"/>
    <w:rsid w:val="00276180"/>
    <w:rsid w:val="002763A1"/>
    <w:rsid w:val="00277EBA"/>
    <w:rsid w:val="00280F38"/>
    <w:rsid w:val="00281D06"/>
    <w:rsid w:val="00283BCD"/>
    <w:rsid w:val="0028419D"/>
    <w:rsid w:val="00285BEE"/>
    <w:rsid w:val="002867B7"/>
    <w:rsid w:val="00286F15"/>
    <w:rsid w:val="00290FD2"/>
    <w:rsid w:val="00291E65"/>
    <w:rsid w:val="0029399C"/>
    <w:rsid w:val="00293DEC"/>
    <w:rsid w:val="00294B77"/>
    <w:rsid w:val="0029533F"/>
    <w:rsid w:val="00295804"/>
    <w:rsid w:val="0029628E"/>
    <w:rsid w:val="00296A1E"/>
    <w:rsid w:val="002971E2"/>
    <w:rsid w:val="002A04B3"/>
    <w:rsid w:val="002A08DA"/>
    <w:rsid w:val="002A09A0"/>
    <w:rsid w:val="002A400C"/>
    <w:rsid w:val="002A42DA"/>
    <w:rsid w:val="002A43E4"/>
    <w:rsid w:val="002A5172"/>
    <w:rsid w:val="002A5559"/>
    <w:rsid w:val="002A5EED"/>
    <w:rsid w:val="002A692A"/>
    <w:rsid w:val="002A6C33"/>
    <w:rsid w:val="002A6D11"/>
    <w:rsid w:val="002A7780"/>
    <w:rsid w:val="002A7D61"/>
    <w:rsid w:val="002B11E6"/>
    <w:rsid w:val="002B1E17"/>
    <w:rsid w:val="002B20D9"/>
    <w:rsid w:val="002B2642"/>
    <w:rsid w:val="002B2B7D"/>
    <w:rsid w:val="002B30AF"/>
    <w:rsid w:val="002B325A"/>
    <w:rsid w:val="002B4016"/>
    <w:rsid w:val="002B58A3"/>
    <w:rsid w:val="002B61B2"/>
    <w:rsid w:val="002C015B"/>
    <w:rsid w:val="002C15DA"/>
    <w:rsid w:val="002C21E9"/>
    <w:rsid w:val="002C321F"/>
    <w:rsid w:val="002C350B"/>
    <w:rsid w:val="002C39C1"/>
    <w:rsid w:val="002C4AC4"/>
    <w:rsid w:val="002C6A9E"/>
    <w:rsid w:val="002C6D9B"/>
    <w:rsid w:val="002C7B3D"/>
    <w:rsid w:val="002D000F"/>
    <w:rsid w:val="002D234F"/>
    <w:rsid w:val="002D4314"/>
    <w:rsid w:val="002D4F11"/>
    <w:rsid w:val="002D6506"/>
    <w:rsid w:val="002D661E"/>
    <w:rsid w:val="002D6819"/>
    <w:rsid w:val="002E11FB"/>
    <w:rsid w:val="002E17CC"/>
    <w:rsid w:val="002E1F22"/>
    <w:rsid w:val="002E37EE"/>
    <w:rsid w:val="002E4D91"/>
    <w:rsid w:val="002E4FC3"/>
    <w:rsid w:val="002E5863"/>
    <w:rsid w:val="002E5B23"/>
    <w:rsid w:val="002E5CBD"/>
    <w:rsid w:val="002E758F"/>
    <w:rsid w:val="002E75C6"/>
    <w:rsid w:val="002F1015"/>
    <w:rsid w:val="002F2530"/>
    <w:rsid w:val="002F25C5"/>
    <w:rsid w:val="002F40B6"/>
    <w:rsid w:val="002F5AC1"/>
    <w:rsid w:val="002F71D7"/>
    <w:rsid w:val="002F7A51"/>
    <w:rsid w:val="002FC027"/>
    <w:rsid w:val="0030000A"/>
    <w:rsid w:val="0030000E"/>
    <w:rsid w:val="00300EBA"/>
    <w:rsid w:val="00301428"/>
    <w:rsid w:val="003018C1"/>
    <w:rsid w:val="00302C7E"/>
    <w:rsid w:val="003032A8"/>
    <w:rsid w:val="00306045"/>
    <w:rsid w:val="003066E1"/>
    <w:rsid w:val="00311151"/>
    <w:rsid w:val="00311C39"/>
    <w:rsid w:val="003125DE"/>
    <w:rsid w:val="003126F9"/>
    <w:rsid w:val="00313089"/>
    <w:rsid w:val="003149BA"/>
    <w:rsid w:val="00314FFD"/>
    <w:rsid w:val="0031507C"/>
    <w:rsid w:val="00315EA0"/>
    <w:rsid w:val="0031631B"/>
    <w:rsid w:val="003173BA"/>
    <w:rsid w:val="00321D57"/>
    <w:rsid w:val="00321FB6"/>
    <w:rsid w:val="00323FF0"/>
    <w:rsid w:val="00324DC6"/>
    <w:rsid w:val="00324F6A"/>
    <w:rsid w:val="00325C73"/>
    <w:rsid w:val="00330192"/>
    <w:rsid w:val="003309A7"/>
    <w:rsid w:val="00330B87"/>
    <w:rsid w:val="00331C70"/>
    <w:rsid w:val="00332397"/>
    <w:rsid w:val="00332AEC"/>
    <w:rsid w:val="0033340C"/>
    <w:rsid w:val="0033344A"/>
    <w:rsid w:val="003338FD"/>
    <w:rsid w:val="00333978"/>
    <w:rsid w:val="00333D27"/>
    <w:rsid w:val="0033490A"/>
    <w:rsid w:val="00334D4F"/>
    <w:rsid w:val="0033514E"/>
    <w:rsid w:val="00336DA1"/>
    <w:rsid w:val="003403CC"/>
    <w:rsid w:val="00341A56"/>
    <w:rsid w:val="00341D28"/>
    <w:rsid w:val="00342260"/>
    <w:rsid w:val="00343760"/>
    <w:rsid w:val="00344604"/>
    <w:rsid w:val="003446F7"/>
    <w:rsid w:val="003450F8"/>
    <w:rsid w:val="00345D9E"/>
    <w:rsid w:val="003505FC"/>
    <w:rsid w:val="0035102B"/>
    <w:rsid w:val="00351720"/>
    <w:rsid w:val="00351791"/>
    <w:rsid w:val="00355010"/>
    <w:rsid w:val="00355910"/>
    <w:rsid w:val="00355961"/>
    <w:rsid w:val="00357B28"/>
    <w:rsid w:val="003615FB"/>
    <w:rsid w:val="00362379"/>
    <w:rsid w:val="00362A0C"/>
    <w:rsid w:val="003633EE"/>
    <w:rsid w:val="00364737"/>
    <w:rsid w:val="003668F5"/>
    <w:rsid w:val="00366B2F"/>
    <w:rsid w:val="00366E8A"/>
    <w:rsid w:val="0037352C"/>
    <w:rsid w:val="00373885"/>
    <w:rsid w:val="00373E28"/>
    <w:rsid w:val="00373E6F"/>
    <w:rsid w:val="003746B1"/>
    <w:rsid w:val="0037629C"/>
    <w:rsid w:val="00376319"/>
    <w:rsid w:val="003769E5"/>
    <w:rsid w:val="003807AF"/>
    <w:rsid w:val="00380AD6"/>
    <w:rsid w:val="00380C01"/>
    <w:rsid w:val="00382457"/>
    <w:rsid w:val="00382B4B"/>
    <w:rsid w:val="003833D1"/>
    <w:rsid w:val="00384135"/>
    <w:rsid w:val="00385450"/>
    <w:rsid w:val="00386323"/>
    <w:rsid w:val="00387038"/>
    <w:rsid w:val="00387D0C"/>
    <w:rsid w:val="00392984"/>
    <w:rsid w:val="00394CDB"/>
    <w:rsid w:val="00395E17"/>
    <w:rsid w:val="003961B7"/>
    <w:rsid w:val="003962BC"/>
    <w:rsid w:val="003968CF"/>
    <w:rsid w:val="00397049"/>
    <w:rsid w:val="00397249"/>
    <w:rsid w:val="0039750A"/>
    <w:rsid w:val="003A1435"/>
    <w:rsid w:val="003A1AA6"/>
    <w:rsid w:val="003A22DE"/>
    <w:rsid w:val="003A2F5B"/>
    <w:rsid w:val="003A40DB"/>
    <w:rsid w:val="003A4142"/>
    <w:rsid w:val="003A4589"/>
    <w:rsid w:val="003A5266"/>
    <w:rsid w:val="003A54E0"/>
    <w:rsid w:val="003A5B98"/>
    <w:rsid w:val="003A5CBF"/>
    <w:rsid w:val="003A66B0"/>
    <w:rsid w:val="003A6AEF"/>
    <w:rsid w:val="003A6CDE"/>
    <w:rsid w:val="003B0C0F"/>
    <w:rsid w:val="003B35EE"/>
    <w:rsid w:val="003B4B40"/>
    <w:rsid w:val="003B5BF7"/>
    <w:rsid w:val="003B6D7F"/>
    <w:rsid w:val="003B7C9E"/>
    <w:rsid w:val="003B7E0D"/>
    <w:rsid w:val="003C1377"/>
    <w:rsid w:val="003C1400"/>
    <w:rsid w:val="003C1BBE"/>
    <w:rsid w:val="003C21D9"/>
    <w:rsid w:val="003C2562"/>
    <w:rsid w:val="003C34D7"/>
    <w:rsid w:val="003C38D5"/>
    <w:rsid w:val="003C70BA"/>
    <w:rsid w:val="003C7978"/>
    <w:rsid w:val="003D1226"/>
    <w:rsid w:val="003D17E3"/>
    <w:rsid w:val="003D1E4F"/>
    <w:rsid w:val="003D3AF4"/>
    <w:rsid w:val="003D42F4"/>
    <w:rsid w:val="003D5696"/>
    <w:rsid w:val="003D6F14"/>
    <w:rsid w:val="003D7456"/>
    <w:rsid w:val="003D7571"/>
    <w:rsid w:val="003E0083"/>
    <w:rsid w:val="003E0A1F"/>
    <w:rsid w:val="003E28B5"/>
    <w:rsid w:val="003E327D"/>
    <w:rsid w:val="003E3524"/>
    <w:rsid w:val="003E3695"/>
    <w:rsid w:val="003E41FE"/>
    <w:rsid w:val="003E461D"/>
    <w:rsid w:val="003E54C7"/>
    <w:rsid w:val="003E6745"/>
    <w:rsid w:val="003E7D90"/>
    <w:rsid w:val="003F3169"/>
    <w:rsid w:val="003F359A"/>
    <w:rsid w:val="003F63E9"/>
    <w:rsid w:val="003F7063"/>
    <w:rsid w:val="003F79B2"/>
    <w:rsid w:val="0040024E"/>
    <w:rsid w:val="0040228D"/>
    <w:rsid w:val="00402D23"/>
    <w:rsid w:val="00402DAC"/>
    <w:rsid w:val="00402FB1"/>
    <w:rsid w:val="004034AE"/>
    <w:rsid w:val="00403BCA"/>
    <w:rsid w:val="00404AAD"/>
    <w:rsid w:val="004055A3"/>
    <w:rsid w:val="00405F68"/>
    <w:rsid w:val="004069E5"/>
    <w:rsid w:val="00406A82"/>
    <w:rsid w:val="00406DBB"/>
    <w:rsid w:val="004079C3"/>
    <w:rsid w:val="004103FF"/>
    <w:rsid w:val="00410E9B"/>
    <w:rsid w:val="00411EE2"/>
    <w:rsid w:val="00412224"/>
    <w:rsid w:val="004128F9"/>
    <w:rsid w:val="00412F27"/>
    <w:rsid w:val="00413224"/>
    <w:rsid w:val="00414548"/>
    <w:rsid w:val="00414A93"/>
    <w:rsid w:val="00415060"/>
    <w:rsid w:val="004167A1"/>
    <w:rsid w:val="0041785A"/>
    <w:rsid w:val="0042070D"/>
    <w:rsid w:val="004208C5"/>
    <w:rsid w:val="00421419"/>
    <w:rsid w:val="00422099"/>
    <w:rsid w:val="004237DC"/>
    <w:rsid w:val="00423F60"/>
    <w:rsid w:val="004246DB"/>
    <w:rsid w:val="00424C10"/>
    <w:rsid w:val="004263EC"/>
    <w:rsid w:val="0042648E"/>
    <w:rsid w:val="0042762D"/>
    <w:rsid w:val="00430EC3"/>
    <w:rsid w:val="00431AE3"/>
    <w:rsid w:val="00432CA2"/>
    <w:rsid w:val="00433402"/>
    <w:rsid w:val="00433415"/>
    <w:rsid w:val="00433DE0"/>
    <w:rsid w:val="00434ABC"/>
    <w:rsid w:val="00435374"/>
    <w:rsid w:val="00435812"/>
    <w:rsid w:val="00435BDF"/>
    <w:rsid w:val="00436DBB"/>
    <w:rsid w:val="00437537"/>
    <w:rsid w:val="00437995"/>
    <w:rsid w:val="00440422"/>
    <w:rsid w:val="004405D5"/>
    <w:rsid w:val="004413C7"/>
    <w:rsid w:val="00441798"/>
    <w:rsid w:val="0044188B"/>
    <w:rsid w:val="00443450"/>
    <w:rsid w:val="004439F3"/>
    <w:rsid w:val="00443B07"/>
    <w:rsid w:val="004503E9"/>
    <w:rsid w:val="00450FC9"/>
    <w:rsid w:val="00451968"/>
    <w:rsid w:val="004528C8"/>
    <w:rsid w:val="00453B26"/>
    <w:rsid w:val="00453D31"/>
    <w:rsid w:val="004553C6"/>
    <w:rsid w:val="0045542A"/>
    <w:rsid w:val="0045605B"/>
    <w:rsid w:val="00456DEE"/>
    <w:rsid w:val="004579F6"/>
    <w:rsid w:val="004609CA"/>
    <w:rsid w:val="00460DBD"/>
    <w:rsid w:val="00461CE7"/>
    <w:rsid w:val="00462D4E"/>
    <w:rsid w:val="00463428"/>
    <w:rsid w:val="00464BED"/>
    <w:rsid w:val="0046585D"/>
    <w:rsid w:val="00466B96"/>
    <w:rsid w:val="00467C0B"/>
    <w:rsid w:val="00471BD2"/>
    <w:rsid w:val="0047222E"/>
    <w:rsid w:val="00472BE3"/>
    <w:rsid w:val="00472F96"/>
    <w:rsid w:val="00473F95"/>
    <w:rsid w:val="004742F6"/>
    <w:rsid w:val="0047477E"/>
    <w:rsid w:val="004748B9"/>
    <w:rsid w:val="00475C90"/>
    <w:rsid w:val="00475F09"/>
    <w:rsid w:val="00476CD2"/>
    <w:rsid w:val="00477F0B"/>
    <w:rsid w:val="00481615"/>
    <w:rsid w:val="004823D6"/>
    <w:rsid w:val="004828DA"/>
    <w:rsid w:val="00482DF0"/>
    <w:rsid w:val="00483689"/>
    <w:rsid w:val="0048373A"/>
    <w:rsid w:val="004841C6"/>
    <w:rsid w:val="00485E57"/>
    <w:rsid w:val="00486B52"/>
    <w:rsid w:val="0048776A"/>
    <w:rsid w:val="00487EAA"/>
    <w:rsid w:val="0049007D"/>
    <w:rsid w:val="004916A7"/>
    <w:rsid w:val="00492A72"/>
    <w:rsid w:val="00493604"/>
    <w:rsid w:val="004936D2"/>
    <w:rsid w:val="00493AB4"/>
    <w:rsid w:val="00495C3F"/>
    <w:rsid w:val="004A178C"/>
    <w:rsid w:val="004A23C0"/>
    <w:rsid w:val="004A54FC"/>
    <w:rsid w:val="004A583D"/>
    <w:rsid w:val="004A671E"/>
    <w:rsid w:val="004A6C86"/>
    <w:rsid w:val="004A7EEE"/>
    <w:rsid w:val="004A7F91"/>
    <w:rsid w:val="004A7FAE"/>
    <w:rsid w:val="004B061B"/>
    <w:rsid w:val="004B074E"/>
    <w:rsid w:val="004B0A9D"/>
    <w:rsid w:val="004B0C9C"/>
    <w:rsid w:val="004B254B"/>
    <w:rsid w:val="004B2582"/>
    <w:rsid w:val="004B2A9F"/>
    <w:rsid w:val="004B2D77"/>
    <w:rsid w:val="004B2E9E"/>
    <w:rsid w:val="004B3271"/>
    <w:rsid w:val="004B37D8"/>
    <w:rsid w:val="004B3AA3"/>
    <w:rsid w:val="004B4B1F"/>
    <w:rsid w:val="004B4C0E"/>
    <w:rsid w:val="004B4D50"/>
    <w:rsid w:val="004B5250"/>
    <w:rsid w:val="004B5A03"/>
    <w:rsid w:val="004C0CE1"/>
    <w:rsid w:val="004C190E"/>
    <w:rsid w:val="004C1D18"/>
    <w:rsid w:val="004C3197"/>
    <w:rsid w:val="004C4416"/>
    <w:rsid w:val="004C4D2B"/>
    <w:rsid w:val="004C70A5"/>
    <w:rsid w:val="004C78CC"/>
    <w:rsid w:val="004C7F50"/>
    <w:rsid w:val="004D027A"/>
    <w:rsid w:val="004D1A1C"/>
    <w:rsid w:val="004D1A44"/>
    <w:rsid w:val="004D4224"/>
    <w:rsid w:val="004D47D4"/>
    <w:rsid w:val="004D4C24"/>
    <w:rsid w:val="004D5D5D"/>
    <w:rsid w:val="004D6567"/>
    <w:rsid w:val="004D72AA"/>
    <w:rsid w:val="004E24A4"/>
    <w:rsid w:val="004E40A0"/>
    <w:rsid w:val="004E529D"/>
    <w:rsid w:val="004E5F4C"/>
    <w:rsid w:val="004E666D"/>
    <w:rsid w:val="004E69E6"/>
    <w:rsid w:val="004E6B4F"/>
    <w:rsid w:val="004E7796"/>
    <w:rsid w:val="004E7C2D"/>
    <w:rsid w:val="004F1C61"/>
    <w:rsid w:val="004F5176"/>
    <w:rsid w:val="004F52B2"/>
    <w:rsid w:val="004F649F"/>
    <w:rsid w:val="004F763F"/>
    <w:rsid w:val="005002B3"/>
    <w:rsid w:val="00500B65"/>
    <w:rsid w:val="00500DD2"/>
    <w:rsid w:val="00503751"/>
    <w:rsid w:val="00503F3C"/>
    <w:rsid w:val="00504284"/>
    <w:rsid w:val="00504620"/>
    <w:rsid w:val="005076EB"/>
    <w:rsid w:val="005105F3"/>
    <w:rsid w:val="005108F9"/>
    <w:rsid w:val="00510B5D"/>
    <w:rsid w:val="00512B0E"/>
    <w:rsid w:val="005133EF"/>
    <w:rsid w:val="0051371F"/>
    <w:rsid w:val="005138D2"/>
    <w:rsid w:val="00513F14"/>
    <w:rsid w:val="00515926"/>
    <w:rsid w:val="00516C30"/>
    <w:rsid w:val="005175C2"/>
    <w:rsid w:val="00517ADE"/>
    <w:rsid w:val="0052048C"/>
    <w:rsid w:val="00521B2D"/>
    <w:rsid w:val="00522BFA"/>
    <w:rsid w:val="005238A2"/>
    <w:rsid w:val="005255EC"/>
    <w:rsid w:val="00525B21"/>
    <w:rsid w:val="0052628C"/>
    <w:rsid w:val="005319B0"/>
    <w:rsid w:val="00531FED"/>
    <w:rsid w:val="00532B88"/>
    <w:rsid w:val="005333F0"/>
    <w:rsid w:val="00533688"/>
    <w:rsid w:val="005336AA"/>
    <w:rsid w:val="00535BBC"/>
    <w:rsid w:val="00535CAC"/>
    <w:rsid w:val="005373C9"/>
    <w:rsid w:val="00537A88"/>
    <w:rsid w:val="0054195D"/>
    <w:rsid w:val="005421BA"/>
    <w:rsid w:val="00546214"/>
    <w:rsid w:val="0054636F"/>
    <w:rsid w:val="0054637B"/>
    <w:rsid w:val="00546814"/>
    <w:rsid w:val="0055009E"/>
    <w:rsid w:val="005506D5"/>
    <w:rsid w:val="005509A8"/>
    <w:rsid w:val="00550DC6"/>
    <w:rsid w:val="00550F06"/>
    <w:rsid w:val="005551CC"/>
    <w:rsid w:val="0055596C"/>
    <w:rsid w:val="00555DA6"/>
    <w:rsid w:val="00556515"/>
    <w:rsid w:val="0056082C"/>
    <w:rsid w:val="00561556"/>
    <w:rsid w:val="00562CC6"/>
    <w:rsid w:val="0056537C"/>
    <w:rsid w:val="00565FB3"/>
    <w:rsid w:val="005676D3"/>
    <w:rsid w:val="00567832"/>
    <w:rsid w:val="00572F3A"/>
    <w:rsid w:val="0057321A"/>
    <w:rsid w:val="00573F60"/>
    <w:rsid w:val="00574347"/>
    <w:rsid w:val="0057483E"/>
    <w:rsid w:val="00574EA6"/>
    <w:rsid w:val="00574F50"/>
    <w:rsid w:val="00575522"/>
    <w:rsid w:val="00575E28"/>
    <w:rsid w:val="00577EAC"/>
    <w:rsid w:val="00580D64"/>
    <w:rsid w:val="005810BF"/>
    <w:rsid w:val="005812A5"/>
    <w:rsid w:val="00581AF4"/>
    <w:rsid w:val="00582CB2"/>
    <w:rsid w:val="00582E65"/>
    <w:rsid w:val="005831ED"/>
    <w:rsid w:val="00583D5D"/>
    <w:rsid w:val="005840D4"/>
    <w:rsid w:val="005851A0"/>
    <w:rsid w:val="00585C17"/>
    <w:rsid w:val="00586270"/>
    <w:rsid w:val="00586720"/>
    <w:rsid w:val="00586E5E"/>
    <w:rsid w:val="0058733A"/>
    <w:rsid w:val="00590E80"/>
    <w:rsid w:val="0059234B"/>
    <w:rsid w:val="00593324"/>
    <w:rsid w:val="005951E0"/>
    <w:rsid w:val="00595DBD"/>
    <w:rsid w:val="00596B86"/>
    <w:rsid w:val="005A03BC"/>
    <w:rsid w:val="005A0C41"/>
    <w:rsid w:val="005A2E58"/>
    <w:rsid w:val="005A316C"/>
    <w:rsid w:val="005A3E1B"/>
    <w:rsid w:val="005A41CB"/>
    <w:rsid w:val="005A498D"/>
    <w:rsid w:val="005B16BF"/>
    <w:rsid w:val="005B1EB6"/>
    <w:rsid w:val="005B3F48"/>
    <w:rsid w:val="005B592B"/>
    <w:rsid w:val="005B7395"/>
    <w:rsid w:val="005B745A"/>
    <w:rsid w:val="005B7D96"/>
    <w:rsid w:val="005B7EA7"/>
    <w:rsid w:val="005C10AF"/>
    <w:rsid w:val="005C1465"/>
    <w:rsid w:val="005C2983"/>
    <w:rsid w:val="005C3357"/>
    <w:rsid w:val="005C33BD"/>
    <w:rsid w:val="005C3BCB"/>
    <w:rsid w:val="005C4751"/>
    <w:rsid w:val="005C5EFE"/>
    <w:rsid w:val="005C668A"/>
    <w:rsid w:val="005C78ED"/>
    <w:rsid w:val="005D3079"/>
    <w:rsid w:val="005D3E4F"/>
    <w:rsid w:val="005D491F"/>
    <w:rsid w:val="005D543A"/>
    <w:rsid w:val="005D58D0"/>
    <w:rsid w:val="005D5D47"/>
    <w:rsid w:val="005D6666"/>
    <w:rsid w:val="005D6875"/>
    <w:rsid w:val="005D6CD9"/>
    <w:rsid w:val="005D7592"/>
    <w:rsid w:val="005D76BD"/>
    <w:rsid w:val="005E0232"/>
    <w:rsid w:val="005E1118"/>
    <w:rsid w:val="005E1841"/>
    <w:rsid w:val="005E2A21"/>
    <w:rsid w:val="005E2E4E"/>
    <w:rsid w:val="005E395A"/>
    <w:rsid w:val="005E4668"/>
    <w:rsid w:val="005E4EC0"/>
    <w:rsid w:val="005E76EE"/>
    <w:rsid w:val="005F0F2F"/>
    <w:rsid w:val="005F1627"/>
    <w:rsid w:val="005F34FC"/>
    <w:rsid w:val="005F4B72"/>
    <w:rsid w:val="005F612D"/>
    <w:rsid w:val="005F7039"/>
    <w:rsid w:val="00600FBC"/>
    <w:rsid w:val="0060251E"/>
    <w:rsid w:val="00604E4E"/>
    <w:rsid w:val="00604E6C"/>
    <w:rsid w:val="00604EC7"/>
    <w:rsid w:val="0060525D"/>
    <w:rsid w:val="00605590"/>
    <w:rsid w:val="0060581C"/>
    <w:rsid w:val="00606697"/>
    <w:rsid w:val="006066EE"/>
    <w:rsid w:val="006078DF"/>
    <w:rsid w:val="00610341"/>
    <w:rsid w:val="00611A15"/>
    <w:rsid w:val="006123C1"/>
    <w:rsid w:val="00612B39"/>
    <w:rsid w:val="0061319C"/>
    <w:rsid w:val="0061471D"/>
    <w:rsid w:val="006147C9"/>
    <w:rsid w:val="00614907"/>
    <w:rsid w:val="00614FCD"/>
    <w:rsid w:val="0061551C"/>
    <w:rsid w:val="00615A0C"/>
    <w:rsid w:val="006166CC"/>
    <w:rsid w:val="00616A49"/>
    <w:rsid w:val="006171AD"/>
    <w:rsid w:val="0062322C"/>
    <w:rsid w:val="006243BF"/>
    <w:rsid w:val="00625E70"/>
    <w:rsid w:val="0062648F"/>
    <w:rsid w:val="00626935"/>
    <w:rsid w:val="00626A46"/>
    <w:rsid w:val="006278E4"/>
    <w:rsid w:val="00627A6D"/>
    <w:rsid w:val="00627EDB"/>
    <w:rsid w:val="006327EB"/>
    <w:rsid w:val="00634E24"/>
    <w:rsid w:val="00634F55"/>
    <w:rsid w:val="006353C7"/>
    <w:rsid w:val="00636CE6"/>
    <w:rsid w:val="00641B26"/>
    <w:rsid w:val="00641F97"/>
    <w:rsid w:val="00642410"/>
    <w:rsid w:val="00643848"/>
    <w:rsid w:val="0064395F"/>
    <w:rsid w:val="00644912"/>
    <w:rsid w:val="00645246"/>
    <w:rsid w:val="00646B97"/>
    <w:rsid w:val="006472C4"/>
    <w:rsid w:val="006479B9"/>
    <w:rsid w:val="00650C62"/>
    <w:rsid w:val="0065105A"/>
    <w:rsid w:val="00652A0E"/>
    <w:rsid w:val="0065354F"/>
    <w:rsid w:val="00653804"/>
    <w:rsid w:val="0065380F"/>
    <w:rsid w:val="00653A87"/>
    <w:rsid w:val="00654657"/>
    <w:rsid w:val="0065515A"/>
    <w:rsid w:val="0065552C"/>
    <w:rsid w:val="00655986"/>
    <w:rsid w:val="006559C7"/>
    <w:rsid w:val="00655BF3"/>
    <w:rsid w:val="00656EDF"/>
    <w:rsid w:val="00657A92"/>
    <w:rsid w:val="006603E1"/>
    <w:rsid w:val="0066279F"/>
    <w:rsid w:val="00662DD0"/>
    <w:rsid w:val="00663150"/>
    <w:rsid w:val="00663160"/>
    <w:rsid w:val="0066441B"/>
    <w:rsid w:val="00665FD1"/>
    <w:rsid w:val="00666121"/>
    <w:rsid w:val="0066635B"/>
    <w:rsid w:val="0067060A"/>
    <w:rsid w:val="00670D5C"/>
    <w:rsid w:val="00671603"/>
    <w:rsid w:val="00671E82"/>
    <w:rsid w:val="0067323B"/>
    <w:rsid w:val="00673595"/>
    <w:rsid w:val="006747B2"/>
    <w:rsid w:val="006749A1"/>
    <w:rsid w:val="00674A0C"/>
    <w:rsid w:val="00674A40"/>
    <w:rsid w:val="00675148"/>
    <w:rsid w:val="00675213"/>
    <w:rsid w:val="006758BA"/>
    <w:rsid w:val="006805D4"/>
    <w:rsid w:val="00680C45"/>
    <w:rsid w:val="006813B0"/>
    <w:rsid w:val="00681EE0"/>
    <w:rsid w:val="00684BA8"/>
    <w:rsid w:val="006857E8"/>
    <w:rsid w:val="00691AEF"/>
    <w:rsid w:val="00692C43"/>
    <w:rsid w:val="00693677"/>
    <w:rsid w:val="00693F8A"/>
    <w:rsid w:val="00694FB9"/>
    <w:rsid w:val="00694FEB"/>
    <w:rsid w:val="00695238"/>
    <w:rsid w:val="0069525F"/>
    <w:rsid w:val="00696771"/>
    <w:rsid w:val="006974EB"/>
    <w:rsid w:val="006A1254"/>
    <w:rsid w:val="006A1370"/>
    <w:rsid w:val="006A169F"/>
    <w:rsid w:val="006A1761"/>
    <w:rsid w:val="006A2F3D"/>
    <w:rsid w:val="006A3208"/>
    <w:rsid w:val="006A388C"/>
    <w:rsid w:val="006A4C83"/>
    <w:rsid w:val="006A5437"/>
    <w:rsid w:val="006A6141"/>
    <w:rsid w:val="006A7F85"/>
    <w:rsid w:val="006B03EF"/>
    <w:rsid w:val="006B08C0"/>
    <w:rsid w:val="006B1E7D"/>
    <w:rsid w:val="006B224D"/>
    <w:rsid w:val="006B34FA"/>
    <w:rsid w:val="006B35E8"/>
    <w:rsid w:val="006B47FA"/>
    <w:rsid w:val="006B6C8A"/>
    <w:rsid w:val="006C01BF"/>
    <w:rsid w:val="006C17B2"/>
    <w:rsid w:val="006C3814"/>
    <w:rsid w:val="006C393E"/>
    <w:rsid w:val="006C3AE7"/>
    <w:rsid w:val="006C424E"/>
    <w:rsid w:val="006C49C2"/>
    <w:rsid w:val="006C5D30"/>
    <w:rsid w:val="006C692D"/>
    <w:rsid w:val="006C6EF7"/>
    <w:rsid w:val="006C6FE6"/>
    <w:rsid w:val="006C74E8"/>
    <w:rsid w:val="006D161A"/>
    <w:rsid w:val="006D23C3"/>
    <w:rsid w:val="006D2490"/>
    <w:rsid w:val="006D2567"/>
    <w:rsid w:val="006D32F6"/>
    <w:rsid w:val="006D5701"/>
    <w:rsid w:val="006D6272"/>
    <w:rsid w:val="006D628F"/>
    <w:rsid w:val="006D6505"/>
    <w:rsid w:val="006D6920"/>
    <w:rsid w:val="006D7A77"/>
    <w:rsid w:val="006E0D42"/>
    <w:rsid w:val="006E2BC5"/>
    <w:rsid w:val="006E2D8E"/>
    <w:rsid w:val="006E2E78"/>
    <w:rsid w:val="006E3464"/>
    <w:rsid w:val="006E37AF"/>
    <w:rsid w:val="006E7296"/>
    <w:rsid w:val="006E7F1E"/>
    <w:rsid w:val="006F03E8"/>
    <w:rsid w:val="006F06BF"/>
    <w:rsid w:val="006F13DB"/>
    <w:rsid w:val="006F1D55"/>
    <w:rsid w:val="006F2AEC"/>
    <w:rsid w:val="006F59FC"/>
    <w:rsid w:val="006F61CF"/>
    <w:rsid w:val="006F6232"/>
    <w:rsid w:val="006F6B3F"/>
    <w:rsid w:val="006F6C14"/>
    <w:rsid w:val="006F7CB8"/>
    <w:rsid w:val="00700D6C"/>
    <w:rsid w:val="00701800"/>
    <w:rsid w:val="00703268"/>
    <w:rsid w:val="00704D99"/>
    <w:rsid w:val="00705027"/>
    <w:rsid w:val="007056EC"/>
    <w:rsid w:val="00707216"/>
    <w:rsid w:val="00707B97"/>
    <w:rsid w:val="0071382F"/>
    <w:rsid w:val="00716263"/>
    <w:rsid w:val="00717B6F"/>
    <w:rsid w:val="00717C65"/>
    <w:rsid w:val="007203F1"/>
    <w:rsid w:val="00720CCA"/>
    <w:rsid w:val="0072202C"/>
    <w:rsid w:val="00722F54"/>
    <w:rsid w:val="0072359B"/>
    <w:rsid w:val="00723D26"/>
    <w:rsid w:val="00724407"/>
    <w:rsid w:val="007247F7"/>
    <w:rsid w:val="00724B39"/>
    <w:rsid w:val="00724F2D"/>
    <w:rsid w:val="007256D7"/>
    <w:rsid w:val="007268C6"/>
    <w:rsid w:val="00726AD8"/>
    <w:rsid w:val="0073148E"/>
    <w:rsid w:val="00731B9C"/>
    <w:rsid w:val="00731C27"/>
    <w:rsid w:val="007324EF"/>
    <w:rsid w:val="007346B4"/>
    <w:rsid w:val="00736F2C"/>
    <w:rsid w:val="00737584"/>
    <w:rsid w:val="00737857"/>
    <w:rsid w:val="0074076D"/>
    <w:rsid w:val="0074160D"/>
    <w:rsid w:val="00741A34"/>
    <w:rsid w:val="00741EAE"/>
    <w:rsid w:val="00744123"/>
    <w:rsid w:val="00745F0E"/>
    <w:rsid w:val="0074608E"/>
    <w:rsid w:val="00747197"/>
    <w:rsid w:val="00747E49"/>
    <w:rsid w:val="00747F61"/>
    <w:rsid w:val="007508E3"/>
    <w:rsid w:val="007523EB"/>
    <w:rsid w:val="00752EE3"/>
    <w:rsid w:val="00754C05"/>
    <w:rsid w:val="00755381"/>
    <w:rsid w:val="00756F85"/>
    <w:rsid w:val="0075704C"/>
    <w:rsid w:val="00757541"/>
    <w:rsid w:val="00757F68"/>
    <w:rsid w:val="00760096"/>
    <w:rsid w:val="007600E4"/>
    <w:rsid w:val="00760B80"/>
    <w:rsid w:val="00761D80"/>
    <w:rsid w:val="00762AF3"/>
    <w:rsid w:val="00764D15"/>
    <w:rsid w:val="007658A3"/>
    <w:rsid w:val="007664F9"/>
    <w:rsid w:val="00766996"/>
    <w:rsid w:val="00767E4E"/>
    <w:rsid w:val="00770430"/>
    <w:rsid w:val="007713C2"/>
    <w:rsid w:val="00771D1E"/>
    <w:rsid w:val="00772802"/>
    <w:rsid w:val="00772BD0"/>
    <w:rsid w:val="00773331"/>
    <w:rsid w:val="00773702"/>
    <w:rsid w:val="007750E0"/>
    <w:rsid w:val="00775163"/>
    <w:rsid w:val="0077528B"/>
    <w:rsid w:val="007756BE"/>
    <w:rsid w:val="00775B21"/>
    <w:rsid w:val="0077618F"/>
    <w:rsid w:val="00776405"/>
    <w:rsid w:val="007766FF"/>
    <w:rsid w:val="00776AE9"/>
    <w:rsid w:val="00777690"/>
    <w:rsid w:val="0078013E"/>
    <w:rsid w:val="007809C2"/>
    <w:rsid w:val="00782490"/>
    <w:rsid w:val="007848F6"/>
    <w:rsid w:val="0078536B"/>
    <w:rsid w:val="0079061C"/>
    <w:rsid w:val="0079139C"/>
    <w:rsid w:val="007919E8"/>
    <w:rsid w:val="00792089"/>
    <w:rsid w:val="00792334"/>
    <w:rsid w:val="007932EF"/>
    <w:rsid w:val="00795759"/>
    <w:rsid w:val="007957A0"/>
    <w:rsid w:val="007965A7"/>
    <w:rsid w:val="00796C28"/>
    <w:rsid w:val="007A07E8"/>
    <w:rsid w:val="007A204D"/>
    <w:rsid w:val="007A5CAC"/>
    <w:rsid w:val="007A6255"/>
    <w:rsid w:val="007A6712"/>
    <w:rsid w:val="007A7BD1"/>
    <w:rsid w:val="007B0180"/>
    <w:rsid w:val="007B152B"/>
    <w:rsid w:val="007B3DAD"/>
    <w:rsid w:val="007B3EE4"/>
    <w:rsid w:val="007B44A0"/>
    <w:rsid w:val="007B52D4"/>
    <w:rsid w:val="007B6F6F"/>
    <w:rsid w:val="007B7E04"/>
    <w:rsid w:val="007C0498"/>
    <w:rsid w:val="007C074F"/>
    <w:rsid w:val="007C17BF"/>
    <w:rsid w:val="007C26B2"/>
    <w:rsid w:val="007C36DE"/>
    <w:rsid w:val="007C3BAF"/>
    <w:rsid w:val="007C42B1"/>
    <w:rsid w:val="007C48FC"/>
    <w:rsid w:val="007C492B"/>
    <w:rsid w:val="007C4E5F"/>
    <w:rsid w:val="007C52D8"/>
    <w:rsid w:val="007C596C"/>
    <w:rsid w:val="007C7056"/>
    <w:rsid w:val="007C7794"/>
    <w:rsid w:val="007C7945"/>
    <w:rsid w:val="007D10F1"/>
    <w:rsid w:val="007D1672"/>
    <w:rsid w:val="007D1D80"/>
    <w:rsid w:val="007D2BB7"/>
    <w:rsid w:val="007D3324"/>
    <w:rsid w:val="007D4201"/>
    <w:rsid w:val="007D46D7"/>
    <w:rsid w:val="007D5A19"/>
    <w:rsid w:val="007D7F97"/>
    <w:rsid w:val="007E05B0"/>
    <w:rsid w:val="007E0CBA"/>
    <w:rsid w:val="007E1076"/>
    <w:rsid w:val="007E121D"/>
    <w:rsid w:val="007E15DA"/>
    <w:rsid w:val="007E1A47"/>
    <w:rsid w:val="007E1D67"/>
    <w:rsid w:val="007E2E57"/>
    <w:rsid w:val="007E3B24"/>
    <w:rsid w:val="007E45D6"/>
    <w:rsid w:val="007E63B4"/>
    <w:rsid w:val="007E6E03"/>
    <w:rsid w:val="007E752A"/>
    <w:rsid w:val="007F06ED"/>
    <w:rsid w:val="007F1228"/>
    <w:rsid w:val="007F2DFC"/>
    <w:rsid w:val="007F3EB1"/>
    <w:rsid w:val="007F43AE"/>
    <w:rsid w:val="007F50DB"/>
    <w:rsid w:val="007F5221"/>
    <w:rsid w:val="007F5814"/>
    <w:rsid w:val="007F59B6"/>
    <w:rsid w:val="007F6043"/>
    <w:rsid w:val="007F6F08"/>
    <w:rsid w:val="007F718A"/>
    <w:rsid w:val="007F7496"/>
    <w:rsid w:val="008007D6"/>
    <w:rsid w:val="00800CFC"/>
    <w:rsid w:val="00801924"/>
    <w:rsid w:val="008026C4"/>
    <w:rsid w:val="008029D4"/>
    <w:rsid w:val="0080408E"/>
    <w:rsid w:val="008049FE"/>
    <w:rsid w:val="00804A7C"/>
    <w:rsid w:val="00805577"/>
    <w:rsid w:val="00805D95"/>
    <w:rsid w:val="00806F54"/>
    <w:rsid w:val="00811204"/>
    <w:rsid w:val="00811722"/>
    <w:rsid w:val="008127D9"/>
    <w:rsid w:val="00812C50"/>
    <w:rsid w:val="00813006"/>
    <w:rsid w:val="008133C5"/>
    <w:rsid w:val="00813A0D"/>
    <w:rsid w:val="00814A6C"/>
    <w:rsid w:val="00816C14"/>
    <w:rsid w:val="008176F3"/>
    <w:rsid w:val="0082274D"/>
    <w:rsid w:val="00822809"/>
    <w:rsid w:val="0082494A"/>
    <w:rsid w:val="00824F91"/>
    <w:rsid w:val="00825950"/>
    <w:rsid w:val="00825C0E"/>
    <w:rsid w:val="00826046"/>
    <w:rsid w:val="008266E2"/>
    <w:rsid w:val="00826BBC"/>
    <w:rsid w:val="00826FEC"/>
    <w:rsid w:val="00827399"/>
    <w:rsid w:val="00827424"/>
    <w:rsid w:val="0082749C"/>
    <w:rsid w:val="00827731"/>
    <w:rsid w:val="00830B53"/>
    <w:rsid w:val="00831806"/>
    <w:rsid w:val="00832C82"/>
    <w:rsid w:val="00832D2C"/>
    <w:rsid w:val="00833BCC"/>
    <w:rsid w:val="008346E7"/>
    <w:rsid w:val="0083487F"/>
    <w:rsid w:val="008361B5"/>
    <w:rsid w:val="00836554"/>
    <w:rsid w:val="008366B8"/>
    <w:rsid w:val="00836B22"/>
    <w:rsid w:val="00836DD3"/>
    <w:rsid w:val="00840142"/>
    <w:rsid w:val="00845B8F"/>
    <w:rsid w:val="00846C35"/>
    <w:rsid w:val="00847AC9"/>
    <w:rsid w:val="00847F9C"/>
    <w:rsid w:val="00850569"/>
    <w:rsid w:val="008509F5"/>
    <w:rsid w:val="00850D93"/>
    <w:rsid w:val="00851B43"/>
    <w:rsid w:val="0085233F"/>
    <w:rsid w:val="008533B3"/>
    <w:rsid w:val="00854563"/>
    <w:rsid w:val="008550D1"/>
    <w:rsid w:val="008550D7"/>
    <w:rsid w:val="0085587C"/>
    <w:rsid w:val="00855F71"/>
    <w:rsid w:val="008571FE"/>
    <w:rsid w:val="008576E7"/>
    <w:rsid w:val="00860885"/>
    <w:rsid w:val="00860C30"/>
    <w:rsid w:val="00861289"/>
    <w:rsid w:val="00861C64"/>
    <w:rsid w:val="00862C7A"/>
    <w:rsid w:val="00863673"/>
    <w:rsid w:val="00863882"/>
    <w:rsid w:val="00863A85"/>
    <w:rsid w:val="00864CEF"/>
    <w:rsid w:val="00865278"/>
    <w:rsid w:val="0086540D"/>
    <w:rsid w:val="00866309"/>
    <w:rsid w:val="008663AB"/>
    <w:rsid w:val="00866A2C"/>
    <w:rsid w:val="00867153"/>
    <w:rsid w:val="008674DA"/>
    <w:rsid w:val="008707EA"/>
    <w:rsid w:val="00870E40"/>
    <w:rsid w:val="00871CBC"/>
    <w:rsid w:val="00871F5F"/>
    <w:rsid w:val="00873AD5"/>
    <w:rsid w:val="00874D22"/>
    <w:rsid w:val="00874DB5"/>
    <w:rsid w:val="0087543F"/>
    <w:rsid w:val="00877A52"/>
    <w:rsid w:val="0088053A"/>
    <w:rsid w:val="00880E89"/>
    <w:rsid w:val="0088140A"/>
    <w:rsid w:val="008820B9"/>
    <w:rsid w:val="00883A4F"/>
    <w:rsid w:val="00885629"/>
    <w:rsid w:val="00886105"/>
    <w:rsid w:val="008865F8"/>
    <w:rsid w:val="008868C5"/>
    <w:rsid w:val="0088711C"/>
    <w:rsid w:val="008905F2"/>
    <w:rsid w:val="0089255B"/>
    <w:rsid w:val="00892BAE"/>
    <w:rsid w:val="00892E92"/>
    <w:rsid w:val="00894F16"/>
    <w:rsid w:val="00895010"/>
    <w:rsid w:val="00895E0E"/>
    <w:rsid w:val="00896B22"/>
    <w:rsid w:val="008973B7"/>
    <w:rsid w:val="00897630"/>
    <w:rsid w:val="00897843"/>
    <w:rsid w:val="00897B14"/>
    <w:rsid w:val="008A1886"/>
    <w:rsid w:val="008A198F"/>
    <w:rsid w:val="008A1D73"/>
    <w:rsid w:val="008A20E1"/>
    <w:rsid w:val="008A2914"/>
    <w:rsid w:val="008A2B5A"/>
    <w:rsid w:val="008A2FF1"/>
    <w:rsid w:val="008A3565"/>
    <w:rsid w:val="008A42C5"/>
    <w:rsid w:val="008A60C2"/>
    <w:rsid w:val="008A6370"/>
    <w:rsid w:val="008A6B79"/>
    <w:rsid w:val="008B0F84"/>
    <w:rsid w:val="008B1220"/>
    <w:rsid w:val="008B1499"/>
    <w:rsid w:val="008B21AF"/>
    <w:rsid w:val="008B7F00"/>
    <w:rsid w:val="008C098D"/>
    <w:rsid w:val="008C0E6D"/>
    <w:rsid w:val="008C10E8"/>
    <w:rsid w:val="008C1420"/>
    <w:rsid w:val="008C2964"/>
    <w:rsid w:val="008C38F7"/>
    <w:rsid w:val="008C405E"/>
    <w:rsid w:val="008C40EA"/>
    <w:rsid w:val="008C4F07"/>
    <w:rsid w:val="008C5C68"/>
    <w:rsid w:val="008C6BB1"/>
    <w:rsid w:val="008D0A98"/>
    <w:rsid w:val="008D142B"/>
    <w:rsid w:val="008D1C91"/>
    <w:rsid w:val="008D2736"/>
    <w:rsid w:val="008D328C"/>
    <w:rsid w:val="008D5AEB"/>
    <w:rsid w:val="008E06C5"/>
    <w:rsid w:val="008E183C"/>
    <w:rsid w:val="008E265B"/>
    <w:rsid w:val="008E28D7"/>
    <w:rsid w:val="008E35E5"/>
    <w:rsid w:val="008E4D8E"/>
    <w:rsid w:val="008E5638"/>
    <w:rsid w:val="008E74FC"/>
    <w:rsid w:val="008E7B43"/>
    <w:rsid w:val="008E7E75"/>
    <w:rsid w:val="008F0111"/>
    <w:rsid w:val="008F099A"/>
    <w:rsid w:val="008F1D49"/>
    <w:rsid w:val="008F2010"/>
    <w:rsid w:val="008F21DA"/>
    <w:rsid w:val="008F4BA8"/>
    <w:rsid w:val="008F5E6A"/>
    <w:rsid w:val="008F6C08"/>
    <w:rsid w:val="00901DD2"/>
    <w:rsid w:val="00904B74"/>
    <w:rsid w:val="00905AAD"/>
    <w:rsid w:val="009066F4"/>
    <w:rsid w:val="009131EE"/>
    <w:rsid w:val="009133B5"/>
    <w:rsid w:val="00913C67"/>
    <w:rsid w:val="00914AFE"/>
    <w:rsid w:val="0091507D"/>
    <w:rsid w:val="009158FC"/>
    <w:rsid w:val="0091642F"/>
    <w:rsid w:val="00916A81"/>
    <w:rsid w:val="00916CE8"/>
    <w:rsid w:val="009172B7"/>
    <w:rsid w:val="00923885"/>
    <w:rsid w:val="0092443C"/>
    <w:rsid w:val="009256BE"/>
    <w:rsid w:val="00926121"/>
    <w:rsid w:val="00926323"/>
    <w:rsid w:val="009263A7"/>
    <w:rsid w:val="00926C27"/>
    <w:rsid w:val="009271FB"/>
    <w:rsid w:val="00927204"/>
    <w:rsid w:val="00927EC4"/>
    <w:rsid w:val="009308B2"/>
    <w:rsid w:val="009333A5"/>
    <w:rsid w:val="00933713"/>
    <w:rsid w:val="00933E0B"/>
    <w:rsid w:val="00935DC6"/>
    <w:rsid w:val="00940483"/>
    <w:rsid w:val="00940D7E"/>
    <w:rsid w:val="00941988"/>
    <w:rsid w:val="00941BE1"/>
    <w:rsid w:val="00942317"/>
    <w:rsid w:val="00942CD5"/>
    <w:rsid w:val="0094342C"/>
    <w:rsid w:val="00943AB2"/>
    <w:rsid w:val="009448B2"/>
    <w:rsid w:val="0094593B"/>
    <w:rsid w:val="009470E5"/>
    <w:rsid w:val="00947311"/>
    <w:rsid w:val="00951943"/>
    <w:rsid w:val="00952289"/>
    <w:rsid w:val="0095539F"/>
    <w:rsid w:val="00957346"/>
    <w:rsid w:val="009608E8"/>
    <w:rsid w:val="00963B48"/>
    <w:rsid w:val="00964395"/>
    <w:rsid w:val="009661CC"/>
    <w:rsid w:val="00970D1C"/>
    <w:rsid w:val="00970EF0"/>
    <w:rsid w:val="00971251"/>
    <w:rsid w:val="009713F7"/>
    <w:rsid w:val="009726C7"/>
    <w:rsid w:val="00973B67"/>
    <w:rsid w:val="009758C0"/>
    <w:rsid w:val="00975BA3"/>
    <w:rsid w:val="009766D9"/>
    <w:rsid w:val="00976E65"/>
    <w:rsid w:val="009804E7"/>
    <w:rsid w:val="00980FB5"/>
    <w:rsid w:val="009810F4"/>
    <w:rsid w:val="00981A5C"/>
    <w:rsid w:val="00982CC2"/>
    <w:rsid w:val="00983B01"/>
    <w:rsid w:val="00983E05"/>
    <w:rsid w:val="00983F60"/>
    <w:rsid w:val="00983FA9"/>
    <w:rsid w:val="00985B98"/>
    <w:rsid w:val="0098787B"/>
    <w:rsid w:val="00987AB3"/>
    <w:rsid w:val="0099312F"/>
    <w:rsid w:val="00994D96"/>
    <w:rsid w:val="00995BF6"/>
    <w:rsid w:val="00996727"/>
    <w:rsid w:val="00996C19"/>
    <w:rsid w:val="009A0C09"/>
    <w:rsid w:val="009A0D2E"/>
    <w:rsid w:val="009A22E7"/>
    <w:rsid w:val="009A3295"/>
    <w:rsid w:val="009A4237"/>
    <w:rsid w:val="009A45A0"/>
    <w:rsid w:val="009A4600"/>
    <w:rsid w:val="009A5E23"/>
    <w:rsid w:val="009A6250"/>
    <w:rsid w:val="009A6CA6"/>
    <w:rsid w:val="009A6D7C"/>
    <w:rsid w:val="009A747D"/>
    <w:rsid w:val="009A7C9A"/>
    <w:rsid w:val="009A7DA4"/>
    <w:rsid w:val="009B0025"/>
    <w:rsid w:val="009B0216"/>
    <w:rsid w:val="009B062C"/>
    <w:rsid w:val="009B3359"/>
    <w:rsid w:val="009B3413"/>
    <w:rsid w:val="009B5293"/>
    <w:rsid w:val="009B596C"/>
    <w:rsid w:val="009B6548"/>
    <w:rsid w:val="009B7310"/>
    <w:rsid w:val="009C0B60"/>
    <w:rsid w:val="009C1063"/>
    <w:rsid w:val="009C39B8"/>
    <w:rsid w:val="009C46EF"/>
    <w:rsid w:val="009C4C9A"/>
    <w:rsid w:val="009C6830"/>
    <w:rsid w:val="009C77D1"/>
    <w:rsid w:val="009C7E36"/>
    <w:rsid w:val="009D0274"/>
    <w:rsid w:val="009D06D2"/>
    <w:rsid w:val="009D15BB"/>
    <w:rsid w:val="009D30A1"/>
    <w:rsid w:val="009D32D2"/>
    <w:rsid w:val="009D42A7"/>
    <w:rsid w:val="009D466F"/>
    <w:rsid w:val="009D4BD4"/>
    <w:rsid w:val="009D4F51"/>
    <w:rsid w:val="009D594F"/>
    <w:rsid w:val="009D62CF"/>
    <w:rsid w:val="009D6A31"/>
    <w:rsid w:val="009D6D2A"/>
    <w:rsid w:val="009D7089"/>
    <w:rsid w:val="009D751D"/>
    <w:rsid w:val="009D78FF"/>
    <w:rsid w:val="009E0989"/>
    <w:rsid w:val="009E0F6A"/>
    <w:rsid w:val="009E1069"/>
    <w:rsid w:val="009E17F2"/>
    <w:rsid w:val="009E2147"/>
    <w:rsid w:val="009E22C1"/>
    <w:rsid w:val="009E30E4"/>
    <w:rsid w:val="009E3CDA"/>
    <w:rsid w:val="009E41BD"/>
    <w:rsid w:val="009E50A3"/>
    <w:rsid w:val="009E529B"/>
    <w:rsid w:val="009E546F"/>
    <w:rsid w:val="009E7622"/>
    <w:rsid w:val="009E78C5"/>
    <w:rsid w:val="009F0285"/>
    <w:rsid w:val="009F1A64"/>
    <w:rsid w:val="009F1A86"/>
    <w:rsid w:val="009F32C0"/>
    <w:rsid w:val="009F3353"/>
    <w:rsid w:val="009F35C3"/>
    <w:rsid w:val="009F38D3"/>
    <w:rsid w:val="009F3D50"/>
    <w:rsid w:val="009F56DB"/>
    <w:rsid w:val="009F5C5A"/>
    <w:rsid w:val="009F6FEF"/>
    <w:rsid w:val="009F77FF"/>
    <w:rsid w:val="00A00657"/>
    <w:rsid w:val="00A01613"/>
    <w:rsid w:val="00A01C37"/>
    <w:rsid w:val="00A02675"/>
    <w:rsid w:val="00A030BA"/>
    <w:rsid w:val="00A0321A"/>
    <w:rsid w:val="00A0352A"/>
    <w:rsid w:val="00A03F29"/>
    <w:rsid w:val="00A050C2"/>
    <w:rsid w:val="00A055F7"/>
    <w:rsid w:val="00A0644F"/>
    <w:rsid w:val="00A06DF2"/>
    <w:rsid w:val="00A07652"/>
    <w:rsid w:val="00A07B0D"/>
    <w:rsid w:val="00A10244"/>
    <w:rsid w:val="00A10D41"/>
    <w:rsid w:val="00A11EB5"/>
    <w:rsid w:val="00A12251"/>
    <w:rsid w:val="00A122DF"/>
    <w:rsid w:val="00A1298A"/>
    <w:rsid w:val="00A12B08"/>
    <w:rsid w:val="00A14A36"/>
    <w:rsid w:val="00A15750"/>
    <w:rsid w:val="00A16FB7"/>
    <w:rsid w:val="00A201B1"/>
    <w:rsid w:val="00A21826"/>
    <w:rsid w:val="00A21F66"/>
    <w:rsid w:val="00A24977"/>
    <w:rsid w:val="00A24AC7"/>
    <w:rsid w:val="00A2521F"/>
    <w:rsid w:val="00A25535"/>
    <w:rsid w:val="00A2556E"/>
    <w:rsid w:val="00A263F6"/>
    <w:rsid w:val="00A2708A"/>
    <w:rsid w:val="00A3014F"/>
    <w:rsid w:val="00A30340"/>
    <w:rsid w:val="00A30774"/>
    <w:rsid w:val="00A31920"/>
    <w:rsid w:val="00A31A52"/>
    <w:rsid w:val="00A32E1E"/>
    <w:rsid w:val="00A33D76"/>
    <w:rsid w:val="00A34532"/>
    <w:rsid w:val="00A34DF0"/>
    <w:rsid w:val="00A352EE"/>
    <w:rsid w:val="00A37039"/>
    <w:rsid w:val="00A37EC9"/>
    <w:rsid w:val="00A401B2"/>
    <w:rsid w:val="00A40222"/>
    <w:rsid w:val="00A40693"/>
    <w:rsid w:val="00A40BA5"/>
    <w:rsid w:val="00A448F8"/>
    <w:rsid w:val="00A44BC2"/>
    <w:rsid w:val="00A45200"/>
    <w:rsid w:val="00A468F7"/>
    <w:rsid w:val="00A47465"/>
    <w:rsid w:val="00A47B00"/>
    <w:rsid w:val="00A47C8C"/>
    <w:rsid w:val="00A5075B"/>
    <w:rsid w:val="00A50F85"/>
    <w:rsid w:val="00A52EFE"/>
    <w:rsid w:val="00A5351E"/>
    <w:rsid w:val="00A538C4"/>
    <w:rsid w:val="00A54A0D"/>
    <w:rsid w:val="00A56860"/>
    <w:rsid w:val="00A57735"/>
    <w:rsid w:val="00A57BD2"/>
    <w:rsid w:val="00A619E6"/>
    <w:rsid w:val="00A628E6"/>
    <w:rsid w:val="00A62E3E"/>
    <w:rsid w:val="00A63DF2"/>
    <w:rsid w:val="00A63EA8"/>
    <w:rsid w:val="00A6519A"/>
    <w:rsid w:val="00A67E0E"/>
    <w:rsid w:val="00A705D2"/>
    <w:rsid w:val="00A722C9"/>
    <w:rsid w:val="00A744C9"/>
    <w:rsid w:val="00A74A4A"/>
    <w:rsid w:val="00A766A1"/>
    <w:rsid w:val="00A76D90"/>
    <w:rsid w:val="00A77E3D"/>
    <w:rsid w:val="00A82BEC"/>
    <w:rsid w:val="00A82E1F"/>
    <w:rsid w:val="00A82FE6"/>
    <w:rsid w:val="00A834A0"/>
    <w:rsid w:val="00A834BC"/>
    <w:rsid w:val="00A8410F"/>
    <w:rsid w:val="00A8420B"/>
    <w:rsid w:val="00A8498F"/>
    <w:rsid w:val="00A86AAF"/>
    <w:rsid w:val="00A86B98"/>
    <w:rsid w:val="00A86C4A"/>
    <w:rsid w:val="00A86CCA"/>
    <w:rsid w:val="00A875AB"/>
    <w:rsid w:val="00A91DD3"/>
    <w:rsid w:val="00A92A25"/>
    <w:rsid w:val="00A93DAC"/>
    <w:rsid w:val="00A93EED"/>
    <w:rsid w:val="00A94D72"/>
    <w:rsid w:val="00A963C7"/>
    <w:rsid w:val="00A967E7"/>
    <w:rsid w:val="00A96C99"/>
    <w:rsid w:val="00A9761A"/>
    <w:rsid w:val="00AA0F8F"/>
    <w:rsid w:val="00AA1059"/>
    <w:rsid w:val="00AA12DC"/>
    <w:rsid w:val="00AA2E29"/>
    <w:rsid w:val="00AA31DB"/>
    <w:rsid w:val="00AA37C0"/>
    <w:rsid w:val="00AA5137"/>
    <w:rsid w:val="00AA54B6"/>
    <w:rsid w:val="00AA5797"/>
    <w:rsid w:val="00AA6040"/>
    <w:rsid w:val="00AA6E8B"/>
    <w:rsid w:val="00AA7A2B"/>
    <w:rsid w:val="00AB0638"/>
    <w:rsid w:val="00AB1212"/>
    <w:rsid w:val="00AB3971"/>
    <w:rsid w:val="00AB4598"/>
    <w:rsid w:val="00AB5399"/>
    <w:rsid w:val="00AB7A67"/>
    <w:rsid w:val="00AB7A74"/>
    <w:rsid w:val="00AC1174"/>
    <w:rsid w:val="00AC1648"/>
    <w:rsid w:val="00AC2051"/>
    <w:rsid w:val="00AC2484"/>
    <w:rsid w:val="00AC3013"/>
    <w:rsid w:val="00AC3CCC"/>
    <w:rsid w:val="00AC3E61"/>
    <w:rsid w:val="00AC4918"/>
    <w:rsid w:val="00AC500C"/>
    <w:rsid w:val="00AC5867"/>
    <w:rsid w:val="00AC5CF0"/>
    <w:rsid w:val="00AC6E14"/>
    <w:rsid w:val="00AC770B"/>
    <w:rsid w:val="00AC781D"/>
    <w:rsid w:val="00AC7A59"/>
    <w:rsid w:val="00AC7F19"/>
    <w:rsid w:val="00AD0881"/>
    <w:rsid w:val="00AD1F72"/>
    <w:rsid w:val="00AD5709"/>
    <w:rsid w:val="00AD64A7"/>
    <w:rsid w:val="00AD705B"/>
    <w:rsid w:val="00AD7859"/>
    <w:rsid w:val="00AE01FF"/>
    <w:rsid w:val="00AE0DA3"/>
    <w:rsid w:val="00AE112D"/>
    <w:rsid w:val="00AE2918"/>
    <w:rsid w:val="00AE2B83"/>
    <w:rsid w:val="00AE2CC0"/>
    <w:rsid w:val="00AE2E7A"/>
    <w:rsid w:val="00AE3BD8"/>
    <w:rsid w:val="00AE5164"/>
    <w:rsid w:val="00AE579D"/>
    <w:rsid w:val="00AE597E"/>
    <w:rsid w:val="00AE5B8B"/>
    <w:rsid w:val="00AE5FDC"/>
    <w:rsid w:val="00AE71A6"/>
    <w:rsid w:val="00AE7B0B"/>
    <w:rsid w:val="00AF1F32"/>
    <w:rsid w:val="00AF20A7"/>
    <w:rsid w:val="00AF2EFA"/>
    <w:rsid w:val="00AF354B"/>
    <w:rsid w:val="00AF3A50"/>
    <w:rsid w:val="00AF4B3C"/>
    <w:rsid w:val="00AF578F"/>
    <w:rsid w:val="00AF5FD3"/>
    <w:rsid w:val="00AF648F"/>
    <w:rsid w:val="00AF6F06"/>
    <w:rsid w:val="00AF6F50"/>
    <w:rsid w:val="00B003BA"/>
    <w:rsid w:val="00B006DC"/>
    <w:rsid w:val="00B00B58"/>
    <w:rsid w:val="00B012D5"/>
    <w:rsid w:val="00B0177C"/>
    <w:rsid w:val="00B03B00"/>
    <w:rsid w:val="00B03C4C"/>
    <w:rsid w:val="00B04BED"/>
    <w:rsid w:val="00B04FE8"/>
    <w:rsid w:val="00B05F8A"/>
    <w:rsid w:val="00B06918"/>
    <w:rsid w:val="00B071C3"/>
    <w:rsid w:val="00B116AF"/>
    <w:rsid w:val="00B11B7E"/>
    <w:rsid w:val="00B11D04"/>
    <w:rsid w:val="00B12282"/>
    <w:rsid w:val="00B12DC0"/>
    <w:rsid w:val="00B1311B"/>
    <w:rsid w:val="00B13682"/>
    <w:rsid w:val="00B16287"/>
    <w:rsid w:val="00B2018E"/>
    <w:rsid w:val="00B20B3D"/>
    <w:rsid w:val="00B21720"/>
    <w:rsid w:val="00B21D6E"/>
    <w:rsid w:val="00B22429"/>
    <w:rsid w:val="00B2344F"/>
    <w:rsid w:val="00B2357E"/>
    <w:rsid w:val="00B24656"/>
    <w:rsid w:val="00B2594C"/>
    <w:rsid w:val="00B263C2"/>
    <w:rsid w:val="00B27534"/>
    <w:rsid w:val="00B27668"/>
    <w:rsid w:val="00B27E51"/>
    <w:rsid w:val="00B3052E"/>
    <w:rsid w:val="00B310D1"/>
    <w:rsid w:val="00B3147B"/>
    <w:rsid w:val="00B33614"/>
    <w:rsid w:val="00B33D37"/>
    <w:rsid w:val="00B347D0"/>
    <w:rsid w:val="00B37A48"/>
    <w:rsid w:val="00B41615"/>
    <w:rsid w:val="00B417EC"/>
    <w:rsid w:val="00B42D50"/>
    <w:rsid w:val="00B46286"/>
    <w:rsid w:val="00B46649"/>
    <w:rsid w:val="00B46CB9"/>
    <w:rsid w:val="00B4772E"/>
    <w:rsid w:val="00B47A90"/>
    <w:rsid w:val="00B47E10"/>
    <w:rsid w:val="00B50141"/>
    <w:rsid w:val="00B503CF"/>
    <w:rsid w:val="00B50D2F"/>
    <w:rsid w:val="00B51743"/>
    <w:rsid w:val="00B5222A"/>
    <w:rsid w:val="00B53254"/>
    <w:rsid w:val="00B56470"/>
    <w:rsid w:val="00B57DC4"/>
    <w:rsid w:val="00B6124E"/>
    <w:rsid w:val="00B63403"/>
    <w:rsid w:val="00B64C7C"/>
    <w:rsid w:val="00B65A84"/>
    <w:rsid w:val="00B71291"/>
    <w:rsid w:val="00B7136A"/>
    <w:rsid w:val="00B71781"/>
    <w:rsid w:val="00B71DAD"/>
    <w:rsid w:val="00B72508"/>
    <w:rsid w:val="00B74297"/>
    <w:rsid w:val="00B748F1"/>
    <w:rsid w:val="00B764D4"/>
    <w:rsid w:val="00B77789"/>
    <w:rsid w:val="00B80E9C"/>
    <w:rsid w:val="00B81F39"/>
    <w:rsid w:val="00B8382F"/>
    <w:rsid w:val="00B85C37"/>
    <w:rsid w:val="00B873C2"/>
    <w:rsid w:val="00B87915"/>
    <w:rsid w:val="00B901D8"/>
    <w:rsid w:val="00B91248"/>
    <w:rsid w:val="00B91839"/>
    <w:rsid w:val="00B93E75"/>
    <w:rsid w:val="00B9503F"/>
    <w:rsid w:val="00B95897"/>
    <w:rsid w:val="00B96F67"/>
    <w:rsid w:val="00B97AC0"/>
    <w:rsid w:val="00B97DA5"/>
    <w:rsid w:val="00BA05F8"/>
    <w:rsid w:val="00BA0BE8"/>
    <w:rsid w:val="00BA1AC1"/>
    <w:rsid w:val="00BA2F90"/>
    <w:rsid w:val="00BA41AD"/>
    <w:rsid w:val="00BA5C67"/>
    <w:rsid w:val="00BA6744"/>
    <w:rsid w:val="00BA6E7E"/>
    <w:rsid w:val="00BB2449"/>
    <w:rsid w:val="00BB3C22"/>
    <w:rsid w:val="00BB5C02"/>
    <w:rsid w:val="00BB5DDD"/>
    <w:rsid w:val="00BB63AC"/>
    <w:rsid w:val="00BB7284"/>
    <w:rsid w:val="00BC0F9F"/>
    <w:rsid w:val="00BC2FFD"/>
    <w:rsid w:val="00BC3409"/>
    <w:rsid w:val="00BC3B1C"/>
    <w:rsid w:val="00BC48C2"/>
    <w:rsid w:val="00BC5317"/>
    <w:rsid w:val="00BC5B41"/>
    <w:rsid w:val="00BC6DFE"/>
    <w:rsid w:val="00BC74AD"/>
    <w:rsid w:val="00BD037F"/>
    <w:rsid w:val="00BD059F"/>
    <w:rsid w:val="00BD0878"/>
    <w:rsid w:val="00BD1096"/>
    <w:rsid w:val="00BD2382"/>
    <w:rsid w:val="00BD2BD2"/>
    <w:rsid w:val="00BD31A1"/>
    <w:rsid w:val="00BD3A95"/>
    <w:rsid w:val="00BD4238"/>
    <w:rsid w:val="00BD4629"/>
    <w:rsid w:val="00BD4FF3"/>
    <w:rsid w:val="00BD5E36"/>
    <w:rsid w:val="00BD6A92"/>
    <w:rsid w:val="00BD7D31"/>
    <w:rsid w:val="00BE0BD8"/>
    <w:rsid w:val="00BE0DAA"/>
    <w:rsid w:val="00BE11E1"/>
    <w:rsid w:val="00BE16F5"/>
    <w:rsid w:val="00BE204B"/>
    <w:rsid w:val="00BE3A6E"/>
    <w:rsid w:val="00BE4BAC"/>
    <w:rsid w:val="00BE6AA8"/>
    <w:rsid w:val="00BE74C3"/>
    <w:rsid w:val="00BE7587"/>
    <w:rsid w:val="00BF1DA9"/>
    <w:rsid w:val="00BF2C71"/>
    <w:rsid w:val="00BF3880"/>
    <w:rsid w:val="00BF5398"/>
    <w:rsid w:val="00BF6991"/>
    <w:rsid w:val="00C00AC7"/>
    <w:rsid w:val="00C01DEA"/>
    <w:rsid w:val="00C02334"/>
    <w:rsid w:val="00C0280D"/>
    <w:rsid w:val="00C02852"/>
    <w:rsid w:val="00C032D1"/>
    <w:rsid w:val="00C05A35"/>
    <w:rsid w:val="00C070EB"/>
    <w:rsid w:val="00C07835"/>
    <w:rsid w:val="00C104D2"/>
    <w:rsid w:val="00C10E9D"/>
    <w:rsid w:val="00C11000"/>
    <w:rsid w:val="00C11E25"/>
    <w:rsid w:val="00C12301"/>
    <w:rsid w:val="00C12497"/>
    <w:rsid w:val="00C137F4"/>
    <w:rsid w:val="00C15D44"/>
    <w:rsid w:val="00C15E79"/>
    <w:rsid w:val="00C15EFA"/>
    <w:rsid w:val="00C16C14"/>
    <w:rsid w:val="00C17593"/>
    <w:rsid w:val="00C17863"/>
    <w:rsid w:val="00C178F9"/>
    <w:rsid w:val="00C17E6B"/>
    <w:rsid w:val="00C20A08"/>
    <w:rsid w:val="00C2148C"/>
    <w:rsid w:val="00C21527"/>
    <w:rsid w:val="00C225FD"/>
    <w:rsid w:val="00C22EFC"/>
    <w:rsid w:val="00C23450"/>
    <w:rsid w:val="00C243F8"/>
    <w:rsid w:val="00C24F4E"/>
    <w:rsid w:val="00C25496"/>
    <w:rsid w:val="00C2558E"/>
    <w:rsid w:val="00C25FB3"/>
    <w:rsid w:val="00C26147"/>
    <w:rsid w:val="00C26B4E"/>
    <w:rsid w:val="00C275E7"/>
    <w:rsid w:val="00C31E1A"/>
    <w:rsid w:val="00C32F21"/>
    <w:rsid w:val="00C33A52"/>
    <w:rsid w:val="00C33DD2"/>
    <w:rsid w:val="00C33F34"/>
    <w:rsid w:val="00C341D7"/>
    <w:rsid w:val="00C34579"/>
    <w:rsid w:val="00C347A7"/>
    <w:rsid w:val="00C353FE"/>
    <w:rsid w:val="00C354F4"/>
    <w:rsid w:val="00C36B57"/>
    <w:rsid w:val="00C36F6E"/>
    <w:rsid w:val="00C375C1"/>
    <w:rsid w:val="00C41769"/>
    <w:rsid w:val="00C421B9"/>
    <w:rsid w:val="00C42585"/>
    <w:rsid w:val="00C4272D"/>
    <w:rsid w:val="00C442D3"/>
    <w:rsid w:val="00C44348"/>
    <w:rsid w:val="00C444C1"/>
    <w:rsid w:val="00C4475C"/>
    <w:rsid w:val="00C447F8"/>
    <w:rsid w:val="00C44AF3"/>
    <w:rsid w:val="00C44CA0"/>
    <w:rsid w:val="00C450DA"/>
    <w:rsid w:val="00C456F2"/>
    <w:rsid w:val="00C469B9"/>
    <w:rsid w:val="00C5085D"/>
    <w:rsid w:val="00C533DB"/>
    <w:rsid w:val="00C540E9"/>
    <w:rsid w:val="00C54B2D"/>
    <w:rsid w:val="00C55541"/>
    <w:rsid w:val="00C5578C"/>
    <w:rsid w:val="00C559F6"/>
    <w:rsid w:val="00C55A08"/>
    <w:rsid w:val="00C5645E"/>
    <w:rsid w:val="00C565D6"/>
    <w:rsid w:val="00C6118C"/>
    <w:rsid w:val="00C61941"/>
    <w:rsid w:val="00C62435"/>
    <w:rsid w:val="00C63331"/>
    <w:rsid w:val="00C63BDB"/>
    <w:rsid w:val="00C64F16"/>
    <w:rsid w:val="00C65E35"/>
    <w:rsid w:val="00C663DC"/>
    <w:rsid w:val="00C67724"/>
    <w:rsid w:val="00C70B8A"/>
    <w:rsid w:val="00C715B2"/>
    <w:rsid w:val="00C715F8"/>
    <w:rsid w:val="00C72236"/>
    <w:rsid w:val="00C72BA2"/>
    <w:rsid w:val="00C7365B"/>
    <w:rsid w:val="00C73C42"/>
    <w:rsid w:val="00C73CE9"/>
    <w:rsid w:val="00C754F1"/>
    <w:rsid w:val="00C75D79"/>
    <w:rsid w:val="00C760C6"/>
    <w:rsid w:val="00C764F9"/>
    <w:rsid w:val="00C768D5"/>
    <w:rsid w:val="00C7712D"/>
    <w:rsid w:val="00C77FE7"/>
    <w:rsid w:val="00C80BF9"/>
    <w:rsid w:val="00C80C75"/>
    <w:rsid w:val="00C81E92"/>
    <w:rsid w:val="00C82078"/>
    <w:rsid w:val="00C8217F"/>
    <w:rsid w:val="00C83DCE"/>
    <w:rsid w:val="00C85053"/>
    <w:rsid w:val="00C859D2"/>
    <w:rsid w:val="00C86F65"/>
    <w:rsid w:val="00C876DF"/>
    <w:rsid w:val="00C9132D"/>
    <w:rsid w:val="00C919BA"/>
    <w:rsid w:val="00C91E9E"/>
    <w:rsid w:val="00C921C9"/>
    <w:rsid w:val="00C942B7"/>
    <w:rsid w:val="00C94A72"/>
    <w:rsid w:val="00C9545D"/>
    <w:rsid w:val="00CA0417"/>
    <w:rsid w:val="00CA06F6"/>
    <w:rsid w:val="00CA0D60"/>
    <w:rsid w:val="00CA1F2A"/>
    <w:rsid w:val="00CA3719"/>
    <w:rsid w:val="00CA3D87"/>
    <w:rsid w:val="00CA3F1F"/>
    <w:rsid w:val="00CA41AD"/>
    <w:rsid w:val="00CA5628"/>
    <w:rsid w:val="00CA5CAE"/>
    <w:rsid w:val="00CA77B2"/>
    <w:rsid w:val="00CA7FC7"/>
    <w:rsid w:val="00CB07A3"/>
    <w:rsid w:val="00CB2067"/>
    <w:rsid w:val="00CB3D0A"/>
    <w:rsid w:val="00CB3E66"/>
    <w:rsid w:val="00CB43EA"/>
    <w:rsid w:val="00CB5722"/>
    <w:rsid w:val="00CB6BBE"/>
    <w:rsid w:val="00CB7D1A"/>
    <w:rsid w:val="00CC0723"/>
    <w:rsid w:val="00CC0F4B"/>
    <w:rsid w:val="00CC484A"/>
    <w:rsid w:val="00CC4F86"/>
    <w:rsid w:val="00CC6251"/>
    <w:rsid w:val="00CC650C"/>
    <w:rsid w:val="00CC6A1C"/>
    <w:rsid w:val="00CC7327"/>
    <w:rsid w:val="00CD1837"/>
    <w:rsid w:val="00CD3BBE"/>
    <w:rsid w:val="00CD3EDA"/>
    <w:rsid w:val="00CD4813"/>
    <w:rsid w:val="00CD4CA4"/>
    <w:rsid w:val="00CD5074"/>
    <w:rsid w:val="00CD6F6B"/>
    <w:rsid w:val="00CD7234"/>
    <w:rsid w:val="00CD7A73"/>
    <w:rsid w:val="00CE19F2"/>
    <w:rsid w:val="00CE345E"/>
    <w:rsid w:val="00CE437E"/>
    <w:rsid w:val="00CE49DF"/>
    <w:rsid w:val="00CE6247"/>
    <w:rsid w:val="00CE6367"/>
    <w:rsid w:val="00CE6F2D"/>
    <w:rsid w:val="00CF0646"/>
    <w:rsid w:val="00CF1720"/>
    <w:rsid w:val="00CF193F"/>
    <w:rsid w:val="00CF1947"/>
    <w:rsid w:val="00CF3B87"/>
    <w:rsid w:val="00CF4BEC"/>
    <w:rsid w:val="00CF6500"/>
    <w:rsid w:val="00D0026D"/>
    <w:rsid w:val="00D003C8"/>
    <w:rsid w:val="00D00951"/>
    <w:rsid w:val="00D00BDA"/>
    <w:rsid w:val="00D019A3"/>
    <w:rsid w:val="00D03093"/>
    <w:rsid w:val="00D032C1"/>
    <w:rsid w:val="00D04641"/>
    <w:rsid w:val="00D05598"/>
    <w:rsid w:val="00D05C56"/>
    <w:rsid w:val="00D10BC8"/>
    <w:rsid w:val="00D10C66"/>
    <w:rsid w:val="00D11C27"/>
    <w:rsid w:val="00D12A54"/>
    <w:rsid w:val="00D1468A"/>
    <w:rsid w:val="00D148BE"/>
    <w:rsid w:val="00D152C9"/>
    <w:rsid w:val="00D1583C"/>
    <w:rsid w:val="00D16441"/>
    <w:rsid w:val="00D16F78"/>
    <w:rsid w:val="00D17509"/>
    <w:rsid w:val="00D17B96"/>
    <w:rsid w:val="00D17D09"/>
    <w:rsid w:val="00D20381"/>
    <w:rsid w:val="00D20F44"/>
    <w:rsid w:val="00D22EB6"/>
    <w:rsid w:val="00D24E0B"/>
    <w:rsid w:val="00D24E1D"/>
    <w:rsid w:val="00D26BA8"/>
    <w:rsid w:val="00D2750E"/>
    <w:rsid w:val="00D30F87"/>
    <w:rsid w:val="00D339F9"/>
    <w:rsid w:val="00D33E38"/>
    <w:rsid w:val="00D34F28"/>
    <w:rsid w:val="00D36D60"/>
    <w:rsid w:val="00D4058D"/>
    <w:rsid w:val="00D4136A"/>
    <w:rsid w:val="00D4175B"/>
    <w:rsid w:val="00D41AE2"/>
    <w:rsid w:val="00D42605"/>
    <w:rsid w:val="00D439E5"/>
    <w:rsid w:val="00D43EC9"/>
    <w:rsid w:val="00D46475"/>
    <w:rsid w:val="00D467C9"/>
    <w:rsid w:val="00D5006C"/>
    <w:rsid w:val="00D51D3A"/>
    <w:rsid w:val="00D522DC"/>
    <w:rsid w:val="00D52C4C"/>
    <w:rsid w:val="00D55619"/>
    <w:rsid w:val="00D55C45"/>
    <w:rsid w:val="00D56D31"/>
    <w:rsid w:val="00D608FE"/>
    <w:rsid w:val="00D62A3F"/>
    <w:rsid w:val="00D63313"/>
    <w:rsid w:val="00D63609"/>
    <w:rsid w:val="00D63DC2"/>
    <w:rsid w:val="00D65DF3"/>
    <w:rsid w:val="00D678EC"/>
    <w:rsid w:val="00D702A5"/>
    <w:rsid w:val="00D714E4"/>
    <w:rsid w:val="00D72891"/>
    <w:rsid w:val="00D729AA"/>
    <w:rsid w:val="00D72E28"/>
    <w:rsid w:val="00D737DF"/>
    <w:rsid w:val="00D738B5"/>
    <w:rsid w:val="00D75163"/>
    <w:rsid w:val="00D75535"/>
    <w:rsid w:val="00D77DCE"/>
    <w:rsid w:val="00D81520"/>
    <w:rsid w:val="00D82A5D"/>
    <w:rsid w:val="00D82EC7"/>
    <w:rsid w:val="00D82F74"/>
    <w:rsid w:val="00D83903"/>
    <w:rsid w:val="00D841D5"/>
    <w:rsid w:val="00D849E6"/>
    <w:rsid w:val="00D84FAE"/>
    <w:rsid w:val="00D850FE"/>
    <w:rsid w:val="00D85520"/>
    <w:rsid w:val="00D85BF2"/>
    <w:rsid w:val="00D86C77"/>
    <w:rsid w:val="00D8774D"/>
    <w:rsid w:val="00D87A2B"/>
    <w:rsid w:val="00D906A7"/>
    <w:rsid w:val="00D924A5"/>
    <w:rsid w:val="00D92C87"/>
    <w:rsid w:val="00D94BE2"/>
    <w:rsid w:val="00D959F3"/>
    <w:rsid w:val="00D96C54"/>
    <w:rsid w:val="00D96CF8"/>
    <w:rsid w:val="00D96F7F"/>
    <w:rsid w:val="00D9781B"/>
    <w:rsid w:val="00DA1B7C"/>
    <w:rsid w:val="00DA2EAA"/>
    <w:rsid w:val="00DA3EA2"/>
    <w:rsid w:val="00DA586B"/>
    <w:rsid w:val="00DA64B2"/>
    <w:rsid w:val="00DA68DD"/>
    <w:rsid w:val="00DA76DF"/>
    <w:rsid w:val="00DB2AE5"/>
    <w:rsid w:val="00DB4381"/>
    <w:rsid w:val="00DB4524"/>
    <w:rsid w:val="00DB4D84"/>
    <w:rsid w:val="00DB53BC"/>
    <w:rsid w:val="00DB5FCC"/>
    <w:rsid w:val="00DB6086"/>
    <w:rsid w:val="00DB757B"/>
    <w:rsid w:val="00DC103E"/>
    <w:rsid w:val="00DC47B7"/>
    <w:rsid w:val="00DC55CF"/>
    <w:rsid w:val="00DC6844"/>
    <w:rsid w:val="00DC6C9D"/>
    <w:rsid w:val="00DC71B0"/>
    <w:rsid w:val="00DD02D6"/>
    <w:rsid w:val="00DD0769"/>
    <w:rsid w:val="00DD0800"/>
    <w:rsid w:val="00DD0FF9"/>
    <w:rsid w:val="00DD2504"/>
    <w:rsid w:val="00DD44B4"/>
    <w:rsid w:val="00DD494B"/>
    <w:rsid w:val="00DD56D3"/>
    <w:rsid w:val="00DD620C"/>
    <w:rsid w:val="00DE1336"/>
    <w:rsid w:val="00DE26D3"/>
    <w:rsid w:val="00DE3878"/>
    <w:rsid w:val="00DE3C86"/>
    <w:rsid w:val="00DE4535"/>
    <w:rsid w:val="00DE7CF8"/>
    <w:rsid w:val="00DF1E83"/>
    <w:rsid w:val="00DF45A6"/>
    <w:rsid w:val="00DF499A"/>
    <w:rsid w:val="00DF4C46"/>
    <w:rsid w:val="00DF5841"/>
    <w:rsid w:val="00DF59F6"/>
    <w:rsid w:val="00DF669F"/>
    <w:rsid w:val="00DF77DD"/>
    <w:rsid w:val="00DF78B2"/>
    <w:rsid w:val="00E00380"/>
    <w:rsid w:val="00E01DDF"/>
    <w:rsid w:val="00E02CD6"/>
    <w:rsid w:val="00E036DE"/>
    <w:rsid w:val="00E03D79"/>
    <w:rsid w:val="00E04D99"/>
    <w:rsid w:val="00E0501E"/>
    <w:rsid w:val="00E05D14"/>
    <w:rsid w:val="00E06183"/>
    <w:rsid w:val="00E068BB"/>
    <w:rsid w:val="00E1068E"/>
    <w:rsid w:val="00E10A79"/>
    <w:rsid w:val="00E10C1C"/>
    <w:rsid w:val="00E10E49"/>
    <w:rsid w:val="00E115FA"/>
    <w:rsid w:val="00E149E8"/>
    <w:rsid w:val="00E14E6F"/>
    <w:rsid w:val="00E15148"/>
    <w:rsid w:val="00E151DE"/>
    <w:rsid w:val="00E216F6"/>
    <w:rsid w:val="00E21BB9"/>
    <w:rsid w:val="00E2244B"/>
    <w:rsid w:val="00E22C8C"/>
    <w:rsid w:val="00E24295"/>
    <w:rsid w:val="00E2591E"/>
    <w:rsid w:val="00E25E9B"/>
    <w:rsid w:val="00E2608B"/>
    <w:rsid w:val="00E27607"/>
    <w:rsid w:val="00E27E7F"/>
    <w:rsid w:val="00E2E935"/>
    <w:rsid w:val="00E30967"/>
    <w:rsid w:val="00E30991"/>
    <w:rsid w:val="00E30C5A"/>
    <w:rsid w:val="00E3157A"/>
    <w:rsid w:val="00E31616"/>
    <w:rsid w:val="00E316E4"/>
    <w:rsid w:val="00E31C99"/>
    <w:rsid w:val="00E3289A"/>
    <w:rsid w:val="00E33BAE"/>
    <w:rsid w:val="00E35675"/>
    <w:rsid w:val="00E35E76"/>
    <w:rsid w:val="00E36307"/>
    <w:rsid w:val="00E3670C"/>
    <w:rsid w:val="00E36EE6"/>
    <w:rsid w:val="00E377AE"/>
    <w:rsid w:val="00E37B1B"/>
    <w:rsid w:val="00E40A58"/>
    <w:rsid w:val="00E40E3A"/>
    <w:rsid w:val="00E40F85"/>
    <w:rsid w:val="00E4262F"/>
    <w:rsid w:val="00E4268D"/>
    <w:rsid w:val="00E4345A"/>
    <w:rsid w:val="00E4436F"/>
    <w:rsid w:val="00E44508"/>
    <w:rsid w:val="00E44C57"/>
    <w:rsid w:val="00E44FDD"/>
    <w:rsid w:val="00E451FF"/>
    <w:rsid w:val="00E45339"/>
    <w:rsid w:val="00E45960"/>
    <w:rsid w:val="00E4602C"/>
    <w:rsid w:val="00E46C38"/>
    <w:rsid w:val="00E50EF4"/>
    <w:rsid w:val="00E51871"/>
    <w:rsid w:val="00E51983"/>
    <w:rsid w:val="00E53794"/>
    <w:rsid w:val="00E5432B"/>
    <w:rsid w:val="00E56F8E"/>
    <w:rsid w:val="00E576CF"/>
    <w:rsid w:val="00E57A12"/>
    <w:rsid w:val="00E57FAB"/>
    <w:rsid w:val="00E60A40"/>
    <w:rsid w:val="00E6418D"/>
    <w:rsid w:val="00E643D1"/>
    <w:rsid w:val="00E658DC"/>
    <w:rsid w:val="00E660B4"/>
    <w:rsid w:val="00E662E0"/>
    <w:rsid w:val="00E665A0"/>
    <w:rsid w:val="00E668E3"/>
    <w:rsid w:val="00E7028E"/>
    <w:rsid w:val="00E708B1"/>
    <w:rsid w:val="00E718B7"/>
    <w:rsid w:val="00E720D1"/>
    <w:rsid w:val="00E720E9"/>
    <w:rsid w:val="00E75C46"/>
    <w:rsid w:val="00E7705D"/>
    <w:rsid w:val="00E771EE"/>
    <w:rsid w:val="00E81BE4"/>
    <w:rsid w:val="00E82503"/>
    <w:rsid w:val="00E82FAF"/>
    <w:rsid w:val="00E83194"/>
    <w:rsid w:val="00E84513"/>
    <w:rsid w:val="00E86BF4"/>
    <w:rsid w:val="00E87DCE"/>
    <w:rsid w:val="00E933B8"/>
    <w:rsid w:val="00E9538C"/>
    <w:rsid w:val="00E96D8C"/>
    <w:rsid w:val="00E97450"/>
    <w:rsid w:val="00EA1E60"/>
    <w:rsid w:val="00EA4AB4"/>
    <w:rsid w:val="00EA4B82"/>
    <w:rsid w:val="00EA60F2"/>
    <w:rsid w:val="00EB05C9"/>
    <w:rsid w:val="00EB3F0E"/>
    <w:rsid w:val="00EB4163"/>
    <w:rsid w:val="00EB4355"/>
    <w:rsid w:val="00EB4B25"/>
    <w:rsid w:val="00EB6DCA"/>
    <w:rsid w:val="00EB7CE2"/>
    <w:rsid w:val="00EB7DEC"/>
    <w:rsid w:val="00EC0D93"/>
    <w:rsid w:val="00EC2359"/>
    <w:rsid w:val="00EC3434"/>
    <w:rsid w:val="00EC428C"/>
    <w:rsid w:val="00EC4BD1"/>
    <w:rsid w:val="00EC52EC"/>
    <w:rsid w:val="00EC58CE"/>
    <w:rsid w:val="00EC5A9F"/>
    <w:rsid w:val="00EC5C06"/>
    <w:rsid w:val="00EC66C2"/>
    <w:rsid w:val="00EC6F2E"/>
    <w:rsid w:val="00EC71E4"/>
    <w:rsid w:val="00EC7C9E"/>
    <w:rsid w:val="00EC7D72"/>
    <w:rsid w:val="00ED01CD"/>
    <w:rsid w:val="00ED114F"/>
    <w:rsid w:val="00ED19B7"/>
    <w:rsid w:val="00ED27A2"/>
    <w:rsid w:val="00ED6E71"/>
    <w:rsid w:val="00ED7122"/>
    <w:rsid w:val="00EE0A7B"/>
    <w:rsid w:val="00EE130A"/>
    <w:rsid w:val="00EE248A"/>
    <w:rsid w:val="00EE2EAE"/>
    <w:rsid w:val="00EE528B"/>
    <w:rsid w:val="00EF0974"/>
    <w:rsid w:val="00EF0FC9"/>
    <w:rsid w:val="00EF391B"/>
    <w:rsid w:val="00EF540A"/>
    <w:rsid w:val="00EF5F57"/>
    <w:rsid w:val="00EF6EE3"/>
    <w:rsid w:val="00EF7254"/>
    <w:rsid w:val="00EF74EE"/>
    <w:rsid w:val="00EF7CB3"/>
    <w:rsid w:val="00F00984"/>
    <w:rsid w:val="00F00DA9"/>
    <w:rsid w:val="00F013EA"/>
    <w:rsid w:val="00F021A6"/>
    <w:rsid w:val="00F02299"/>
    <w:rsid w:val="00F05A56"/>
    <w:rsid w:val="00F06AB0"/>
    <w:rsid w:val="00F07101"/>
    <w:rsid w:val="00F07CD2"/>
    <w:rsid w:val="00F108A9"/>
    <w:rsid w:val="00F11460"/>
    <w:rsid w:val="00F11604"/>
    <w:rsid w:val="00F12CF8"/>
    <w:rsid w:val="00F15929"/>
    <w:rsid w:val="00F15F75"/>
    <w:rsid w:val="00F16771"/>
    <w:rsid w:val="00F175F4"/>
    <w:rsid w:val="00F17743"/>
    <w:rsid w:val="00F17CF4"/>
    <w:rsid w:val="00F2066C"/>
    <w:rsid w:val="00F2108B"/>
    <w:rsid w:val="00F21814"/>
    <w:rsid w:val="00F22421"/>
    <w:rsid w:val="00F22A1C"/>
    <w:rsid w:val="00F2305A"/>
    <w:rsid w:val="00F23734"/>
    <w:rsid w:val="00F23E89"/>
    <w:rsid w:val="00F2492F"/>
    <w:rsid w:val="00F26353"/>
    <w:rsid w:val="00F26733"/>
    <w:rsid w:val="00F304F8"/>
    <w:rsid w:val="00F31DD2"/>
    <w:rsid w:val="00F32DD4"/>
    <w:rsid w:val="00F32DEE"/>
    <w:rsid w:val="00F33140"/>
    <w:rsid w:val="00F33ACE"/>
    <w:rsid w:val="00F33E15"/>
    <w:rsid w:val="00F33EEB"/>
    <w:rsid w:val="00F35770"/>
    <w:rsid w:val="00F36113"/>
    <w:rsid w:val="00F364FD"/>
    <w:rsid w:val="00F36A19"/>
    <w:rsid w:val="00F36AFB"/>
    <w:rsid w:val="00F42F5F"/>
    <w:rsid w:val="00F4371A"/>
    <w:rsid w:val="00F43C98"/>
    <w:rsid w:val="00F45324"/>
    <w:rsid w:val="00F4601D"/>
    <w:rsid w:val="00F4675C"/>
    <w:rsid w:val="00F475AF"/>
    <w:rsid w:val="00F47794"/>
    <w:rsid w:val="00F52FE0"/>
    <w:rsid w:val="00F5323F"/>
    <w:rsid w:val="00F53588"/>
    <w:rsid w:val="00F53AB3"/>
    <w:rsid w:val="00F53B8E"/>
    <w:rsid w:val="00F53D20"/>
    <w:rsid w:val="00F5502C"/>
    <w:rsid w:val="00F56215"/>
    <w:rsid w:val="00F567E8"/>
    <w:rsid w:val="00F56A70"/>
    <w:rsid w:val="00F579A2"/>
    <w:rsid w:val="00F60702"/>
    <w:rsid w:val="00F60E23"/>
    <w:rsid w:val="00F61D78"/>
    <w:rsid w:val="00F62BE1"/>
    <w:rsid w:val="00F630BD"/>
    <w:rsid w:val="00F633E2"/>
    <w:rsid w:val="00F63F23"/>
    <w:rsid w:val="00F64161"/>
    <w:rsid w:val="00F643A1"/>
    <w:rsid w:val="00F64F2F"/>
    <w:rsid w:val="00F65BB5"/>
    <w:rsid w:val="00F667D7"/>
    <w:rsid w:val="00F66C8E"/>
    <w:rsid w:val="00F70509"/>
    <w:rsid w:val="00F70A80"/>
    <w:rsid w:val="00F70B5F"/>
    <w:rsid w:val="00F72598"/>
    <w:rsid w:val="00F72BD1"/>
    <w:rsid w:val="00F738EA"/>
    <w:rsid w:val="00F73A31"/>
    <w:rsid w:val="00F73AB1"/>
    <w:rsid w:val="00F74968"/>
    <w:rsid w:val="00F7510A"/>
    <w:rsid w:val="00F757A1"/>
    <w:rsid w:val="00F75B93"/>
    <w:rsid w:val="00F76B2B"/>
    <w:rsid w:val="00F76C7C"/>
    <w:rsid w:val="00F772C3"/>
    <w:rsid w:val="00F7742C"/>
    <w:rsid w:val="00F77764"/>
    <w:rsid w:val="00F77DD2"/>
    <w:rsid w:val="00F77E0A"/>
    <w:rsid w:val="00F8076A"/>
    <w:rsid w:val="00F8090D"/>
    <w:rsid w:val="00F81025"/>
    <w:rsid w:val="00F8196B"/>
    <w:rsid w:val="00F82368"/>
    <w:rsid w:val="00F823F4"/>
    <w:rsid w:val="00F8310D"/>
    <w:rsid w:val="00F8319B"/>
    <w:rsid w:val="00F83436"/>
    <w:rsid w:val="00F839C2"/>
    <w:rsid w:val="00F847BB"/>
    <w:rsid w:val="00F84903"/>
    <w:rsid w:val="00F849AC"/>
    <w:rsid w:val="00F8685F"/>
    <w:rsid w:val="00F872C0"/>
    <w:rsid w:val="00F87584"/>
    <w:rsid w:val="00F87F5F"/>
    <w:rsid w:val="00F9013D"/>
    <w:rsid w:val="00F9086A"/>
    <w:rsid w:val="00F91914"/>
    <w:rsid w:val="00F92712"/>
    <w:rsid w:val="00F93469"/>
    <w:rsid w:val="00F934D5"/>
    <w:rsid w:val="00F941B5"/>
    <w:rsid w:val="00F94347"/>
    <w:rsid w:val="00F95A1B"/>
    <w:rsid w:val="00F95B13"/>
    <w:rsid w:val="00F96196"/>
    <w:rsid w:val="00F964FB"/>
    <w:rsid w:val="00F97A28"/>
    <w:rsid w:val="00F97FFB"/>
    <w:rsid w:val="00FA09DA"/>
    <w:rsid w:val="00FA348D"/>
    <w:rsid w:val="00FA4937"/>
    <w:rsid w:val="00FA4A93"/>
    <w:rsid w:val="00FA6849"/>
    <w:rsid w:val="00FA79EE"/>
    <w:rsid w:val="00FA7F54"/>
    <w:rsid w:val="00FB0170"/>
    <w:rsid w:val="00FB278B"/>
    <w:rsid w:val="00FB329E"/>
    <w:rsid w:val="00FB377F"/>
    <w:rsid w:val="00FB37AD"/>
    <w:rsid w:val="00FB3D47"/>
    <w:rsid w:val="00FB7068"/>
    <w:rsid w:val="00FB7652"/>
    <w:rsid w:val="00FB7A16"/>
    <w:rsid w:val="00FC0432"/>
    <w:rsid w:val="00FC0795"/>
    <w:rsid w:val="00FC2035"/>
    <w:rsid w:val="00FC343E"/>
    <w:rsid w:val="00FC38F8"/>
    <w:rsid w:val="00FC4CBF"/>
    <w:rsid w:val="00FC5EE3"/>
    <w:rsid w:val="00FC687B"/>
    <w:rsid w:val="00FD01AA"/>
    <w:rsid w:val="00FD0444"/>
    <w:rsid w:val="00FD14C6"/>
    <w:rsid w:val="00FD1687"/>
    <w:rsid w:val="00FD1B3A"/>
    <w:rsid w:val="00FD315C"/>
    <w:rsid w:val="00FD33CA"/>
    <w:rsid w:val="00FE0864"/>
    <w:rsid w:val="00FE0EB8"/>
    <w:rsid w:val="00FE2516"/>
    <w:rsid w:val="00FE2693"/>
    <w:rsid w:val="00FE2A89"/>
    <w:rsid w:val="00FE324C"/>
    <w:rsid w:val="00FE3679"/>
    <w:rsid w:val="00FE3834"/>
    <w:rsid w:val="00FE478F"/>
    <w:rsid w:val="00FE4E44"/>
    <w:rsid w:val="00FE6EA3"/>
    <w:rsid w:val="00FE76A6"/>
    <w:rsid w:val="00FE7FD0"/>
    <w:rsid w:val="00FF0087"/>
    <w:rsid w:val="00FF0910"/>
    <w:rsid w:val="00FF340F"/>
    <w:rsid w:val="00FF408A"/>
    <w:rsid w:val="00FF4F9F"/>
    <w:rsid w:val="00FF55C4"/>
    <w:rsid w:val="00FF5775"/>
    <w:rsid w:val="00FF5D69"/>
    <w:rsid w:val="01465471"/>
    <w:rsid w:val="0203A449"/>
    <w:rsid w:val="02756D5C"/>
    <w:rsid w:val="035E80C0"/>
    <w:rsid w:val="04354FD4"/>
    <w:rsid w:val="045D9E0D"/>
    <w:rsid w:val="0509307F"/>
    <w:rsid w:val="05481475"/>
    <w:rsid w:val="054AC32E"/>
    <w:rsid w:val="06A76E49"/>
    <w:rsid w:val="076D18C1"/>
    <w:rsid w:val="07C12776"/>
    <w:rsid w:val="08341923"/>
    <w:rsid w:val="08542C0C"/>
    <w:rsid w:val="08733365"/>
    <w:rsid w:val="0873F3F3"/>
    <w:rsid w:val="08D6A49C"/>
    <w:rsid w:val="09AC7652"/>
    <w:rsid w:val="0ADA9CDD"/>
    <w:rsid w:val="0ADE86FB"/>
    <w:rsid w:val="0B16E69E"/>
    <w:rsid w:val="0C253300"/>
    <w:rsid w:val="0C63F6B9"/>
    <w:rsid w:val="0CAD313D"/>
    <w:rsid w:val="0D73B8E1"/>
    <w:rsid w:val="0EA3DA08"/>
    <w:rsid w:val="0EE8F980"/>
    <w:rsid w:val="0EFCD00D"/>
    <w:rsid w:val="0F1518A2"/>
    <w:rsid w:val="0F599746"/>
    <w:rsid w:val="0FA72E31"/>
    <w:rsid w:val="10122BBF"/>
    <w:rsid w:val="1188145C"/>
    <w:rsid w:val="1190F369"/>
    <w:rsid w:val="11952E25"/>
    <w:rsid w:val="12140A1E"/>
    <w:rsid w:val="125965C2"/>
    <w:rsid w:val="127CAB0F"/>
    <w:rsid w:val="131EA4BA"/>
    <w:rsid w:val="13923964"/>
    <w:rsid w:val="13AB9BB6"/>
    <w:rsid w:val="13D17EB0"/>
    <w:rsid w:val="142437AE"/>
    <w:rsid w:val="14A3C02D"/>
    <w:rsid w:val="156E8357"/>
    <w:rsid w:val="15D9EF94"/>
    <w:rsid w:val="1616D5AB"/>
    <w:rsid w:val="1619C835"/>
    <w:rsid w:val="16220067"/>
    <w:rsid w:val="1622090C"/>
    <w:rsid w:val="162AEFF4"/>
    <w:rsid w:val="162D9DB4"/>
    <w:rsid w:val="16476BA1"/>
    <w:rsid w:val="1654A251"/>
    <w:rsid w:val="165BC51D"/>
    <w:rsid w:val="169E236F"/>
    <w:rsid w:val="16AF4520"/>
    <w:rsid w:val="170EE9B8"/>
    <w:rsid w:val="17803EF6"/>
    <w:rsid w:val="17D0D467"/>
    <w:rsid w:val="17EE0936"/>
    <w:rsid w:val="191A5ADA"/>
    <w:rsid w:val="196FC1A9"/>
    <w:rsid w:val="1974A2F6"/>
    <w:rsid w:val="19E1B8F3"/>
    <w:rsid w:val="1C459B6A"/>
    <w:rsid w:val="1C4CDCDC"/>
    <w:rsid w:val="1C8DDC9E"/>
    <w:rsid w:val="1CD19933"/>
    <w:rsid w:val="1D4E2FA0"/>
    <w:rsid w:val="1DBB473B"/>
    <w:rsid w:val="1DFC7BC6"/>
    <w:rsid w:val="1E8D8BBB"/>
    <w:rsid w:val="1F4AEFCA"/>
    <w:rsid w:val="1F6F5985"/>
    <w:rsid w:val="1FA0670B"/>
    <w:rsid w:val="201BE4D5"/>
    <w:rsid w:val="2053A0D7"/>
    <w:rsid w:val="2056D231"/>
    <w:rsid w:val="20856057"/>
    <w:rsid w:val="20F217E3"/>
    <w:rsid w:val="21462D17"/>
    <w:rsid w:val="225E7B2E"/>
    <w:rsid w:val="2269844E"/>
    <w:rsid w:val="22A863F2"/>
    <w:rsid w:val="238A32CF"/>
    <w:rsid w:val="239AE6AB"/>
    <w:rsid w:val="23A5A2E7"/>
    <w:rsid w:val="23BC9BBF"/>
    <w:rsid w:val="23FD9AAE"/>
    <w:rsid w:val="23FF042B"/>
    <w:rsid w:val="24F25368"/>
    <w:rsid w:val="25776376"/>
    <w:rsid w:val="25D36477"/>
    <w:rsid w:val="25F82616"/>
    <w:rsid w:val="280A7C17"/>
    <w:rsid w:val="2853EC81"/>
    <w:rsid w:val="28548074"/>
    <w:rsid w:val="28BAAC51"/>
    <w:rsid w:val="294ACDBE"/>
    <w:rsid w:val="297691AD"/>
    <w:rsid w:val="2A2DE96C"/>
    <w:rsid w:val="2A3C4D62"/>
    <w:rsid w:val="2A45A5AD"/>
    <w:rsid w:val="2AA4B767"/>
    <w:rsid w:val="2B5BC9EA"/>
    <w:rsid w:val="2B8682B6"/>
    <w:rsid w:val="2BB46B54"/>
    <w:rsid w:val="2BDFABF8"/>
    <w:rsid w:val="2C31D166"/>
    <w:rsid w:val="2DB6884F"/>
    <w:rsid w:val="2E01F9AB"/>
    <w:rsid w:val="2E4695BA"/>
    <w:rsid w:val="2F202017"/>
    <w:rsid w:val="30387C73"/>
    <w:rsid w:val="3043B80E"/>
    <w:rsid w:val="30D52E88"/>
    <w:rsid w:val="3192CDA3"/>
    <w:rsid w:val="322F49DD"/>
    <w:rsid w:val="3272B51C"/>
    <w:rsid w:val="329F0779"/>
    <w:rsid w:val="32AFE395"/>
    <w:rsid w:val="3358164D"/>
    <w:rsid w:val="33FD0963"/>
    <w:rsid w:val="346709C5"/>
    <w:rsid w:val="34868676"/>
    <w:rsid w:val="34ED9D0E"/>
    <w:rsid w:val="34FE0A9F"/>
    <w:rsid w:val="34FFB062"/>
    <w:rsid w:val="36125BB4"/>
    <w:rsid w:val="37983307"/>
    <w:rsid w:val="37AE1D2F"/>
    <w:rsid w:val="384CE5C8"/>
    <w:rsid w:val="392125E8"/>
    <w:rsid w:val="396A1EB3"/>
    <w:rsid w:val="39A2B2C8"/>
    <w:rsid w:val="3AB60BDA"/>
    <w:rsid w:val="3AEA11B3"/>
    <w:rsid w:val="3BFD188C"/>
    <w:rsid w:val="3C63D9C3"/>
    <w:rsid w:val="3E73F524"/>
    <w:rsid w:val="3E78BC59"/>
    <w:rsid w:val="3E8036D0"/>
    <w:rsid w:val="3F3865E1"/>
    <w:rsid w:val="401A6EA5"/>
    <w:rsid w:val="410C6B39"/>
    <w:rsid w:val="4394EB81"/>
    <w:rsid w:val="4467BFB6"/>
    <w:rsid w:val="44783A93"/>
    <w:rsid w:val="4613F11B"/>
    <w:rsid w:val="472A682C"/>
    <w:rsid w:val="47B57C4E"/>
    <w:rsid w:val="481ADBEE"/>
    <w:rsid w:val="48BC08D6"/>
    <w:rsid w:val="4958C5D5"/>
    <w:rsid w:val="4AE2037A"/>
    <w:rsid w:val="4B3CFF53"/>
    <w:rsid w:val="4BDFCEDE"/>
    <w:rsid w:val="4C3BB78F"/>
    <w:rsid w:val="4DC029E7"/>
    <w:rsid w:val="4DDCC842"/>
    <w:rsid w:val="4E48C4E3"/>
    <w:rsid w:val="4E8BAAF4"/>
    <w:rsid w:val="4EB644E6"/>
    <w:rsid w:val="4F2AD5B6"/>
    <w:rsid w:val="4FAA5CEF"/>
    <w:rsid w:val="4FFAD6F7"/>
    <w:rsid w:val="5017F305"/>
    <w:rsid w:val="50ECB761"/>
    <w:rsid w:val="50FF11BC"/>
    <w:rsid w:val="51686C95"/>
    <w:rsid w:val="51EDE153"/>
    <w:rsid w:val="533C0355"/>
    <w:rsid w:val="5356F842"/>
    <w:rsid w:val="5383885C"/>
    <w:rsid w:val="53FF1542"/>
    <w:rsid w:val="542143EE"/>
    <w:rsid w:val="552FFDA5"/>
    <w:rsid w:val="55966140"/>
    <w:rsid w:val="559BB8F8"/>
    <w:rsid w:val="55D3FF6C"/>
    <w:rsid w:val="560310C4"/>
    <w:rsid w:val="566A94B7"/>
    <w:rsid w:val="56A080DF"/>
    <w:rsid w:val="56B1D750"/>
    <w:rsid w:val="56CDFD91"/>
    <w:rsid w:val="56E5C997"/>
    <w:rsid w:val="57E8EEFD"/>
    <w:rsid w:val="583F688B"/>
    <w:rsid w:val="584F1AB2"/>
    <w:rsid w:val="599E54F7"/>
    <w:rsid w:val="59E5643E"/>
    <w:rsid w:val="5A4DDC57"/>
    <w:rsid w:val="5A885D89"/>
    <w:rsid w:val="5B0F0652"/>
    <w:rsid w:val="5B571CDA"/>
    <w:rsid w:val="5BAFAA94"/>
    <w:rsid w:val="5C3AE918"/>
    <w:rsid w:val="5C8ED3CB"/>
    <w:rsid w:val="5D7EA081"/>
    <w:rsid w:val="5DB4DE72"/>
    <w:rsid w:val="5DE615FD"/>
    <w:rsid w:val="5DF8864B"/>
    <w:rsid w:val="5EEEE497"/>
    <w:rsid w:val="5F2CB266"/>
    <w:rsid w:val="600C5D28"/>
    <w:rsid w:val="6078D157"/>
    <w:rsid w:val="609E326B"/>
    <w:rsid w:val="60F928E5"/>
    <w:rsid w:val="621FCAA0"/>
    <w:rsid w:val="62841C03"/>
    <w:rsid w:val="62D5BAF3"/>
    <w:rsid w:val="62ED4296"/>
    <w:rsid w:val="639F866B"/>
    <w:rsid w:val="65831F6F"/>
    <w:rsid w:val="65D8D886"/>
    <w:rsid w:val="667542E7"/>
    <w:rsid w:val="66AF38AD"/>
    <w:rsid w:val="67C5D2BB"/>
    <w:rsid w:val="68271B7B"/>
    <w:rsid w:val="683E6D40"/>
    <w:rsid w:val="68542645"/>
    <w:rsid w:val="68D2E022"/>
    <w:rsid w:val="6985A9BC"/>
    <w:rsid w:val="69C23A79"/>
    <w:rsid w:val="6A23BB9A"/>
    <w:rsid w:val="6B1A4118"/>
    <w:rsid w:val="6BB5E942"/>
    <w:rsid w:val="6BE309AE"/>
    <w:rsid w:val="6C4D1C29"/>
    <w:rsid w:val="6C554EFA"/>
    <w:rsid w:val="6CCBE4DC"/>
    <w:rsid w:val="6D16E3C7"/>
    <w:rsid w:val="6D5369A6"/>
    <w:rsid w:val="6D83CBC7"/>
    <w:rsid w:val="6DCA2B52"/>
    <w:rsid w:val="6DE7B8DD"/>
    <w:rsid w:val="6E439B50"/>
    <w:rsid w:val="6EEFF797"/>
    <w:rsid w:val="713D4641"/>
    <w:rsid w:val="7173083C"/>
    <w:rsid w:val="717F7D3E"/>
    <w:rsid w:val="71F1EFA6"/>
    <w:rsid w:val="72624232"/>
    <w:rsid w:val="73161707"/>
    <w:rsid w:val="73E88802"/>
    <w:rsid w:val="7400292C"/>
    <w:rsid w:val="742D300C"/>
    <w:rsid w:val="743B8100"/>
    <w:rsid w:val="74B70EA8"/>
    <w:rsid w:val="753E5E3D"/>
    <w:rsid w:val="7587F87F"/>
    <w:rsid w:val="75BCF839"/>
    <w:rsid w:val="75E961D3"/>
    <w:rsid w:val="765DCA79"/>
    <w:rsid w:val="76B58782"/>
    <w:rsid w:val="7762862F"/>
    <w:rsid w:val="777FE9F8"/>
    <w:rsid w:val="77828E11"/>
    <w:rsid w:val="78EA3D66"/>
    <w:rsid w:val="7954B401"/>
    <w:rsid w:val="79C0EB72"/>
    <w:rsid w:val="79C45F53"/>
    <w:rsid w:val="79D72318"/>
    <w:rsid w:val="7C118701"/>
    <w:rsid w:val="7CE2F607"/>
    <w:rsid w:val="7CFA9F1D"/>
    <w:rsid w:val="7D5C53B7"/>
    <w:rsid w:val="7DDC4A7D"/>
    <w:rsid w:val="7E945EF5"/>
    <w:rsid w:val="7EDEFFFA"/>
    <w:rsid w:val="7EE6A6EA"/>
    <w:rsid w:val="7EECB1EC"/>
    <w:rsid w:val="7FDF6961"/>
    <w:rsid w:val="7FF0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8B5"/>
    <w:pPr>
      <w:spacing w:before="0" w:after="160" w:line="278" w:lineRule="auto"/>
      <w:ind w:left="720"/>
      <w:contextualSpacing/>
      <w:jc w:val="left"/>
    </w:pPr>
    <w:rPr>
      <w:rFonts w:asciiTheme="minorHAnsi" w:hAnsiTheme="minorHAnsi" w:cstheme="minorBidi"/>
      <w:kern w:val="2"/>
      <w:szCs w:val="24"/>
      <w:lang w:val="en-IE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3E28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28B5"/>
    <w:pPr>
      <w:spacing w:before="0" w:after="160"/>
      <w:jc w:val="left"/>
    </w:pPr>
    <w:rPr>
      <w:rFonts w:asciiTheme="minorHAnsi" w:hAnsiTheme="minorHAnsi" w:cstheme="minorBidi"/>
      <w:kern w:val="2"/>
      <w:sz w:val="20"/>
      <w:szCs w:val="20"/>
      <w:lang w:val="en-IE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28B5"/>
    <w:rPr>
      <w:kern w:val="2"/>
      <w:sz w:val="20"/>
      <w:szCs w:val="20"/>
      <w:lang w:val="en-IE"/>
      <w14:ligatures w14:val="standardContextual"/>
    </w:rPr>
  </w:style>
  <w:style w:type="paragraph" w:styleId="ListBullet">
    <w:name w:val="List Bullet"/>
    <w:basedOn w:val="Normal"/>
    <w:uiPriority w:val="99"/>
    <w:semiHidden/>
    <w:unhideWhenUsed/>
    <w:rsid w:val="00AB3971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B3971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B3971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B3971"/>
    <w:pPr>
      <w:numPr>
        <w:numId w:val="6"/>
      </w:numPr>
      <w:contextualSpacing/>
    </w:pPr>
  </w:style>
  <w:style w:type="paragraph" w:styleId="Revision">
    <w:name w:val="Revision"/>
    <w:hidden/>
    <w:uiPriority w:val="99"/>
    <w:semiHidden/>
    <w:rsid w:val="00AB397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238A2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38A2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5238A2"/>
    <w:rPr>
      <w:vertAlign w:val="superscript"/>
    </w:rPr>
  </w:style>
  <w:style w:type="paragraph" w:customStyle="1" w:styleId="LegalNumPar">
    <w:name w:val="LegalNumPar"/>
    <w:basedOn w:val="Normal"/>
    <w:rsid w:val="000C58A5"/>
    <w:pPr>
      <w:numPr>
        <w:numId w:val="7"/>
      </w:numPr>
      <w:spacing w:line="360" w:lineRule="auto"/>
    </w:pPr>
  </w:style>
  <w:style w:type="paragraph" w:customStyle="1" w:styleId="LegalNumPar2">
    <w:name w:val="LegalNumPar2"/>
    <w:basedOn w:val="Normal"/>
    <w:rsid w:val="000C58A5"/>
    <w:pPr>
      <w:numPr>
        <w:ilvl w:val="1"/>
        <w:numId w:val="7"/>
      </w:numPr>
      <w:spacing w:line="360" w:lineRule="auto"/>
    </w:pPr>
  </w:style>
  <w:style w:type="paragraph" w:customStyle="1" w:styleId="LegalNumPar3">
    <w:name w:val="LegalNumPar3"/>
    <w:basedOn w:val="Normal"/>
    <w:rsid w:val="000C58A5"/>
    <w:pPr>
      <w:numPr>
        <w:ilvl w:val="2"/>
        <w:numId w:val="7"/>
      </w:numPr>
      <w:spacing w:line="36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121"/>
    <w:pPr>
      <w:spacing w:before="120" w:after="120"/>
      <w:jc w:val="both"/>
    </w:pPr>
    <w:rPr>
      <w:rFonts w:ascii="Times New Roman" w:hAnsi="Times New Roman" w:cs="Times New Roman"/>
      <w:b/>
      <w:bCs/>
      <w:kern w:val="0"/>
      <w:lang w:val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121"/>
    <w:rPr>
      <w:rFonts w:ascii="Times New Roman" w:hAnsi="Times New Roman" w:cs="Times New Roman"/>
      <w:b/>
      <w:bCs/>
      <w:kern w:val="2"/>
      <w:sz w:val="20"/>
      <w:szCs w:val="20"/>
      <w:lang w:val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7CFA9F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2334"/>
    <w:rPr>
      <w:color w:val="800080" w:themeColor="followedHyperlink"/>
      <w:u w:val="single"/>
    </w:rPr>
  </w:style>
  <w:style w:type="character" w:customStyle="1" w:styleId="Mention">
    <w:name w:val="Mention"/>
    <w:basedOn w:val="DefaultParagraphFont"/>
    <w:uiPriority w:val="99"/>
    <w:unhideWhenUsed/>
    <w:rsid w:val="005F7039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905F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33490A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3490A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33490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33490A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33490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3490A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33490A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33490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33490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1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8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7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5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1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gi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co/2003/361/oj" TargetMode="External"/><Relationship Id="rId1" Type="http://schemas.openxmlformats.org/officeDocument/2006/relationships/hyperlink" Target="http://data.europa.eu/eli/reco/2025/1099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86046-CDA0-4371-944A-C7693C9B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5</Pages>
  <Words>1379</Words>
  <Characters>7865</Characters>
  <Application>Microsoft Office Word</Application>
  <DocSecurity>0</DocSecurity>
  <Lines>65</Lines>
  <Paragraphs>18</Paragraphs>
  <ScaleCrop>false</ScaleCrop>
  <Manager/>
  <Company/>
  <LinksUpToDate>false</LinksUpToDate>
  <CharactersWithSpaces>9226</CharactersWithSpaces>
  <SharedDoc>false</SharedDoc>
  <HLinks>
    <vt:vector size="12" baseType="variant">
      <vt:variant>
        <vt:i4>3342441</vt:i4>
      </vt:variant>
      <vt:variant>
        <vt:i4>3</vt:i4>
      </vt:variant>
      <vt:variant>
        <vt:i4>0</vt:i4>
      </vt:variant>
      <vt:variant>
        <vt:i4>5</vt:i4>
      </vt:variant>
      <vt:variant>
        <vt:lpwstr>http://data.europa.eu/eli/reco/2003/361/oj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http://data.europa.eu/eli/reco/2025/1099/oj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2026-03-17T13:20:00Z</dcterms:created>
  <dcterms:modified xsi:type="dcterms:W3CDTF">2026-03-18T10:05:00Z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QCStatus">
    <vt:lpwstr>Yellow (DQC version 03)</vt:lpwstr>
  </property>
  <property fmtid="{D5CDD505-2E9C-101B-9397-08002B2CF9AE}" pid="3" name="Last edited using">
    <vt:lpwstr>LW 9.2, Build 20250828</vt:lpwstr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2026-03-17T11:45:53Z</vt:lpwstr>
  </property>
  <property fmtid="{D5CDD505-2E9C-101B-9397-08002B2CF9AE}" pid="6" name="MSIP_Label_6bd9ddd1-4d20-43f6-abfa-fc3c07406f94_Method">
    <vt:lpwstr>Standard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b89962b6-47e0-40b5-955f-07a1e9c07f1a</vt:lpwstr>
  </property>
  <property fmtid="{D5CDD505-2E9C-101B-9397-08002B2CF9AE}" pid="10" name="MSIP_Label_6bd9ddd1-4d20-43f6-abfa-fc3c07406f94_ContentBits">
    <vt:lpwstr>0</vt:lpwstr>
  </property>
  <property fmtid="{D5CDD505-2E9C-101B-9397-08002B2CF9AE}" pid="11" name="MSIP_Label_6bd9ddd1-4d20-43f6-abfa-fc3c07406f94_Tag">
    <vt:lpwstr>10, 3, 0, 1</vt:lpwstr>
  </property>
  <property fmtid="{D5CDD505-2E9C-101B-9397-08002B2CF9AE}" pid="12" name="Category">
    <vt:lpwstr>COM/AA/NOEEA</vt:lpwstr>
  </property>
  <property fmtid="{D5CDD505-2E9C-101B-9397-08002B2CF9AE}" pid="13" name="Level of sensitivity">
    <vt:lpwstr>Standard treatment</vt:lpwstr>
  </property>
  <property fmtid="{D5CDD505-2E9C-101B-9397-08002B2CF9AE}" pid="14" name="Part">
    <vt:lpwstr>1</vt:lpwstr>
  </property>
  <property fmtid="{D5CDD505-2E9C-101B-9397-08002B2CF9AE}" pid="15" name="Total parts">
    <vt:lpwstr>1</vt:lpwstr>
  </property>
  <property fmtid="{D5CDD505-2E9C-101B-9397-08002B2CF9AE}" pid="16" name="LWTemplateID">
    <vt:lpwstr>SJ-014</vt:lpwstr>
  </property>
</Properties>
</file>