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9DE" w:rsidRPr="00F47AC0" w:rsidRDefault="000A3F1A" w:rsidP="000A3F1A">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C64FC882-54A1-4644-8849-8143BA1B674F" style="width:455.25pt;height:318pt">
            <v:imagedata r:id="rId8" o:title=""/>
          </v:shape>
        </w:pict>
      </w:r>
    </w:p>
    <w:p w:rsidR="001979DE" w:rsidRPr="00F47AC0" w:rsidRDefault="001979DE" w:rsidP="00DC103E">
      <w:pPr>
        <w:rPr>
          <w:noProof/>
          <w:szCs w:val="24"/>
        </w:rPr>
        <w:sectPr w:rsidR="001979DE" w:rsidRPr="00F47AC0" w:rsidSect="000A3F1A">
          <w:footerReference w:type="even" r:id="rId9"/>
          <w:footerReference w:type="default" r:id="rId10"/>
          <w:pgSz w:w="11907" w:h="16839"/>
          <w:pgMar w:top="1134" w:right="1417" w:bottom="1134" w:left="1417" w:header="709" w:footer="709" w:gutter="0"/>
          <w:pgNumType w:start="0"/>
          <w:cols w:space="720"/>
          <w:docGrid w:linePitch="360"/>
        </w:sectPr>
      </w:pPr>
    </w:p>
    <w:p w:rsidR="001979DE" w:rsidRPr="00F47AC0" w:rsidRDefault="00F01DF8" w:rsidP="00F01DF8">
      <w:pPr>
        <w:pStyle w:val="Typedudocument"/>
        <w:rPr>
          <w:noProof/>
        </w:rPr>
      </w:pPr>
      <w:bookmarkStart w:id="0" w:name="_Hlk212568192"/>
      <w:bookmarkStart w:id="1" w:name="_GoBack"/>
      <w:bookmarkEnd w:id="1"/>
      <w:r w:rsidRPr="00F47AC0">
        <w:rPr>
          <w:noProof/>
        </w:rPr>
        <w:lastRenderedPageBreak/>
        <w:t>RECOMMANDATION DE LA COMMISSION</w:t>
      </w:r>
    </w:p>
    <w:p w:rsidR="001979DE" w:rsidRPr="00F47AC0" w:rsidRDefault="003C508D" w:rsidP="003C508D">
      <w:pPr>
        <w:pStyle w:val="Datedadoption"/>
        <w:rPr>
          <w:noProof/>
        </w:rPr>
      </w:pPr>
      <w:r>
        <w:rPr>
          <w:noProof/>
        </w:rPr>
        <w:t>du 18.3.2026</w:t>
      </w:r>
    </w:p>
    <w:p w:rsidR="001979DE" w:rsidRPr="00F47AC0" w:rsidRDefault="00F01DF8" w:rsidP="00F01DF8">
      <w:pPr>
        <w:pStyle w:val="Titreobjet"/>
        <w:rPr>
          <w:noProof/>
        </w:rPr>
      </w:pPr>
      <w:r w:rsidRPr="00F47AC0">
        <w:rPr>
          <w:noProof/>
        </w:rPr>
        <w:t>relative à la définition des entreprises innovantes, des start-up innovantes et des scale-up innovantes</w:t>
      </w:r>
    </w:p>
    <w:p w:rsidR="001979DE" w:rsidRPr="00F47AC0" w:rsidRDefault="001979DE" w:rsidP="00DC103E">
      <w:pPr>
        <w:pStyle w:val="Institutionquiagit"/>
        <w:rPr>
          <w:noProof/>
          <w:szCs w:val="24"/>
        </w:rPr>
      </w:pPr>
      <w:r w:rsidRPr="00F47AC0">
        <w:rPr>
          <w:noProof/>
        </w:rPr>
        <w:t>LA COMMISSION EUROPÉENNE,</w:t>
      </w:r>
    </w:p>
    <w:p w:rsidR="001979DE" w:rsidRPr="00F47AC0" w:rsidRDefault="001979DE" w:rsidP="00DC103E">
      <w:pPr>
        <w:rPr>
          <w:noProof/>
          <w:szCs w:val="24"/>
        </w:rPr>
      </w:pPr>
      <w:r w:rsidRPr="00F47AC0">
        <w:rPr>
          <w:noProof/>
        </w:rPr>
        <w:t>vu le traité sur le fonctionnement de l’Union européenne, et notamment son article 292,</w:t>
      </w:r>
    </w:p>
    <w:p w:rsidR="001979DE" w:rsidRPr="00F47AC0" w:rsidRDefault="001979DE" w:rsidP="00DC103E">
      <w:pPr>
        <w:rPr>
          <w:noProof/>
          <w:color w:val="000000" w:themeColor="text1"/>
          <w:szCs w:val="24"/>
        </w:rPr>
      </w:pPr>
      <w:r w:rsidRPr="00F47AC0">
        <w:rPr>
          <w:noProof/>
          <w:color w:val="000000" w:themeColor="text1"/>
        </w:rPr>
        <w:t>considérant ce qui suit:</w:t>
      </w:r>
    </w:p>
    <w:p w:rsidR="001979DE" w:rsidRPr="00F47AC0" w:rsidRDefault="75E961D3" w:rsidP="00732276">
      <w:pPr>
        <w:pStyle w:val="ManualConsidrant"/>
        <w:rPr>
          <w:noProof/>
        </w:rPr>
      </w:pPr>
      <w:r>
        <w:rPr>
          <w:noProof/>
        </w:rPr>
        <w:t>(1)</w:t>
      </w:r>
      <w:r>
        <w:rPr>
          <w:noProof/>
        </w:rPr>
        <w:tab/>
      </w:r>
      <w:r w:rsidRPr="00F47AC0">
        <w:rPr>
          <w:noProof/>
        </w:rPr>
        <w:t>La communication de la Commission intitulée «Une boussole pour la compétitivité de l’UE»</w:t>
      </w:r>
      <w:r w:rsidRPr="00F47AC0">
        <w:rPr>
          <w:rStyle w:val="FootnoteReference"/>
          <w:noProof/>
        </w:rPr>
        <w:footnoteReference w:id="1"/>
      </w:r>
      <w:r w:rsidRPr="00F47AC0">
        <w:rPr>
          <w:noProof/>
        </w:rPr>
        <w:t xml:space="preserve"> rappelle que l’innovation est un moteur essentiel de la compétitivité et de la croissance dans l’Union. </w:t>
      </w:r>
    </w:p>
    <w:p w:rsidR="001979DE" w:rsidRPr="00F47AC0" w:rsidRDefault="75E961D3" w:rsidP="008E7E75">
      <w:pPr>
        <w:pStyle w:val="ManualConsidrant"/>
        <w:rPr>
          <w:noProof/>
        </w:rPr>
      </w:pPr>
      <w:r>
        <w:rPr>
          <w:noProof/>
        </w:rPr>
        <w:t>(2)</w:t>
      </w:r>
      <w:r>
        <w:rPr>
          <w:noProof/>
        </w:rPr>
        <w:tab/>
      </w:r>
      <w:r w:rsidRPr="00F47AC0">
        <w:rPr>
          <w:noProof/>
        </w:rPr>
        <w:t xml:space="preserve">Un nouveau modèle de compétitivité fondé sur une productivité mue par l’innovation est nécessaire pour stimuler la croissance économique future. Les entreprises, start-up et scale-up </w:t>
      </w:r>
      <w:bookmarkStart w:id="2" w:name="_Hlk223533785"/>
      <w:r w:rsidRPr="00F47AC0">
        <w:rPr>
          <w:noProof/>
        </w:rPr>
        <w:t xml:space="preserve">innovantes </w:t>
      </w:r>
      <w:bookmarkEnd w:id="2"/>
      <w:r w:rsidRPr="00F47AC0">
        <w:rPr>
          <w:noProof/>
        </w:rPr>
        <w:t xml:space="preserve">, en particulier dans le domaine des deep tech, jouent un rôle clé pour le développement et la commercialisation de technologies innovantes, les plaçant au </w:t>
      </w:r>
      <w:r w:rsidR="00F01DF8" w:rsidRPr="00F47AC0">
        <w:rPr>
          <w:noProof/>
        </w:rPr>
        <w:t>cœur</w:t>
      </w:r>
      <w:r w:rsidRPr="00F47AC0">
        <w:rPr>
          <w:noProof/>
        </w:rPr>
        <w:t xml:space="preserve"> des modèles économiques fondés sur l’innovation.</w:t>
      </w:r>
    </w:p>
    <w:p w:rsidR="00FB7068" w:rsidRPr="00F47AC0" w:rsidRDefault="68D2E022" w:rsidP="008E7E75">
      <w:pPr>
        <w:pStyle w:val="ManualConsidrant"/>
        <w:rPr>
          <w:noProof/>
        </w:rPr>
      </w:pPr>
      <w:r>
        <w:rPr>
          <w:noProof/>
        </w:rPr>
        <w:t>(3)</w:t>
      </w:r>
      <w:r>
        <w:rPr>
          <w:noProof/>
        </w:rPr>
        <w:tab/>
      </w:r>
      <w:r w:rsidRPr="00F47AC0">
        <w:rPr>
          <w:noProof/>
        </w:rPr>
        <w:t>Dans sa communication intitulée «Stratégie de l’UE en faveur des start-up et des scale-up»</w:t>
      </w:r>
      <w:r w:rsidRPr="00F47AC0">
        <w:rPr>
          <w:rStyle w:val="FootnoteReference"/>
          <w:noProof/>
        </w:rPr>
        <w:footnoteReference w:id="2"/>
      </w:r>
      <w:r w:rsidRPr="00F47AC0">
        <w:rPr>
          <w:noProof/>
        </w:rPr>
        <w:t>, la Commission a annoncé qu’elle proposerait une définition des start-up, des scale-up et des entreprises innovantes.</w:t>
      </w:r>
    </w:p>
    <w:p w:rsidR="00A722C9" w:rsidRPr="00F47AC0" w:rsidRDefault="48BC08D6" w:rsidP="008E7E75">
      <w:pPr>
        <w:pStyle w:val="ManualConsidrant"/>
        <w:rPr>
          <w:noProof/>
        </w:rPr>
      </w:pPr>
      <w:r>
        <w:rPr>
          <w:noProof/>
        </w:rPr>
        <w:t>(4)</w:t>
      </w:r>
      <w:r>
        <w:rPr>
          <w:noProof/>
        </w:rPr>
        <w:tab/>
      </w:r>
      <w:r w:rsidRPr="00F47AC0">
        <w:rPr>
          <w:noProof/>
        </w:rPr>
        <w:t>Les entreprises deep tech, y compris, mais pas exclusivement, dans les technologies stratégiques telles que les technologies numériques, les biotechnologies et les technologies propres, sont particulièrement importantes pour l’innovation car elles traduisent les grandes avancées scientifiques et technologiques en produits et industries évolutifs, apportant souvent des solutions transformatrices à l’impact économique et sociétal significatif sur le long terme. Par conséquent, les définitions devraient prendre en compte les caractéristiques particulières des entreprises deep tech car leur cycle de développement est généralement plus long et consomme plus de capital du fait des activités de recherche et développement (R&amp;D) complexes, de la validation réglementaire et de la maturation technologique.</w:t>
      </w:r>
    </w:p>
    <w:p w:rsidR="00C7712D" w:rsidRPr="00F47AC0" w:rsidRDefault="75E961D3" w:rsidP="008E7E75">
      <w:pPr>
        <w:pStyle w:val="ManualConsidrant"/>
        <w:rPr>
          <w:noProof/>
        </w:rPr>
      </w:pPr>
      <w:r>
        <w:rPr>
          <w:noProof/>
        </w:rPr>
        <w:t>(5)</w:t>
      </w:r>
      <w:r>
        <w:rPr>
          <w:noProof/>
        </w:rPr>
        <w:tab/>
      </w:r>
      <w:r w:rsidRPr="00F47AC0">
        <w:rPr>
          <w:noProof/>
        </w:rPr>
        <w:t>Plusieurs États membres ont adopté différentes définitions juridiques pour les entreprises, start-up et scale-up innovantes, tandis que le règlement (UE) n° 651/2014 de la Commission</w:t>
      </w:r>
      <w:r w:rsidRPr="00F47AC0">
        <w:rPr>
          <w:rStyle w:val="FootnoteReference"/>
          <w:noProof/>
        </w:rPr>
        <w:footnoteReference w:id="3"/>
      </w:r>
      <w:r w:rsidRPr="00F47AC0">
        <w:rPr>
          <w:noProof/>
        </w:rPr>
        <w:t xml:space="preserve"> et le règlement (UE) 2021/695 du Parlement européen et du Conseil</w:t>
      </w:r>
      <w:r w:rsidRPr="00F47AC0">
        <w:rPr>
          <w:rStyle w:val="FootnoteReference"/>
          <w:noProof/>
        </w:rPr>
        <w:footnoteReference w:id="4"/>
      </w:r>
      <w:r w:rsidRPr="00F47AC0">
        <w:rPr>
          <w:noProof/>
        </w:rPr>
        <w:t xml:space="preserve"> établissent également des définitions au niveau de l’Union à leurs fins respectives. </w:t>
      </w:r>
    </w:p>
    <w:p w:rsidR="001979DE" w:rsidRPr="00F47AC0" w:rsidRDefault="4E8BAAF4" w:rsidP="008E7E75">
      <w:pPr>
        <w:pStyle w:val="ManualConsidrant"/>
        <w:rPr>
          <w:noProof/>
        </w:rPr>
      </w:pPr>
      <w:r>
        <w:rPr>
          <w:noProof/>
        </w:rPr>
        <w:t>(6)</w:t>
      </w:r>
      <w:r>
        <w:rPr>
          <w:noProof/>
        </w:rPr>
        <w:tab/>
      </w:r>
      <w:r w:rsidRPr="00F47AC0">
        <w:rPr>
          <w:noProof/>
        </w:rPr>
        <w:t xml:space="preserve">Des mesures en matière de politique de l’innovation sont conçues au niveau de l’État membre et de l’Union afin de soutenir les entreprises, les start-up et les scale-up innovantes. En l’absence de définitions communes, il se peut que de telles mesures soient appliquées de manière incohérente entre les États membres et entre l’Union et les États membres. Cela peut avoir pour résultat que des entreprises classées comme entreprises innovantes, start-up innovantes ou scale-up innovantes dans un État membre ne répondent pas aux conditions pour participer à des régimes de soutien comparables dans un autre État membre, ce qui entraverait les activités transfrontières et l’expansion à l’intérieur du marché unique. Ce type d’insécurité juridique peut être l’une des nombreuses raisons qui découragent les entreprises concernées de mener leurs activités ou de se relocaliser dans les États membres. Suivant la logique d’un marché unique de l’UE sans frontières intérieures, et en veillant à ce que les institutions de l’Union et les États membres puissent se fonder sur une référence cohérente, l’utilisation de définitions communes des entreprises innovantes, des start-up innovantes et des scale-up innovantes contribuerait à garantir des conditions de concurrence équitables dans le traitement des entreprises dans l’ensemble de l’Union. </w:t>
      </w:r>
    </w:p>
    <w:p w:rsidR="001979DE" w:rsidRPr="00F47AC0" w:rsidRDefault="75E961D3" w:rsidP="008E7E75">
      <w:pPr>
        <w:pStyle w:val="ManualConsidrant"/>
        <w:rPr>
          <w:noProof/>
        </w:rPr>
      </w:pPr>
      <w:r>
        <w:rPr>
          <w:noProof/>
        </w:rPr>
        <w:t>(7)</w:t>
      </w:r>
      <w:r>
        <w:rPr>
          <w:noProof/>
        </w:rPr>
        <w:tab/>
      </w:r>
      <w:r w:rsidRPr="00F47AC0">
        <w:rPr>
          <w:noProof/>
        </w:rPr>
        <w:t xml:space="preserve">Des définitions communes sont également nécessaires compte tenu de la large interaction entre les mesures nationales et celles de l’Union en faveur des entreprises, start-up et scale-up innovantes. En outre, l’application de la même définition par la Commission, les États membres, la Banque européenne d’investissement (BEI) et le Fonds européen d’investissement (FEI) améliorerait l’alignement, la cohérence et l’efficacité des politiques ciblant les entreprises innovantes, les start-up innovantes et les scale-up innovantes et limiterait, par conséquent, le risque de distorsion de la concurrence lié à l’inégalité d’accès aux aides publiques. </w:t>
      </w:r>
      <w:r w:rsidRPr="00F47AC0">
        <w:rPr>
          <w:rStyle w:val="FootnoteReference"/>
          <w:noProof/>
        </w:rPr>
        <w:footnoteReference w:id="5"/>
      </w:r>
      <w:r w:rsidRPr="00F47AC0">
        <w:rPr>
          <w:noProof/>
        </w:rPr>
        <w:t>.</w:t>
      </w:r>
    </w:p>
    <w:p w:rsidR="001979DE" w:rsidRPr="00F47AC0" w:rsidRDefault="75E961D3" w:rsidP="008E7E75">
      <w:pPr>
        <w:pStyle w:val="ManualConsidrant"/>
        <w:rPr>
          <w:noProof/>
        </w:rPr>
      </w:pPr>
      <w:r>
        <w:rPr>
          <w:noProof/>
        </w:rPr>
        <w:t>(8)</w:t>
      </w:r>
      <w:r>
        <w:rPr>
          <w:noProof/>
        </w:rPr>
        <w:tab/>
      </w:r>
      <w:r w:rsidRPr="00F47AC0">
        <w:rPr>
          <w:noProof/>
        </w:rPr>
        <w:t>La Commission a déjà établi des définitions permettant la classification des entreprises par taille, en distinguant les petites et moyennes entreprises (PME), les petites entreprises à moyenne capitalisation et les grandes entreprises. Les définitions des entreprises innovantes, des start-up innovantes et des scale-up innovantes ne devraient en aucun cas remettre en cause ces classifications établies. Lorsque cela est pertinent, les définitions des entreprises innovantes, des start-up innovantes et des scale-up innovantes devraient s’appuyer sur les critères établis pour les PME et les petites entreprises à moyenne capitalisation, y compris les seuils de taille et les caractéristiques structurelles.</w:t>
      </w:r>
    </w:p>
    <w:p w:rsidR="001979DE" w:rsidRPr="00F47AC0" w:rsidRDefault="4F2AD5B6" w:rsidP="008E7E75">
      <w:pPr>
        <w:pStyle w:val="ManualConsidrant"/>
        <w:rPr>
          <w:noProof/>
        </w:rPr>
      </w:pPr>
      <w:r>
        <w:rPr>
          <w:noProof/>
        </w:rPr>
        <w:t>(9)</w:t>
      </w:r>
      <w:r>
        <w:rPr>
          <w:noProof/>
        </w:rPr>
        <w:tab/>
      </w:r>
      <w:r w:rsidRPr="00F47AC0">
        <w:rPr>
          <w:noProof/>
        </w:rPr>
        <w:t xml:space="preserve">Afin de garantir qu’elles servent les objectifs visés, ces définitions devraient refléter les caractéristiques distinctives d’un groupement d’entreprises très spécifique, à savoir les entreprises innovantes, les start-up innovantes et les scale-up innovantes, et s’appuyer sur des critères et des seuils objectifs. Il est donc nécessaire de fonder ces définitions sur des critères facilement applicables, tels que les investissements dans des activités d’innovation, l’âge, la taille ou la croissance. </w:t>
      </w:r>
    </w:p>
    <w:p w:rsidR="001979DE" w:rsidRPr="00F47AC0" w:rsidRDefault="75E961D3" w:rsidP="008E7E75">
      <w:pPr>
        <w:pStyle w:val="ManualConsidrant"/>
        <w:rPr>
          <w:noProof/>
        </w:rPr>
      </w:pPr>
      <w:r>
        <w:rPr>
          <w:noProof/>
        </w:rPr>
        <w:t>(10)</w:t>
      </w:r>
      <w:r>
        <w:rPr>
          <w:noProof/>
        </w:rPr>
        <w:tab/>
      </w:r>
      <w:r w:rsidRPr="00F47AC0">
        <w:rPr>
          <w:noProof/>
        </w:rPr>
        <w:t xml:space="preserve">Conformément aux classifications internationales largement utilisées, l’«innovation» devrait être définie comme un produit, un service ou un procédé nouveau ou amélioré qui diffère sensiblement des itérations précédentes et qui est mis à la disposition des utilisateurs potentiels.  </w:t>
      </w:r>
    </w:p>
    <w:p w:rsidR="001979DE" w:rsidRPr="00F47AC0" w:rsidRDefault="75E961D3" w:rsidP="008E7E75">
      <w:pPr>
        <w:pStyle w:val="ManualConsidrant"/>
        <w:rPr>
          <w:noProof/>
        </w:rPr>
      </w:pPr>
      <w:r>
        <w:rPr>
          <w:noProof/>
        </w:rPr>
        <w:t>(11)</w:t>
      </w:r>
      <w:r>
        <w:rPr>
          <w:noProof/>
        </w:rPr>
        <w:tab/>
      </w:r>
      <w:r w:rsidRPr="00F47AC0">
        <w:rPr>
          <w:noProof/>
        </w:rPr>
        <w:t>Les activités d’innovation peuvent être démontrées par des efforts de R&amp;D, qui correspondent à des activités organisées et délibérées visant à produire de nouvelles connaissances et à développer des produits, services et procédés nouveaux ou améliorés. Les activités de R&amp;D devraient être définies conformément aux classifications internationales couramment utilisées</w:t>
      </w:r>
      <w:r w:rsidRPr="00F47AC0">
        <w:rPr>
          <w:rStyle w:val="FootnoteReference"/>
          <w:noProof/>
        </w:rPr>
        <w:footnoteReference w:id="6"/>
      </w:r>
      <w:r w:rsidRPr="00F47AC0">
        <w:rPr>
          <w:noProof/>
        </w:rPr>
        <w:t xml:space="preserve"> et aux règles de l’Union. L’engagement stratégique d’une entreprise dans des activités de R&amp;D peut être attesté par les ressources investies dans ces activités, soit en proportion des coûts d’exploitation, soit en proportion des recettes, communément appelée «intensité de R&amp;D». </w:t>
      </w:r>
    </w:p>
    <w:p w:rsidR="001979DE" w:rsidRPr="00F47AC0" w:rsidRDefault="75E961D3" w:rsidP="008E7E75">
      <w:pPr>
        <w:pStyle w:val="ManualConsidrant"/>
        <w:rPr>
          <w:noProof/>
        </w:rPr>
      </w:pPr>
      <w:r>
        <w:rPr>
          <w:noProof/>
        </w:rPr>
        <w:t>(12)</w:t>
      </w:r>
      <w:r>
        <w:rPr>
          <w:noProof/>
        </w:rPr>
        <w:tab/>
      </w:r>
      <w:r w:rsidRPr="00F47AC0">
        <w:rPr>
          <w:noProof/>
        </w:rPr>
        <w:t>Une entreprise peut être innovante même si elle n’investit pas dans des activités de R&amp;D. Par conséquent, une entreprise devrait également être considérée comme innovante si elle peut démontrer qu’au cours des trois dernières années, elle a développé, développe ou développera dans un avenir prévisible des produits, services ou procédés commerciaux en vue de leur commercialisation, qui sont nouveaux ou substantiellement améliorés par rapport à l’état de la technique dans le secteur considéré, et qui présentent un risque d’échec technologique ou industriel.</w:t>
      </w:r>
    </w:p>
    <w:p w:rsidR="001979DE" w:rsidRPr="00F47AC0" w:rsidRDefault="3E73F524" w:rsidP="008E7E75">
      <w:pPr>
        <w:pStyle w:val="ManualConsidrant"/>
        <w:rPr>
          <w:noProof/>
        </w:rPr>
      </w:pPr>
      <w:r>
        <w:rPr>
          <w:noProof/>
        </w:rPr>
        <w:t>(13)</w:t>
      </w:r>
      <w:r>
        <w:rPr>
          <w:noProof/>
        </w:rPr>
        <w:tab/>
      </w:r>
      <w:r w:rsidRPr="00F47AC0">
        <w:rPr>
          <w:noProof/>
        </w:rPr>
        <w:t>Les start-up innovantes et les scale-up innovantes devraient être définies comme un sous-ensemble d’entreprises innovantes, car l’innovation est la caractéristique distinctive essentielle qui peut justifier un traitement politique différencié, un soutien public ciblé et une facilitation réglementaire, en les séparant des entreprises nouvelles ou à croissance rapide ordinaires qui se développent sans générer de nouveaux produits, services, technologies ou modèles d’entreprise.</w:t>
      </w:r>
    </w:p>
    <w:p w:rsidR="001979DE" w:rsidRPr="00F47AC0" w:rsidRDefault="3E73F524" w:rsidP="008E7E75">
      <w:pPr>
        <w:pStyle w:val="ManualConsidrant"/>
        <w:rPr>
          <w:noProof/>
        </w:rPr>
      </w:pPr>
      <w:r>
        <w:rPr>
          <w:noProof/>
        </w:rPr>
        <w:t>(14)</w:t>
      </w:r>
      <w:r>
        <w:rPr>
          <w:noProof/>
        </w:rPr>
        <w:tab/>
      </w:r>
      <w:r w:rsidRPr="00F47AC0">
        <w:rPr>
          <w:noProof/>
        </w:rPr>
        <w:t xml:space="preserve">Les start-up innovantes devraient être définies à l’aide de critères qui reflètent leur caractère innovant, combinés à des limites de taille et d’âge. Afin d’assurer la plus grande cohérence possible avec la </w:t>
      </w:r>
      <w:bookmarkStart w:id="5" w:name="_Hlk222157040"/>
      <w:r w:rsidRPr="00F47AC0">
        <w:rPr>
          <w:noProof/>
        </w:rPr>
        <w:t>recommandation 2003/361/CE de la Commission</w:t>
      </w:r>
      <w:r w:rsidRPr="00F47AC0">
        <w:rPr>
          <w:rStyle w:val="FootnoteReference"/>
          <w:noProof/>
        </w:rPr>
        <w:footnoteReference w:id="7"/>
      </w:r>
      <w:r w:rsidRPr="00F47AC0">
        <w:rPr>
          <w:noProof/>
        </w:rPr>
        <w:t xml:space="preserve">, les critères relatifs au total du bilan et au chiffre d’affaires pour une petite entreprise énoncés dans la recommandation 2003/361/CE devraient s’appliquer à la définition de start-up innovante. </w:t>
      </w:r>
      <w:bookmarkEnd w:id="5"/>
      <w:r w:rsidRPr="00F47AC0">
        <w:rPr>
          <w:noProof/>
        </w:rPr>
        <w:t>Toutefois, en ce qui concerne le nombre de personnes employées, il est plus approprié de fixer le nombre maximal de personnes employées à 99, car cela peut permettre à de nombreuses start-up innovantes, en particulier dans les secteurs à forte intensité technologique et à forte intensité d’échelle, de constituer des équipes pluridisciplinaires plus importantes au cours de leur première phase de croissance. Une limite d’âge de dix ans pour les start-up innovantes est appropriée pour englober également les start-up, en particulier les start-up deep tech, qui peuvent nécessiter des cycles de R&amp;D plus longs, des phases de développement à forte intensité de capital, des processus de validation réglementaire et une génération de recettes différée.</w:t>
      </w:r>
    </w:p>
    <w:p w:rsidR="001979DE" w:rsidRPr="00F47AC0" w:rsidRDefault="3E73F524" w:rsidP="008E7E75">
      <w:pPr>
        <w:pStyle w:val="ManualConsidrant"/>
        <w:rPr>
          <w:noProof/>
        </w:rPr>
      </w:pPr>
      <w:r>
        <w:rPr>
          <w:noProof/>
        </w:rPr>
        <w:t>(15)</w:t>
      </w:r>
      <w:r>
        <w:rPr>
          <w:noProof/>
        </w:rPr>
        <w:tab/>
      </w:r>
      <w:r w:rsidRPr="00F47AC0">
        <w:rPr>
          <w:noProof/>
        </w:rPr>
        <w:t>Les scale-up innovantes devraient être définies par des critères qui témoignent de leur nature innovante, combinée à leur dynamique de croissance et de taille, en s’appuyant sur le raisonnement qui sous-tend la définition quantitative par l’OCDE des entreprises en croissance (scalers), qui figure dans les classifications couramment utilisées. Afin de distinguer les start-up innovantes des entreprises davantage établies, il convient de préciser une taille maximale pour les entreprises cotées en bourse, sur la base du seuil fixé pour les petites entreprises à moyenne capitalisation dans la recommandation 2025/1099/CE</w:t>
      </w:r>
      <w:r w:rsidRPr="00F47AC0">
        <w:rPr>
          <w:rStyle w:val="FootnoteReference"/>
          <w:noProof/>
        </w:rPr>
        <w:footnoteReference w:id="8"/>
      </w:r>
      <w:r w:rsidRPr="00F47AC0">
        <w:rPr>
          <w:noProof/>
        </w:rPr>
        <w:t>. En outre, afin de veiller à ce que la définition de scale-up innovante couvre les entreprises à la maturité suffisante et ne se chevauche pas avec la définition des scale-up innovantes, il est nécessaire d’appliquer un chiffre d’affaires ou un total du bilan minimal fondé sur les seuils pertinents établis pour les moyennes entreprises dans la recommandation 2003/361/CE</w:t>
      </w:r>
      <w:r w:rsidRPr="00F47AC0">
        <w:rPr>
          <w:rStyle w:val="FootnoteReference"/>
          <w:noProof/>
        </w:rPr>
        <w:footnoteReference w:id="9"/>
      </w:r>
      <w:r w:rsidRPr="00F47AC0">
        <w:rPr>
          <w:noProof/>
        </w:rPr>
        <w:t xml:space="preserve">,  </w:t>
      </w:r>
    </w:p>
    <w:p w:rsidR="001979DE" w:rsidRPr="00F47AC0" w:rsidRDefault="001979DE" w:rsidP="00645246">
      <w:pPr>
        <w:rPr>
          <w:noProof/>
        </w:rPr>
      </w:pPr>
    </w:p>
    <w:p w:rsidR="001979DE" w:rsidRPr="00F47AC0" w:rsidRDefault="001979DE" w:rsidP="00DC103E">
      <w:pPr>
        <w:pStyle w:val="Formuledadoption"/>
        <w:rPr>
          <w:noProof/>
          <w:szCs w:val="24"/>
        </w:rPr>
      </w:pPr>
      <w:r w:rsidRPr="00F47AC0">
        <w:rPr>
          <w:noProof/>
          <w:color w:val="000000" w:themeColor="text1"/>
        </w:rPr>
        <w:t>RECOMMANDE</w:t>
      </w:r>
      <w:r w:rsidRPr="00F47AC0">
        <w:rPr>
          <w:noProof/>
        </w:rPr>
        <w:t xml:space="preserve">: </w:t>
      </w:r>
    </w:p>
    <w:p w:rsidR="75E961D3" w:rsidRPr="00F47AC0" w:rsidRDefault="75E961D3" w:rsidP="00732276">
      <w:pPr>
        <w:pStyle w:val="ManualNumPar1"/>
        <w:rPr>
          <w:i/>
          <w:iCs/>
          <w:noProof/>
        </w:rPr>
      </w:pPr>
      <w:r>
        <w:rPr>
          <w:noProof/>
        </w:rPr>
        <w:t>1.</w:t>
      </w:r>
      <w:r>
        <w:rPr>
          <w:noProof/>
        </w:rPr>
        <w:tab/>
      </w:r>
      <w:r w:rsidRPr="00F47AC0">
        <w:rPr>
          <w:noProof/>
        </w:rPr>
        <w:t>La présente recommandation concerne la définition des entreprises innovantes, des start-up innovantes et des scale-up innovantes utilisée dans les politiques de l’Union appliquées à l’intérieur de l’Union et de l’Espace économique européen.</w:t>
      </w:r>
    </w:p>
    <w:p w:rsidR="001979DE" w:rsidRPr="00F47AC0" w:rsidRDefault="001979DE" w:rsidP="00F5323F">
      <w:pPr>
        <w:pStyle w:val="ManualNumPar1"/>
        <w:rPr>
          <w:i/>
          <w:noProof/>
        </w:rPr>
      </w:pPr>
      <w:r>
        <w:rPr>
          <w:noProof/>
        </w:rPr>
        <w:t>2.</w:t>
      </w:r>
      <w:r>
        <w:rPr>
          <w:noProof/>
        </w:rPr>
        <w:tab/>
      </w:r>
      <w:r w:rsidRPr="00F47AC0">
        <w:rPr>
          <w:noProof/>
        </w:rPr>
        <w:t>Il est recommandé aux États membres ainsi qu’à la Banque européenne d’investissement (BEI) et au Fonds européen d’investissement (FEI):</w:t>
      </w:r>
    </w:p>
    <w:p w:rsidR="00F5323F" w:rsidRPr="00F47AC0" w:rsidRDefault="001979DE" w:rsidP="00732276">
      <w:pPr>
        <w:pStyle w:val="Point1"/>
        <w:rPr>
          <w:noProof/>
        </w:rPr>
      </w:pPr>
      <w:r>
        <w:rPr>
          <w:noProof/>
        </w:rPr>
        <w:t>(a)</w:t>
      </w:r>
      <w:r>
        <w:rPr>
          <w:noProof/>
        </w:rPr>
        <w:tab/>
      </w:r>
      <w:r w:rsidRPr="00F47AC0">
        <w:rPr>
          <w:noProof/>
        </w:rPr>
        <w:t xml:space="preserve">d’utiliser les définitions figurant à l’annexe lors de l’adoption de mesures de soutien législatives, stratégiques ou financières ou lors de la mise en œuvre de programmes destinés aux entreprises innovantes, aux start-up innovantes et aux scale-up innovantes; </w:t>
      </w:r>
    </w:p>
    <w:p w:rsidR="001979DE" w:rsidRPr="00F47AC0" w:rsidRDefault="75E961D3" w:rsidP="00F5323F">
      <w:pPr>
        <w:pStyle w:val="Point1"/>
        <w:rPr>
          <w:noProof/>
        </w:rPr>
      </w:pPr>
      <w:r>
        <w:rPr>
          <w:noProof/>
        </w:rPr>
        <w:t>(b)</w:t>
      </w:r>
      <w:r>
        <w:rPr>
          <w:noProof/>
        </w:rPr>
        <w:tab/>
      </w:r>
      <w:r w:rsidRPr="00F47AC0">
        <w:rPr>
          <w:noProof/>
        </w:rPr>
        <w:t>d’utiliser les définitions figurant à l’annexe aux fins de la collecte de données relatives aux entreprises innovantes, aux start-up innovantes et aux scale-up innovantes.</w:t>
      </w:r>
    </w:p>
    <w:p w:rsidR="00F5323F" w:rsidRPr="00F47AC0" w:rsidRDefault="001979DE" w:rsidP="00F5323F">
      <w:pPr>
        <w:pStyle w:val="ManualNumPar1"/>
        <w:rPr>
          <w:i/>
          <w:noProof/>
        </w:rPr>
      </w:pPr>
      <w:r>
        <w:rPr>
          <w:noProof/>
        </w:rPr>
        <w:t>3.</w:t>
      </w:r>
      <w:r>
        <w:rPr>
          <w:noProof/>
        </w:rPr>
        <w:tab/>
      </w:r>
      <w:r w:rsidRPr="00F47AC0">
        <w:rPr>
          <w:noProof/>
        </w:rPr>
        <w:t>Les États membres, la BEI et le FEI sont destinataires de la présente recommandation.</w:t>
      </w:r>
    </w:p>
    <w:p w:rsidR="00F5323F" w:rsidRPr="00F47AC0" w:rsidRDefault="001979DE" w:rsidP="00126E41">
      <w:pPr>
        <w:pStyle w:val="ManualNumPar1"/>
        <w:keepNext/>
        <w:keepLines/>
        <w:rPr>
          <w:i/>
          <w:iCs/>
          <w:noProof/>
        </w:rPr>
      </w:pPr>
      <w:r>
        <w:rPr>
          <w:noProof/>
        </w:rPr>
        <w:t>4.</w:t>
      </w:r>
      <w:r>
        <w:rPr>
          <w:noProof/>
        </w:rPr>
        <w:tab/>
      </w:r>
      <w:r w:rsidRPr="00F47AC0">
        <w:rPr>
          <w:noProof/>
        </w:rPr>
        <w:t>Les États membres, la BEI et le FEI sont invités à informer la Commission de toute mesure qu’ils ont prise pour donner effet à la présente recommandation.</w:t>
      </w:r>
    </w:p>
    <w:p w:rsidR="001979DE" w:rsidRPr="00F47AC0" w:rsidRDefault="003C508D" w:rsidP="00126E41">
      <w:pPr>
        <w:pStyle w:val="Fait"/>
        <w:rPr>
          <w:noProof/>
        </w:rPr>
      </w:pPr>
      <w:r>
        <w:rPr>
          <w:noProof/>
        </w:rPr>
        <w:t>Fait à Bruxelles, le 18.3.2026</w:t>
      </w:r>
    </w:p>
    <w:p w:rsidR="001979DE" w:rsidRPr="00F47AC0" w:rsidRDefault="001979DE" w:rsidP="00126E41">
      <w:pPr>
        <w:pStyle w:val="Institutionquisigne"/>
        <w:rPr>
          <w:noProof/>
          <w:szCs w:val="24"/>
        </w:rPr>
      </w:pPr>
      <w:r w:rsidRPr="00F47AC0">
        <w:rPr>
          <w:noProof/>
        </w:rPr>
        <w:tab/>
        <w:t>Par la Commission</w:t>
      </w:r>
    </w:p>
    <w:p w:rsidR="007247F7" w:rsidRPr="00F01DF8" w:rsidRDefault="001979DE" w:rsidP="00126E41">
      <w:pPr>
        <w:pStyle w:val="Personnequisigne"/>
        <w:keepNext/>
        <w:rPr>
          <w:noProof/>
        </w:rPr>
      </w:pPr>
      <w:r w:rsidRPr="00F47AC0">
        <w:rPr>
          <w:noProof/>
        </w:rPr>
        <w:tab/>
        <w:t xml:space="preserve">Ekaterina ZAHARIEVA </w:t>
      </w:r>
      <w:r w:rsidRPr="00F47AC0">
        <w:rPr>
          <w:noProof/>
        </w:rPr>
        <w:br/>
      </w:r>
      <w:r w:rsidRPr="00F47AC0">
        <w:rPr>
          <w:noProof/>
        </w:rPr>
        <w:tab/>
        <w:t>Membre de la Commission</w:t>
      </w:r>
      <w:bookmarkEnd w:id="0"/>
    </w:p>
    <w:tbl>
      <w:tblPr>
        <w:tblW w:w="0" w:type="auto"/>
        <w:tblInd w:w="4252" w:type="dxa"/>
        <w:tblCellMar>
          <w:top w:w="567" w:type="dxa"/>
          <w:left w:w="0" w:type="dxa"/>
          <w:right w:w="0" w:type="dxa"/>
        </w:tblCellMar>
        <w:tblLook w:val="0000" w:firstRow="0" w:lastRow="0" w:firstColumn="0" w:lastColumn="0" w:noHBand="0" w:noVBand="0"/>
      </w:tblPr>
      <w:tblGrid>
        <w:gridCol w:w="3765"/>
      </w:tblGrid>
      <w:tr w:rsidR="00E51CA6">
        <w:trPr>
          <w:cantSplit/>
        </w:trPr>
        <w:tc>
          <w:tcPr>
            <w:tcW w:w="0" w:type="auto"/>
            <w:shd w:val="clear" w:color="auto" w:fill="auto"/>
          </w:tcPr>
          <w:p w:rsidR="00E51CA6" w:rsidRDefault="00504D72">
            <w:pPr>
              <w:rPr>
                <w:noProof/>
              </w:rPr>
            </w:pPr>
            <w:r>
              <w:rPr>
                <w:noProof/>
              </w:rPr>
              <w:pict>
                <v:shape id="_x0000_i1026" type="#_x0000_t75" style="width:188.25pt;height:102pt">
                  <v:imagedata r:id="rId11" o:title=""/>
                </v:shape>
              </w:pict>
            </w:r>
          </w:p>
        </w:tc>
      </w:tr>
    </w:tbl>
    <w:p w:rsidR="002218CD" w:rsidRDefault="002218CD">
      <w:pPr>
        <w:rPr>
          <w:noProof/>
        </w:rPr>
      </w:pPr>
    </w:p>
    <w:sectPr w:rsidR="002218CD" w:rsidSect="000A3F1A">
      <w:headerReference w:type="even" r:id="rId12"/>
      <w:footerReference w:type="even" r:id="rId13"/>
      <w:footerReference w:type="default" r:id="rId14"/>
      <w:headerReference w:type="first" r:id="rId15"/>
      <w:footerReference w:type="first" r:id="rId16"/>
      <w:pgSz w:w="11907" w:h="1683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683" w:rsidRPr="00F47AC0" w:rsidRDefault="003B3683" w:rsidP="00D959F3">
      <w:pPr>
        <w:spacing w:before="0" w:after="0"/>
      </w:pPr>
      <w:r w:rsidRPr="00F47AC0">
        <w:separator/>
      </w:r>
    </w:p>
  </w:endnote>
  <w:endnote w:type="continuationSeparator" w:id="0">
    <w:p w:rsidR="003B3683" w:rsidRPr="00F47AC0" w:rsidRDefault="003B3683" w:rsidP="00D959F3">
      <w:pPr>
        <w:spacing w:before="0" w:after="0"/>
      </w:pPr>
      <w:r w:rsidRPr="00F47A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F1A" w:rsidRPr="000A3F1A" w:rsidRDefault="000A3F1A" w:rsidP="000A3F1A">
    <w:pPr>
      <w:pStyle w:val="Footer"/>
      <w:rPr>
        <w:rFonts w:ascii="Arial" w:hAnsi="Arial" w:cs="Arial"/>
        <w:b/>
        <w:sz w:val="48"/>
      </w:rPr>
    </w:pPr>
    <w:r w:rsidRPr="000A3F1A">
      <w:rPr>
        <w:rFonts w:ascii="Arial" w:hAnsi="Arial" w:cs="Arial"/>
        <w:b/>
        <w:sz w:val="48"/>
      </w:rPr>
      <w:t>FR</w:t>
    </w:r>
    <w:r w:rsidRPr="000A3F1A">
      <w:rPr>
        <w:rFonts w:ascii="Arial" w:hAnsi="Arial" w:cs="Arial"/>
        <w:b/>
        <w:sz w:val="48"/>
      </w:rPr>
      <w:tab/>
    </w:r>
    <w:r w:rsidRPr="000A3F1A">
      <w:rPr>
        <w:rFonts w:ascii="Arial" w:hAnsi="Arial" w:cs="Arial"/>
        <w:b/>
        <w:sz w:val="48"/>
      </w:rPr>
      <w:tab/>
    </w:r>
    <w:r w:rsidRPr="000A3F1A">
      <w:tab/>
    </w:r>
    <w:r w:rsidRPr="000A3F1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F1A" w:rsidRPr="000A3F1A" w:rsidRDefault="000A3F1A" w:rsidP="000A3F1A">
    <w:pPr>
      <w:pStyle w:val="Footer"/>
      <w:rPr>
        <w:rFonts w:ascii="Arial" w:hAnsi="Arial" w:cs="Arial"/>
        <w:b/>
        <w:sz w:val="48"/>
      </w:rPr>
    </w:pPr>
    <w:r w:rsidRPr="000A3F1A">
      <w:rPr>
        <w:rFonts w:ascii="Arial" w:hAnsi="Arial" w:cs="Arial"/>
        <w:b/>
        <w:sz w:val="48"/>
      </w:rPr>
      <w:t>FR</w:t>
    </w:r>
    <w:r w:rsidRPr="000A3F1A">
      <w:rPr>
        <w:rFonts w:ascii="Arial" w:hAnsi="Arial" w:cs="Arial"/>
        <w:b/>
        <w:sz w:val="48"/>
      </w:rPr>
      <w:tab/>
    </w:r>
    <w:r w:rsidRPr="000A3F1A">
      <w:rPr>
        <w:rFonts w:ascii="Arial" w:hAnsi="Arial" w:cs="Arial"/>
        <w:b/>
        <w:sz w:val="48"/>
      </w:rPr>
      <w:tab/>
    </w:r>
    <w:r w:rsidRPr="000A3F1A">
      <w:tab/>
    </w:r>
    <w:r w:rsidRPr="000A3F1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F1A" w:rsidRDefault="000A3F1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F1A" w:rsidRPr="000A3F1A" w:rsidRDefault="000A3F1A" w:rsidP="000A3F1A">
    <w:pPr>
      <w:pStyle w:val="Footer"/>
      <w:rPr>
        <w:rFonts w:ascii="Arial" w:hAnsi="Arial" w:cs="Arial"/>
        <w:b/>
        <w:sz w:val="48"/>
      </w:rPr>
    </w:pPr>
    <w:r w:rsidRPr="000A3F1A">
      <w:rPr>
        <w:rFonts w:ascii="Arial" w:hAnsi="Arial" w:cs="Arial"/>
        <w:b/>
        <w:sz w:val="48"/>
      </w:rPr>
      <w:t>FR</w:t>
    </w:r>
    <w:r w:rsidRPr="000A3F1A">
      <w:rPr>
        <w:rFonts w:ascii="Arial" w:hAnsi="Arial" w:cs="Arial"/>
        <w:b/>
        <w:sz w:val="48"/>
      </w:rPr>
      <w:tab/>
    </w:r>
    <w:r>
      <w:fldChar w:fldCharType="begin"/>
    </w:r>
    <w:r>
      <w:instrText xml:space="preserve"> PAGE  \* MERGEFORMAT </w:instrText>
    </w:r>
    <w:r>
      <w:fldChar w:fldCharType="separate"/>
    </w:r>
    <w:r w:rsidR="00126E41">
      <w:rPr>
        <w:noProof/>
      </w:rPr>
      <w:t>5</w:t>
    </w:r>
    <w:r>
      <w:fldChar w:fldCharType="end"/>
    </w:r>
    <w:r>
      <w:tab/>
    </w:r>
    <w:r w:rsidRPr="000A3F1A">
      <w:tab/>
    </w:r>
    <w:r w:rsidRPr="000A3F1A">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F1A" w:rsidRDefault="000A3F1A" w:rsidP="000A3F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683" w:rsidRPr="00F47AC0" w:rsidRDefault="003B3683" w:rsidP="00D959F3">
      <w:pPr>
        <w:spacing w:before="0" w:after="0"/>
      </w:pPr>
      <w:r w:rsidRPr="00F47AC0">
        <w:separator/>
      </w:r>
    </w:p>
  </w:footnote>
  <w:footnote w:type="continuationSeparator" w:id="0">
    <w:p w:rsidR="003B3683" w:rsidRPr="00F47AC0" w:rsidRDefault="003B3683" w:rsidP="00D959F3">
      <w:pPr>
        <w:spacing w:before="0" w:after="0"/>
      </w:pPr>
      <w:r w:rsidRPr="00F47AC0">
        <w:continuationSeparator/>
      </w:r>
    </w:p>
  </w:footnote>
  <w:footnote w:id="1">
    <w:p w:rsidR="001979DE" w:rsidRPr="00F47AC0" w:rsidRDefault="001979DE" w:rsidP="00705027">
      <w:pPr>
        <w:pStyle w:val="FootnoteText"/>
      </w:pPr>
      <w:r w:rsidRPr="00F47AC0">
        <w:rPr>
          <w:rStyle w:val="FootnoteReference"/>
        </w:rPr>
        <w:footnoteRef/>
      </w:r>
      <w:r w:rsidRPr="00F47AC0">
        <w:tab/>
        <w:t xml:space="preserve">Communication de la Commission au Parlement européen, au Conseil européen, au Conseil, au Comité économique et social européen et au Comité des régions, Une boussole pour la compétitivité de l’UE, COM(2025) 30 final, 29.1.2025. </w:t>
      </w:r>
    </w:p>
  </w:footnote>
  <w:footnote w:id="2">
    <w:p w:rsidR="00FB7068" w:rsidRPr="00F47AC0" w:rsidRDefault="00FB7068" w:rsidP="00705027">
      <w:pPr>
        <w:pStyle w:val="FootnoteText"/>
      </w:pPr>
      <w:r w:rsidRPr="00F47AC0">
        <w:rPr>
          <w:rStyle w:val="FootnoteReference"/>
        </w:rPr>
        <w:footnoteRef/>
      </w:r>
      <w:r w:rsidRPr="00F47AC0">
        <w:tab/>
      </w:r>
      <w:bookmarkStart w:id="3" w:name="_Hlk221633458"/>
      <w:r w:rsidRPr="00F47AC0">
        <w:t xml:space="preserve"> Communication de la Commission au Parlement européen, au Conseil, </w:t>
      </w:r>
      <w:bookmarkStart w:id="4" w:name="_Hlk223456587"/>
      <w:r w:rsidRPr="00F47AC0">
        <w:t>au Comité économique et social européen et au Comité des régions</w:t>
      </w:r>
      <w:bookmarkEnd w:id="3"/>
      <w:bookmarkEnd w:id="4"/>
      <w:r w:rsidRPr="00F47AC0">
        <w:t>, Stratégie de l’UE en faveur des start-up et des scale-up, COM(2025) 270 final, 28.5.2025.</w:t>
      </w:r>
    </w:p>
  </w:footnote>
  <w:footnote w:id="3">
    <w:p w:rsidR="00ED114F" w:rsidRPr="00F47AC0" w:rsidRDefault="00ED114F">
      <w:pPr>
        <w:pStyle w:val="FootnoteText"/>
      </w:pPr>
      <w:r w:rsidRPr="00F47AC0">
        <w:rPr>
          <w:rStyle w:val="FootnoteReference"/>
        </w:rPr>
        <w:footnoteRef/>
      </w:r>
      <w:r w:rsidRPr="00F47AC0">
        <w:tab/>
        <w:t>Règlement (UE) nº 651/2014 de la Commission du 17 juin 2014 déclarant certaines catégories d’aides compatibles avec le marché intérieur en application des articles 107 et 108 du traité (JO L 187 du 26.6.2014, p. 1, ELI: http://data.europa.eu/eli/reg/2014/651/oj).</w:t>
      </w:r>
    </w:p>
  </w:footnote>
  <w:footnote w:id="4">
    <w:p w:rsidR="009D6D2A" w:rsidRPr="00F47AC0" w:rsidRDefault="009D6D2A">
      <w:pPr>
        <w:pStyle w:val="FootnoteText"/>
      </w:pPr>
      <w:r w:rsidRPr="00F47AC0">
        <w:rPr>
          <w:rStyle w:val="FootnoteReference"/>
        </w:rPr>
        <w:footnoteRef/>
      </w:r>
      <w:r w:rsidRPr="00F47AC0">
        <w:tab/>
        <w:t>Règlement (UE) 2021/695 du Parlement européen et du Conseil du 28 avril 2021 portant établissement du programme-cadre pour la recherche et l’innovation «Horizon Europe» et définissant ses règles de participation et de diffusion, et abrogeant les règlements (UE) nº 1290/2013 et (UE) nº 1291/2013 (JO L 170 du 12.5.2021, p. 1, ELI: http://data.europa.eu/eli/reg/2021/695/oj).</w:t>
      </w:r>
    </w:p>
  </w:footnote>
  <w:footnote w:id="5">
    <w:p w:rsidR="00330B87" w:rsidRPr="00F47AC0" w:rsidRDefault="00330B87">
      <w:pPr>
        <w:pStyle w:val="FootnoteText"/>
      </w:pPr>
      <w:r w:rsidRPr="00F47AC0">
        <w:rPr>
          <w:rStyle w:val="FootnoteReference"/>
        </w:rPr>
        <w:footnoteRef/>
      </w:r>
      <w:r w:rsidRPr="00F47AC0">
        <w:tab/>
        <w:t xml:space="preserve"> Cela est sans préjudice des exigences supplémentaires ou différentes qui pourraient être imposées pour atteindre les objectifs des futures initiatives stratégiques.</w:t>
      </w:r>
    </w:p>
  </w:footnote>
  <w:footnote w:id="6">
    <w:p w:rsidR="001979DE" w:rsidRPr="00F47AC0" w:rsidRDefault="001979DE" w:rsidP="00705027">
      <w:pPr>
        <w:pStyle w:val="FootnoteText"/>
      </w:pPr>
      <w:r w:rsidRPr="00F47AC0">
        <w:rPr>
          <w:rStyle w:val="FootnoteReference"/>
        </w:rPr>
        <w:footnoteRef/>
      </w:r>
      <w:r w:rsidRPr="00F47AC0">
        <w:tab/>
        <w:t>Par exemple, OCDE, Manuel de Frascati 2015, Lignes directrices pour le recueil et la communication des données sur la recherche et le développement expérimental.</w:t>
      </w:r>
    </w:p>
  </w:footnote>
  <w:footnote w:id="7">
    <w:p w:rsidR="00112069" w:rsidRPr="00F47AC0" w:rsidRDefault="00112069">
      <w:pPr>
        <w:pStyle w:val="FootnoteText"/>
      </w:pPr>
      <w:r w:rsidRPr="00F47AC0">
        <w:rPr>
          <w:rStyle w:val="FootnoteReference"/>
        </w:rPr>
        <w:footnoteRef/>
      </w:r>
      <w:r w:rsidRPr="00F47AC0">
        <w:tab/>
        <w:t>Recommandation de la Commission du 6 mai 2003 concernant la définition des micro, petites et moyennes entreprises (JO L 124 du 20.5.2003, p. 36, ELI: http://data.europa.eu/eli/reco/2003/361/oj).</w:t>
      </w:r>
    </w:p>
  </w:footnote>
  <w:footnote w:id="8">
    <w:p w:rsidR="00705027" w:rsidRPr="00F47AC0" w:rsidRDefault="00705027">
      <w:pPr>
        <w:pStyle w:val="FootnoteText"/>
      </w:pPr>
      <w:r w:rsidRPr="00F47AC0">
        <w:rPr>
          <w:rStyle w:val="FootnoteReference"/>
        </w:rPr>
        <w:footnoteRef/>
      </w:r>
      <w:r w:rsidRPr="00F47AC0">
        <w:tab/>
        <w:t xml:space="preserve">Recommandation (UE) 2025/1099 de la Commission du 21 mai 2025 concernant la définition des petites entreprises à moyenne capitalisation, JO L 2025/1099, 28.5.2025, ELI: </w:t>
      </w:r>
      <w:hyperlink r:id="rId1" w:history="1">
        <w:r w:rsidRPr="00F47AC0">
          <w:rPr>
            <w:rStyle w:val="Hyperlink"/>
          </w:rPr>
          <w:t>http://data.europa.eu/eli/reco/2025/1099/oj</w:t>
        </w:r>
      </w:hyperlink>
    </w:p>
  </w:footnote>
  <w:footnote w:id="9">
    <w:p w:rsidR="00705027" w:rsidRPr="00E617A4" w:rsidRDefault="00705027" w:rsidP="00705027">
      <w:pPr>
        <w:pStyle w:val="FootnoteText"/>
      </w:pPr>
      <w:r w:rsidRPr="00F47AC0">
        <w:rPr>
          <w:rStyle w:val="FootnoteReference"/>
        </w:rPr>
        <w:footnoteRef/>
      </w:r>
      <w:r w:rsidRPr="00F47AC0">
        <w:tab/>
        <w:t xml:space="preserve">Recommandation de la Commission du 6 mai 2003 concernant la définition des micro, petites et moyennes entreprises (texte présentant de l’intérêt pour l’EEE) [notifiée sous le numéro de document C(2003) 1422], JO L 124 du 20.5.2003, p. 36. </w:t>
      </w:r>
      <w:r w:rsidRPr="00F47AC0">
        <w:tab/>
        <w:t xml:space="preserve"> </w:t>
      </w:r>
      <w:r w:rsidRPr="00F47AC0">
        <w:br/>
        <w:t xml:space="preserve">ELI: </w:t>
      </w:r>
      <w:hyperlink r:id="rId2" w:history="1">
        <w:r w:rsidRPr="00F47AC0">
          <w:rPr>
            <w:rStyle w:val="Hyperlink"/>
          </w:rPr>
          <w:t>http://data.europa.eu/eli/reco/2003/361/oj</w:t>
        </w:r>
      </w:hyperlink>
      <w:r w:rsidRPr="00F47AC0">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F1A" w:rsidRDefault="000A3F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F1A" w:rsidRDefault="000A3F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2AE886B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DF224F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7C88105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06AD23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8"/>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9"/>
  </w:num>
  <w:num w:numId="9">
    <w:abstractNumId w:val="18"/>
  </w:num>
  <w:num w:numId="10">
    <w:abstractNumId w:val="7"/>
  </w:num>
  <w:num w:numId="11">
    <w:abstractNumId w:val="10"/>
  </w:num>
  <w:num w:numId="12">
    <w:abstractNumId w:val="11"/>
  </w:num>
  <w:num w:numId="13">
    <w:abstractNumId w:val="5"/>
  </w:num>
  <w:num w:numId="14">
    <w:abstractNumId w:val="17"/>
  </w:num>
  <w:num w:numId="15">
    <w:abstractNumId w:val="4"/>
  </w:num>
  <w:num w:numId="16">
    <w:abstractNumId w:val="12"/>
  </w:num>
  <w:num w:numId="17">
    <w:abstractNumId w:val="14"/>
  </w:num>
  <w:num w:numId="18">
    <w:abstractNumId w:val="15"/>
  </w:num>
  <w:num w:numId="19">
    <w:abstractNumId w:val="6"/>
  </w:num>
  <w:num w:numId="20">
    <w:abstractNumId w:val="13"/>
  </w:num>
  <w:num w:numId="21">
    <w:abstractNumId w:val="19"/>
  </w:num>
  <w:num w:numId="22">
    <w:abstractNumId w:val="19"/>
    <w:lvlOverride w:ilvl="0">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17 21:06:1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C64FC882-54A1-4644-8849-8143BA1B674F"/>
    <w:docVar w:name="LW_COVERPAGE_TYPE" w:val="1"/>
    <w:docVar w:name="LW_CreatedUtc" w:val="2025-10-27T10:10:54.9441800Z"/>
    <w:docVar w:name="LW_CROSSREFERENCE" w:val="&lt;UNUSED&gt;"/>
    <w:docVar w:name="LW_DATE.ADOPT.CP" w:val="du 18.3.2026"/>
    <w:docVar w:name="LW_DATE.ADOPT.CP_DATEFORMAT" w:val="du %DATE%"/>
    <w:docVar w:name="LW_DATE.ADOPT.CP_ISODATE" w:val="2026-03-18"/>
    <w:docVar w:name="LW_DocType" w:val="COM"/>
    <w:docVar w:name="LW_EMISSION" w:val="18.3.2026"/>
    <w:docVar w:name="LW_EMISSION_ISODATE" w:val="2026-03-18"/>
    <w:docVar w:name="LW_EMISSION_LOCATION" w:val="BRX"/>
    <w:docVar w:name="LW_EMISSION_PREFIX" w:val="Bruxelles, le "/>
    <w:docVar w:name="LW_EMISSION_SUFFIX" w:val=" "/>
    <w:docVar w:name="LW_ID_DOCMODEL" w:val="SJ-014"/>
    <w:docVar w:name="LW_ID_DOCSIGNATURE" w:val="SJ-014"/>
    <w:docVar w:name="LW_ID_DOCSTRUCTURE" w:val="COM/AA/NOEEA"/>
    <w:docVar w:name="LW_ID_DOCTYPE" w:val="SJ-014"/>
    <w:docVar w:name="LW_LANGUE" w:val="FR"/>
    <w:docVar w:name="LW_LANGUESFAISANTFOI.CP" w:val="&lt;UNUSED&gt;"/>
    <w:docVar w:name="LW_LEVEL_OF_SENSITIVITY" w:val="Standard treatment"/>
    <w:docVar w:name="LW_NOM.INST" w:val="COMMISSION EUROPÉENNE"/>
    <w:docVar w:name="LW_NOM.INST_JOINTDOC" w:val="&lt;EMPTY&gt;"/>
    <w:docVar w:name="LW_PART_NBR" w:val="1"/>
    <w:docVar w:name="LW_PART_NBR_TOTAL" w:val="1"/>
    <w:docVar w:name="LW_REF.INST.NEW" w:val="C"/>
    <w:docVar w:name="LW_REF.INST.NEW_ADOPTED" w:val="final"/>
    <w:docVar w:name="LW_REF.INST.NEW_TEXT" w:val="(2026) 18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ive à la définition des entreprises innovantes, des start-up innovantes et des scale-up innovantes"/>
    <w:docVar w:name="LW_TYPE.DOC.CP" w:val="RECOMMANDATION DE LA COMMISSION"/>
    <w:docVar w:name="LwApiVersions" w:val="LW4CoDe 1.24.5.0; LW 9.2, Build 20251112"/>
  </w:docVars>
  <w:rsids>
    <w:rsidRoot w:val="00D959F3"/>
    <w:rsid w:val="000001F6"/>
    <w:rsid w:val="00000C00"/>
    <w:rsid w:val="00002946"/>
    <w:rsid w:val="00004878"/>
    <w:rsid w:val="00004D36"/>
    <w:rsid w:val="00004EBE"/>
    <w:rsid w:val="00005600"/>
    <w:rsid w:val="000059FD"/>
    <w:rsid w:val="00012F6B"/>
    <w:rsid w:val="0001424C"/>
    <w:rsid w:val="00015663"/>
    <w:rsid w:val="000173BC"/>
    <w:rsid w:val="00020157"/>
    <w:rsid w:val="0002045E"/>
    <w:rsid w:val="000205A0"/>
    <w:rsid w:val="00020D63"/>
    <w:rsid w:val="00021447"/>
    <w:rsid w:val="000228F3"/>
    <w:rsid w:val="00022BAA"/>
    <w:rsid w:val="00025CDC"/>
    <w:rsid w:val="00026E0A"/>
    <w:rsid w:val="00026F28"/>
    <w:rsid w:val="00030E32"/>
    <w:rsid w:val="00031D0E"/>
    <w:rsid w:val="00031FEE"/>
    <w:rsid w:val="000340A3"/>
    <w:rsid w:val="00035904"/>
    <w:rsid w:val="00037104"/>
    <w:rsid w:val="0003754E"/>
    <w:rsid w:val="00040295"/>
    <w:rsid w:val="00040800"/>
    <w:rsid w:val="000412BB"/>
    <w:rsid w:val="0004225D"/>
    <w:rsid w:val="00043171"/>
    <w:rsid w:val="00043719"/>
    <w:rsid w:val="0004423C"/>
    <w:rsid w:val="00044967"/>
    <w:rsid w:val="00045CBE"/>
    <w:rsid w:val="00046321"/>
    <w:rsid w:val="0004723B"/>
    <w:rsid w:val="000475DA"/>
    <w:rsid w:val="00047F37"/>
    <w:rsid w:val="00051231"/>
    <w:rsid w:val="000516A4"/>
    <w:rsid w:val="0005240F"/>
    <w:rsid w:val="00052505"/>
    <w:rsid w:val="00053064"/>
    <w:rsid w:val="00053780"/>
    <w:rsid w:val="00054A80"/>
    <w:rsid w:val="00054F56"/>
    <w:rsid w:val="00055D77"/>
    <w:rsid w:val="0005643B"/>
    <w:rsid w:val="00056504"/>
    <w:rsid w:val="000600D1"/>
    <w:rsid w:val="00064531"/>
    <w:rsid w:val="00067134"/>
    <w:rsid w:val="00067768"/>
    <w:rsid w:val="00070CDE"/>
    <w:rsid w:val="0007114D"/>
    <w:rsid w:val="000711CA"/>
    <w:rsid w:val="000724D0"/>
    <w:rsid w:val="0007311E"/>
    <w:rsid w:val="00073E0C"/>
    <w:rsid w:val="0007534C"/>
    <w:rsid w:val="000776FF"/>
    <w:rsid w:val="00080FB1"/>
    <w:rsid w:val="000818E4"/>
    <w:rsid w:val="00081B47"/>
    <w:rsid w:val="00082012"/>
    <w:rsid w:val="0008216A"/>
    <w:rsid w:val="00082A3D"/>
    <w:rsid w:val="000836C2"/>
    <w:rsid w:val="00084B0F"/>
    <w:rsid w:val="00087592"/>
    <w:rsid w:val="00093CA0"/>
    <w:rsid w:val="0009580D"/>
    <w:rsid w:val="00095EE0"/>
    <w:rsid w:val="000977F8"/>
    <w:rsid w:val="000978F4"/>
    <w:rsid w:val="000A1AC9"/>
    <w:rsid w:val="000A22B9"/>
    <w:rsid w:val="000A2BBC"/>
    <w:rsid w:val="000A3B00"/>
    <w:rsid w:val="000A3DA2"/>
    <w:rsid w:val="000A3F1A"/>
    <w:rsid w:val="000A4B0A"/>
    <w:rsid w:val="000A5AF3"/>
    <w:rsid w:val="000A6671"/>
    <w:rsid w:val="000A6F56"/>
    <w:rsid w:val="000A762A"/>
    <w:rsid w:val="000A7993"/>
    <w:rsid w:val="000B0678"/>
    <w:rsid w:val="000B08FF"/>
    <w:rsid w:val="000B48FB"/>
    <w:rsid w:val="000B5656"/>
    <w:rsid w:val="000B58AB"/>
    <w:rsid w:val="000B5ED8"/>
    <w:rsid w:val="000B6906"/>
    <w:rsid w:val="000B76F3"/>
    <w:rsid w:val="000C05A9"/>
    <w:rsid w:val="000C0D51"/>
    <w:rsid w:val="000C1CBE"/>
    <w:rsid w:val="000C2E91"/>
    <w:rsid w:val="000C4BD1"/>
    <w:rsid w:val="000C5286"/>
    <w:rsid w:val="000C533F"/>
    <w:rsid w:val="000C58A5"/>
    <w:rsid w:val="000C5D82"/>
    <w:rsid w:val="000C7255"/>
    <w:rsid w:val="000C7D80"/>
    <w:rsid w:val="000D0262"/>
    <w:rsid w:val="000D0C33"/>
    <w:rsid w:val="000D2D03"/>
    <w:rsid w:val="000D4DCB"/>
    <w:rsid w:val="000D5018"/>
    <w:rsid w:val="000D628D"/>
    <w:rsid w:val="000D70C3"/>
    <w:rsid w:val="000D73A4"/>
    <w:rsid w:val="000D7A06"/>
    <w:rsid w:val="000E0183"/>
    <w:rsid w:val="000E020B"/>
    <w:rsid w:val="000E0435"/>
    <w:rsid w:val="000E1251"/>
    <w:rsid w:val="000E2243"/>
    <w:rsid w:val="000E29F2"/>
    <w:rsid w:val="000E33E3"/>
    <w:rsid w:val="000E3EAE"/>
    <w:rsid w:val="000E44F5"/>
    <w:rsid w:val="000E60F7"/>
    <w:rsid w:val="000E6ED6"/>
    <w:rsid w:val="000E6EF1"/>
    <w:rsid w:val="000E72C4"/>
    <w:rsid w:val="000E772D"/>
    <w:rsid w:val="000F02A7"/>
    <w:rsid w:val="000F0A69"/>
    <w:rsid w:val="000F0F37"/>
    <w:rsid w:val="000F155F"/>
    <w:rsid w:val="000F185B"/>
    <w:rsid w:val="000F29D8"/>
    <w:rsid w:val="000F5011"/>
    <w:rsid w:val="000F5C7C"/>
    <w:rsid w:val="000F61A6"/>
    <w:rsid w:val="000F621C"/>
    <w:rsid w:val="000F6C5C"/>
    <w:rsid w:val="000F6DFB"/>
    <w:rsid w:val="000F7673"/>
    <w:rsid w:val="000F7FB9"/>
    <w:rsid w:val="00100D12"/>
    <w:rsid w:val="00100E9C"/>
    <w:rsid w:val="00102246"/>
    <w:rsid w:val="001022BB"/>
    <w:rsid w:val="00103034"/>
    <w:rsid w:val="00104248"/>
    <w:rsid w:val="00105154"/>
    <w:rsid w:val="00105497"/>
    <w:rsid w:val="001065F5"/>
    <w:rsid w:val="00106B1D"/>
    <w:rsid w:val="00107A13"/>
    <w:rsid w:val="00107AC5"/>
    <w:rsid w:val="0011025B"/>
    <w:rsid w:val="001115DA"/>
    <w:rsid w:val="00112069"/>
    <w:rsid w:val="00112443"/>
    <w:rsid w:val="00113358"/>
    <w:rsid w:val="001136AD"/>
    <w:rsid w:val="00113736"/>
    <w:rsid w:val="00114CEF"/>
    <w:rsid w:val="00115452"/>
    <w:rsid w:val="001159F4"/>
    <w:rsid w:val="001165EC"/>
    <w:rsid w:val="001212FE"/>
    <w:rsid w:val="00121A18"/>
    <w:rsid w:val="00122583"/>
    <w:rsid w:val="001227BB"/>
    <w:rsid w:val="00122DC3"/>
    <w:rsid w:val="00123805"/>
    <w:rsid w:val="001238EF"/>
    <w:rsid w:val="00123AEC"/>
    <w:rsid w:val="00123D5C"/>
    <w:rsid w:val="00125117"/>
    <w:rsid w:val="0012561F"/>
    <w:rsid w:val="00126661"/>
    <w:rsid w:val="00126E41"/>
    <w:rsid w:val="00126FE8"/>
    <w:rsid w:val="00130662"/>
    <w:rsid w:val="001314AA"/>
    <w:rsid w:val="00131606"/>
    <w:rsid w:val="001327D1"/>
    <w:rsid w:val="00132CAD"/>
    <w:rsid w:val="0013376F"/>
    <w:rsid w:val="00133D2B"/>
    <w:rsid w:val="00135DCA"/>
    <w:rsid w:val="001366CA"/>
    <w:rsid w:val="001375F6"/>
    <w:rsid w:val="00140C4C"/>
    <w:rsid w:val="001435EA"/>
    <w:rsid w:val="00143901"/>
    <w:rsid w:val="00145ECB"/>
    <w:rsid w:val="00147A9E"/>
    <w:rsid w:val="0015097A"/>
    <w:rsid w:val="0015135A"/>
    <w:rsid w:val="00151799"/>
    <w:rsid w:val="00151B04"/>
    <w:rsid w:val="0015226C"/>
    <w:rsid w:val="001534E7"/>
    <w:rsid w:val="001535B2"/>
    <w:rsid w:val="001549CA"/>
    <w:rsid w:val="00157A1D"/>
    <w:rsid w:val="00157A8B"/>
    <w:rsid w:val="00157B81"/>
    <w:rsid w:val="00157CDB"/>
    <w:rsid w:val="00160009"/>
    <w:rsid w:val="00160C76"/>
    <w:rsid w:val="001625C3"/>
    <w:rsid w:val="0016305A"/>
    <w:rsid w:val="00164B64"/>
    <w:rsid w:val="0016576C"/>
    <w:rsid w:val="00165ACB"/>
    <w:rsid w:val="00165E8A"/>
    <w:rsid w:val="00166E8E"/>
    <w:rsid w:val="00167B8F"/>
    <w:rsid w:val="00170DD2"/>
    <w:rsid w:val="00170EBA"/>
    <w:rsid w:val="00171A35"/>
    <w:rsid w:val="00172E0C"/>
    <w:rsid w:val="00173247"/>
    <w:rsid w:val="001741CF"/>
    <w:rsid w:val="00175611"/>
    <w:rsid w:val="00175877"/>
    <w:rsid w:val="00175D8F"/>
    <w:rsid w:val="00176112"/>
    <w:rsid w:val="0017638A"/>
    <w:rsid w:val="001764CF"/>
    <w:rsid w:val="001778A4"/>
    <w:rsid w:val="00177A38"/>
    <w:rsid w:val="00180B94"/>
    <w:rsid w:val="001814F6"/>
    <w:rsid w:val="00181C18"/>
    <w:rsid w:val="00181F1F"/>
    <w:rsid w:val="00182115"/>
    <w:rsid w:val="001821AF"/>
    <w:rsid w:val="00182C65"/>
    <w:rsid w:val="0018305B"/>
    <w:rsid w:val="0018390E"/>
    <w:rsid w:val="00184752"/>
    <w:rsid w:val="00184C03"/>
    <w:rsid w:val="0018763B"/>
    <w:rsid w:val="0019095F"/>
    <w:rsid w:val="001918DC"/>
    <w:rsid w:val="001919D9"/>
    <w:rsid w:val="00191D59"/>
    <w:rsid w:val="001923AA"/>
    <w:rsid w:val="00192501"/>
    <w:rsid w:val="00194AEE"/>
    <w:rsid w:val="00194C83"/>
    <w:rsid w:val="001954A2"/>
    <w:rsid w:val="0019641D"/>
    <w:rsid w:val="00196D7F"/>
    <w:rsid w:val="00197613"/>
    <w:rsid w:val="001979DE"/>
    <w:rsid w:val="00197D97"/>
    <w:rsid w:val="001A0453"/>
    <w:rsid w:val="001A060D"/>
    <w:rsid w:val="001A0AC2"/>
    <w:rsid w:val="001A224D"/>
    <w:rsid w:val="001A2534"/>
    <w:rsid w:val="001A286F"/>
    <w:rsid w:val="001A2AEE"/>
    <w:rsid w:val="001A38AA"/>
    <w:rsid w:val="001A3A3E"/>
    <w:rsid w:val="001A57A7"/>
    <w:rsid w:val="001A7A59"/>
    <w:rsid w:val="001A7B07"/>
    <w:rsid w:val="001B0502"/>
    <w:rsid w:val="001B05F5"/>
    <w:rsid w:val="001B0954"/>
    <w:rsid w:val="001B11BC"/>
    <w:rsid w:val="001B1DF2"/>
    <w:rsid w:val="001B3A0C"/>
    <w:rsid w:val="001B3AAA"/>
    <w:rsid w:val="001B6229"/>
    <w:rsid w:val="001B7388"/>
    <w:rsid w:val="001C0577"/>
    <w:rsid w:val="001C0688"/>
    <w:rsid w:val="001C0AAC"/>
    <w:rsid w:val="001C403F"/>
    <w:rsid w:val="001C432C"/>
    <w:rsid w:val="001C454C"/>
    <w:rsid w:val="001C4751"/>
    <w:rsid w:val="001C655B"/>
    <w:rsid w:val="001C6AE3"/>
    <w:rsid w:val="001C6F94"/>
    <w:rsid w:val="001C7EC9"/>
    <w:rsid w:val="001D2F50"/>
    <w:rsid w:val="001D31D2"/>
    <w:rsid w:val="001D34EC"/>
    <w:rsid w:val="001D37A2"/>
    <w:rsid w:val="001D3D3D"/>
    <w:rsid w:val="001D3FCE"/>
    <w:rsid w:val="001D4925"/>
    <w:rsid w:val="001D5E43"/>
    <w:rsid w:val="001D6D59"/>
    <w:rsid w:val="001D7045"/>
    <w:rsid w:val="001D70A7"/>
    <w:rsid w:val="001E05B0"/>
    <w:rsid w:val="001E05FB"/>
    <w:rsid w:val="001E0A9C"/>
    <w:rsid w:val="001E0BF8"/>
    <w:rsid w:val="001E209B"/>
    <w:rsid w:val="001E3B53"/>
    <w:rsid w:val="001E3B5B"/>
    <w:rsid w:val="001E66BA"/>
    <w:rsid w:val="001E7077"/>
    <w:rsid w:val="001E722E"/>
    <w:rsid w:val="001E7F52"/>
    <w:rsid w:val="001F0829"/>
    <w:rsid w:val="001F1A2C"/>
    <w:rsid w:val="001F23CB"/>
    <w:rsid w:val="001F5B3B"/>
    <w:rsid w:val="001F737C"/>
    <w:rsid w:val="001F7541"/>
    <w:rsid w:val="00202C50"/>
    <w:rsid w:val="00204E99"/>
    <w:rsid w:val="002051BB"/>
    <w:rsid w:val="00205468"/>
    <w:rsid w:val="00205853"/>
    <w:rsid w:val="00206662"/>
    <w:rsid w:val="00207409"/>
    <w:rsid w:val="00207B5F"/>
    <w:rsid w:val="00210BFF"/>
    <w:rsid w:val="0021145D"/>
    <w:rsid w:val="00211BA3"/>
    <w:rsid w:val="00211DB2"/>
    <w:rsid w:val="002139E5"/>
    <w:rsid w:val="00216D49"/>
    <w:rsid w:val="0022043B"/>
    <w:rsid w:val="00220765"/>
    <w:rsid w:val="0022090F"/>
    <w:rsid w:val="00220930"/>
    <w:rsid w:val="00221507"/>
    <w:rsid w:val="002218CD"/>
    <w:rsid w:val="0022259D"/>
    <w:rsid w:val="00222A7B"/>
    <w:rsid w:val="00225B66"/>
    <w:rsid w:val="00227877"/>
    <w:rsid w:val="00227A45"/>
    <w:rsid w:val="00231440"/>
    <w:rsid w:val="00231DA0"/>
    <w:rsid w:val="002330DB"/>
    <w:rsid w:val="00233220"/>
    <w:rsid w:val="00233A44"/>
    <w:rsid w:val="00233DC7"/>
    <w:rsid w:val="00235525"/>
    <w:rsid w:val="00235992"/>
    <w:rsid w:val="002365C4"/>
    <w:rsid w:val="00236A48"/>
    <w:rsid w:val="00237976"/>
    <w:rsid w:val="00241682"/>
    <w:rsid w:val="0024230A"/>
    <w:rsid w:val="00242791"/>
    <w:rsid w:val="00242DB5"/>
    <w:rsid w:val="00242F8A"/>
    <w:rsid w:val="00244F72"/>
    <w:rsid w:val="002470AB"/>
    <w:rsid w:val="00247779"/>
    <w:rsid w:val="00250541"/>
    <w:rsid w:val="00252012"/>
    <w:rsid w:val="00253B22"/>
    <w:rsid w:val="00253F7F"/>
    <w:rsid w:val="00253F80"/>
    <w:rsid w:val="00255460"/>
    <w:rsid w:val="002577DE"/>
    <w:rsid w:val="00261BA5"/>
    <w:rsid w:val="00263BA1"/>
    <w:rsid w:val="00263D19"/>
    <w:rsid w:val="0026511E"/>
    <w:rsid w:val="00266AA8"/>
    <w:rsid w:val="0026721D"/>
    <w:rsid w:val="00267CF1"/>
    <w:rsid w:val="00267F74"/>
    <w:rsid w:val="00270B06"/>
    <w:rsid w:val="00271373"/>
    <w:rsid w:val="00271AD9"/>
    <w:rsid w:val="00272027"/>
    <w:rsid w:val="00272518"/>
    <w:rsid w:val="00272833"/>
    <w:rsid w:val="00273B14"/>
    <w:rsid w:val="00273FDF"/>
    <w:rsid w:val="00276180"/>
    <w:rsid w:val="002763A1"/>
    <w:rsid w:val="00277EBA"/>
    <w:rsid w:val="00280F38"/>
    <w:rsid w:val="00281D06"/>
    <w:rsid w:val="00283BCD"/>
    <w:rsid w:val="0028419D"/>
    <w:rsid w:val="00285BEE"/>
    <w:rsid w:val="002867B7"/>
    <w:rsid w:val="00286F15"/>
    <w:rsid w:val="00290FD2"/>
    <w:rsid w:val="00291E65"/>
    <w:rsid w:val="0029399C"/>
    <w:rsid w:val="00293DEC"/>
    <w:rsid w:val="00294B77"/>
    <w:rsid w:val="0029533F"/>
    <w:rsid w:val="00295804"/>
    <w:rsid w:val="0029628E"/>
    <w:rsid w:val="00296A1E"/>
    <w:rsid w:val="002971E2"/>
    <w:rsid w:val="002A04B3"/>
    <w:rsid w:val="002A08DA"/>
    <w:rsid w:val="002A09A0"/>
    <w:rsid w:val="002A400C"/>
    <w:rsid w:val="002A42DA"/>
    <w:rsid w:val="002A43E4"/>
    <w:rsid w:val="002A5172"/>
    <w:rsid w:val="002A5559"/>
    <w:rsid w:val="002A5EED"/>
    <w:rsid w:val="002A692A"/>
    <w:rsid w:val="002A6C33"/>
    <w:rsid w:val="002A6D11"/>
    <w:rsid w:val="002A7780"/>
    <w:rsid w:val="002A7D61"/>
    <w:rsid w:val="002B11E6"/>
    <w:rsid w:val="002B1E17"/>
    <w:rsid w:val="002B20D9"/>
    <w:rsid w:val="002B2642"/>
    <w:rsid w:val="002B2B7D"/>
    <w:rsid w:val="002B30AF"/>
    <w:rsid w:val="002B325A"/>
    <w:rsid w:val="002B4016"/>
    <w:rsid w:val="002B58A3"/>
    <w:rsid w:val="002B61B2"/>
    <w:rsid w:val="002C015B"/>
    <w:rsid w:val="002C15DA"/>
    <w:rsid w:val="002C21E9"/>
    <w:rsid w:val="002C321F"/>
    <w:rsid w:val="002C350B"/>
    <w:rsid w:val="002C39C1"/>
    <w:rsid w:val="002C4AC4"/>
    <w:rsid w:val="002C6A9E"/>
    <w:rsid w:val="002C6D9B"/>
    <w:rsid w:val="002C7B3D"/>
    <w:rsid w:val="002D000F"/>
    <w:rsid w:val="002D234F"/>
    <w:rsid w:val="002D4314"/>
    <w:rsid w:val="002D4F11"/>
    <w:rsid w:val="002D6506"/>
    <w:rsid w:val="002D661E"/>
    <w:rsid w:val="002D6819"/>
    <w:rsid w:val="002D76EC"/>
    <w:rsid w:val="002E11FB"/>
    <w:rsid w:val="002E17CC"/>
    <w:rsid w:val="002E1F22"/>
    <w:rsid w:val="002E37EE"/>
    <w:rsid w:val="002E4D91"/>
    <w:rsid w:val="002E4FC3"/>
    <w:rsid w:val="002E5863"/>
    <w:rsid w:val="002E5B23"/>
    <w:rsid w:val="002E5CBD"/>
    <w:rsid w:val="002E758F"/>
    <w:rsid w:val="002E75C6"/>
    <w:rsid w:val="002F1015"/>
    <w:rsid w:val="002F2530"/>
    <w:rsid w:val="002F25C5"/>
    <w:rsid w:val="002F40B6"/>
    <w:rsid w:val="002F5AC1"/>
    <w:rsid w:val="002F71D7"/>
    <w:rsid w:val="002F7A51"/>
    <w:rsid w:val="002FC027"/>
    <w:rsid w:val="0030000A"/>
    <w:rsid w:val="0030000E"/>
    <w:rsid w:val="00300EBA"/>
    <w:rsid w:val="00301428"/>
    <w:rsid w:val="003018C1"/>
    <w:rsid w:val="00302C7E"/>
    <w:rsid w:val="003032A8"/>
    <w:rsid w:val="00306045"/>
    <w:rsid w:val="003066E1"/>
    <w:rsid w:val="00311151"/>
    <w:rsid w:val="00311C39"/>
    <w:rsid w:val="003125DE"/>
    <w:rsid w:val="003126F9"/>
    <w:rsid w:val="00313089"/>
    <w:rsid w:val="003149BA"/>
    <w:rsid w:val="00314FFD"/>
    <w:rsid w:val="0031507C"/>
    <w:rsid w:val="00315EA0"/>
    <w:rsid w:val="0031631B"/>
    <w:rsid w:val="003173BA"/>
    <w:rsid w:val="00321D57"/>
    <w:rsid w:val="00321FB6"/>
    <w:rsid w:val="00323FF0"/>
    <w:rsid w:val="00324DC6"/>
    <w:rsid w:val="00324F6A"/>
    <w:rsid w:val="00325C73"/>
    <w:rsid w:val="00330192"/>
    <w:rsid w:val="003309A7"/>
    <w:rsid w:val="00330B87"/>
    <w:rsid w:val="00331C70"/>
    <w:rsid w:val="00332397"/>
    <w:rsid w:val="00332AEC"/>
    <w:rsid w:val="0033340C"/>
    <w:rsid w:val="0033344A"/>
    <w:rsid w:val="003338FD"/>
    <w:rsid w:val="00333978"/>
    <w:rsid w:val="00333D27"/>
    <w:rsid w:val="00334D4F"/>
    <w:rsid w:val="0033514E"/>
    <w:rsid w:val="00336DA1"/>
    <w:rsid w:val="003403CC"/>
    <w:rsid w:val="00341A56"/>
    <w:rsid w:val="00341D28"/>
    <w:rsid w:val="00342260"/>
    <w:rsid w:val="00343760"/>
    <w:rsid w:val="00344604"/>
    <w:rsid w:val="003446F7"/>
    <w:rsid w:val="003450F8"/>
    <w:rsid w:val="00345D9E"/>
    <w:rsid w:val="003505FC"/>
    <w:rsid w:val="0035102B"/>
    <w:rsid w:val="00351720"/>
    <w:rsid w:val="00351791"/>
    <w:rsid w:val="00355010"/>
    <w:rsid w:val="00355910"/>
    <w:rsid w:val="00355961"/>
    <w:rsid w:val="00357B28"/>
    <w:rsid w:val="003615FB"/>
    <w:rsid w:val="00362379"/>
    <w:rsid w:val="00362A0C"/>
    <w:rsid w:val="003633EE"/>
    <w:rsid w:val="00364737"/>
    <w:rsid w:val="003668F5"/>
    <w:rsid w:val="00366B2F"/>
    <w:rsid w:val="00366E8A"/>
    <w:rsid w:val="0037352C"/>
    <w:rsid w:val="00373885"/>
    <w:rsid w:val="00373E28"/>
    <w:rsid w:val="00373E6F"/>
    <w:rsid w:val="003746B1"/>
    <w:rsid w:val="0037629C"/>
    <w:rsid w:val="00376319"/>
    <w:rsid w:val="003769E5"/>
    <w:rsid w:val="003807AF"/>
    <w:rsid w:val="00380AD6"/>
    <w:rsid w:val="00380C01"/>
    <w:rsid w:val="00382457"/>
    <w:rsid w:val="00382B4B"/>
    <w:rsid w:val="003833D1"/>
    <w:rsid w:val="00384135"/>
    <w:rsid w:val="00385450"/>
    <w:rsid w:val="00386323"/>
    <w:rsid w:val="00387038"/>
    <w:rsid w:val="00387D0C"/>
    <w:rsid w:val="00392984"/>
    <w:rsid w:val="00394CDB"/>
    <w:rsid w:val="00395E17"/>
    <w:rsid w:val="003961B7"/>
    <w:rsid w:val="003962BC"/>
    <w:rsid w:val="003968CF"/>
    <w:rsid w:val="00397049"/>
    <w:rsid w:val="00397249"/>
    <w:rsid w:val="0039750A"/>
    <w:rsid w:val="003A1435"/>
    <w:rsid w:val="003A1AA6"/>
    <w:rsid w:val="003A22DE"/>
    <w:rsid w:val="003A2F5B"/>
    <w:rsid w:val="003A40DB"/>
    <w:rsid w:val="003A4142"/>
    <w:rsid w:val="003A4589"/>
    <w:rsid w:val="003A5266"/>
    <w:rsid w:val="003A54E0"/>
    <w:rsid w:val="003A5B98"/>
    <w:rsid w:val="003A5CBF"/>
    <w:rsid w:val="003A66B0"/>
    <w:rsid w:val="003A6AEF"/>
    <w:rsid w:val="003A6CDE"/>
    <w:rsid w:val="003B0C0F"/>
    <w:rsid w:val="003B35EE"/>
    <w:rsid w:val="003B3683"/>
    <w:rsid w:val="003B4B40"/>
    <w:rsid w:val="003B5BF7"/>
    <w:rsid w:val="003B6D7F"/>
    <w:rsid w:val="003B7C9E"/>
    <w:rsid w:val="003B7E0D"/>
    <w:rsid w:val="003C1377"/>
    <w:rsid w:val="003C1400"/>
    <w:rsid w:val="003C1BBE"/>
    <w:rsid w:val="003C21D9"/>
    <w:rsid w:val="003C2562"/>
    <w:rsid w:val="003C34D7"/>
    <w:rsid w:val="003C38D5"/>
    <w:rsid w:val="003C508D"/>
    <w:rsid w:val="003C70BA"/>
    <w:rsid w:val="003C7978"/>
    <w:rsid w:val="003D1226"/>
    <w:rsid w:val="003D17E3"/>
    <w:rsid w:val="003D1E4F"/>
    <w:rsid w:val="003D3AF4"/>
    <w:rsid w:val="003D42F4"/>
    <w:rsid w:val="003D5696"/>
    <w:rsid w:val="003D6F14"/>
    <w:rsid w:val="003D7456"/>
    <w:rsid w:val="003D7571"/>
    <w:rsid w:val="003E0083"/>
    <w:rsid w:val="003E0A1F"/>
    <w:rsid w:val="003E28B5"/>
    <w:rsid w:val="003E327D"/>
    <w:rsid w:val="003E3524"/>
    <w:rsid w:val="003E3695"/>
    <w:rsid w:val="003E41FE"/>
    <w:rsid w:val="003E461D"/>
    <w:rsid w:val="003E54C7"/>
    <w:rsid w:val="003E6745"/>
    <w:rsid w:val="003E7D90"/>
    <w:rsid w:val="003F3169"/>
    <w:rsid w:val="003F359A"/>
    <w:rsid w:val="003F63E9"/>
    <w:rsid w:val="003F7063"/>
    <w:rsid w:val="003F79B2"/>
    <w:rsid w:val="0040024E"/>
    <w:rsid w:val="0040228D"/>
    <w:rsid w:val="00402D23"/>
    <w:rsid w:val="00402DAC"/>
    <w:rsid w:val="00402FB1"/>
    <w:rsid w:val="004034AE"/>
    <w:rsid w:val="00403BCA"/>
    <w:rsid w:val="00404AAD"/>
    <w:rsid w:val="004055A3"/>
    <w:rsid w:val="00405A3B"/>
    <w:rsid w:val="00405F68"/>
    <w:rsid w:val="004069E5"/>
    <w:rsid w:val="00406A82"/>
    <w:rsid w:val="00406DBB"/>
    <w:rsid w:val="004079C3"/>
    <w:rsid w:val="004103FF"/>
    <w:rsid w:val="00410E9B"/>
    <w:rsid w:val="00411EE2"/>
    <w:rsid w:val="00412224"/>
    <w:rsid w:val="004128F9"/>
    <w:rsid w:val="00412F27"/>
    <w:rsid w:val="00413224"/>
    <w:rsid w:val="00414548"/>
    <w:rsid w:val="00414A93"/>
    <w:rsid w:val="00415060"/>
    <w:rsid w:val="004167A1"/>
    <w:rsid w:val="0041785A"/>
    <w:rsid w:val="0042070D"/>
    <w:rsid w:val="004208C5"/>
    <w:rsid w:val="00421419"/>
    <w:rsid w:val="00422099"/>
    <w:rsid w:val="004237DC"/>
    <w:rsid w:val="00423F60"/>
    <w:rsid w:val="004246DB"/>
    <w:rsid w:val="00424C10"/>
    <w:rsid w:val="004263EC"/>
    <w:rsid w:val="0042648E"/>
    <w:rsid w:val="0042762D"/>
    <w:rsid w:val="00430EC3"/>
    <w:rsid w:val="00431AE3"/>
    <w:rsid w:val="00432CA2"/>
    <w:rsid w:val="00433402"/>
    <w:rsid w:val="00433415"/>
    <w:rsid w:val="00433DE0"/>
    <w:rsid w:val="00434ABC"/>
    <w:rsid w:val="00435374"/>
    <w:rsid w:val="00435812"/>
    <w:rsid w:val="00435BDF"/>
    <w:rsid w:val="00436DBB"/>
    <w:rsid w:val="00437537"/>
    <w:rsid w:val="00437995"/>
    <w:rsid w:val="00440422"/>
    <w:rsid w:val="004405D5"/>
    <w:rsid w:val="004413C7"/>
    <w:rsid w:val="00441798"/>
    <w:rsid w:val="0044188B"/>
    <w:rsid w:val="00443450"/>
    <w:rsid w:val="004439F3"/>
    <w:rsid w:val="00443B07"/>
    <w:rsid w:val="004503E9"/>
    <w:rsid w:val="00450FC9"/>
    <w:rsid w:val="00451968"/>
    <w:rsid w:val="004528C8"/>
    <w:rsid w:val="00453B26"/>
    <w:rsid w:val="00453D31"/>
    <w:rsid w:val="004553C6"/>
    <w:rsid w:val="0045542A"/>
    <w:rsid w:val="0045605B"/>
    <w:rsid w:val="00456DEE"/>
    <w:rsid w:val="004579F6"/>
    <w:rsid w:val="004609CA"/>
    <w:rsid w:val="00460DBD"/>
    <w:rsid w:val="00461CE7"/>
    <w:rsid w:val="00462D4E"/>
    <w:rsid w:val="00463428"/>
    <w:rsid w:val="00464BED"/>
    <w:rsid w:val="0046585D"/>
    <w:rsid w:val="00466B96"/>
    <w:rsid w:val="00467C0B"/>
    <w:rsid w:val="00471BD2"/>
    <w:rsid w:val="0047222E"/>
    <w:rsid w:val="00472BE3"/>
    <w:rsid w:val="00472F96"/>
    <w:rsid w:val="00473F95"/>
    <w:rsid w:val="004742F6"/>
    <w:rsid w:val="0047477E"/>
    <w:rsid w:val="004748B9"/>
    <w:rsid w:val="00475C90"/>
    <w:rsid w:val="00475F09"/>
    <w:rsid w:val="00476CD2"/>
    <w:rsid w:val="00477F0B"/>
    <w:rsid w:val="00481615"/>
    <w:rsid w:val="004823D6"/>
    <w:rsid w:val="004828DA"/>
    <w:rsid w:val="00482DF0"/>
    <w:rsid w:val="00483689"/>
    <w:rsid w:val="0048373A"/>
    <w:rsid w:val="004841C6"/>
    <w:rsid w:val="00485E57"/>
    <w:rsid w:val="00486B52"/>
    <w:rsid w:val="0048776A"/>
    <w:rsid w:val="00487EAA"/>
    <w:rsid w:val="0049007D"/>
    <w:rsid w:val="004916A7"/>
    <w:rsid w:val="00492A72"/>
    <w:rsid w:val="00493604"/>
    <w:rsid w:val="004936D2"/>
    <w:rsid w:val="00493AB4"/>
    <w:rsid w:val="00495C3F"/>
    <w:rsid w:val="004A178C"/>
    <w:rsid w:val="004A23C0"/>
    <w:rsid w:val="004A54FC"/>
    <w:rsid w:val="004A583D"/>
    <w:rsid w:val="004A671E"/>
    <w:rsid w:val="004A6C86"/>
    <w:rsid w:val="004A7EEE"/>
    <w:rsid w:val="004A7F91"/>
    <w:rsid w:val="004A7FAE"/>
    <w:rsid w:val="004B061B"/>
    <w:rsid w:val="004B074E"/>
    <w:rsid w:val="004B0A9D"/>
    <w:rsid w:val="004B0C9C"/>
    <w:rsid w:val="004B254B"/>
    <w:rsid w:val="004B2582"/>
    <w:rsid w:val="004B2A9F"/>
    <w:rsid w:val="004B2D77"/>
    <w:rsid w:val="004B2E9E"/>
    <w:rsid w:val="004B3271"/>
    <w:rsid w:val="004B37D8"/>
    <w:rsid w:val="004B3AA3"/>
    <w:rsid w:val="004B4B1F"/>
    <w:rsid w:val="004B4C0E"/>
    <w:rsid w:val="004B4D50"/>
    <w:rsid w:val="004B5A03"/>
    <w:rsid w:val="004C0CE1"/>
    <w:rsid w:val="004C190E"/>
    <w:rsid w:val="004C1D18"/>
    <w:rsid w:val="004C3197"/>
    <w:rsid w:val="004C4416"/>
    <w:rsid w:val="004C4D2B"/>
    <w:rsid w:val="004C70A5"/>
    <w:rsid w:val="004C78CC"/>
    <w:rsid w:val="004C7F50"/>
    <w:rsid w:val="004D027A"/>
    <w:rsid w:val="004D1A1C"/>
    <w:rsid w:val="004D1A44"/>
    <w:rsid w:val="004D4224"/>
    <w:rsid w:val="004D47D4"/>
    <w:rsid w:val="004D4C24"/>
    <w:rsid w:val="004D5D5D"/>
    <w:rsid w:val="004D6567"/>
    <w:rsid w:val="004D72AA"/>
    <w:rsid w:val="004E24A4"/>
    <w:rsid w:val="004E40A0"/>
    <w:rsid w:val="004E529D"/>
    <w:rsid w:val="004E5F4C"/>
    <w:rsid w:val="004E666D"/>
    <w:rsid w:val="004E69E6"/>
    <w:rsid w:val="004E6B4F"/>
    <w:rsid w:val="004E7796"/>
    <w:rsid w:val="004E7C2D"/>
    <w:rsid w:val="004F1C61"/>
    <w:rsid w:val="004F5176"/>
    <w:rsid w:val="004F52B2"/>
    <w:rsid w:val="004F649F"/>
    <w:rsid w:val="004F763F"/>
    <w:rsid w:val="005002B3"/>
    <w:rsid w:val="00500B65"/>
    <w:rsid w:val="00500DD2"/>
    <w:rsid w:val="00503751"/>
    <w:rsid w:val="00503F3C"/>
    <w:rsid w:val="00504284"/>
    <w:rsid w:val="00504620"/>
    <w:rsid w:val="00504D72"/>
    <w:rsid w:val="005076EB"/>
    <w:rsid w:val="005105F3"/>
    <w:rsid w:val="005108F9"/>
    <w:rsid w:val="00510B5D"/>
    <w:rsid w:val="00512B0E"/>
    <w:rsid w:val="005133EF"/>
    <w:rsid w:val="0051371F"/>
    <w:rsid w:val="005138D2"/>
    <w:rsid w:val="00513F14"/>
    <w:rsid w:val="00515926"/>
    <w:rsid w:val="00516C30"/>
    <w:rsid w:val="005175C2"/>
    <w:rsid w:val="00517ADE"/>
    <w:rsid w:val="0052048C"/>
    <w:rsid w:val="00521B2D"/>
    <w:rsid w:val="00522BFA"/>
    <w:rsid w:val="005238A2"/>
    <w:rsid w:val="005255EC"/>
    <w:rsid w:val="00525B21"/>
    <w:rsid w:val="0052628C"/>
    <w:rsid w:val="005319B0"/>
    <w:rsid w:val="00531FED"/>
    <w:rsid w:val="00532B88"/>
    <w:rsid w:val="00533051"/>
    <w:rsid w:val="005333F0"/>
    <w:rsid w:val="00533688"/>
    <w:rsid w:val="005336AA"/>
    <w:rsid w:val="00535BBC"/>
    <w:rsid w:val="00535CAC"/>
    <w:rsid w:val="005373C9"/>
    <w:rsid w:val="00537A88"/>
    <w:rsid w:val="0054195D"/>
    <w:rsid w:val="005421BA"/>
    <w:rsid w:val="0054636F"/>
    <w:rsid w:val="0054637B"/>
    <w:rsid w:val="00546814"/>
    <w:rsid w:val="0055009E"/>
    <w:rsid w:val="005506D5"/>
    <w:rsid w:val="005509A8"/>
    <w:rsid w:val="00550DC6"/>
    <w:rsid w:val="00550F06"/>
    <w:rsid w:val="005551CC"/>
    <w:rsid w:val="0055596C"/>
    <w:rsid w:val="00555DA6"/>
    <w:rsid w:val="00556515"/>
    <w:rsid w:val="0056082C"/>
    <w:rsid w:val="00561556"/>
    <w:rsid w:val="00562CC6"/>
    <w:rsid w:val="0056537C"/>
    <w:rsid w:val="00565FB3"/>
    <w:rsid w:val="005676D3"/>
    <w:rsid w:val="00567832"/>
    <w:rsid w:val="00572F3A"/>
    <w:rsid w:val="0057321A"/>
    <w:rsid w:val="00573F60"/>
    <w:rsid w:val="00574347"/>
    <w:rsid w:val="0057483E"/>
    <w:rsid w:val="00574EA6"/>
    <w:rsid w:val="00574F50"/>
    <w:rsid w:val="00575522"/>
    <w:rsid w:val="00575E28"/>
    <w:rsid w:val="00577EAC"/>
    <w:rsid w:val="00580D64"/>
    <w:rsid w:val="005810BF"/>
    <w:rsid w:val="005812A5"/>
    <w:rsid w:val="00581AF4"/>
    <w:rsid w:val="00582CB2"/>
    <w:rsid w:val="00582E65"/>
    <w:rsid w:val="005831ED"/>
    <w:rsid w:val="00583D5D"/>
    <w:rsid w:val="005840D4"/>
    <w:rsid w:val="005851A0"/>
    <w:rsid w:val="00585C17"/>
    <w:rsid w:val="00586270"/>
    <w:rsid w:val="00586720"/>
    <w:rsid w:val="00586E5E"/>
    <w:rsid w:val="0058733A"/>
    <w:rsid w:val="00590E80"/>
    <w:rsid w:val="0059234B"/>
    <w:rsid w:val="00593324"/>
    <w:rsid w:val="005951E0"/>
    <w:rsid w:val="00595DBD"/>
    <w:rsid w:val="00596B86"/>
    <w:rsid w:val="005A03BC"/>
    <w:rsid w:val="005A0C41"/>
    <w:rsid w:val="005A2E58"/>
    <w:rsid w:val="005A316C"/>
    <w:rsid w:val="005A3E1B"/>
    <w:rsid w:val="005A41CB"/>
    <w:rsid w:val="005A498D"/>
    <w:rsid w:val="005B16BF"/>
    <w:rsid w:val="005B1EB6"/>
    <w:rsid w:val="005B3F48"/>
    <w:rsid w:val="005B592B"/>
    <w:rsid w:val="005B7395"/>
    <w:rsid w:val="005B745A"/>
    <w:rsid w:val="005B7D96"/>
    <w:rsid w:val="005B7EA7"/>
    <w:rsid w:val="005C10AF"/>
    <w:rsid w:val="005C1465"/>
    <w:rsid w:val="005C2983"/>
    <w:rsid w:val="005C3357"/>
    <w:rsid w:val="005C33BD"/>
    <w:rsid w:val="005C3BCB"/>
    <w:rsid w:val="005C4751"/>
    <w:rsid w:val="005C5EFE"/>
    <w:rsid w:val="005C668A"/>
    <w:rsid w:val="005C78ED"/>
    <w:rsid w:val="005D3079"/>
    <w:rsid w:val="005D3E4F"/>
    <w:rsid w:val="005D491F"/>
    <w:rsid w:val="005D543A"/>
    <w:rsid w:val="005D58D0"/>
    <w:rsid w:val="005D5D47"/>
    <w:rsid w:val="005D6666"/>
    <w:rsid w:val="005D6875"/>
    <w:rsid w:val="005D6CD9"/>
    <w:rsid w:val="005D7592"/>
    <w:rsid w:val="005D76BD"/>
    <w:rsid w:val="005E0232"/>
    <w:rsid w:val="005E1118"/>
    <w:rsid w:val="005E1841"/>
    <w:rsid w:val="005E2A21"/>
    <w:rsid w:val="005E2E4E"/>
    <w:rsid w:val="005E395A"/>
    <w:rsid w:val="005E4668"/>
    <w:rsid w:val="005E4EC0"/>
    <w:rsid w:val="005E76EE"/>
    <w:rsid w:val="005F0F2F"/>
    <w:rsid w:val="005F1627"/>
    <w:rsid w:val="005F34FC"/>
    <w:rsid w:val="005F4B72"/>
    <w:rsid w:val="005F612D"/>
    <w:rsid w:val="005F7039"/>
    <w:rsid w:val="00600FBC"/>
    <w:rsid w:val="0060251E"/>
    <w:rsid w:val="00604E4E"/>
    <w:rsid w:val="00604E6C"/>
    <w:rsid w:val="00604EC7"/>
    <w:rsid w:val="0060525D"/>
    <w:rsid w:val="00605590"/>
    <w:rsid w:val="0060581C"/>
    <w:rsid w:val="00606697"/>
    <w:rsid w:val="006066EE"/>
    <w:rsid w:val="006078DF"/>
    <w:rsid w:val="00610341"/>
    <w:rsid w:val="00611A15"/>
    <w:rsid w:val="006123C1"/>
    <w:rsid w:val="00612B39"/>
    <w:rsid w:val="0061319C"/>
    <w:rsid w:val="0061471D"/>
    <w:rsid w:val="006147C9"/>
    <w:rsid w:val="00614907"/>
    <w:rsid w:val="00614FCD"/>
    <w:rsid w:val="0061551C"/>
    <w:rsid w:val="00615A0C"/>
    <w:rsid w:val="006166CC"/>
    <w:rsid w:val="00616A49"/>
    <w:rsid w:val="006171AD"/>
    <w:rsid w:val="0062322C"/>
    <w:rsid w:val="006243BF"/>
    <w:rsid w:val="00625E70"/>
    <w:rsid w:val="0062648F"/>
    <w:rsid w:val="00626935"/>
    <w:rsid w:val="00626A46"/>
    <w:rsid w:val="006278E4"/>
    <w:rsid w:val="00627A6D"/>
    <w:rsid w:val="00627EDB"/>
    <w:rsid w:val="006327EB"/>
    <w:rsid w:val="00634E24"/>
    <w:rsid w:val="00634F55"/>
    <w:rsid w:val="006353C7"/>
    <w:rsid w:val="00636CE6"/>
    <w:rsid w:val="00641B26"/>
    <w:rsid w:val="00641F97"/>
    <w:rsid w:val="00642410"/>
    <w:rsid w:val="00643848"/>
    <w:rsid w:val="0064395F"/>
    <w:rsid w:val="00644912"/>
    <w:rsid w:val="00645246"/>
    <w:rsid w:val="00646B97"/>
    <w:rsid w:val="006472C4"/>
    <w:rsid w:val="006479B9"/>
    <w:rsid w:val="00650C62"/>
    <w:rsid w:val="0065105A"/>
    <w:rsid w:val="00652A0E"/>
    <w:rsid w:val="0065354F"/>
    <w:rsid w:val="00653804"/>
    <w:rsid w:val="0065380F"/>
    <w:rsid w:val="00653A87"/>
    <w:rsid w:val="00654657"/>
    <w:rsid w:val="0065515A"/>
    <w:rsid w:val="0065552C"/>
    <w:rsid w:val="00655986"/>
    <w:rsid w:val="006559C7"/>
    <w:rsid w:val="00655BF3"/>
    <w:rsid w:val="00656EDF"/>
    <w:rsid w:val="00657A92"/>
    <w:rsid w:val="006603E1"/>
    <w:rsid w:val="0066279F"/>
    <w:rsid w:val="00662DD0"/>
    <w:rsid w:val="00663150"/>
    <w:rsid w:val="00663160"/>
    <w:rsid w:val="0066441B"/>
    <w:rsid w:val="00665FD1"/>
    <w:rsid w:val="00666121"/>
    <w:rsid w:val="0066635B"/>
    <w:rsid w:val="0067060A"/>
    <w:rsid w:val="00670D5C"/>
    <w:rsid w:val="00671603"/>
    <w:rsid w:val="00671E82"/>
    <w:rsid w:val="0067323B"/>
    <w:rsid w:val="00673595"/>
    <w:rsid w:val="006747B2"/>
    <w:rsid w:val="006749A1"/>
    <w:rsid w:val="00674A0C"/>
    <w:rsid w:val="00674A40"/>
    <w:rsid w:val="00675148"/>
    <w:rsid w:val="00675213"/>
    <w:rsid w:val="006758BA"/>
    <w:rsid w:val="006805D4"/>
    <w:rsid w:val="00680C45"/>
    <w:rsid w:val="006813B0"/>
    <w:rsid w:val="00681EE0"/>
    <w:rsid w:val="00684BA8"/>
    <w:rsid w:val="006857E8"/>
    <w:rsid w:val="00691AEF"/>
    <w:rsid w:val="00692C43"/>
    <w:rsid w:val="00693677"/>
    <w:rsid w:val="00693F8A"/>
    <w:rsid w:val="00694FB9"/>
    <w:rsid w:val="00694FEB"/>
    <w:rsid w:val="00695238"/>
    <w:rsid w:val="0069525F"/>
    <w:rsid w:val="00696771"/>
    <w:rsid w:val="006974EB"/>
    <w:rsid w:val="006A1254"/>
    <w:rsid w:val="006A1370"/>
    <w:rsid w:val="006A169F"/>
    <w:rsid w:val="006A1761"/>
    <w:rsid w:val="006A2F3D"/>
    <w:rsid w:val="006A3208"/>
    <w:rsid w:val="006A388C"/>
    <w:rsid w:val="006A4C83"/>
    <w:rsid w:val="006A5437"/>
    <w:rsid w:val="006A6141"/>
    <w:rsid w:val="006A7F85"/>
    <w:rsid w:val="006B03EF"/>
    <w:rsid w:val="006B08C0"/>
    <w:rsid w:val="006B1E7D"/>
    <w:rsid w:val="006B224D"/>
    <w:rsid w:val="006B34FA"/>
    <w:rsid w:val="006B35E8"/>
    <w:rsid w:val="006B47FA"/>
    <w:rsid w:val="006B6C8A"/>
    <w:rsid w:val="006C01BF"/>
    <w:rsid w:val="006C17B2"/>
    <w:rsid w:val="006C3814"/>
    <w:rsid w:val="006C393E"/>
    <w:rsid w:val="006C3AE7"/>
    <w:rsid w:val="006C424E"/>
    <w:rsid w:val="006C49C2"/>
    <w:rsid w:val="006C5D30"/>
    <w:rsid w:val="006C692D"/>
    <w:rsid w:val="006C6EF7"/>
    <w:rsid w:val="006C6FE6"/>
    <w:rsid w:val="006C74E8"/>
    <w:rsid w:val="006D161A"/>
    <w:rsid w:val="006D23C3"/>
    <w:rsid w:val="006D2490"/>
    <w:rsid w:val="006D2567"/>
    <w:rsid w:val="006D32F6"/>
    <w:rsid w:val="006D5701"/>
    <w:rsid w:val="006D6272"/>
    <w:rsid w:val="006D628F"/>
    <w:rsid w:val="006D6505"/>
    <w:rsid w:val="006D6920"/>
    <w:rsid w:val="006D7A77"/>
    <w:rsid w:val="006E0D42"/>
    <w:rsid w:val="006E2BC5"/>
    <w:rsid w:val="006E2D8E"/>
    <w:rsid w:val="006E2E78"/>
    <w:rsid w:val="006E3464"/>
    <w:rsid w:val="006E37AF"/>
    <w:rsid w:val="006E7296"/>
    <w:rsid w:val="006E7F1E"/>
    <w:rsid w:val="006F03E8"/>
    <w:rsid w:val="006F06BF"/>
    <w:rsid w:val="006F13DB"/>
    <w:rsid w:val="006F1D55"/>
    <w:rsid w:val="006F2AEC"/>
    <w:rsid w:val="006F59FC"/>
    <w:rsid w:val="006F61CF"/>
    <w:rsid w:val="006F6232"/>
    <w:rsid w:val="006F6B3F"/>
    <w:rsid w:val="006F6C14"/>
    <w:rsid w:val="006F7CB8"/>
    <w:rsid w:val="00700D6C"/>
    <w:rsid w:val="00701800"/>
    <w:rsid w:val="00703268"/>
    <w:rsid w:val="00704D99"/>
    <w:rsid w:val="00705027"/>
    <w:rsid w:val="007056EC"/>
    <w:rsid w:val="00707216"/>
    <w:rsid w:val="00707B97"/>
    <w:rsid w:val="0071382F"/>
    <w:rsid w:val="00716263"/>
    <w:rsid w:val="00717B6F"/>
    <w:rsid w:val="00717C65"/>
    <w:rsid w:val="007203F1"/>
    <w:rsid w:val="00720CCA"/>
    <w:rsid w:val="0072202C"/>
    <w:rsid w:val="00722F54"/>
    <w:rsid w:val="0072359B"/>
    <w:rsid w:val="00723D26"/>
    <w:rsid w:val="00724407"/>
    <w:rsid w:val="007247F7"/>
    <w:rsid w:val="00724B39"/>
    <w:rsid w:val="00724F2D"/>
    <w:rsid w:val="007256D7"/>
    <w:rsid w:val="007268C6"/>
    <w:rsid w:val="00726AD8"/>
    <w:rsid w:val="0073148E"/>
    <w:rsid w:val="00731B9C"/>
    <w:rsid w:val="00731C27"/>
    <w:rsid w:val="00732276"/>
    <w:rsid w:val="007324EF"/>
    <w:rsid w:val="007346B4"/>
    <w:rsid w:val="00736F2C"/>
    <w:rsid w:val="00737584"/>
    <w:rsid w:val="00737857"/>
    <w:rsid w:val="0074076D"/>
    <w:rsid w:val="0074160D"/>
    <w:rsid w:val="00741A34"/>
    <w:rsid w:val="00741EAE"/>
    <w:rsid w:val="00744123"/>
    <w:rsid w:val="00745F0E"/>
    <w:rsid w:val="0074608E"/>
    <w:rsid w:val="00747197"/>
    <w:rsid w:val="00747E49"/>
    <w:rsid w:val="00747F61"/>
    <w:rsid w:val="007508E3"/>
    <w:rsid w:val="007523EB"/>
    <w:rsid w:val="00752EE3"/>
    <w:rsid w:val="00754C05"/>
    <w:rsid w:val="00755381"/>
    <w:rsid w:val="00756F85"/>
    <w:rsid w:val="0075704C"/>
    <w:rsid w:val="00757541"/>
    <w:rsid w:val="00757F68"/>
    <w:rsid w:val="00760096"/>
    <w:rsid w:val="007600E4"/>
    <w:rsid w:val="00760B80"/>
    <w:rsid w:val="00761D80"/>
    <w:rsid w:val="00762AF3"/>
    <w:rsid w:val="00764D15"/>
    <w:rsid w:val="007658A3"/>
    <w:rsid w:val="007664F9"/>
    <w:rsid w:val="00766996"/>
    <w:rsid w:val="00766BE8"/>
    <w:rsid w:val="00767E4E"/>
    <w:rsid w:val="00770430"/>
    <w:rsid w:val="007713C2"/>
    <w:rsid w:val="00771D1E"/>
    <w:rsid w:val="00772802"/>
    <w:rsid w:val="00772BD0"/>
    <w:rsid w:val="00773331"/>
    <w:rsid w:val="00773702"/>
    <w:rsid w:val="007750E0"/>
    <w:rsid w:val="00775163"/>
    <w:rsid w:val="0077528B"/>
    <w:rsid w:val="007756BE"/>
    <w:rsid w:val="00775B21"/>
    <w:rsid w:val="0077618F"/>
    <w:rsid w:val="00776405"/>
    <w:rsid w:val="007766FF"/>
    <w:rsid w:val="00776AE9"/>
    <w:rsid w:val="00777690"/>
    <w:rsid w:val="0078013E"/>
    <w:rsid w:val="007809C2"/>
    <w:rsid w:val="00782490"/>
    <w:rsid w:val="007848F6"/>
    <w:rsid w:val="0078536B"/>
    <w:rsid w:val="0079061C"/>
    <w:rsid w:val="0079139C"/>
    <w:rsid w:val="007919E8"/>
    <w:rsid w:val="00792089"/>
    <w:rsid w:val="00792334"/>
    <w:rsid w:val="007932EF"/>
    <w:rsid w:val="00794337"/>
    <w:rsid w:val="00795759"/>
    <w:rsid w:val="007957A0"/>
    <w:rsid w:val="007965A7"/>
    <w:rsid w:val="00796C28"/>
    <w:rsid w:val="007A07E8"/>
    <w:rsid w:val="007A5CAC"/>
    <w:rsid w:val="007A6255"/>
    <w:rsid w:val="007A6712"/>
    <w:rsid w:val="007A7BD1"/>
    <w:rsid w:val="007B0180"/>
    <w:rsid w:val="007B152B"/>
    <w:rsid w:val="007B3DAD"/>
    <w:rsid w:val="007B3EE4"/>
    <w:rsid w:val="007B44A0"/>
    <w:rsid w:val="007B52D4"/>
    <w:rsid w:val="007B6F6F"/>
    <w:rsid w:val="007B7E04"/>
    <w:rsid w:val="007C0498"/>
    <w:rsid w:val="007C074F"/>
    <w:rsid w:val="007C17BF"/>
    <w:rsid w:val="007C26B2"/>
    <w:rsid w:val="007C36DE"/>
    <w:rsid w:val="007C3BAF"/>
    <w:rsid w:val="007C42B1"/>
    <w:rsid w:val="007C48FC"/>
    <w:rsid w:val="007C492B"/>
    <w:rsid w:val="007C4E5F"/>
    <w:rsid w:val="007C52D8"/>
    <w:rsid w:val="007C596C"/>
    <w:rsid w:val="007C7056"/>
    <w:rsid w:val="007C7794"/>
    <w:rsid w:val="007C7945"/>
    <w:rsid w:val="007D10F1"/>
    <w:rsid w:val="007D1672"/>
    <w:rsid w:val="007D1D80"/>
    <w:rsid w:val="007D2BB7"/>
    <w:rsid w:val="007D3324"/>
    <w:rsid w:val="007D4201"/>
    <w:rsid w:val="007D46D7"/>
    <w:rsid w:val="007D5A19"/>
    <w:rsid w:val="007D7F97"/>
    <w:rsid w:val="007E05B0"/>
    <w:rsid w:val="007E0CBA"/>
    <w:rsid w:val="007E1076"/>
    <w:rsid w:val="007E121D"/>
    <w:rsid w:val="007E15DA"/>
    <w:rsid w:val="007E1A47"/>
    <w:rsid w:val="007E1D67"/>
    <w:rsid w:val="007E2E57"/>
    <w:rsid w:val="007E3B24"/>
    <w:rsid w:val="007E45D6"/>
    <w:rsid w:val="007E63B4"/>
    <w:rsid w:val="007E6E03"/>
    <w:rsid w:val="007E752A"/>
    <w:rsid w:val="007F06ED"/>
    <w:rsid w:val="007F1228"/>
    <w:rsid w:val="007F2DFC"/>
    <w:rsid w:val="007F3EB1"/>
    <w:rsid w:val="007F43AE"/>
    <w:rsid w:val="007F50DB"/>
    <w:rsid w:val="007F5221"/>
    <w:rsid w:val="007F5814"/>
    <w:rsid w:val="007F59B6"/>
    <w:rsid w:val="007F6043"/>
    <w:rsid w:val="007F6F08"/>
    <w:rsid w:val="007F718A"/>
    <w:rsid w:val="007F7496"/>
    <w:rsid w:val="008007D6"/>
    <w:rsid w:val="00800CFC"/>
    <w:rsid w:val="00801924"/>
    <w:rsid w:val="008026C4"/>
    <w:rsid w:val="008029D4"/>
    <w:rsid w:val="0080408E"/>
    <w:rsid w:val="008049FE"/>
    <w:rsid w:val="00804A7C"/>
    <w:rsid w:val="00805577"/>
    <w:rsid w:val="00805D95"/>
    <w:rsid w:val="00806F54"/>
    <w:rsid w:val="00811204"/>
    <w:rsid w:val="00811722"/>
    <w:rsid w:val="008127D9"/>
    <w:rsid w:val="00812C50"/>
    <w:rsid w:val="00813006"/>
    <w:rsid w:val="008133C5"/>
    <w:rsid w:val="00813A0D"/>
    <w:rsid w:val="00814A6C"/>
    <w:rsid w:val="00816C14"/>
    <w:rsid w:val="008176F3"/>
    <w:rsid w:val="0082274D"/>
    <w:rsid w:val="00822809"/>
    <w:rsid w:val="0082494A"/>
    <w:rsid w:val="00824F91"/>
    <w:rsid w:val="00825950"/>
    <w:rsid w:val="00825C0E"/>
    <w:rsid w:val="00826046"/>
    <w:rsid w:val="008266E2"/>
    <w:rsid w:val="00826BBC"/>
    <w:rsid w:val="00826FEC"/>
    <w:rsid w:val="00827399"/>
    <w:rsid w:val="00827424"/>
    <w:rsid w:val="0082749C"/>
    <w:rsid w:val="00827731"/>
    <w:rsid w:val="00830B53"/>
    <w:rsid w:val="00831806"/>
    <w:rsid w:val="00832C82"/>
    <w:rsid w:val="00832D2C"/>
    <w:rsid w:val="00833BCC"/>
    <w:rsid w:val="008346E7"/>
    <w:rsid w:val="0083487F"/>
    <w:rsid w:val="008361B5"/>
    <w:rsid w:val="00836554"/>
    <w:rsid w:val="008366B8"/>
    <w:rsid w:val="00836B22"/>
    <w:rsid w:val="00836DD3"/>
    <w:rsid w:val="00840142"/>
    <w:rsid w:val="00845B8F"/>
    <w:rsid w:val="00846C35"/>
    <w:rsid w:val="00847AC9"/>
    <w:rsid w:val="00847F9C"/>
    <w:rsid w:val="00850569"/>
    <w:rsid w:val="008509F5"/>
    <w:rsid w:val="00850D93"/>
    <w:rsid w:val="00851B43"/>
    <w:rsid w:val="0085233F"/>
    <w:rsid w:val="008533B3"/>
    <w:rsid w:val="00854563"/>
    <w:rsid w:val="008550D1"/>
    <w:rsid w:val="008550D7"/>
    <w:rsid w:val="0085587C"/>
    <w:rsid w:val="00855F71"/>
    <w:rsid w:val="008571FE"/>
    <w:rsid w:val="008576E7"/>
    <w:rsid w:val="00860885"/>
    <w:rsid w:val="00860C30"/>
    <w:rsid w:val="00861289"/>
    <w:rsid w:val="00861C64"/>
    <w:rsid w:val="00862C7A"/>
    <w:rsid w:val="00863673"/>
    <w:rsid w:val="00863882"/>
    <w:rsid w:val="00863A85"/>
    <w:rsid w:val="00864CEF"/>
    <w:rsid w:val="00865278"/>
    <w:rsid w:val="0086540D"/>
    <w:rsid w:val="00866309"/>
    <w:rsid w:val="008663AB"/>
    <w:rsid w:val="00866A2C"/>
    <w:rsid w:val="00867153"/>
    <w:rsid w:val="008674DA"/>
    <w:rsid w:val="008707EA"/>
    <w:rsid w:val="00870E40"/>
    <w:rsid w:val="00871CBC"/>
    <w:rsid w:val="00871F5F"/>
    <w:rsid w:val="00873AD5"/>
    <w:rsid w:val="00874D22"/>
    <w:rsid w:val="00874DB5"/>
    <w:rsid w:val="0087543F"/>
    <w:rsid w:val="00877A52"/>
    <w:rsid w:val="0088053A"/>
    <w:rsid w:val="00880E89"/>
    <w:rsid w:val="0088140A"/>
    <w:rsid w:val="008820B9"/>
    <w:rsid w:val="00883A4F"/>
    <w:rsid w:val="00885629"/>
    <w:rsid w:val="00886105"/>
    <w:rsid w:val="008865F8"/>
    <w:rsid w:val="008868C5"/>
    <w:rsid w:val="0088711C"/>
    <w:rsid w:val="008905F2"/>
    <w:rsid w:val="0089255B"/>
    <w:rsid w:val="00892BAE"/>
    <w:rsid w:val="00892E92"/>
    <w:rsid w:val="00894F16"/>
    <w:rsid w:val="00895010"/>
    <w:rsid w:val="00895E0E"/>
    <w:rsid w:val="00896B22"/>
    <w:rsid w:val="008973B7"/>
    <w:rsid w:val="00897630"/>
    <w:rsid w:val="00897843"/>
    <w:rsid w:val="00897B14"/>
    <w:rsid w:val="008A1886"/>
    <w:rsid w:val="008A198F"/>
    <w:rsid w:val="008A1D73"/>
    <w:rsid w:val="008A20E1"/>
    <w:rsid w:val="008A2914"/>
    <w:rsid w:val="008A2B5A"/>
    <w:rsid w:val="008A2FF1"/>
    <w:rsid w:val="008A3565"/>
    <w:rsid w:val="008A42C5"/>
    <w:rsid w:val="008A60C2"/>
    <w:rsid w:val="008A6370"/>
    <w:rsid w:val="008A6B79"/>
    <w:rsid w:val="008B0F84"/>
    <w:rsid w:val="008B1220"/>
    <w:rsid w:val="008B1499"/>
    <w:rsid w:val="008B21AF"/>
    <w:rsid w:val="008B7F00"/>
    <w:rsid w:val="008C098D"/>
    <w:rsid w:val="008C0E6D"/>
    <w:rsid w:val="008C10E8"/>
    <w:rsid w:val="008C1420"/>
    <w:rsid w:val="008C2964"/>
    <w:rsid w:val="008C38F7"/>
    <w:rsid w:val="008C405E"/>
    <w:rsid w:val="008C40EA"/>
    <w:rsid w:val="008C4F07"/>
    <w:rsid w:val="008C5C68"/>
    <w:rsid w:val="008C6BB1"/>
    <w:rsid w:val="008D0A98"/>
    <w:rsid w:val="008D142B"/>
    <w:rsid w:val="008D1C91"/>
    <w:rsid w:val="008D2736"/>
    <w:rsid w:val="008D328C"/>
    <w:rsid w:val="008D5AEB"/>
    <w:rsid w:val="008E06C5"/>
    <w:rsid w:val="008E183C"/>
    <w:rsid w:val="008E2072"/>
    <w:rsid w:val="008E265B"/>
    <w:rsid w:val="008E28D7"/>
    <w:rsid w:val="008E35E5"/>
    <w:rsid w:val="008E4D8E"/>
    <w:rsid w:val="008E5638"/>
    <w:rsid w:val="008E74FC"/>
    <w:rsid w:val="008E7B43"/>
    <w:rsid w:val="008E7E75"/>
    <w:rsid w:val="008F0111"/>
    <w:rsid w:val="008F099A"/>
    <w:rsid w:val="008F1D49"/>
    <w:rsid w:val="008F2010"/>
    <w:rsid w:val="008F21DA"/>
    <w:rsid w:val="008F4BA8"/>
    <w:rsid w:val="008F5E6A"/>
    <w:rsid w:val="008F6C08"/>
    <w:rsid w:val="00901DD2"/>
    <w:rsid w:val="00904B74"/>
    <w:rsid w:val="00905AAD"/>
    <w:rsid w:val="009066F4"/>
    <w:rsid w:val="009131EE"/>
    <w:rsid w:val="009133B5"/>
    <w:rsid w:val="00913C67"/>
    <w:rsid w:val="00914AFE"/>
    <w:rsid w:val="009158FC"/>
    <w:rsid w:val="0091642F"/>
    <w:rsid w:val="00916A81"/>
    <w:rsid w:val="00916CE8"/>
    <w:rsid w:val="009172B7"/>
    <w:rsid w:val="00923885"/>
    <w:rsid w:val="0092443C"/>
    <w:rsid w:val="009256BE"/>
    <w:rsid w:val="00926121"/>
    <w:rsid w:val="00926323"/>
    <w:rsid w:val="009263A7"/>
    <w:rsid w:val="00926C27"/>
    <w:rsid w:val="009271FB"/>
    <w:rsid w:val="00927204"/>
    <w:rsid w:val="00927EC4"/>
    <w:rsid w:val="009308B2"/>
    <w:rsid w:val="009333A5"/>
    <w:rsid w:val="00933713"/>
    <w:rsid w:val="00933E0B"/>
    <w:rsid w:val="00935DC6"/>
    <w:rsid w:val="00940483"/>
    <w:rsid w:val="00940D7E"/>
    <w:rsid w:val="00941988"/>
    <w:rsid w:val="00941BE1"/>
    <w:rsid w:val="00942317"/>
    <w:rsid w:val="00942CD5"/>
    <w:rsid w:val="0094342C"/>
    <w:rsid w:val="00943AB2"/>
    <w:rsid w:val="009448B2"/>
    <w:rsid w:val="0094593B"/>
    <w:rsid w:val="009470E5"/>
    <w:rsid w:val="00947311"/>
    <w:rsid w:val="00951943"/>
    <w:rsid w:val="00952289"/>
    <w:rsid w:val="0095539F"/>
    <w:rsid w:val="00957346"/>
    <w:rsid w:val="009608E8"/>
    <w:rsid w:val="00963B48"/>
    <w:rsid w:val="00964395"/>
    <w:rsid w:val="009661CC"/>
    <w:rsid w:val="00970D1C"/>
    <w:rsid w:val="00970EF0"/>
    <w:rsid w:val="00971251"/>
    <w:rsid w:val="009713F7"/>
    <w:rsid w:val="009726C7"/>
    <w:rsid w:val="00973B67"/>
    <w:rsid w:val="009758C0"/>
    <w:rsid w:val="00975BA3"/>
    <w:rsid w:val="009766D9"/>
    <w:rsid w:val="00976E65"/>
    <w:rsid w:val="009804E7"/>
    <w:rsid w:val="00980FB5"/>
    <w:rsid w:val="009810F4"/>
    <w:rsid w:val="00981A5C"/>
    <w:rsid w:val="00982CC2"/>
    <w:rsid w:val="00983B01"/>
    <w:rsid w:val="00983E05"/>
    <w:rsid w:val="00983F60"/>
    <w:rsid w:val="00983FA9"/>
    <w:rsid w:val="00985B98"/>
    <w:rsid w:val="0098787B"/>
    <w:rsid w:val="00987AB3"/>
    <w:rsid w:val="0099312F"/>
    <w:rsid w:val="00994D96"/>
    <w:rsid w:val="00995BF6"/>
    <w:rsid w:val="00996727"/>
    <w:rsid w:val="00996C19"/>
    <w:rsid w:val="009A0C09"/>
    <w:rsid w:val="009A0D2E"/>
    <w:rsid w:val="009A22E7"/>
    <w:rsid w:val="009A3295"/>
    <w:rsid w:val="009A4237"/>
    <w:rsid w:val="009A45A0"/>
    <w:rsid w:val="009A4600"/>
    <w:rsid w:val="009A5E23"/>
    <w:rsid w:val="009A6250"/>
    <w:rsid w:val="009A6CA6"/>
    <w:rsid w:val="009A6D7C"/>
    <w:rsid w:val="009A747D"/>
    <w:rsid w:val="009A7C9A"/>
    <w:rsid w:val="009A7DA4"/>
    <w:rsid w:val="009B0025"/>
    <w:rsid w:val="009B0216"/>
    <w:rsid w:val="009B062C"/>
    <w:rsid w:val="009B3359"/>
    <w:rsid w:val="009B3413"/>
    <w:rsid w:val="009B5293"/>
    <w:rsid w:val="009B596C"/>
    <w:rsid w:val="009B6548"/>
    <w:rsid w:val="009B7310"/>
    <w:rsid w:val="009C0B60"/>
    <w:rsid w:val="009C1063"/>
    <w:rsid w:val="009C39B8"/>
    <w:rsid w:val="009C46EF"/>
    <w:rsid w:val="009C4C9A"/>
    <w:rsid w:val="009C6830"/>
    <w:rsid w:val="009C77D1"/>
    <w:rsid w:val="009C7E36"/>
    <w:rsid w:val="009D0274"/>
    <w:rsid w:val="009D06D2"/>
    <w:rsid w:val="009D15BB"/>
    <w:rsid w:val="009D30A1"/>
    <w:rsid w:val="009D32D2"/>
    <w:rsid w:val="009D42A7"/>
    <w:rsid w:val="009D466F"/>
    <w:rsid w:val="009D4BD4"/>
    <w:rsid w:val="009D4F51"/>
    <w:rsid w:val="009D594F"/>
    <w:rsid w:val="009D62CF"/>
    <w:rsid w:val="009D6A31"/>
    <w:rsid w:val="009D6D2A"/>
    <w:rsid w:val="009D7089"/>
    <w:rsid w:val="009D751D"/>
    <w:rsid w:val="009D78FF"/>
    <w:rsid w:val="009E0989"/>
    <w:rsid w:val="009E0F6A"/>
    <w:rsid w:val="009E1069"/>
    <w:rsid w:val="009E17F2"/>
    <w:rsid w:val="009E2147"/>
    <w:rsid w:val="009E22C1"/>
    <w:rsid w:val="009E30E4"/>
    <w:rsid w:val="009E3CDA"/>
    <w:rsid w:val="009E41BD"/>
    <w:rsid w:val="009E50A3"/>
    <w:rsid w:val="009E529B"/>
    <w:rsid w:val="009E546F"/>
    <w:rsid w:val="009E7622"/>
    <w:rsid w:val="009E78C5"/>
    <w:rsid w:val="009F0285"/>
    <w:rsid w:val="009F1A64"/>
    <w:rsid w:val="009F1A86"/>
    <w:rsid w:val="009F32C0"/>
    <w:rsid w:val="009F3353"/>
    <w:rsid w:val="009F35C3"/>
    <w:rsid w:val="009F38D3"/>
    <w:rsid w:val="009F3D50"/>
    <w:rsid w:val="009F56DB"/>
    <w:rsid w:val="009F5C5A"/>
    <w:rsid w:val="009F6FEF"/>
    <w:rsid w:val="009F77FF"/>
    <w:rsid w:val="00A00657"/>
    <w:rsid w:val="00A01613"/>
    <w:rsid w:val="00A01C37"/>
    <w:rsid w:val="00A02675"/>
    <w:rsid w:val="00A030BA"/>
    <w:rsid w:val="00A0321A"/>
    <w:rsid w:val="00A0352A"/>
    <w:rsid w:val="00A03F29"/>
    <w:rsid w:val="00A050C2"/>
    <w:rsid w:val="00A055F7"/>
    <w:rsid w:val="00A0644F"/>
    <w:rsid w:val="00A06DF2"/>
    <w:rsid w:val="00A07652"/>
    <w:rsid w:val="00A07B0D"/>
    <w:rsid w:val="00A10244"/>
    <w:rsid w:val="00A10D41"/>
    <w:rsid w:val="00A11EB5"/>
    <w:rsid w:val="00A12251"/>
    <w:rsid w:val="00A122DF"/>
    <w:rsid w:val="00A1298A"/>
    <w:rsid w:val="00A12B08"/>
    <w:rsid w:val="00A14A36"/>
    <w:rsid w:val="00A15750"/>
    <w:rsid w:val="00A16FB7"/>
    <w:rsid w:val="00A201B1"/>
    <w:rsid w:val="00A21826"/>
    <w:rsid w:val="00A21F66"/>
    <w:rsid w:val="00A24977"/>
    <w:rsid w:val="00A24AC7"/>
    <w:rsid w:val="00A2521F"/>
    <w:rsid w:val="00A25535"/>
    <w:rsid w:val="00A2556E"/>
    <w:rsid w:val="00A263F6"/>
    <w:rsid w:val="00A2708A"/>
    <w:rsid w:val="00A3014F"/>
    <w:rsid w:val="00A30340"/>
    <w:rsid w:val="00A30774"/>
    <w:rsid w:val="00A31920"/>
    <w:rsid w:val="00A31A52"/>
    <w:rsid w:val="00A32E1E"/>
    <w:rsid w:val="00A33D76"/>
    <w:rsid w:val="00A34532"/>
    <w:rsid w:val="00A34DF0"/>
    <w:rsid w:val="00A352EE"/>
    <w:rsid w:val="00A37039"/>
    <w:rsid w:val="00A37EC9"/>
    <w:rsid w:val="00A401B2"/>
    <w:rsid w:val="00A40222"/>
    <w:rsid w:val="00A40693"/>
    <w:rsid w:val="00A40BA5"/>
    <w:rsid w:val="00A448F8"/>
    <w:rsid w:val="00A44BC2"/>
    <w:rsid w:val="00A45200"/>
    <w:rsid w:val="00A468F7"/>
    <w:rsid w:val="00A47465"/>
    <w:rsid w:val="00A47B00"/>
    <w:rsid w:val="00A47C8C"/>
    <w:rsid w:val="00A5075B"/>
    <w:rsid w:val="00A50F85"/>
    <w:rsid w:val="00A52EFE"/>
    <w:rsid w:val="00A5351E"/>
    <w:rsid w:val="00A538C4"/>
    <w:rsid w:val="00A54A0D"/>
    <w:rsid w:val="00A56860"/>
    <w:rsid w:val="00A57735"/>
    <w:rsid w:val="00A57BD2"/>
    <w:rsid w:val="00A619E6"/>
    <w:rsid w:val="00A628E6"/>
    <w:rsid w:val="00A62E3E"/>
    <w:rsid w:val="00A63DF2"/>
    <w:rsid w:val="00A63EA8"/>
    <w:rsid w:val="00A6519A"/>
    <w:rsid w:val="00A67E0E"/>
    <w:rsid w:val="00A705D2"/>
    <w:rsid w:val="00A722C9"/>
    <w:rsid w:val="00A744C9"/>
    <w:rsid w:val="00A74A4A"/>
    <w:rsid w:val="00A766A1"/>
    <w:rsid w:val="00A76D90"/>
    <w:rsid w:val="00A77E3D"/>
    <w:rsid w:val="00A82BEC"/>
    <w:rsid w:val="00A82E1F"/>
    <w:rsid w:val="00A82FE6"/>
    <w:rsid w:val="00A834A0"/>
    <w:rsid w:val="00A834BC"/>
    <w:rsid w:val="00A8410F"/>
    <w:rsid w:val="00A8420B"/>
    <w:rsid w:val="00A8498F"/>
    <w:rsid w:val="00A86AAF"/>
    <w:rsid w:val="00A86B98"/>
    <w:rsid w:val="00A86C4A"/>
    <w:rsid w:val="00A86CCA"/>
    <w:rsid w:val="00A875AB"/>
    <w:rsid w:val="00A91DD3"/>
    <w:rsid w:val="00A92A25"/>
    <w:rsid w:val="00A93DAC"/>
    <w:rsid w:val="00A93EED"/>
    <w:rsid w:val="00A94D72"/>
    <w:rsid w:val="00A963C7"/>
    <w:rsid w:val="00A967E7"/>
    <w:rsid w:val="00A96C99"/>
    <w:rsid w:val="00A9761A"/>
    <w:rsid w:val="00AA0F8F"/>
    <w:rsid w:val="00AA1059"/>
    <w:rsid w:val="00AA12DC"/>
    <w:rsid w:val="00AA2E29"/>
    <w:rsid w:val="00AA31DB"/>
    <w:rsid w:val="00AA37C0"/>
    <w:rsid w:val="00AA5137"/>
    <w:rsid w:val="00AA54B6"/>
    <w:rsid w:val="00AA5797"/>
    <w:rsid w:val="00AA6040"/>
    <w:rsid w:val="00AA6E8B"/>
    <w:rsid w:val="00AA7A2B"/>
    <w:rsid w:val="00AB0638"/>
    <w:rsid w:val="00AB1212"/>
    <w:rsid w:val="00AB3971"/>
    <w:rsid w:val="00AB4598"/>
    <w:rsid w:val="00AB5399"/>
    <w:rsid w:val="00AB7A67"/>
    <w:rsid w:val="00AB7A74"/>
    <w:rsid w:val="00AC1174"/>
    <w:rsid w:val="00AC1648"/>
    <w:rsid w:val="00AC2051"/>
    <w:rsid w:val="00AC2484"/>
    <w:rsid w:val="00AC3013"/>
    <w:rsid w:val="00AC3CCC"/>
    <w:rsid w:val="00AC3E61"/>
    <w:rsid w:val="00AC4918"/>
    <w:rsid w:val="00AC500C"/>
    <w:rsid w:val="00AC5867"/>
    <w:rsid w:val="00AC5CF0"/>
    <w:rsid w:val="00AC6E14"/>
    <w:rsid w:val="00AC770B"/>
    <w:rsid w:val="00AC781D"/>
    <w:rsid w:val="00AC7A59"/>
    <w:rsid w:val="00AC7F19"/>
    <w:rsid w:val="00AD0881"/>
    <w:rsid w:val="00AD1F72"/>
    <w:rsid w:val="00AD5709"/>
    <w:rsid w:val="00AD64A7"/>
    <w:rsid w:val="00AD705B"/>
    <w:rsid w:val="00AD7859"/>
    <w:rsid w:val="00AE01FF"/>
    <w:rsid w:val="00AE0DA3"/>
    <w:rsid w:val="00AE112D"/>
    <w:rsid w:val="00AE2918"/>
    <w:rsid w:val="00AE2B83"/>
    <w:rsid w:val="00AE2CC0"/>
    <w:rsid w:val="00AE2E7A"/>
    <w:rsid w:val="00AE3BD8"/>
    <w:rsid w:val="00AE5164"/>
    <w:rsid w:val="00AE579D"/>
    <w:rsid w:val="00AE597E"/>
    <w:rsid w:val="00AE5B8B"/>
    <w:rsid w:val="00AE5FDC"/>
    <w:rsid w:val="00AE71A6"/>
    <w:rsid w:val="00AE7B0B"/>
    <w:rsid w:val="00AF1F32"/>
    <w:rsid w:val="00AF20A7"/>
    <w:rsid w:val="00AF2EFA"/>
    <w:rsid w:val="00AF354B"/>
    <w:rsid w:val="00AF3A50"/>
    <w:rsid w:val="00AF4B3C"/>
    <w:rsid w:val="00AF578F"/>
    <w:rsid w:val="00AF5FD3"/>
    <w:rsid w:val="00AF648F"/>
    <w:rsid w:val="00AF6F06"/>
    <w:rsid w:val="00AF6F50"/>
    <w:rsid w:val="00B003BA"/>
    <w:rsid w:val="00B006DC"/>
    <w:rsid w:val="00B00B58"/>
    <w:rsid w:val="00B012D5"/>
    <w:rsid w:val="00B0177C"/>
    <w:rsid w:val="00B03B00"/>
    <w:rsid w:val="00B03C4C"/>
    <w:rsid w:val="00B04BED"/>
    <w:rsid w:val="00B04FE8"/>
    <w:rsid w:val="00B05F8A"/>
    <w:rsid w:val="00B06918"/>
    <w:rsid w:val="00B071C3"/>
    <w:rsid w:val="00B116AF"/>
    <w:rsid w:val="00B11B7E"/>
    <w:rsid w:val="00B11D04"/>
    <w:rsid w:val="00B12282"/>
    <w:rsid w:val="00B12DC0"/>
    <w:rsid w:val="00B1311B"/>
    <w:rsid w:val="00B13682"/>
    <w:rsid w:val="00B16287"/>
    <w:rsid w:val="00B2018E"/>
    <w:rsid w:val="00B20B3D"/>
    <w:rsid w:val="00B21720"/>
    <w:rsid w:val="00B21D6E"/>
    <w:rsid w:val="00B22429"/>
    <w:rsid w:val="00B2344F"/>
    <w:rsid w:val="00B2357E"/>
    <w:rsid w:val="00B24656"/>
    <w:rsid w:val="00B2594C"/>
    <w:rsid w:val="00B263C2"/>
    <w:rsid w:val="00B27534"/>
    <w:rsid w:val="00B27668"/>
    <w:rsid w:val="00B27E51"/>
    <w:rsid w:val="00B3052E"/>
    <w:rsid w:val="00B310D1"/>
    <w:rsid w:val="00B3147B"/>
    <w:rsid w:val="00B33614"/>
    <w:rsid w:val="00B33D37"/>
    <w:rsid w:val="00B347D0"/>
    <w:rsid w:val="00B37A48"/>
    <w:rsid w:val="00B41615"/>
    <w:rsid w:val="00B417EC"/>
    <w:rsid w:val="00B42D50"/>
    <w:rsid w:val="00B46286"/>
    <w:rsid w:val="00B46649"/>
    <w:rsid w:val="00B46CB9"/>
    <w:rsid w:val="00B4772E"/>
    <w:rsid w:val="00B47A90"/>
    <w:rsid w:val="00B47E10"/>
    <w:rsid w:val="00B50141"/>
    <w:rsid w:val="00B503CF"/>
    <w:rsid w:val="00B50D2F"/>
    <w:rsid w:val="00B51743"/>
    <w:rsid w:val="00B5222A"/>
    <w:rsid w:val="00B53254"/>
    <w:rsid w:val="00B56470"/>
    <w:rsid w:val="00B57DC4"/>
    <w:rsid w:val="00B6124E"/>
    <w:rsid w:val="00B63403"/>
    <w:rsid w:val="00B64C7C"/>
    <w:rsid w:val="00B65789"/>
    <w:rsid w:val="00B65A84"/>
    <w:rsid w:val="00B71291"/>
    <w:rsid w:val="00B7136A"/>
    <w:rsid w:val="00B71781"/>
    <w:rsid w:val="00B71DAD"/>
    <w:rsid w:val="00B72508"/>
    <w:rsid w:val="00B74297"/>
    <w:rsid w:val="00B748F1"/>
    <w:rsid w:val="00B764D4"/>
    <w:rsid w:val="00B77789"/>
    <w:rsid w:val="00B80E9C"/>
    <w:rsid w:val="00B81F39"/>
    <w:rsid w:val="00B8382F"/>
    <w:rsid w:val="00B85C37"/>
    <w:rsid w:val="00B873C2"/>
    <w:rsid w:val="00B87915"/>
    <w:rsid w:val="00B901D8"/>
    <w:rsid w:val="00B91248"/>
    <w:rsid w:val="00B91839"/>
    <w:rsid w:val="00B93E75"/>
    <w:rsid w:val="00B9503F"/>
    <w:rsid w:val="00B95897"/>
    <w:rsid w:val="00B96F67"/>
    <w:rsid w:val="00B97AC0"/>
    <w:rsid w:val="00B97DA5"/>
    <w:rsid w:val="00BA05F8"/>
    <w:rsid w:val="00BA0BE8"/>
    <w:rsid w:val="00BA1AC1"/>
    <w:rsid w:val="00BA2F90"/>
    <w:rsid w:val="00BA41AD"/>
    <w:rsid w:val="00BA5C67"/>
    <w:rsid w:val="00BA6744"/>
    <w:rsid w:val="00BA6E7E"/>
    <w:rsid w:val="00BB2449"/>
    <w:rsid w:val="00BB3C22"/>
    <w:rsid w:val="00BB5C02"/>
    <w:rsid w:val="00BB5DDD"/>
    <w:rsid w:val="00BB63AC"/>
    <w:rsid w:val="00BB7284"/>
    <w:rsid w:val="00BC0F9F"/>
    <w:rsid w:val="00BC2FFD"/>
    <w:rsid w:val="00BC3409"/>
    <w:rsid w:val="00BC3B1C"/>
    <w:rsid w:val="00BC48C2"/>
    <w:rsid w:val="00BC5317"/>
    <w:rsid w:val="00BC5B41"/>
    <w:rsid w:val="00BC6DFE"/>
    <w:rsid w:val="00BC74AD"/>
    <w:rsid w:val="00BD037F"/>
    <w:rsid w:val="00BD059F"/>
    <w:rsid w:val="00BD0878"/>
    <w:rsid w:val="00BD1096"/>
    <w:rsid w:val="00BD2382"/>
    <w:rsid w:val="00BD2BD2"/>
    <w:rsid w:val="00BD31A1"/>
    <w:rsid w:val="00BD3A95"/>
    <w:rsid w:val="00BD4238"/>
    <w:rsid w:val="00BD4629"/>
    <w:rsid w:val="00BD4FF3"/>
    <w:rsid w:val="00BD5E36"/>
    <w:rsid w:val="00BD6A92"/>
    <w:rsid w:val="00BD7D31"/>
    <w:rsid w:val="00BE0BD8"/>
    <w:rsid w:val="00BE0DAA"/>
    <w:rsid w:val="00BE11E1"/>
    <w:rsid w:val="00BE16F5"/>
    <w:rsid w:val="00BE204B"/>
    <w:rsid w:val="00BE3A6E"/>
    <w:rsid w:val="00BE4BAC"/>
    <w:rsid w:val="00BE6AA8"/>
    <w:rsid w:val="00BE74C3"/>
    <w:rsid w:val="00BE7587"/>
    <w:rsid w:val="00BF1DA9"/>
    <w:rsid w:val="00BF2C71"/>
    <w:rsid w:val="00BF3880"/>
    <w:rsid w:val="00BF5398"/>
    <w:rsid w:val="00BF6991"/>
    <w:rsid w:val="00C00AC7"/>
    <w:rsid w:val="00C01DEA"/>
    <w:rsid w:val="00C02334"/>
    <w:rsid w:val="00C0280D"/>
    <w:rsid w:val="00C02852"/>
    <w:rsid w:val="00C032D1"/>
    <w:rsid w:val="00C05A35"/>
    <w:rsid w:val="00C070EB"/>
    <w:rsid w:val="00C07835"/>
    <w:rsid w:val="00C104D2"/>
    <w:rsid w:val="00C10E9D"/>
    <w:rsid w:val="00C11000"/>
    <w:rsid w:val="00C11E25"/>
    <w:rsid w:val="00C12301"/>
    <w:rsid w:val="00C12497"/>
    <w:rsid w:val="00C137F4"/>
    <w:rsid w:val="00C15D44"/>
    <w:rsid w:val="00C15E79"/>
    <w:rsid w:val="00C15EFA"/>
    <w:rsid w:val="00C16C14"/>
    <w:rsid w:val="00C17593"/>
    <w:rsid w:val="00C17863"/>
    <w:rsid w:val="00C178F9"/>
    <w:rsid w:val="00C17E6B"/>
    <w:rsid w:val="00C20A08"/>
    <w:rsid w:val="00C2148C"/>
    <w:rsid w:val="00C21527"/>
    <w:rsid w:val="00C225FD"/>
    <w:rsid w:val="00C22EFC"/>
    <w:rsid w:val="00C23450"/>
    <w:rsid w:val="00C243F8"/>
    <w:rsid w:val="00C24F4E"/>
    <w:rsid w:val="00C25496"/>
    <w:rsid w:val="00C2558E"/>
    <w:rsid w:val="00C25FB3"/>
    <w:rsid w:val="00C26147"/>
    <w:rsid w:val="00C26B4E"/>
    <w:rsid w:val="00C275E7"/>
    <w:rsid w:val="00C31E1A"/>
    <w:rsid w:val="00C32F21"/>
    <w:rsid w:val="00C33A52"/>
    <w:rsid w:val="00C33DD2"/>
    <w:rsid w:val="00C33F34"/>
    <w:rsid w:val="00C341D7"/>
    <w:rsid w:val="00C34579"/>
    <w:rsid w:val="00C347A7"/>
    <w:rsid w:val="00C353FE"/>
    <w:rsid w:val="00C354F4"/>
    <w:rsid w:val="00C36B57"/>
    <w:rsid w:val="00C36F6E"/>
    <w:rsid w:val="00C375C1"/>
    <w:rsid w:val="00C41769"/>
    <w:rsid w:val="00C421B9"/>
    <w:rsid w:val="00C42585"/>
    <w:rsid w:val="00C4272D"/>
    <w:rsid w:val="00C442D3"/>
    <w:rsid w:val="00C44348"/>
    <w:rsid w:val="00C444C1"/>
    <w:rsid w:val="00C4475C"/>
    <w:rsid w:val="00C447F8"/>
    <w:rsid w:val="00C44AF3"/>
    <w:rsid w:val="00C44CA0"/>
    <w:rsid w:val="00C450DA"/>
    <w:rsid w:val="00C456F2"/>
    <w:rsid w:val="00C469B9"/>
    <w:rsid w:val="00C5085D"/>
    <w:rsid w:val="00C533DB"/>
    <w:rsid w:val="00C540E9"/>
    <w:rsid w:val="00C54B2D"/>
    <w:rsid w:val="00C55541"/>
    <w:rsid w:val="00C5578C"/>
    <w:rsid w:val="00C559F6"/>
    <w:rsid w:val="00C55A08"/>
    <w:rsid w:val="00C5645E"/>
    <w:rsid w:val="00C565D6"/>
    <w:rsid w:val="00C6118C"/>
    <w:rsid w:val="00C61941"/>
    <w:rsid w:val="00C62435"/>
    <w:rsid w:val="00C63331"/>
    <w:rsid w:val="00C63BDB"/>
    <w:rsid w:val="00C64F16"/>
    <w:rsid w:val="00C65E35"/>
    <w:rsid w:val="00C663DC"/>
    <w:rsid w:val="00C67724"/>
    <w:rsid w:val="00C70B8A"/>
    <w:rsid w:val="00C715B2"/>
    <w:rsid w:val="00C715F8"/>
    <w:rsid w:val="00C72236"/>
    <w:rsid w:val="00C72BA2"/>
    <w:rsid w:val="00C7365B"/>
    <w:rsid w:val="00C73C42"/>
    <w:rsid w:val="00C73CE9"/>
    <w:rsid w:val="00C754F1"/>
    <w:rsid w:val="00C75D79"/>
    <w:rsid w:val="00C760C6"/>
    <w:rsid w:val="00C764F9"/>
    <w:rsid w:val="00C768D5"/>
    <w:rsid w:val="00C7712D"/>
    <w:rsid w:val="00C77FE7"/>
    <w:rsid w:val="00C80BF9"/>
    <w:rsid w:val="00C80C75"/>
    <w:rsid w:val="00C81E92"/>
    <w:rsid w:val="00C82078"/>
    <w:rsid w:val="00C8217F"/>
    <w:rsid w:val="00C83DCE"/>
    <w:rsid w:val="00C85053"/>
    <w:rsid w:val="00C859D2"/>
    <w:rsid w:val="00C86F65"/>
    <w:rsid w:val="00C876DF"/>
    <w:rsid w:val="00C9132D"/>
    <w:rsid w:val="00C919BA"/>
    <w:rsid w:val="00C91E9E"/>
    <w:rsid w:val="00C921C9"/>
    <w:rsid w:val="00C942B7"/>
    <w:rsid w:val="00C94A72"/>
    <w:rsid w:val="00C9545D"/>
    <w:rsid w:val="00CA0417"/>
    <w:rsid w:val="00CA06F6"/>
    <w:rsid w:val="00CA0D60"/>
    <w:rsid w:val="00CA1F2A"/>
    <w:rsid w:val="00CA3719"/>
    <w:rsid w:val="00CA3D87"/>
    <w:rsid w:val="00CA3F1F"/>
    <w:rsid w:val="00CA41AD"/>
    <w:rsid w:val="00CA5628"/>
    <w:rsid w:val="00CA5CAE"/>
    <w:rsid w:val="00CA77B2"/>
    <w:rsid w:val="00CA7FC7"/>
    <w:rsid w:val="00CB07A3"/>
    <w:rsid w:val="00CB2067"/>
    <w:rsid w:val="00CB3D0A"/>
    <w:rsid w:val="00CB3E66"/>
    <w:rsid w:val="00CB43EA"/>
    <w:rsid w:val="00CB5722"/>
    <w:rsid w:val="00CB6BBE"/>
    <w:rsid w:val="00CB7D1A"/>
    <w:rsid w:val="00CC0723"/>
    <w:rsid w:val="00CC0F4B"/>
    <w:rsid w:val="00CC484A"/>
    <w:rsid w:val="00CC4F86"/>
    <w:rsid w:val="00CC6251"/>
    <w:rsid w:val="00CC650C"/>
    <w:rsid w:val="00CC6A1C"/>
    <w:rsid w:val="00CC7327"/>
    <w:rsid w:val="00CD1837"/>
    <w:rsid w:val="00CD3BBE"/>
    <w:rsid w:val="00CD3EDA"/>
    <w:rsid w:val="00CD4813"/>
    <w:rsid w:val="00CD4CA4"/>
    <w:rsid w:val="00CD5074"/>
    <w:rsid w:val="00CD6F6B"/>
    <w:rsid w:val="00CD7234"/>
    <w:rsid w:val="00CD7A73"/>
    <w:rsid w:val="00CE19F2"/>
    <w:rsid w:val="00CE345E"/>
    <w:rsid w:val="00CE437E"/>
    <w:rsid w:val="00CE49DF"/>
    <w:rsid w:val="00CE6247"/>
    <w:rsid w:val="00CE6367"/>
    <w:rsid w:val="00CE6F2D"/>
    <w:rsid w:val="00CE7A53"/>
    <w:rsid w:val="00CF0646"/>
    <w:rsid w:val="00CF1720"/>
    <w:rsid w:val="00CF193F"/>
    <w:rsid w:val="00CF1947"/>
    <w:rsid w:val="00CF3B87"/>
    <w:rsid w:val="00CF4BEC"/>
    <w:rsid w:val="00CF6500"/>
    <w:rsid w:val="00D0026D"/>
    <w:rsid w:val="00D003C8"/>
    <w:rsid w:val="00D00951"/>
    <w:rsid w:val="00D00BDA"/>
    <w:rsid w:val="00D019A3"/>
    <w:rsid w:val="00D03093"/>
    <w:rsid w:val="00D032C1"/>
    <w:rsid w:val="00D04641"/>
    <w:rsid w:val="00D05598"/>
    <w:rsid w:val="00D05C56"/>
    <w:rsid w:val="00D10BC8"/>
    <w:rsid w:val="00D10C66"/>
    <w:rsid w:val="00D11C27"/>
    <w:rsid w:val="00D12A54"/>
    <w:rsid w:val="00D1468A"/>
    <w:rsid w:val="00D148BE"/>
    <w:rsid w:val="00D152C9"/>
    <w:rsid w:val="00D1583C"/>
    <w:rsid w:val="00D16441"/>
    <w:rsid w:val="00D16F78"/>
    <w:rsid w:val="00D17509"/>
    <w:rsid w:val="00D17B96"/>
    <w:rsid w:val="00D17D09"/>
    <w:rsid w:val="00D20381"/>
    <w:rsid w:val="00D20F44"/>
    <w:rsid w:val="00D22EB6"/>
    <w:rsid w:val="00D24E0B"/>
    <w:rsid w:val="00D24E1D"/>
    <w:rsid w:val="00D26BA8"/>
    <w:rsid w:val="00D2750E"/>
    <w:rsid w:val="00D30F87"/>
    <w:rsid w:val="00D339F9"/>
    <w:rsid w:val="00D33E38"/>
    <w:rsid w:val="00D34F28"/>
    <w:rsid w:val="00D36D60"/>
    <w:rsid w:val="00D4058D"/>
    <w:rsid w:val="00D4136A"/>
    <w:rsid w:val="00D4175B"/>
    <w:rsid w:val="00D41AE2"/>
    <w:rsid w:val="00D42605"/>
    <w:rsid w:val="00D439E5"/>
    <w:rsid w:val="00D43EC9"/>
    <w:rsid w:val="00D46475"/>
    <w:rsid w:val="00D467C9"/>
    <w:rsid w:val="00D5006C"/>
    <w:rsid w:val="00D51D3A"/>
    <w:rsid w:val="00D522DC"/>
    <w:rsid w:val="00D52C4C"/>
    <w:rsid w:val="00D55619"/>
    <w:rsid w:val="00D55C45"/>
    <w:rsid w:val="00D56D31"/>
    <w:rsid w:val="00D608FE"/>
    <w:rsid w:val="00D62A3F"/>
    <w:rsid w:val="00D63313"/>
    <w:rsid w:val="00D63609"/>
    <w:rsid w:val="00D63DC2"/>
    <w:rsid w:val="00D65DF3"/>
    <w:rsid w:val="00D678EC"/>
    <w:rsid w:val="00D702A5"/>
    <w:rsid w:val="00D714E4"/>
    <w:rsid w:val="00D72891"/>
    <w:rsid w:val="00D729AA"/>
    <w:rsid w:val="00D72E28"/>
    <w:rsid w:val="00D737DF"/>
    <w:rsid w:val="00D738B5"/>
    <w:rsid w:val="00D75163"/>
    <w:rsid w:val="00D75535"/>
    <w:rsid w:val="00D77DCE"/>
    <w:rsid w:val="00D81520"/>
    <w:rsid w:val="00D82A5D"/>
    <w:rsid w:val="00D82EC7"/>
    <w:rsid w:val="00D82F74"/>
    <w:rsid w:val="00D83903"/>
    <w:rsid w:val="00D841D5"/>
    <w:rsid w:val="00D849E6"/>
    <w:rsid w:val="00D84FAE"/>
    <w:rsid w:val="00D850FE"/>
    <w:rsid w:val="00D85520"/>
    <w:rsid w:val="00D85BF2"/>
    <w:rsid w:val="00D86C77"/>
    <w:rsid w:val="00D8774D"/>
    <w:rsid w:val="00D87A2B"/>
    <w:rsid w:val="00D906A7"/>
    <w:rsid w:val="00D924A5"/>
    <w:rsid w:val="00D92C87"/>
    <w:rsid w:val="00D94BE2"/>
    <w:rsid w:val="00D959F3"/>
    <w:rsid w:val="00D96C54"/>
    <w:rsid w:val="00D96CF8"/>
    <w:rsid w:val="00D96F7F"/>
    <w:rsid w:val="00D9781B"/>
    <w:rsid w:val="00DA1B7C"/>
    <w:rsid w:val="00DA2EAA"/>
    <w:rsid w:val="00DA3EA2"/>
    <w:rsid w:val="00DA586B"/>
    <w:rsid w:val="00DA64B2"/>
    <w:rsid w:val="00DA68DD"/>
    <w:rsid w:val="00DA76DF"/>
    <w:rsid w:val="00DB2AE5"/>
    <w:rsid w:val="00DB4381"/>
    <w:rsid w:val="00DB4524"/>
    <w:rsid w:val="00DB4D84"/>
    <w:rsid w:val="00DB53BC"/>
    <w:rsid w:val="00DB5FCC"/>
    <w:rsid w:val="00DB6086"/>
    <w:rsid w:val="00DB757B"/>
    <w:rsid w:val="00DC103E"/>
    <w:rsid w:val="00DC47B7"/>
    <w:rsid w:val="00DC55CF"/>
    <w:rsid w:val="00DC6844"/>
    <w:rsid w:val="00DC6C9D"/>
    <w:rsid w:val="00DC71B0"/>
    <w:rsid w:val="00DD02D6"/>
    <w:rsid w:val="00DD0769"/>
    <w:rsid w:val="00DD0800"/>
    <w:rsid w:val="00DD0FF9"/>
    <w:rsid w:val="00DD2504"/>
    <w:rsid w:val="00DD44B4"/>
    <w:rsid w:val="00DD494B"/>
    <w:rsid w:val="00DD56D3"/>
    <w:rsid w:val="00DD620C"/>
    <w:rsid w:val="00DE1336"/>
    <w:rsid w:val="00DE26D3"/>
    <w:rsid w:val="00DE3878"/>
    <w:rsid w:val="00DE3C86"/>
    <w:rsid w:val="00DE4535"/>
    <w:rsid w:val="00DE7CF8"/>
    <w:rsid w:val="00DF1E83"/>
    <w:rsid w:val="00DF45A6"/>
    <w:rsid w:val="00DF499A"/>
    <w:rsid w:val="00DF4C46"/>
    <w:rsid w:val="00DF5841"/>
    <w:rsid w:val="00DF59F6"/>
    <w:rsid w:val="00DF669F"/>
    <w:rsid w:val="00DF77DD"/>
    <w:rsid w:val="00DF78B2"/>
    <w:rsid w:val="00E00380"/>
    <w:rsid w:val="00E01DDF"/>
    <w:rsid w:val="00E02CD6"/>
    <w:rsid w:val="00E036DE"/>
    <w:rsid w:val="00E03D79"/>
    <w:rsid w:val="00E04D99"/>
    <w:rsid w:val="00E0501E"/>
    <w:rsid w:val="00E05D14"/>
    <w:rsid w:val="00E06183"/>
    <w:rsid w:val="00E068BB"/>
    <w:rsid w:val="00E1068E"/>
    <w:rsid w:val="00E10A79"/>
    <w:rsid w:val="00E10C1C"/>
    <w:rsid w:val="00E10E49"/>
    <w:rsid w:val="00E115FA"/>
    <w:rsid w:val="00E149E8"/>
    <w:rsid w:val="00E14E6F"/>
    <w:rsid w:val="00E15148"/>
    <w:rsid w:val="00E151DE"/>
    <w:rsid w:val="00E216F6"/>
    <w:rsid w:val="00E21BB9"/>
    <w:rsid w:val="00E2244B"/>
    <w:rsid w:val="00E22C8C"/>
    <w:rsid w:val="00E24295"/>
    <w:rsid w:val="00E2591E"/>
    <w:rsid w:val="00E25E9B"/>
    <w:rsid w:val="00E2608B"/>
    <w:rsid w:val="00E27607"/>
    <w:rsid w:val="00E27E7F"/>
    <w:rsid w:val="00E2E935"/>
    <w:rsid w:val="00E30967"/>
    <w:rsid w:val="00E30991"/>
    <w:rsid w:val="00E30C5A"/>
    <w:rsid w:val="00E3157A"/>
    <w:rsid w:val="00E31616"/>
    <w:rsid w:val="00E316E4"/>
    <w:rsid w:val="00E31C99"/>
    <w:rsid w:val="00E3289A"/>
    <w:rsid w:val="00E33BAE"/>
    <w:rsid w:val="00E35675"/>
    <w:rsid w:val="00E35E76"/>
    <w:rsid w:val="00E36307"/>
    <w:rsid w:val="00E3670C"/>
    <w:rsid w:val="00E36EE6"/>
    <w:rsid w:val="00E377AE"/>
    <w:rsid w:val="00E37B1B"/>
    <w:rsid w:val="00E40A58"/>
    <w:rsid w:val="00E40E3A"/>
    <w:rsid w:val="00E40F85"/>
    <w:rsid w:val="00E4262F"/>
    <w:rsid w:val="00E4268D"/>
    <w:rsid w:val="00E4345A"/>
    <w:rsid w:val="00E4436F"/>
    <w:rsid w:val="00E44508"/>
    <w:rsid w:val="00E44C57"/>
    <w:rsid w:val="00E44FDD"/>
    <w:rsid w:val="00E451FF"/>
    <w:rsid w:val="00E45339"/>
    <w:rsid w:val="00E45960"/>
    <w:rsid w:val="00E4602C"/>
    <w:rsid w:val="00E46C38"/>
    <w:rsid w:val="00E50EF4"/>
    <w:rsid w:val="00E51871"/>
    <w:rsid w:val="00E51983"/>
    <w:rsid w:val="00E51CA6"/>
    <w:rsid w:val="00E53794"/>
    <w:rsid w:val="00E5432B"/>
    <w:rsid w:val="00E54D9C"/>
    <w:rsid w:val="00E56F8E"/>
    <w:rsid w:val="00E576CF"/>
    <w:rsid w:val="00E57A12"/>
    <w:rsid w:val="00E57FAB"/>
    <w:rsid w:val="00E60A40"/>
    <w:rsid w:val="00E617A4"/>
    <w:rsid w:val="00E6418D"/>
    <w:rsid w:val="00E643D1"/>
    <w:rsid w:val="00E658DC"/>
    <w:rsid w:val="00E660B4"/>
    <w:rsid w:val="00E662E0"/>
    <w:rsid w:val="00E665A0"/>
    <w:rsid w:val="00E668E3"/>
    <w:rsid w:val="00E7028E"/>
    <w:rsid w:val="00E708B1"/>
    <w:rsid w:val="00E718B7"/>
    <w:rsid w:val="00E720D1"/>
    <w:rsid w:val="00E720E9"/>
    <w:rsid w:val="00E75C46"/>
    <w:rsid w:val="00E7705D"/>
    <w:rsid w:val="00E771EE"/>
    <w:rsid w:val="00E81BE4"/>
    <w:rsid w:val="00E82503"/>
    <w:rsid w:val="00E82FAF"/>
    <w:rsid w:val="00E83194"/>
    <w:rsid w:val="00E84513"/>
    <w:rsid w:val="00E86BF4"/>
    <w:rsid w:val="00E876B4"/>
    <w:rsid w:val="00E87DCE"/>
    <w:rsid w:val="00E933B8"/>
    <w:rsid w:val="00E9538C"/>
    <w:rsid w:val="00E96D8C"/>
    <w:rsid w:val="00E97450"/>
    <w:rsid w:val="00EA1E60"/>
    <w:rsid w:val="00EA4AB4"/>
    <w:rsid w:val="00EA4B82"/>
    <w:rsid w:val="00EA60F2"/>
    <w:rsid w:val="00EB05C9"/>
    <w:rsid w:val="00EB3F0E"/>
    <w:rsid w:val="00EB4163"/>
    <w:rsid w:val="00EB4355"/>
    <w:rsid w:val="00EB4B25"/>
    <w:rsid w:val="00EB6DCA"/>
    <w:rsid w:val="00EB7CE2"/>
    <w:rsid w:val="00EB7DEC"/>
    <w:rsid w:val="00EC0D93"/>
    <w:rsid w:val="00EC2359"/>
    <w:rsid w:val="00EC3434"/>
    <w:rsid w:val="00EC428C"/>
    <w:rsid w:val="00EC4BD1"/>
    <w:rsid w:val="00EC52EC"/>
    <w:rsid w:val="00EC58CE"/>
    <w:rsid w:val="00EC5A9F"/>
    <w:rsid w:val="00EC5C06"/>
    <w:rsid w:val="00EC66C2"/>
    <w:rsid w:val="00EC6F2E"/>
    <w:rsid w:val="00EC71E4"/>
    <w:rsid w:val="00EC7C9E"/>
    <w:rsid w:val="00EC7D72"/>
    <w:rsid w:val="00ED01CD"/>
    <w:rsid w:val="00ED114F"/>
    <w:rsid w:val="00ED19B7"/>
    <w:rsid w:val="00ED27A2"/>
    <w:rsid w:val="00ED6E71"/>
    <w:rsid w:val="00ED7122"/>
    <w:rsid w:val="00EE0A7B"/>
    <w:rsid w:val="00EE130A"/>
    <w:rsid w:val="00EE248A"/>
    <w:rsid w:val="00EE2EAE"/>
    <w:rsid w:val="00EE528B"/>
    <w:rsid w:val="00EF0974"/>
    <w:rsid w:val="00EF0FC9"/>
    <w:rsid w:val="00EF391B"/>
    <w:rsid w:val="00EF540A"/>
    <w:rsid w:val="00EF5F57"/>
    <w:rsid w:val="00EF6EE3"/>
    <w:rsid w:val="00EF7254"/>
    <w:rsid w:val="00EF74EE"/>
    <w:rsid w:val="00EF7CB3"/>
    <w:rsid w:val="00F00984"/>
    <w:rsid w:val="00F00DA9"/>
    <w:rsid w:val="00F013EA"/>
    <w:rsid w:val="00F01DF8"/>
    <w:rsid w:val="00F021A6"/>
    <w:rsid w:val="00F02299"/>
    <w:rsid w:val="00F05A56"/>
    <w:rsid w:val="00F06AB0"/>
    <w:rsid w:val="00F07101"/>
    <w:rsid w:val="00F07CD2"/>
    <w:rsid w:val="00F108A9"/>
    <w:rsid w:val="00F11460"/>
    <w:rsid w:val="00F11604"/>
    <w:rsid w:val="00F12CF8"/>
    <w:rsid w:val="00F15929"/>
    <w:rsid w:val="00F15F75"/>
    <w:rsid w:val="00F16771"/>
    <w:rsid w:val="00F175F4"/>
    <w:rsid w:val="00F17743"/>
    <w:rsid w:val="00F17CF4"/>
    <w:rsid w:val="00F2066C"/>
    <w:rsid w:val="00F2108B"/>
    <w:rsid w:val="00F21814"/>
    <w:rsid w:val="00F22421"/>
    <w:rsid w:val="00F22A1C"/>
    <w:rsid w:val="00F2305A"/>
    <w:rsid w:val="00F23734"/>
    <w:rsid w:val="00F23E89"/>
    <w:rsid w:val="00F2492F"/>
    <w:rsid w:val="00F26353"/>
    <w:rsid w:val="00F26733"/>
    <w:rsid w:val="00F304F8"/>
    <w:rsid w:val="00F31DD2"/>
    <w:rsid w:val="00F32DD4"/>
    <w:rsid w:val="00F32DEE"/>
    <w:rsid w:val="00F33140"/>
    <w:rsid w:val="00F33ACE"/>
    <w:rsid w:val="00F33E15"/>
    <w:rsid w:val="00F33EEB"/>
    <w:rsid w:val="00F35770"/>
    <w:rsid w:val="00F36113"/>
    <w:rsid w:val="00F364FD"/>
    <w:rsid w:val="00F36A19"/>
    <w:rsid w:val="00F36AFB"/>
    <w:rsid w:val="00F42F5F"/>
    <w:rsid w:val="00F4371A"/>
    <w:rsid w:val="00F43C98"/>
    <w:rsid w:val="00F45324"/>
    <w:rsid w:val="00F4601D"/>
    <w:rsid w:val="00F4675C"/>
    <w:rsid w:val="00F475AF"/>
    <w:rsid w:val="00F47794"/>
    <w:rsid w:val="00F47AC0"/>
    <w:rsid w:val="00F52FE0"/>
    <w:rsid w:val="00F5323F"/>
    <w:rsid w:val="00F53588"/>
    <w:rsid w:val="00F53AB3"/>
    <w:rsid w:val="00F53B8E"/>
    <w:rsid w:val="00F53D20"/>
    <w:rsid w:val="00F5502C"/>
    <w:rsid w:val="00F56215"/>
    <w:rsid w:val="00F56A70"/>
    <w:rsid w:val="00F579A2"/>
    <w:rsid w:val="00F60702"/>
    <w:rsid w:val="00F60E23"/>
    <w:rsid w:val="00F61D78"/>
    <w:rsid w:val="00F62BE1"/>
    <w:rsid w:val="00F630BD"/>
    <w:rsid w:val="00F633E2"/>
    <w:rsid w:val="00F64161"/>
    <w:rsid w:val="00F643A1"/>
    <w:rsid w:val="00F64F2F"/>
    <w:rsid w:val="00F65BB5"/>
    <w:rsid w:val="00F667D7"/>
    <w:rsid w:val="00F66C8E"/>
    <w:rsid w:val="00F70509"/>
    <w:rsid w:val="00F70A80"/>
    <w:rsid w:val="00F70B5F"/>
    <w:rsid w:val="00F72598"/>
    <w:rsid w:val="00F72BD1"/>
    <w:rsid w:val="00F738EA"/>
    <w:rsid w:val="00F73A31"/>
    <w:rsid w:val="00F73AB1"/>
    <w:rsid w:val="00F74968"/>
    <w:rsid w:val="00F7510A"/>
    <w:rsid w:val="00F757A1"/>
    <w:rsid w:val="00F75B93"/>
    <w:rsid w:val="00F76B2B"/>
    <w:rsid w:val="00F76C7C"/>
    <w:rsid w:val="00F772C3"/>
    <w:rsid w:val="00F7742C"/>
    <w:rsid w:val="00F77764"/>
    <w:rsid w:val="00F77DD2"/>
    <w:rsid w:val="00F77E0A"/>
    <w:rsid w:val="00F8076A"/>
    <w:rsid w:val="00F8090D"/>
    <w:rsid w:val="00F81025"/>
    <w:rsid w:val="00F8196B"/>
    <w:rsid w:val="00F82368"/>
    <w:rsid w:val="00F823F4"/>
    <w:rsid w:val="00F8310D"/>
    <w:rsid w:val="00F8319B"/>
    <w:rsid w:val="00F83436"/>
    <w:rsid w:val="00F839C2"/>
    <w:rsid w:val="00F847BB"/>
    <w:rsid w:val="00F84903"/>
    <w:rsid w:val="00F849AC"/>
    <w:rsid w:val="00F8685F"/>
    <w:rsid w:val="00F872C0"/>
    <w:rsid w:val="00F87584"/>
    <w:rsid w:val="00F87F5F"/>
    <w:rsid w:val="00F9013D"/>
    <w:rsid w:val="00F9086A"/>
    <w:rsid w:val="00F91914"/>
    <w:rsid w:val="00F92712"/>
    <w:rsid w:val="00F93469"/>
    <w:rsid w:val="00F934D5"/>
    <w:rsid w:val="00F941B5"/>
    <w:rsid w:val="00F94347"/>
    <w:rsid w:val="00F95A1B"/>
    <w:rsid w:val="00F95B13"/>
    <w:rsid w:val="00F96196"/>
    <w:rsid w:val="00F964FB"/>
    <w:rsid w:val="00F97A28"/>
    <w:rsid w:val="00F97FFB"/>
    <w:rsid w:val="00FA09DA"/>
    <w:rsid w:val="00FA348D"/>
    <w:rsid w:val="00FA4937"/>
    <w:rsid w:val="00FA4A93"/>
    <w:rsid w:val="00FA6849"/>
    <w:rsid w:val="00FA79EE"/>
    <w:rsid w:val="00FA7F54"/>
    <w:rsid w:val="00FB0170"/>
    <w:rsid w:val="00FB278B"/>
    <w:rsid w:val="00FB329E"/>
    <w:rsid w:val="00FB377F"/>
    <w:rsid w:val="00FB37AD"/>
    <w:rsid w:val="00FB3D47"/>
    <w:rsid w:val="00FB7068"/>
    <w:rsid w:val="00FB7652"/>
    <w:rsid w:val="00FB7A16"/>
    <w:rsid w:val="00FC0432"/>
    <w:rsid w:val="00FC0795"/>
    <w:rsid w:val="00FC38F8"/>
    <w:rsid w:val="00FC4CBF"/>
    <w:rsid w:val="00FC687B"/>
    <w:rsid w:val="00FD01AA"/>
    <w:rsid w:val="00FD0444"/>
    <w:rsid w:val="00FD14C6"/>
    <w:rsid w:val="00FD1687"/>
    <w:rsid w:val="00FD1B3A"/>
    <w:rsid w:val="00FD315C"/>
    <w:rsid w:val="00FD33CA"/>
    <w:rsid w:val="00FE0864"/>
    <w:rsid w:val="00FE0EB8"/>
    <w:rsid w:val="00FE2516"/>
    <w:rsid w:val="00FE2693"/>
    <w:rsid w:val="00FE2A89"/>
    <w:rsid w:val="00FE324C"/>
    <w:rsid w:val="00FE3679"/>
    <w:rsid w:val="00FE3834"/>
    <w:rsid w:val="00FE478F"/>
    <w:rsid w:val="00FE4E44"/>
    <w:rsid w:val="00FE6EA3"/>
    <w:rsid w:val="00FE76A6"/>
    <w:rsid w:val="00FE7FD0"/>
    <w:rsid w:val="00FF0087"/>
    <w:rsid w:val="00FF0910"/>
    <w:rsid w:val="00FF340F"/>
    <w:rsid w:val="00FF408A"/>
    <w:rsid w:val="00FF4F9F"/>
    <w:rsid w:val="00FF55C4"/>
    <w:rsid w:val="00FF5775"/>
    <w:rsid w:val="00FF5D69"/>
    <w:rsid w:val="01465471"/>
    <w:rsid w:val="0203A449"/>
    <w:rsid w:val="02756D5C"/>
    <w:rsid w:val="035E80C0"/>
    <w:rsid w:val="04354FD4"/>
    <w:rsid w:val="045D9E0D"/>
    <w:rsid w:val="0509307F"/>
    <w:rsid w:val="05481475"/>
    <w:rsid w:val="054AC32E"/>
    <w:rsid w:val="06A76E49"/>
    <w:rsid w:val="076D18C1"/>
    <w:rsid w:val="07C12776"/>
    <w:rsid w:val="08341923"/>
    <w:rsid w:val="08542C0C"/>
    <w:rsid w:val="08733365"/>
    <w:rsid w:val="0873F3F3"/>
    <w:rsid w:val="08D6A49C"/>
    <w:rsid w:val="09AC7652"/>
    <w:rsid w:val="0ADA9CDD"/>
    <w:rsid w:val="0ADE86FB"/>
    <w:rsid w:val="0B16E69E"/>
    <w:rsid w:val="0C253300"/>
    <w:rsid w:val="0C63F6B9"/>
    <w:rsid w:val="0CAD313D"/>
    <w:rsid w:val="0D73B8E1"/>
    <w:rsid w:val="0EA3DA08"/>
    <w:rsid w:val="0EE8F980"/>
    <w:rsid w:val="0EFCD00D"/>
    <w:rsid w:val="0F1518A2"/>
    <w:rsid w:val="0F599746"/>
    <w:rsid w:val="0FA72E31"/>
    <w:rsid w:val="10122BBF"/>
    <w:rsid w:val="1188145C"/>
    <w:rsid w:val="1190F369"/>
    <w:rsid w:val="11952E25"/>
    <w:rsid w:val="12140A1E"/>
    <w:rsid w:val="125965C2"/>
    <w:rsid w:val="127CAB0F"/>
    <w:rsid w:val="131EA4BA"/>
    <w:rsid w:val="13923964"/>
    <w:rsid w:val="13AB9BB6"/>
    <w:rsid w:val="13D17EB0"/>
    <w:rsid w:val="142437AE"/>
    <w:rsid w:val="14A3C02D"/>
    <w:rsid w:val="156E8357"/>
    <w:rsid w:val="15D9EF94"/>
    <w:rsid w:val="1616D5AB"/>
    <w:rsid w:val="1619C835"/>
    <w:rsid w:val="16220067"/>
    <w:rsid w:val="1622090C"/>
    <w:rsid w:val="162AEFF4"/>
    <w:rsid w:val="162D9DB4"/>
    <w:rsid w:val="16476BA1"/>
    <w:rsid w:val="1654A251"/>
    <w:rsid w:val="165BC51D"/>
    <w:rsid w:val="169E236F"/>
    <w:rsid w:val="16AF4520"/>
    <w:rsid w:val="170EE9B8"/>
    <w:rsid w:val="17803EF6"/>
    <w:rsid w:val="17D0D467"/>
    <w:rsid w:val="17EE0936"/>
    <w:rsid w:val="191A5ADA"/>
    <w:rsid w:val="196FC1A9"/>
    <w:rsid w:val="1974A2F6"/>
    <w:rsid w:val="19E1B8F3"/>
    <w:rsid w:val="1C459B6A"/>
    <w:rsid w:val="1C4CDCDC"/>
    <w:rsid w:val="1C8DDC9E"/>
    <w:rsid w:val="1CD19933"/>
    <w:rsid w:val="1D4E2FA0"/>
    <w:rsid w:val="1DBB473B"/>
    <w:rsid w:val="1DFC7BC6"/>
    <w:rsid w:val="1E8D8BBB"/>
    <w:rsid w:val="1F4AEFCA"/>
    <w:rsid w:val="1F6F5985"/>
    <w:rsid w:val="1FA0670B"/>
    <w:rsid w:val="201BE4D5"/>
    <w:rsid w:val="2053A0D7"/>
    <w:rsid w:val="2056D231"/>
    <w:rsid w:val="20856057"/>
    <w:rsid w:val="20F217E3"/>
    <w:rsid w:val="21462D17"/>
    <w:rsid w:val="225E7B2E"/>
    <w:rsid w:val="2269844E"/>
    <w:rsid w:val="22A863F2"/>
    <w:rsid w:val="238A32CF"/>
    <w:rsid w:val="239AE6AB"/>
    <w:rsid w:val="23A5A2E7"/>
    <w:rsid w:val="23BC9BBF"/>
    <w:rsid w:val="23FD9AAE"/>
    <w:rsid w:val="23FF042B"/>
    <w:rsid w:val="24F25368"/>
    <w:rsid w:val="25776376"/>
    <w:rsid w:val="25D36477"/>
    <w:rsid w:val="25F82616"/>
    <w:rsid w:val="280A7C17"/>
    <w:rsid w:val="2853EC81"/>
    <w:rsid w:val="28548074"/>
    <w:rsid w:val="28BAAC51"/>
    <w:rsid w:val="294ACDBE"/>
    <w:rsid w:val="297691AD"/>
    <w:rsid w:val="2A2DE96C"/>
    <w:rsid w:val="2A3C4D62"/>
    <w:rsid w:val="2A45A5AD"/>
    <w:rsid w:val="2AA4B767"/>
    <w:rsid w:val="2B5BC9EA"/>
    <w:rsid w:val="2B8682B6"/>
    <w:rsid w:val="2BB46B54"/>
    <w:rsid w:val="2BDFABF8"/>
    <w:rsid w:val="2C31D166"/>
    <w:rsid w:val="2DB6884F"/>
    <w:rsid w:val="2E01F9AB"/>
    <w:rsid w:val="2E4695BA"/>
    <w:rsid w:val="2F202017"/>
    <w:rsid w:val="30387C73"/>
    <w:rsid w:val="3043B80E"/>
    <w:rsid w:val="30D52E88"/>
    <w:rsid w:val="3192CDA3"/>
    <w:rsid w:val="322F49DD"/>
    <w:rsid w:val="3272B51C"/>
    <w:rsid w:val="329F0779"/>
    <w:rsid w:val="32AFE395"/>
    <w:rsid w:val="3358164D"/>
    <w:rsid w:val="33FD0963"/>
    <w:rsid w:val="346709C5"/>
    <w:rsid w:val="34868676"/>
    <w:rsid w:val="34ED9D0E"/>
    <w:rsid w:val="34FE0A9F"/>
    <w:rsid w:val="34FFB062"/>
    <w:rsid w:val="36125BB4"/>
    <w:rsid w:val="37983307"/>
    <w:rsid w:val="37AE1D2F"/>
    <w:rsid w:val="384CE5C8"/>
    <w:rsid w:val="392125E8"/>
    <w:rsid w:val="396A1EB3"/>
    <w:rsid w:val="39A2B2C8"/>
    <w:rsid w:val="3AB60BDA"/>
    <w:rsid w:val="3AEA11B3"/>
    <w:rsid w:val="3BFD188C"/>
    <w:rsid w:val="3C63D9C3"/>
    <w:rsid w:val="3E73F524"/>
    <w:rsid w:val="3E78BC59"/>
    <w:rsid w:val="3E8036D0"/>
    <w:rsid w:val="3F3865E1"/>
    <w:rsid w:val="401A6EA5"/>
    <w:rsid w:val="410C6B39"/>
    <w:rsid w:val="4394EB81"/>
    <w:rsid w:val="4467BFB6"/>
    <w:rsid w:val="44783A93"/>
    <w:rsid w:val="4613F11B"/>
    <w:rsid w:val="472A682C"/>
    <w:rsid w:val="47B57C4E"/>
    <w:rsid w:val="481ADBEE"/>
    <w:rsid w:val="48BC08D6"/>
    <w:rsid w:val="4958C5D5"/>
    <w:rsid w:val="4AE2037A"/>
    <w:rsid w:val="4B3CFF53"/>
    <w:rsid w:val="4BDFCEDE"/>
    <w:rsid w:val="4C3BB78F"/>
    <w:rsid w:val="4DC029E7"/>
    <w:rsid w:val="4DDCC842"/>
    <w:rsid w:val="4E48C4E3"/>
    <w:rsid w:val="4E8BAAF4"/>
    <w:rsid w:val="4EB644E6"/>
    <w:rsid w:val="4F2AD5B6"/>
    <w:rsid w:val="4FAA5CEF"/>
    <w:rsid w:val="4FFAD6F7"/>
    <w:rsid w:val="5017F305"/>
    <w:rsid w:val="50ECB761"/>
    <w:rsid w:val="50FF11BC"/>
    <w:rsid w:val="51686C95"/>
    <w:rsid w:val="51EDE153"/>
    <w:rsid w:val="533C0355"/>
    <w:rsid w:val="5356F842"/>
    <w:rsid w:val="5383885C"/>
    <w:rsid w:val="53FF1542"/>
    <w:rsid w:val="542143EE"/>
    <w:rsid w:val="552FFDA5"/>
    <w:rsid w:val="55966140"/>
    <w:rsid w:val="559BB8F8"/>
    <w:rsid w:val="55D3FF6C"/>
    <w:rsid w:val="560310C4"/>
    <w:rsid w:val="566A94B7"/>
    <w:rsid w:val="56A080DF"/>
    <w:rsid w:val="56B1D750"/>
    <w:rsid w:val="56CDFD91"/>
    <w:rsid w:val="56E5C997"/>
    <w:rsid w:val="57E8EEFD"/>
    <w:rsid w:val="583F688B"/>
    <w:rsid w:val="584F1AB2"/>
    <w:rsid w:val="599E54F7"/>
    <w:rsid w:val="59E5643E"/>
    <w:rsid w:val="5A4DDC57"/>
    <w:rsid w:val="5A885D89"/>
    <w:rsid w:val="5B0F0652"/>
    <w:rsid w:val="5B571CDA"/>
    <w:rsid w:val="5BAFAA94"/>
    <w:rsid w:val="5C3AE918"/>
    <w:rsid w:val="5C8ED3CB"/>
    <w:rsid w:val="5D7EA081"/>
    <w:rsid w:val="5DB4DE72"/>
    <w:rsid w:val="5DE615FD"/>
    <w:rsid w:val="5DF8864B"/>
    <w:rsid w:val="5EEEE497"/>
    <w:rsid w:val="5F2CB266"/>
    <w:rsid w:val="600C5D28"/>
    <w:rsid w:val="6078D157"/>
    <w:rsid w:val="609E326B"/>
    <w:rsid w:val="60F928E5"/>
    <w:rsid w:val="621FCAA0"/>
    <w:rsid w:val="62841C03"/>
    <w:rsid w:val="62D5BAF3"/>
    <w:rsid w:val="62ED4296"/>
    <w:rsid w:val="639F866B"/>
    <w:rsid w:val="65831F6F"/>
    <w:rsid w:val="65D8D886"/>
    <w:rsid w:val="667542E7"/>
    <w:rsid w:val="66AF38AD"/>
    <w:rsid w:val="67C5D2BB"/>
    <w:rsid w:val="68271B7B"/>
    <w:rsid w:val="683E6D40"/>
    <w:rsid w:val="68542645"/>
    <w:rsid w:val="68D2E022"/>
    <w:rsid w:val="6985A9BC"/>
    <w:rsid w:val="69C23A79"/>
    <w:rsid w:val="6A23BB9A"/>
    <w:rsid w:val="6B1A4118"/>
    <w:rsid w:val="6BB5E942"/>
    <w:rsid w:val="6BE309AE"/>
    <w:rsid w:val="6C4D1C29"/>
    <w:rsid w:val="6C554EFA"/>
    <w:rsid w:val="6CCBE4DC"/>
    <w:rsid w:val="6D16E3C7"/>
    <w:rsid w:val="6D5369A6"/>
    <w:rsid w:val="6D83CBC7"/>
    <w:rsid w:val="6DCA2B52"/>
    <w:rsid w:val="6DE7B8DD"/>
    <w:rsid w:val="6E439B50"/>
    <w:rsid w:val="6EEFF797"/>
    <w:rsid w:val="713D4641"/>
    <w:rsid w:val="7173083C"/>
    <w:rsid w:val="717F7D3E"/>
    <w:rsid w:val="71F1EFA6"/>
    <w:rsid w:val="72624232"/>
    <w:rsid w:val="73161707"/>
    <w:rsid w:val="73E88802"/>
    <w:rsid w:val="7400292C"/>
    <w:rsid w:val="742D300C"/>
    <w:rsid w:val="743B8100"/>
    <w:rsid w:val="74B70EA8"/>
    <w:rsid w:val="753E5E3D"/>
    <w:rsid w:val="7587F87F"/>
    <w:rsid w:val="75BCF839"/>
    <w:rsid w:val="75E961D3"/>
    <w:rsid w:val="765DCA79"/>
    <w:rsid w:val="76B58782"/>
    <w:rsid w:val="7762862F"/>
    <w:rsid w:val="777FE9F8"/>
    <w:rsid w:val="77828E11"/>
    <w:rsid w:val="78EA3D66"/>
    <w:rsid w:val="7954B401"/>
    <w:rsid w:val="79C0EB72"/>
    <w:rsid w:val="79C45F53"/>
    <w:rsid w:val="79D72318"/>
    <w:rsid w:val="7C118701"/>
    <w:rsid w:val="7CE2F607"/>
    <w:rsid w:val="7CFA9F1D"/>
    <w:rsid w:val="7D5C53B7"/>
    <w:rsid w:val="7DDC4A7D"/>
    <w:rsid w:val="7E945EF5"/>
    <w:rsid w:val="7EDEFFFA"/>
    <w:rsid w:val="7EE6A6EA"/>
    <w:rsid w:val="7EECB1EC"/>
    <w:rsid w:val="7FDF6961"/>
    <w:rsid w:val="7FF027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28B5"/>
    <w:pPr>
      <w:spacing w:before="0" w:after="160" w:line="278" w:lineRule="auto"/>
      <w:ind w:left="720"/>
      <w:contextualSpacing/>
      <w:jc w:val="left"/>
    </w:pPr>
    <w:rPr>
      <w:rFonts w:asciiTheme="minorHAnsi" w:hAnsiTheme="minorHAnsi" w:cstheme="minorBidi"/>
      <w:kern w:val="2"/>
      <w:szCs w:val="24"/>
      <w14:ligatures w14:val="standardContextual"/>
    </w:rPr>
  </w:style>
  <w:style w:type="character" w:styleId="CommentReference">
    <w:name w:val="annotation reference"/>
    <w:basedOn w:val="DefaultParagraphFont"/>
    <w:uiPriority w:val="99"/>
    <w:semiHidden/>
    <w:unhideWhenUsed/>
    <w:rsid w:val="003E28B5"/>
    <w:rPr>
      <w:sz w:val="16"/>
      <w:szCs w:val="16"/>
    </w:rPr>
  </w:style>
  <w:style w:type="paragraph" w:styleId="CommentText">
    <w:name w:val="annotation text"/>
    <w:basedOn w:val="Normal"/>
    <w:link w:val="CommentTextChar"/>
    <w:uiPriority w:val="99"/>
    <w:unhideWhenUsed/>
    <w:rsid w:val="003E28B5"/>
    <w:pPr>
      <w:spacing w:before="0" w:after="160"/>
      <w:jc w:val="left"/>
    </w:pPr>
    <w:rPr>
      <w:rFonts w:ascii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3E28B5"/>
    <w:rPr>
      <w:kern w:val="2"/>
      <w:sz w:val="20"/>
      <w:szCs w:val="20"/>
      <w:lang w:val="fr-FR"/>
      <w14:ligatures w14:val="standardContextual"/>
    </w:rPr>
  </w:style>
  <w:style w:type="paragraph" w:styleId="ListBullet">
    <w:name w:val="List Bullet"/>
    <w:basedOn w:val="Normal"/>
    <w:uiPriority w:val="99"/>
    <w:semiHidden/>
    <w:unhideWhenUsed/>
    <w:rsid w:val="00AB3971"/>
    <w:pPr>
      <w:numPr>
        <w:numId w:val="1"/>
      </w:numPr>
      <w:contextualSpacing/>
    </w:pPr>
  </w:style>
  <w:style w:type="paragraph" w:styleId="ListBullet2">
    <w:name w:val="List Bullet 2"/>
    <w:basedOn w:val="Normal"/>
    <w:uiPriority w:val="99"/>
    <w:semiHidden/>
    <w:unhideWhenUsed/>
    <w:rsid w:val="00AB3971"/>
    <w:pPr>
      <w:numPr>
        <w:numId w:val="2"/>
      </w:numPr>
      <w:contextualSpacing/>
    </w:pPr>
  </w:style>
  <w:style w:type="paragraph" w:styleId="ListBullet3">
    <w:name w:val="List Bullet 3"/>
    <w:basedOn w:val="Normal"/>
    <w:uiPriority w:val="99"/>
    <w:semiHidden/>
    <w:unhideWhenUsed/>
    <w:rsid w:val="00AB3971"/>
    <w:pPr>
      <w:numPr>
        <w:numId w:val="3"/>
      </w:numPr>
      <w:contextualSpacing/>
    </w:pPr>
  </w:style>
  <w:style w:type="paragraph" w:styleId="ListBullet4">
    <w:name w:val="List Bullet 4"/>
    <w:basedOn w:val="Normal"/>
    <w:uiPriority w:val="99"/>
    <w:semiHidden/>
    <w:unhideWhenUsed/>
    <w:rsid w:val="00AB3971"/>
    <w:pPr>
      <w:numPr>
        <w:numId w:val="4"/>
      </w:numPr>
      <w:contextualSpacing/>
    </w:pPr>
  </w:style>
  <w:style w:type="paragraph" w:styleId="Revision">
    <w:name w:val="Revision"/>
    <w:hidden/>
    <w:uiPriority w:val="99"/>
    <w:semiHidden/>
    <w:rsid w:val="00AB3971"/>
    <w:pPr>
      <w:spacing w:after="0" w:line="240" w:lineRule="auto"/>
    </w:pPr>
    <w:rPr>
      <w:rFonts w:ascii="Times New Roman" w:hAnsi="Times New Roman" w:cs="Times New Roman"/>
      <w:sz w:val="24"/>
    </w:rPr>
  </w:style>
  <w:style w:type="paragraph" w:styleId="EndnoteText">
    <w:name w:val="endnote text"/>
    <w:basedOn w:val="Normal"/>
    <w:link w:val="EndnoteTextChar"/>
    <w:uiPriority w:val="99"/>
    <w:semiHidden/>
    <w:unhideWhenUsed/>
    <w:rsid w:val="005238A2"/>
    <w:pPr>
      <w:spacing w:before="0" w:after="0"/>
    </w:pPr>
    <w:rPr>
      <w:sz w:val="20"/>
      <w:szCs w:val="20"/>
    </w:rPr>
  </w:style>
  <w:style w:type="character" w:customStyle="1" w:styleId="EndnoteTextChar">
    <w:name w:val="Endnote Text Char"/>
    <w:basedOn w:val="DefaultParagraphFont"/>
    <w:link w:val="EndnoteText"/>
    <w:uiPriority w:val="99"/>
    <w:semiHidden/>
    <w:rsid w:val="005238A2"/>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sid w:val="005238A2"/>
    <w:rPr>
      <w:vertAlign w:val="superscript"/>
    </w:rPr>
  </w:style>
  <w:style w:type="paragraph" w:customStyle="1" w:styleId="LegalNumPar">
    <w:name w:val="LegalNumPar"/>
    <w:basedOn w:val="Normal"/>
    <w:rsid w:val="000C58A5"/>
    <w:pPr>
      <w:numPr>
        <w:numId w:val="5"/>
      </w:numPr>
      <w:spacing w:line="360" w:lineRule="auto"/>
    </w:pPr>
  </w:style>
  <w:style w:type="paragraph" w:customStyle="1" w:styleId="LegalNumPar2">
    <w:name w:val="LegalNumPar2"/>
    <w:basedOn w:val="Normal"/>
    <w:rsid w:val="000C58A5"/>
    <w:pPr>
      <w:numPr>
        <w:ilvl w:val="1"/>
        <w:numId w:val="5"/>
      </w:numPr>
      <w:spacing w:line="360" w:lineRule="auto"/>
    </w:pPr>
  </w:style>
  <w:style w:type="paragraph" w:customStyle="1" w:styleId="LegalNumPar3">
    <w:name w:val="LegalNumPar3"/>
    <w:basedOn w:val="Normal"/>
    <w:rsid w:val="000C58A5"/>
    <w:pPr>
      <w:numPr>
        <w:ilvl w:val="2"/>
        <w:numId w:val="5"/>
      </w:numPr>
      <w:spacing w:line="360" w:lineRule="auto"/>
    </w:pPr>
  </w:style>
  <w:style w:type="paragraph" w:styleId="CommentSubject">
    <w:name w:val="annotation subject"/>
    <w:basedOn w:val="CommentText"/>
    <w:next w:val="CommentText"/>
    <w:link w:val="CommentSubjectChar"/>
    <w:uiPriority w:val="99"/>
    <w:semiHidden/>
    <w:unhideWhenUsed/>
    <w:rsid w:val="00926121"/>
    <w:pPr>
      <w:spacing w:before="120" w:after="120"/>
      <w:jc w:val="both"/>
    </w:pPr>
    <w:rPr>
      <w:rFonts w:ascii="Times New Roman" w:hAnsi="Times New Roman" w:cs="Times New Roman"/>
      <w:b/>
      <w:bCs/>
      <w:kern w:val="0"/>
      <w14:ligatures w14:val="none"/>
    </w:rPr>
  </w:style>
  <w:style w:type="character" w:customStyle="1" w:styleId="CommentSubjectChar">
    <w:name w:val="Comment Subject Char"/>
    <w:basedOn w:val="CommentTextChar"/>
    <w:link w:val="CommentSubject"/>
    <w:uiPriority w:val="99"/>
    <w:semiHidden/>
    <w:rsid w:val="00926121"/>
    <w:rPr>
      <w:rFonts w:ascii="Times New Roman" w:hAnsi="Times New Roman" w:cs="Times New Roman"/>
      <w:b/>
      <w:bCs/>
      <w:kern w:val="2"/>
      <w:sz w:val="20"/>
      <w:szCs w:val="20"/>
      <w:lang w:val="fr-FR"/>
      <w14:ligatures w14:val="standardContextual"/>
    </w:rPr>
  </w:style>
  <w:style w:type="character" w:styleId="Hyperlink">
    <w:name w:val="Hyperlink"/>
    <w:basedOn w:val="DefaultParagraphFont"/>
    <w:uiPriority w:val="99"/>
    <w:unhideWhenUsed/>
    <w:rsid w:val="7CFA9F1D"/>
    <w:rPr>
      <w:color w:val="0000FF"/>
      <w:u w:val="single"/>
    </w:rPr>
  </w:style>
  <w:style w:type="character" w:styleId="FollowedHyperlink">
    <w:name w:val="FollowedHyperlink"/>
    <w:basedOn w:val="DefaultParagraphFont"/>
    <w:uiPriority w:val="99"/>
    <w:semiHidden/>
    <w:unhideWhenUsed/>
    <w:rsid w:val="00C02334"/>
    <w:rPr>
      <w:color w:val="800080" w:themeColor="followedHyperlink"/>
      <w:u w:val="single"/>
    </w:rPr>
  </w:style>
  <w:style w:type="character" w:customStyle="1" w:styleId="Mention">
    <w:name w:val="Mention"/>
    <w:basedOn w:val="DefaultParagraphFont"/>
    <w:uiPriority w:val="99"/>
    <w:unhideWhenUsed/>
    <w:rsid w:val="005F7039"/>
    <w:rPr>
      <w:color w:val="2B579A"/>
      <w:shd w:val="clear" w:color="auto" w:fill="E1DFDD"/>
    </w:rPr>
  </w:style>
  <w:style w:type="character" w:customStyle="1" w:styleId="UnresolvedMention">
    <w:name w:val="Unresolved Mention"/>
    <w:basedOn w:val="DefaultParagraphFont"/>
    <w:uiPriority w:val="99"/>
    <w:semiHidden/>
    <w:unhideWhenUsed/>
    <w:rsid w:val="008905F2"/>
    <w:rPr>
      <w:color w:val="605E5C"/>
      <w:shd w:val="clear" w:color="auto" w:fill="E1DFDD"/>
    </w:rPr>
  </w:style>
  <w:style w:type="character" w:customStyle="1" w:styleId="HeaderChar">
    <w:name w:val="Header Char"/>
    <w:basedOn w:val="DefaultParagraphFont"/>
    <w:link w:val="Header"/>
    <w:uiPriority w:val="99"/>
    <w:rsid w:val="000A3F1A"/>
    <w:rPr>
      <w:rFonts w:ascii="Times New Roman" w:hAnsi="Times New Roman" w:cs="Times New Roman"/>
      <w:sz w:val="24"/>
      <w:lang w:val="fr-FR"/>
    </w:rPr>
  </w:style>
  <w:style w:type="character" w:customStyle="1" w:styleId="FooterChar">
    <w:name w:val="Footer Char"/>
    <w:basedOn w:val="DefaultParagraphFont"/>
    <w:link w:val="Footer"/>
    <w:uiPriority w:val="99"/>
    <w:rsid w:val="000A3F1A"/>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A3F1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A3F1A"/>
    <w:pPr>
      <w:spacing w:before="0"/>
      <w:jc w:val="right"/>
    </w:pPr>
    <w:rPr>
      <w:sz w:val="28"/>
    </w:rPr>
  </w:style>
  <w:style w:type="paragraph" w:customStyle="1" w:styleId="FooterSensitivity">
    <w:name w:val="Footer Sensitivity"/>
    <w:basedOn w:val="Normal"/>
    <w:rsid w:val="000A3F1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sid w:val="003C508D"/>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A3F1A"/>
    <w:pPr>
      <w:tabs>
        <w:tab w:val="center" w:pos="4535"/>
        <w:tab w:val="right" w:pos="9071"/>
      </w:tabs>
      <w:spacing w:before="0"/>
    </w:pPr>
  </w:style>
  <w:style w:type="paragraph" w:customStyle="1" w:styleId="HeaderLandscape">
    <w:name w:val="HeaderLandscape"/>
    <w:basedOn w:val="Normal"/>
    <w:rsid w:val="000A3F1A"/>
    <w:pPr>
      <w:tabs>
        <w:tab w:val="center" w:pos="7285"/>
        <w:tab w:val="right" w:pos="14003"/>
      </w:tabs>
      <w:spacing w:before="0"/>
    </w:pPr>
  </w:style>
  <w:style w:type="paragraph" w:styleId="Footer">
    <w:name w:val="footer"/>
    <w:basedOn w:val="Normal"/>
    <w:link w:val="FooterChar"/>
    <w:uiPriority w:val="99"/>
    <w:unhideWhenUsed/>
    <w:rsid w:val="000A3F1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A3F1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10309">
      <w:bodyDiv w:val="1"/>
      <w:marLeft w:val="0"/>
      <w:marRight w:val="0"/>
      <w:marTop w:val="0"/>
      <w:marBottom w:val="0"/>
      <w:divBdr>
        <w:top w:val="none" w:sz="0" w:space="0" w:color="auto"/>
        <w:left w:val="none" w:sz="0" w:space="0" w:color="auto"/>
        <w:bottom w:val="none" w:sz="0" w:space="0" w:color="auto"/>
        <w:right w:val="none" w:sz="0" w:space="0" w:color="auto"/>
      </w:divBdr>
    </w:div>
    <w:div w:id="65419576">
      <w:bodyDiv w:val="1"/>
      <w:marLeft w:val="0"/>
      <w:marRight w:val="0"/>
      <w:marTop w:val="0"/>
      <w:marBottom w:val="0"/>
      <w:divBdr>
        <w:top w:val="none" w:sz="0" w:space="0" w:color="auto"/>
        <w:left w:val="none" w:sz="0" w:space="0" w:color="auto"/>
        <w:bottom w:val="none" w:sz="0" w:space="0" w:color="auto"/>
        <w:right w:val="none" w:sz="0" w:space="0" w:color="auto"/>
      </w:divBdr>
      <w:divsChild>
        <w:div w:id="206766598">
          <w:marLeft w:val="0"/>
          <w:marRight w:val="0"/>
          <w:marTop w:val="0"/>
          <w:marBottom w:val="0"/>
          <w:divBdr>
            <w:top w:val="none" w:sz="0" w:space="0" w:color="auto"/>
            <w:left w:val="none" w:sz="0" w:space="0" w:color="auto"/>
            <w:bottom w:val="none" w:sz="0" w:space="0" w:color="auto"/>
            <w:right w:val="none" w:sz="0" w:space="0" w:color="auto"/>
          </w:divBdr>
        </w:div>
        <w:div w:id="256646101">
          <w:marLeft w:val="0"/>
          <w:marRight w:val="0"/>
          <w:marTop w:val="0"/>
          <w:marBottom w:val="0"/>
          <w:divBdr>
            <w:top w:val="none" w:sz="0" w:space="0" w:color="auto"/>
            <w:left w:val="none" w:sz="0" w:space="0" w:color="auto"/>
            <w:bottom w:val="none" w:sz="0" w:space="0" w:color="auto"/>
            <w:right w:val="none" w:sz="0" w:space="0" w:color="auto"/>
          </w:divBdr>
        </w:div>
        <w:div w:id="670332004">
          <w:marLeft w:val="0"/>
          <w:marRight w:val="0"/>
          <w:marTop w:val="0"/>
          <w:marBottom w:val="0"/>
          <w:divBdr>
            <w:top w:val="none" w:sz="0" w:space="0" w:color="auto"/>
            <w:left w:val="none" w:sz="0" w:space="0" w:color="auto"/>
            <w:bottom w:val="none" w:sz="0" w:space="0" w:color="auto"/>
            <w:right w:val="none" w:sz="0" w:space="0" w:color="auto"/>
          </w:divBdr>
        </w:div>
        <w:div w:id="1019044635">
          <w:marLeft w:val="0"/>
          <w:marRight w:val="0"/>
          <w:marTop w:val="0"/>
          <w:marBottom w:val="0"/>
          <w:divBdr>
            <w:top w:val="none" w:sz="0" w:space="0" w:color="auto"/>
            <w:left w:val="none" w:sz="0" w:space="0" w:color="auto"/>
            <w:bottom w:val="none" w:sz="0" w:space="0" w:color="auto"/>
            <w:right w:val="none" w:sz="0" w:space="0" w:color="auto"/>
          </w:divBdr>
        </w:div>
        <w:div w:id="1203245761">
          <w:marLeft w:val="0"/>
          <w:marRight w:val="0"/>
          <w:marTop w:val="0"/>
          <w:marBottom w:val="0"/>
          <w:divBdr>
            <w:top w:val="none" w:sz="0" w:space="0" w:color="auto"/>
            <w:left w:val="none" w:sz="0" w:space="0" w:color="auto"/>
            <w:bottom w:val="none" w:sz="0" w:space="0" w:color="auto"/>
            <w:right w:val="none" w:sz="0" w:space="0" w:color="auto"/>
          </w:divBdr>
        </w:div>
        <w:div w:id="1405713579">
          <w:marLeft w:val="0"/>
          <w:marRight w:val="0"/>
          <w:marTop w:val="0"/>
          <w:marBottom w:val="0"/>
          <w:divBdr>
            <w:top w:val="none" w:sz="0" w:space="0" w:color="auto"/>
            <w:left w:val="none" w:sz="0" w:space="0" w:color="auto"/>
            <w:bottom w:val="none" w:sz="0" w:space="0" w:color="auto"/>
            <w:right w:val="none" w:sz="0" w:space="0" w:color="auto"/>
          </w:divBdr>
        </w:div>
        <w:div w:id="1502744049">
          <w:marLeft w:val="0"/>
          <w:marRight w:val="0"/>
          <w:marTop w:val="0"/>
          <w:marBottom w:val="0"/>
          <w:divBdr>
            <w:top w:val="none" w:sz="0" w:space="0" w:color="auto"/>
            <w:left w:val="none" w:sz="0" w:space="0" w:color="auto"/>
            <w:bottom w:val="none" w:sz="0" w:space="0" w:color="auto"/>
            <w:right w:val="none" w:sz="0" w:space="0" w:color="auto"/>
          </w:divBdr>
        </w:div>
        <w:div w:id="1585653001">
          <w:marLeft w:val="0"/>
          <w:marRight w:val="0"/>
          <w:marTop w:val="0"/>
          <w:marBottom w:val="0"/>
          <w:divBdr>
            <w:top w:val="none" w:sz="0" w:space="0" w:color="auto"/>
            <w:left w:val="none" w:sz="0" w:space="0" w:color="auto"/>
            <w:bottom w:val="none" w:sz="0" w:space="0" w:color="auto"/>
            <w:right w:val="none" w:sz="0" w:space="0" w:color="auto"/>
          </w:divBdr>
        </w:div>
        <w:div w:id="2026441395">
          <w:marLeft w:val="0"/>
          <w:marRight w:val="0"/>
          <w:marTop w:val="0"/>
          <w:marBottom w:val="0"/>
          <w:divBdr>
            <w:top w:val="none" w:sz="0" w:space="0" w:color="auto"/>
            <w:left w:val="none" w:sz="0" w:space="0" w:color="auto"/>
            <w:bottom w:val="none" w:sz="0" w:space="0" w:color="auto"/>
            <w:right w:val="none" w:sz="0" w:space="0" w:color="auto"/>
          </w:divBdr>
        </w:div>
      </w:divsChild>
    </w:div>
    <w:div w:id="84957518">
      <w:bodyDiv w:val="1"/>
      <w:marLeft w:val="0"/>
      <w:marRight w:val="0"/>
      <w:marTop w:val="0"/>
      <w:marBottom w:val="0"/>
      <w:divBdr>
        <w:top w:val="none" w:sz="0" w:space="0" w:color="auto"/>
        <w:left w:val="none" w:sz="0" w:space="0" w:color="auto"/>
        <w:bottom w:val="none" w:sz="0" w:space="0" w:color="auto"/>
        <w:right w:val="none" w:sz="0" w:space="0" w:color="auto"/>
      </w:divBdr>
      <w:divsChild>
        <w:div w:id="535116573">
          <w:marLeft w:val="0"/>
          <w:marRight w:val="0"/>
          <w:marTop w:val="0"/>
          <w:marBottom w:val="0"/>
          <w:divBdr>
            <w:top w:val="none" w:sz="0" w:space="0" w:color="auto"/>
            <w:left w:val="none" w:sz="0" w:space="0" w:color="auto"/>
            <w:bottom w:val="none" w:sz="0" w:space="0" w:color="auto"/>
            <w:right w:val="none" w:sz="0" w:space="0" w:color="auto"/>
          </w:divBdr>
          <w:divsChild>
            <w:div w:id="177161276">
              <w:marLeft w:val="0"/>
              <w:marRight w:val="0"/>
              <w:marTop w:val="0"/>
              <w:marBottom w:val="0"/>
              <w:divBdr>
                <w:top w:val="none" w:sz="0" w:space="0" w:color="auto"/>
                <w:left w:val="none" w:sz="0" w:space="0" w:color="auto"/>
                <w:bottom w:val="none" w:sz="0" w:space="0" w:color="auto"/>
                <w:right w:val="none" w:sz="0" w:space="0" w:color="auto"/>
              </w:divBdr>
            </w:div>
            <w:div w:id="569656415">
              <w:marLeft w:val="0"/>
              <w:marRight w:val="0"/>
              <w:marTop w:val="0"/>
              <w:marBottom w:val="0"/>
              <w:divBdr>
                <w:top w:val="none" w:sz="0" w:space="0" w:color="auto"/>
                <w:left w:val="none" w:sz="0" w:space="0" w:color="auto"/>
                <w:bottom w:val="none" w:sz="0" w:space="0" w:color="auto"/>
                <w:right w:val="none" w:sz="0" w:space="0" w:color="auto"/>
              </w:divBdr>
            </w:div>
            <w:div w:id="627200992">
              <w:marLeft w:val="0"/>
              <w:marRight w:val="0"/>
              <w:marTop w:val="0"/>
              <w:marBottom w:val="0"/>
              <w:divBdr>
                <w:top w:val="none" w:sz="0" w:space="0" w:color="auto"/>
                <w:left w:val="none" w:sz="0" w:space="0" w:color="auto"/>
                <w:bottom w:val="none" w:sz="0" w:space="0" w:color="auto"/>
                <w:right w:val="none" w:sz="0" w:space="0" w:color="auto"/>
              </w:divBdr>
            </w:div>
            <w:div w:id="1164397597">
              <w:marLeft w:val="0"/>
              <w:marRight w:val="0"/>
              <w:marTop w:val="0"/>
              <w:marBottom w:val="0"/>
              <w:divBdr>
                <w:top w:val="none" w:sz="0" w:space="0" w:color="auto"/>
                <w:left w:val="none" w:sz="0" w:space="0" w:color="auto"/>
                <w:bottom w:val="none" w:sz="0" w:space="0" w:color="auto"/>
                <w:right w:val="none" w:sz="0" w:space="0" w:color="auto"/>
              </w:divBdr>
            </w:div>
            <w:div w:id="1893349688">
              <w:marLeft w:val="0"/>
              <w:marRight w:val="0"/>
              <w:marTop w:val="0"/>
              <w:marBottom w:val="0"/>
              <w:divBdr>
                <w:top w:val="none" w:sz="0" w:space="0" w:color="auto"/>
                <w:left w:val="none" w:sz="0" w:space="0" w:color="auto"/>
                <w:bottom w:val="none" w:sz="0" w:space="0" w:color="auto"/>
                <w:right w:val="none" w:sz="0" w:space="0" w:color="auto"/>
              </w:divBdr>
            </w:div>
            <w:div w:id="1947542879">
              <w:marLeft w:val="0"/>
              <w:marRight w:val="0"/>
              <w:marTop w:val="0"/>
              <w:marBottom w:val="0"/>
              <w:divBdr>
                <w:top w:val="none" w:sz="0" w:space="0" w:color="auto"/>
                <w:left w:val="none" w:sz="0" w:space="0" w:color="auto"/>
                <w:bottom w:val="none" w:sz="0" w:space="0" w:color="auto"/>
                <w:right w:val="none" w:sz="0" w:space="0" w:color="auto"/>
              </w:divBdr>
            </w:div>
          </w:divsChild>
        </w:div>
        <w:div w:id="2059670663">
          <w:marLeft w:val="0"/>
          <w:marRight w:val="0"/>
          <w:marTop w:val="0"/>
          <w:marBottom w:val="0"/>
          <w:divBdr>
            <w:top w:val="none" w:sz="0" w:space="0" w:color="auto"/>
            <w:left w:val="none" w:sz="0" w:space="0" w:color="auto"/>
            <w:bottom w:val="none" w:sz="0" w:space="0" w:color="auto"/>
            <w:right w:val="none" w:sz="0" w:space="0" w:color="auto"/>
          </w:divBdr>
          <w:divsChild>
            <w:div w:id="208571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891226">
      <w:bodyDiv w:val="1"/>
      <w:marLeft w:val="0"/>
      <w:marRight w:val="0"/>
      <w:marTop w:val="0"/>
      <w:marBottom w:val="0"/>
      <w:divBdr>
        <w:top w:val="none" w:sz="0" w:space="0" w:color="auto"/>
        <w:left w:val="none" w:sz="0" w:space="0" w:color="auto"/>
        <w:bottom w:val="none" w:sz="0" w:space="0" w:color="auto"/>
        <w:right w:val="none" w:sz="0" w:space="0" w:color="auto"/>
      </w:divBdr>
      <w:divsChild>
        <w:div w:id="82531881">
          <w:marLeft w:val="0"/>
          <w:marRight w:val="0"/>
          <w:marTop w:val="0"/>
          <w:marBottom w:val="0"/>
          <w:divBdr>
            <w:top w:val="none" w:sz="0" w:space="0" w:color="auto"/>
            <w:left w:val="none" w:sz="0" w:space="0" w:color="auto"/>
            <w:bottom w:val="none" w:sz="0" w:space="0" w:color="auto"/>
            <w:right w:val="none" w:sz="0" w:space="0" w:color="auto"/>
          </w:divBdr>
        </w:div>
        <w:div w:id="265046555">
          <w:marLeft w:val="0"/>
          <w:marRight w:val="0"/>
          <w:marTop w:val="0"/>
          <w:marBottom w:val="0"/>
          <w:divBdr>
            <w:top w:val="none" w:sz="0" w:space="0" w:color="auto"/>
            <w:left w:val="none" w:sz="0" w:space="0" w:color="auto"/>
            <w:bottom w:val="none" w:sz="0" w:space="0" w:color="auto"/>
            <w:right w:val="none" w:sz="0" w:space="0" w:color="auto"/>
          </w:divBdr>
        </w:div>
        <w:div w:id="555358726">
          <w:marLeft w:val="0"/>
          <w:marRight w:val="0"/>
          <w:marTop w:val="0"/>
          <w:marBottom w:val="0"/>
          <w:divBdr>
            <w:top w:val="none" w:sz="0" w:space="0" w:color="auto"/>
            <w:left w:val="none" w:sz="0" w:space="0" w:color="auto"/>
            <w:bottom w:val="none" w:sz="0" w:space="0" w:color="auto"/>
            <w:right w:val="none" w:sz="0" w:space="0" w:color="auto"/>
          </w:divBdr>
        </w:div>
        <w:div w:id="672102616">
          <w:marLeft w:val="0"/>
          <w:marRight w:val="0"/>
          <w:marTop w:val="0"/>
          <w:marBottom w:val="0"/>
          <w:divBdr>
            <w:top w:val="none" w:sz="0" w:space="0" w:color="auto"/>
            <w:left w:val="none" w:sz="0" w:space="0" w:color="auto"/>
            <w:bottom w:val="none" w:sz="0" w:space="0" w:color="auto"/>
            <w:right w:val="none" w:sz="0" w:space="0" w:color="auto"/>
          </w:divBdr>
        </w:div>
        <w:div w:id="713307418">
          <w:marLeft w:val="0"/>
          <w:marRight w:val="0"/>
          <w:marTop w:val="0"/>
          <w:marBottom w:val="0"/>
          <w:divBdr>
            <w:top w:val="none" w:sz="0" w:space="0" w:color="auto"/>
            <w:left w:val="none" w:sz="0" w:space="0" w:color="auto"/>
            <w:bottom w:val="none" w:sz="0" w:space="0" w:color="auto"/>
            <w:right w:val="none" w:sz="0" w:space="0" w:color="auto"/>
          </w:divBdr>
        </w:div>
        <w:div w:id="957100347">
          <w:marLeft w:val="0"/>
          <w:marRight w:val="0"/>
          <w:marTop w:val="0"/>
          <w:marBottom w:val="0"/>
          <w:divBdr>
            <w:top w:val="none" w:sz="0" w:space="0" w:color="auto"/>
            <w:left w:val="none" w:sz="0" w:space="0" w:color="auto"/>
            <w:bottom w:val="none" w:sz="0" w:space="0" w:color="auto"/>
            <w:right w:val="none" w:sz="0" w:space="0" w:color="auto"/>
          </w:divBdr>
        </w:div>
        <w:div w:id="969554872">
          <w:marLeft w:val="0"/>
          <w:marRight w:val="0"/>
          <w:marTop w:val="0"/>
          <w:marBottom w:val="0"/>
          <w:divBdr>
            <w:top w:val="none" w:sz="0" w:space="0" w:color="auto"/>
            <w:left w:val="none" w:sz="0" w:space="0" w:color="auto"/>
            <w:bottom w:val="none" w:sz="0" w:space="0" w:color="auto"/>
            <w:right w:val="none" w:sz="0" w:space="0" w:color="auto"/>
          </w:divBdr>
        </w:div>
        <w:div w:id="1179538072">
          <w:marLeft w:val="0"/>
          <w:marRight w:val="0"/>
          <w:marTop w:val="0"/>
          <w:marBottom w:val="0"/>
          <w:divBdr>
            <w:top w:val="none" w:sz="0" w:space="0" w:color="auto"/>
            <w:left w:val="none" w:sz="0" w:space="0" w:color="auto"/>
            <w:bottom w:val="none" w:sz="0" w:space="0" w:color="auto"/>
            <w:right w:val="none" w:sz="0" w:space="0" w:color="auto"/>
          </w:divBdr>
        </w:div>
        <w:div w:id="1565333830">
          <w:marLeft w:val="0"/>
          <w:marRight w:val="0"/>
          <w:marTop w:val="0"/>
          <w:marBottom w:val="0"/>
          <w:divBdr>
            <w:top w:val="none" w:sz="0" w:space="0" w:color="auto"/>
            <w:left w:val="none" w:sz="0" w:space="0" w:color="auto"/>
            <w:bottom w:val="none" w:sz="0" w:space="0" w:color="auto"/>
            <w:right w:val="none" w:sz="0" w:space="0" w:color="auto"/>
          </w:divBdr>
        </w:div>
      </w:divsChild>
    </w:div>
    <w:div w:id="319966593">
      <w:bodyDiv w:val="1"/>
      <w:marLeft w:val="0"/>
      <w:marRight w:val="0"/>
      <w:marTop w:val="0"/>
      <w:marBottom w:val="0"/>
      <w:divBdr>
        <w:top w:val="none" w:sz="0" w:space="0" w:color="auto"/>
        <w:left w:val="none" w:sz="0" w:space="0" w:color="auto"/>
        <w:bottom w:val="none" w:sz="0" w:space="0" w:color="auto"/>
        <w:right w:val="none" w:sz="0" w:space="0" w:color="auto"/>
      </w:divBdr>
    </w:div>
    <w:div w:id="610867047">
      <w:bodyDiv w:val="1"/>
      <w:marLeft w:val="0"/>
      <w:marRight w:val="0"/>
      <w:marTop w:val="0"/>
      <w:marBottom w:val="0"/>
      <w:divBdr>
        <w:top w:val="none" w:sz="0" w:space="0" w:color="auto"/>
        <w:left w:val="none" w:sz="0" w:space="0" w:color="auto"/>
        <w:bottom w:val="none" w:sz="0" w:space="0" w:color="auto"/>
        <w:right w:val="none" w:sz="0" w:space="0" w:color="auto"/>
      </w:divBdr>
      <w:divsChild>
        <w:div w:id="102387336">
          <w:marLeft w:val="0"/>
          <w:marRight w:val="0"/>
          <w:marTop w:val="0"/>
          <w:marBottom w:val="0"/>
          <w:divBdr>
            <w:top w:val="none" w:sz="0" w:space="0" w:color="auto"/>
            <w:left w:val="none" w:sz="0" w:space="0" w:color="auto"/>
            <w:bottom w:val="none" w:sz="0" w:space="0" w:color="auto"/>
            <w:right w:val="none" w:sz="0" w:space="0" w:color="auto"/>
          </w:divBdr>
        </w:div>
        <w:div w:id="267153999">
          <w:marLeft w:val="0"/>
          <w:marRight w:val="0"/>
          <w:marTop w:val="0"/>
          <w:marBottom w:val="0"/>
          <w:divBdr>
            <w:top w:val="none" w:sz="0" w:space="0" w:color="auto"/>
            <w:left w:val="none" w:sz="0" w:space="0" w:color="auto"/>
            <w:bottom w:val="none" w:sz="0" w:space="0" w:color="auto"/>
            <w:right w:val="none" w:sz="0" w:space="0" w:color="auto"/>
          </w:divBdr>
        </w:div>
        <w:div w:id="733040200">
          <w:marLeft w:val="0"/>
          <w:marRight w:val="0"/>
          <w:marTop w:val="0"/>
          <w:marBottom w:val="0"/>
          <w:divBdr>
            <w:top w:val="none" w:sz="0" w:space="0" w:color="auto"/>
            <w:left w:val="none" w:sz="0" w:space="0" w:color="auto"/>
            <w:bottom w:val="none" w:sz="0" w:space="0" w:color="auto"/>
            <w:right w:val="none" w:sz="0" w:space="0" w:color="auto"/>
          </w:divBdr>
        </w:div>
        <w:div w:id="798837575">
          <w:marLeft w:val="0"/>
          <w:marRight w:val="0"/>
          <w:marTop w:val="0"/>
          <w:marBottom w:val="0"/>
          <w:divBdr>
            <w:top w:val="none" w:sz="0" w:space="0" w:color="auto"/>
            <w:left w:val="none" w:sz="0" w:space="0" w:color="auto"/>
            <w:bottom w:val="none" w:sz="0" w:space="0" w:color="auto"/>
            <w:right w:val="none" w:sz="0" w:space="0" w:color="auto"/>
          </w:divBdr>
        </w:div>
        <w:div w:id="1203326775">
          <w:marLeft w:val="0"/>
          <w:marRight w:val="0"/>
          <w:marTop w:val="0"/>
          <w:marBottom w:val="0"/>
          <w:divBdr>
            <w:top w:val="none" w:sz="0" w:space="0" w:color="auto"/>
            <w:left w:val="none" w:sz="0" w:space="0" w:color="auto"/>
            <w:bottom w:val="none" w:sz="0" w:space="0" w:color="auto"/>
            <w:right w:val="none" w:sz="0" w:space="0" w:color="auto"/>
          </w:divBdr>
        </w:div>
        <w:div w:id="1349482715">
          <w:marLeft w:val="0"/>
          <w:marRight w:val="0"/>
          <w:marTop w:val="0"/>
          <w:marBottom w:val="0"/>
          <w:divBdr>
            <w:top w:val="none" w:sz="0" w:space="0" w:color="auto"/>
            <w:left w:val="none" w:sz="0" w:space="0" w:color="auto"/>
            <w:bottom w:val="none" w:sz="0" w:space="0" w:color="auto"/>
            <w:right w:val="none" w:sz="0" w:space="0" w:color="auto"/>
          </w:divBdr>
        </w:div>
        <w:div w:id="1969242371">
          <w:marLeft w:val="0"/>
          <w:marRight w:val="0"/>
          <w:marTop w:val="0"/>
          <w:marBottom w:val="0"/>
          <w:divBdr>
            <w:top w:val="none" w:sz="0" w:space="0" w:color="auto"/>
            <w:left w:val="none" w:sz="0" w:space="0" w:color="auto"/>
            <w:bottom w:val="none" w:sz="0" w:space="0" w:color="auto"/>
            <w:right w:val="none" w:sz="0" w:space="0" w:color="auto"/>
          </w:divBdr>
        </w:div>
      </w:divsChild>
    </w:div>
    <w:div w:id="857351651">
      <w:bodyDiv w:val="1"/>
      <w:marLeft w:val="0"/>
      <w:marRight w:val="0"/>
      <w:marTop w:val="0"/>
      <w:marBottom w:val="0"/>
      <w:divBdr>
        <w:top w:val="none" w:sz="0" w:space="0" w:color="auto"/>
        <w:left w:val="none" w:sz="0" w:space="0" w:color="auto"/>
        <w:bottom w:val="none" w:sz="0" w:space="0" w:color="auto"/>
        <w:right w:val="none" w:sz="0" w:space="0" w:color="auto"/>
      </w:divBdr>
    </w:div>
    <w:div w:id="1110053886">
      <w:bodyDiv w:val="1"/>
      <w:marLeft w:val="0"/>
      <w:marRight w:val="0"/>
      <w:marTop w:val="0"/>
      <w:marBottom w:val="0"/>
      <w:divBdr>
        <w:top w:val="none" w:sz="0" w:space="0" w:color="auto"/>
        <w:left w:val="none" w:sz="0" w:space="0" w:color="auto"/>
        <w:bottom w:val="none" w:sz="0" w:space="0" w:color="auto"/>
        <w:right w:val="none" w:sz="0" w:space="0" w:color="auto"/>
      </w:divBdr>
    </w:div>
    <w:div w:id="1341813518">
      <w:bodyDiv w:val="1"/>
      <w:marLeft w:val="0"/>
      <w:marRight w:val="0"/>
      <w:marTop w:val="0"/>
      <w:marBottom w:val="0"/>
      <w:divBdr>
        <w:top w:val="none" w:sz="0" w:space="0" w:color="auto"/>
        <w:left w:val="none" w:sz="0" w:space="0" w:color="auto"/>
        <w:bottom w:val="none" w:sz="0" w:space="0" w:color="auto"/>
        <w:right w:val="none" w:sz="0" w:space="0" w:color="auto"/>
      </w:divBdr>
      <w:divsChild>
        <w:div w:id="154222172">
          <w:marLeft w:val="0"/>
          <w:marRight w:val="0"/>
          <w:marTop w:val="0"/>
          <w:marBottom w:val="0"/>
          <w:divBdr>
            <w:top w:val="none" w:sz="0" w:space="0" w:color="auto"/>
            <w:left w:val="none" w:sz="0" w:space="0" w:color="auto"/>
            <w:bottom w:val="none" w:sz="0" w:space="0" w:color="auto"/>
            <w:right w:val="none" w:sz="0" w:space="0" w:color="auto"/>
          </w:divBdr>
        </w:div>
        <w:div w:id="288630393">
          <w:marLeft w:val="0"/>
          <w:marRight w:val="0"/>
          <w:marTop w:val="0"/>
          <w:marBottom w:val="0"/>
          <w:divBdr>
            <w:top w:val="none" w:sz="0" w:space="0" w:color="auto"/>
            <w:left w:val="none" w:sz="0" w:space="0" w:color="auto"/>
            <w:bottom w:val="none" w:sz="0" w:space="0" w:color="auto"/>
            <w:right w:val="none" w:sz="0" w:space="0" w:color="auto"/>
          </w:divBdr>
        </w:div>
        <w:div w:id="805509641">
          <w:marLeft w:val="0"/>
          <w:marRight w:val="0"/>
          <w:marTop w:val="0"/>
          <w:marBottom w:val="0"/>
          <w:divBdr>
            <w:top w:val="none" w:sz="0" w:space="0" w:color="auto"/>
            <w:left w:val="none" w:sz="0" w:space="0" w:color="auto"/>
            <w:bottom w:val="none" w:sz="0" w:space="0" w:color="auto"/>
            <w:right w:val="none" w:sz="0" w:space="0" w:color="auto"/>
          </w:divBdr>
        </w:div>
        <w:div w:id="1453591046">
          <w:marLeft w:val="0"/>
          <w:marRight w:val="0"/>
          <w:marTop w:val="0"/>
          <w:marBottom w:val="0"/>
          <w:divBdr>
            <w:top w:val="none" w:sz="0" w:space="0" w:color="auto"/>
            <w:left w:val="none" w:sz="0" w:space="0" w:color="auto"/>
            <w:bottom w:val="none" w:sz="0" w:space="0" w:color="auto"/>
            <w:right w:val="none" w:sz="0" w:space="0" w:color="auto"/>
          </w:divBdr>
        </w:div>
        <w:div w:id="1655068260">
          <w:marLeft w:val="0"/>
          <w:marRight w:val="0"/>
          <w:marTop w:val="0"/>
          <w:marBottom w:val="0"/>
          <w:divBdr>
            <w:top w:val="none" w:sz="0" w:space="0" w:color="auto"/>
            <w:left w:val="none" w:sz="0" w:space="0" w:color="auto"/>
            <w:bottom w:val="none" w:sz="0" w:space="0" w:color="auto"/>
            <w:right w:val="none" w:sz="0" w:space="0" w:color="auto"/>
          </w:divBdr>
        </w:div>
        <w:div w:id="1796943787">
          <w:marLeft w:val="0"/>
          <w:marRight w:val="0"/>
          <w:marTop w:val="0"/>
          <w:marBottom w:val="0"/>
          <w:divBdr>
            <w:top w:val="none" w:sz="0" w:space="0" w:color="auto"/>
            <w:left w:val="none" w:sz="0" w:space="0" w:color="auto"/>
            <w:bottom w:val="none" w:sz="0" w:space="0" w:color="auto"/>
            <w:right w:val="none" w:sz="0" w:space="0" w:color="auto"/>
          </w:divBdr>
        </w:div>
        <w:div w:id="2055696414">
          <w:marLeft w:val="0"/>
          <w:marRight w:val="0"/>
          <w:marTop w:val="0"/>
          <w:marBottom w:val="0"/>
          <w:divBdr>
            <w:top w:val="none" w:sz="0" w:space="0" w:color="auto"/>
            <w:left w:val="none" w:sz="0" w:space="0" w:color="auto"/>
            <w:bottom w:val="none" w:sz="0" w:space="0" w:color="auto"/>
            <w:right w:val="none" w:sz="0" w:space="0" w:color="auto"/>
          </w:divBdr>
        </w:div>
      </w:divsChild>
    </w:div>
    <w:div w:id="1428767142">
      <w:bodyDiv w:val="1"/>
      <w:marLeft w:val="0"/>
      <w:marRight w:val="0"/>
      <w:marTop w:val="0"/>
      <w:marBottom w:val="0"/>
      <w:divBdr>
        <w:top w:val="none" w:sz="0" w:space="0" w:color="auto"/>
        <w:left w:val="none" w:sz="0" w:space="0" w:color="auto"/>
        <w:bottom w:val="none" w:sz="0" w:space="0" w:color="auto"/>
        <w:right w:val="none" w:sz="0" w:space="0" w:color="auto"/>
      </w:divBdr>
    </w:div>
    <w:div w:id="1534076794">
      <w:bodyDiv w:val="1"/>
      <w:marLeft w:val="0"/>
      <w:marRight w:val="0"/>
      <w:marTop w:val="0"/>
      <w:marBottom w:val="0"/>
      <w:divBdr>
        <w:top w:val="none" w:sz="0" w:space="0" w:color="auto"/>
        <w:left w:val="none" w:sz="0" w:space="0" w:color="auto"/>
        <w:bottom w:val="none" w:sz="0" w:space="0" w:color="auto"/>
        <w:right w:val="none" w:sz="0" w:space="0" w:color="auto"/>
      </w:divBdr>
      <w:divsChild>
        <w:div w:id="313147390">
          <w:marLeft w:val="0"/>
          <w:marRight w:val="0"/>
          <w:marTop w:val="0"/>
          <w:marBottom w:val="0"/>
          <w:divBdr>
            <w:top w:val="none" w:sz="0" w:space="0" w:color="auto"/>
            <w:left w:val="none" w:sz="0" w:space="0" w:color="auto"/>
            <w:bottom w:val="none" w:sz="0" w:space="0" w:color="auto"/>
            <w:right w:val="none" w:sz="0" w:space="0" w:color="auto"/>
          </w:divBdr>
          <w:divsChild>
            <w:div w:id="480275249">
              <w:marLeft w:val="0"/>
              <w:marRight w:val="0"/>
              <w:marTop w:val="0"/>
              <w:marBottom w:val="0"/>
              <w:divBdr>
                <w:top w:val="none" w:sz="0" w:space="0" w:color="auto"/>
                <w:left w:val="none" w:sz="0" w:space="0" w:color="auto"/>
                <w:bottom w:val="none" w:sz="0" w:space="0" w:color="auto"/>
                <w:right w:val="none" w:sz="0" w:space="0" w:color="auto"/>
              </w:divBdr>
            </w:div>
            <w:div w:id="1709450037">
              <w:marLeft w:val="0"/>
              <w:marRight w:val="0"/>
              <w:marTop w:val="0"/>
              <w:marBottom w:val="0"/>
              <w:divBdr>
                <w:top w:val="none" w:sz="0" w:space="0" w:color="auto"/>
                <w:left w:val="none" w:sz="0" w:space="0" w:color="auto"/>
                <w:bottom w:val="none" w:sz="0" w:space="0" w:color="auto"/>
                <w:right w:val="none" w:sz="0" w:space="0" w:color="auto"/>
              </w:divBdr>
            </w:div>
            <w:div w:id="1860465703">
              <w:marLeft w:val="0"/>
              <w:marRight w:val="0"/>
              <w:marTop w:val="0"/>
              <w:marBottom w:val="0"/>
              <w:divBdr>
                <w:top w:val="none" w:sz="0" w:space="0" w:color="auto"/>
                <w:left w:val="none" w:sz="0" w:space="0" w:color="auto"/>
                <w:bottom w:val="none" w:sz="0" w:space="0" w:color="auto"/>
                <w:right w:val="none" w:sz="0" w:space="0" w:color="auto"/>
              </w:divBdr>
            </w:div>
            <w:div w:id="1876652254">
              <w:marLeft w:val="0"/>
              <w:marRight w:val="0"/>
              <w:marTop w:val="0"/>
              <w:marBottom w:val="0"/>
              <w:divBdr>
                <w:top w:val="none" w:sz="0" w:space="0" w:color="auto"/>
                <w:left w:val="none" w:sz="0" w:space="0" w:color="auto"/>
                <w:bottom w:val="none" w:sz="0" w:space="0" w:color="auto"/>
                <w:right w:val="none" w:sz="0" w:space="0" w:color="auto"/>
              </w:divBdr>
            </w:div>
            <w:div w:id="1962759424">
              <w:marLeft w:val="0"/>
              <w:marRight w:val="0"/>
              <w:marTop w:val="0"/>
              <w:marBottom w:val="0"/>
              <w:divBdr>
                <w:top w:val="none" w:sz="0" w:space="0" w:color="auto"/>
                <w:left w:val="none" w:sz="0" w:space="0" w:color="auto"/>
                <w:bottom w:val="none" w:sz="0" w:space="0" w:color="auto"/>
                <w:right w:val="none" w:sz="0" w:space="0" w:color="auto"/>
              </w:divBdr>
            </w:div>
            <w:div w:id="2098595005">
              <w:marLeft w:val="0"/>
              <w:marRight w:val="0"/>
              <w:marTop w:val="0"/>
              <w:marBottom w:val="0"/>
              <w:divBdr>
                <w:top w:val="none" w:sz="0" w:space="0" w:color="auto"/>
                <w:left w:val="none" w:sz="0" w:space="0" w:color="auto"/>
                <w:bottom w:val="none" w:sz="0" w:space="0" w:color="auto"/>
                <w:right w:val="none" w:sz="0" w:space="0" w:color="auto"/>
              </w:divBdr>
            </w:div>
          </w:divsChild>
        </w:div>
        <w:div w:id="548110160">
          <w:marLeft w:val="0"/>
          <w:marRight w:val="0"/>
          <w:marTop w:val="0"/>
          <w:marBottom w:val="0"/>
          <w:divBdr>
            <w:top w:val="none" w:sz="0" w:space="0" w:color="auto"/>
            <w:left w:val="none" w:sz="0" w:space="0" w:color="auto"/>
            <w:bottom w:val="none" w:sz="0" w:space="0" w:color="auto"/>
            <w:right w:val="none" w:sz="0" w:space="0" w:color="auto"/>
          </w:divBdr>
          <w:divsChild>
            <w:div w:id="117541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112030">
      <w:bodyDiv w:val="1"/>
      <w:marLeft w:val="0"/>
      <w:marRight w:val="0"/>
      <w:marTop w:val="0"/>
      <w:marBottom w:val="0"/>
      <w:divBdr>
        <w:top w:val="none" w:sz="0" w:space="0" w:color="auto"/>
        <w:left w:val="none" w:sz="0" w:space="0" w:color="auto"/>
        <w:bottom w:val="none" w:sz="0" w:space="0" w:color="auto"/>
        <w:right w:val="none" w:sz="0" w:space="0" w:color="auto"/>
      </w:divBdr>
    </w:div>
    <w:div w:id="1815559468">
      <w:bodyDiv w:val="1"/>
      <w:marLeft w:val="0"/>
      <w:marRight w:val="0"/>
      <w:marTop w:val="0"/>
      <w:marBottom w:val="0"/>
      <w:divBdr>
        <w:top w:val="none" w:sz="0" w:space="0" w:color="auto"/>
        <w:left w:val="none" w:sz="0" w:space="0" w:color="auto"/>
        <w:bottom w:val="none" w:sz="0" w:space="0" w:color="auto"/>
        <w:right w:val="none" w:sz="0" w:space="0" w:color="auto"/>
      </w:divBdr>
      <w:divsChild>
        <w:div w:id="299385384">
          <w:marLeft w:val="0"/>
          <w:marRight w:val="0"/>
          <w:marTop w:val="0"/>
          <w:marBottom w:val="0"/>
          <w:divBdr>
            <w:top w:val="none" w:sz="0" w:space="0" w:color="auto"/>
            <w:left w:val="none" w:sz="0" w:space="0" w:color="auto"/>
            <w:bottom w:val="none" w:sz="0" w:space="0" w:color="auto"/>
            <w:right w:val="none" w:sz="0" w:space="0" w:color="auto"/>
          </w:divBdr>
        </w:div>
        <w:div w:id="372119154">
          <w:marLeft w:val="0"/>
          <w:marRight w:val="0"/>
          <w:marTop w:val="0"/>
          <w:marBottom w:val="0"/>
          <w:divBdr>
            <w:top w:val="none" w:sz="0" w:space="0" w:color="auto"/>
            <w:left w:val="none" w:sz="0" w:space="0" w:color="auto"/>
            <w:bottom w:val="none" w:sz="0" w:space="0" w:color="auto"/>
            <w:right w:val="none" w:sz="0" w:space="0" w:color="auto"/>
          </w:divBdr>
        </w:div>
        <w:div w:id="740911330">
          <w:marLeft w:val="0"/>
          <w:marRight w:val="0"/>
          <w:marTop w:val="0"/>
          <w:marBottom w:val="0"/>
          <w:divBdr>
            <w:top w:val="none" w:sz="0" w:space="0" w:color="auto"/>
            <w:left w:val="none" w:sz="0" w:space="0" w:color="auto"/>
            <w:bottom w:val="none" w:sz="0" w:space="0" w:color="auto"/>
            <w:right w:val="none" w:sz="0" w:space="0" w:color="auto"/>
          </w:divBdr>
        </w:div>
        <w:div w:id="766540130">
          <w:marLeft w:val="0"/>
          <w:marRight w:val="0"/>
          <w:marTop w:val="0"/>
          <w:marBottom w:val="0"/>
          <w:divBdr>
            <w:top w:val="none" w:sz="0" w:space="0" w:color="auto"/>
            <w:left w:val="none" w:sz="0" w:space="0" w:color="auto"/>
            <w:bottom w:val="none" w:sz="0" w:space="0" w:color="auto"/>
            <w:right w:val="none" w:sz="0" w:space="0" w:color="auto"/>
          </w:divBdr>
        </w:div>
        <w:div w:id="903181892">
          <w:marLeft w:val="0"/>
          <w:marRight w:val="0"/>
          <w:marTop w:val="0"/>
          <w:marBottom w:val="0"/>
          <w:divBdr>
            <w:top w:val="none" w:sz="0" w:space="0" w:color="auto"/>
            <w:left w:val="none" w:sz="0" w:space="0" w:color="auto"/>
            <w:bottom w:val="none" w:sz="0" w:space="0" w:color="auto"/>
            <w:right w:val="none" w:sz="0" w:space="0" w:color="auto"/>
          </w:divBdr>
        </w:div>
        <w:div w:id="1181117720">
          <w:marLeft w:val="0"/>
          <w:marRight w:val="0"/>
          <w:marTop w:val="0"/>
          <w:marBottom w:val="0"/>
          <w:divBdr>
            <w:top w:val="none" w:sz="0" w:space="0" w:color="auto"/>
            <w:left w:val="none" w:sz="0" w:space="0" w:color="auto"/>
            <w:bottom w:val="none" w:sz="0" w:space="0" w:color="auto"/>
            <w:right w:val="none" w:sz="0" w:space="0" w:color="auto"/>
          </w:divBdr>
        </w:div>
        <w:div w:id="1283146544">
          <w:marLeft w:val="0"/>
          <w:marRight w:val="0"/>
          <w:marTop w:val="0"/>
          <w:marBottom w:val="0"/>
          <w:divBdr>
            <w:top w:val="none" w:sz="0" w:space="0" w:color="auto"/>
            <w:left w:val="none" w:sz="0" w:space="0" w:color="auto"/>
            <w:bottom w:val="none" w:sz="0" w:space="0" w:color="auto"/>
            <w:right w:val="none" w:sz="0" w:space="0" w:color="auto"/>
          </w:divBdr>
        </w:div>
        <w:div w:id="1411348838">
          <w:marLeft w:val="0"/>
          <w:marRight w:val="0"/>
          <w:marTop w:val="0"/>
          <w:marBottom w:val="0"/>
          <w:divBdr>
            <w:top w:val="none" w:sz="0" w:space="0" w:color="auto"/>
            <w:left w:val="none" w:sz="0" w:space="0" w:color="auto"/>
            <w:bottom w:val="none" w:sz="0" w:space="0" w:color="auto"/>
            <w:right w:val="none" w:sz="0" w:space="0" w:color="auto"/>
          </w:divBdr>
        </w:div>
        <w:div w:id="1470632912">
          <w:marLeft w:val="0"/>
          <w:marRight w:val="0"/>
          <w:marTop w:val="0"/>
          <w:marBottom w:val="0"/>
          <w:divBdr>
            <w:top w:val="none" w:sz="0" w:space="0" w:color="auto"/>
            <w:left w:val="none" w:sz="0" w:space="0" w:color="auto"/>
            <w:bottom w:val="none" w:sz="0" w:space="0" w:color="auto"/>
            <w:right w:val="none" w:sz="0" w:space="0" w:color="auto"/>
          </w:divBdr>
        </w:div>
      </w:divsChild>
    </w:div>
    <w:div w:id="1849561846">
      <w:bodyDiv w:val="1"/>
      <w:marLeft w:val="0"/>
      <w:marRight w:val="0"/>
      <w:marTop w:val="0"/>
      <w:marBottom w:val="0"/>
      <w:divBdr>
        <w:top w:val="none" w:sz="0" w:space="0" w:color="auto"/>
        <w:left w:val="none" w:sz="0" w:space="0" w:color="auto"/>
        <w:bottom w:val="none" w:sz="0" w:space="0" w:color="auto"/>
        <w:right w:val="none" w:sz="0" w:space="0" w:color="auto"/>
      </w:divBdr>
      <w:divsChild>
        <w:div w:id="78598337">
          <w:marLeft w:val="0"/>
          <w:marRight w:val="0"/>
          <w:marTop w:val="0"/>
          <w:marBottom w:val="0"/>
          <w:divBdr>
            <w:top w:val="none" w:sz="0" w:space="0" w:color="auto"/>
            <w:left w:val="none" w:sz="0" w:space="0" w:color="auto"/>
            <w:bottom w:val="none" w:sz="0" w:space="0" w:color="auto"/>
            <w:right w:val="none" w:sz="0" w:space="0" w:color="auto"/>
          </w:divBdr>
        </w:div>
        <w:div w:id="156002911">
          <w:marLeft w:val="0"/>
          <w:marRight w:val="0"/>
          <w:marTop w:val="0"/>
          <w:marBottom w:val="0"/>
          <w:divBdr>
            <w:top w:val="none" w:sz="0" w:space="0" w:color="auto"/>
            <w:left w:val="none" w:sz="0" w:space="0" w:color="auto"/>
            <w:bottom w:val="none" w:sz="0" w:space="0" w:color="auto"/>
            <w:right w:val="none" w:sz="0" w:space="0" w:color="auto"/>
          </w:divBdr>
        </w:div>
        <w:div w:id="538056221">
          <w:marLeft w:val="0"/>
          <w:marRight w:val="0"/>
          <w:marTop w:val="0"/>
          <w:marBottom w:val="0"/>
          <w:divBdr>
            <w:top w:val="none" w:sz="0" w:space="0" w:color="auto"/>
            <w:left w:val="none" w:sz="0" w:space="0" w:color="auto"/>
            <w:bottom w:val="none" w:sz="0" w:space="0" w:color="auto"/>
            <w:right w:val="none" w:sz="0" w:space="0" w:color="auto"/>
          </w:divBdr>
        </w:div>
        <w:div w:id="1047609344">
          <w:marLeft w:val="0"/>
          <w:marRight w:val="0"/>
          <w:marTop w:val="0"/>
          <w:marBottom w:val="0"/>
          <w:divBdr>
            <w:top w:val="none" w:sz="0" w:space="0" w:color="auto"/>
            <w:left w:val="none" w:sz="0" w:space="0" w:color="auto"/>
            <w:bottom w:val="none" w:sz="0" w:space="0" w:color="auto"/>
            <w:right w:val="none" w:sz="0" w:space="0" w:color="auto"/>
          </w:divBdr>
        </w:div>
        <w:div w:id="1693216095">
          <w:marLeft w:val="0"/>
          <w:marRight w:val="0"/>
          <w:marTop w:val="0"/>
          <w:marBottom w:val="0"/>
          <w:divBdr>
            <w:top w:val="none" w:sz="0" w:space="0" w:color="auto"/>
            <w:left w:val="none" w:sz="0" w:space="0" w:color="auto"/>
            <w:bottom w:val="none" w:sz="0" w:space="0" w:color="auto"/>
            <w:right w:val="none" w:sz="0" w:space="0" w:color="auto"/>
          </w:divBdr>
        </w:div>
        <w:div w:id="1840198073">
          <w:marLeft w:val="0"/>
          <w:marRight w:val="0"/>
          <w:marTop w:val="0"/>
          <w:marBottom w:val="0"/>
          <w:divBdr>
            <w:top w:val="none" w:sz="0" w:space="0" w:color="auto"/>
            <w:left w:val="none" w:sz="0" w:space="0" w:color="auto"/>
            <w:bottom w:val="none" w:sz="0" w:space="0" w:color="auto"/>
            <w:right w:val="none" w:sz="0" w:space="0" w:color="auto"/>
          </w:divBdr>
        </w:div>
        <w:div w:id="1865246031">
          <w:marLeft w:val="0"/>
          <w:marRight w:val="0"/>
          <w:marTop w:val="0"/>
          <w:marBottom w:val="0"/>
          <w:divBdr>
            <w:top w:val="none" w:sz="0" w:space="0" w:color="auto"/>
            <w:left w:val="none" w:sz="0" w:space="0" w:color="auto"/>
            <w:bottom w:val="none" w:sz="0" w:space="0" w:color="auto"/>
            <w:right w:val="none" w:sz="0" w:space="0" w:color="auto"/>
          </w:divBdr>
        </w:div>
        <w:div w:id="1964841551">
          <w:marLeft w:val="0"/>
          <w:marRight w:val="0"/>
          <w:marTop w:val="0"/>
          <w:marBottom w:val="0"/>
          <w:divBdr>
            <w:top w:val="none" w:sz="0" w:space="0" w:color="auto"/>
            <w:left w:val="none" w:sz="0" w:space="0" w:color="auto"/>
            <w:bottom w:val="none" w:sz="0" w:space="0" w:color="auto"/>
            <w:right w:val="none" w:sz="0" w:space="0" w:color="auto"/>
          </w:divBdr>
        </w:div>
        <w:div w:id="2096826279">
          <w:marLeft w:val="0"/>
          <w:marRight w:val="0"/>
          <w:marTop w:val="0"/>
          <w:marBottom w:val="0"/>
          <w:divBdr>
            <w:top w:val="none" w:sz="0" w:space="0" w:color="auto"/>
            <w:left w:val="none" w:sz="0" w:space="0" w:color="auto"/>
            <w:bottom w:val="none" w:sz="0" w:space="0" w:color="auto"/>
            <w:right w:val="none" w:sz="0" w:space="0" w:color="auto"/>
          </w:divBdr>
        </w:div>
      </w:divsChild>
    </w:div>
    <w:div w:id="1953825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gif"/><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co/2003/361/oj" TargetMode="External"/><Relationship Id="rId1" Type="http://schemas.openxmlformats.org/officeDocument/2006/relationships/hyperlink" Target="http://data.europa.eu/eli/reco/2025/109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07763E-1E60-4B6F-87D0-EDD8CDFB2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6</Pages>
  <Words>1624</Words>
  <Characters>9257</Characters>
  <Application>Microsoft Office Word</Application>
  <DocSecurity>0</DocSecurity>
  <Lines>77</Lines>
  <Paragraphs>21</Paragraphs>
  <ScaleCrop>false</ScaleCrop>
  <Manager/>
  <Company/>
  <LinksUpToDate>false</LinksUpToDate>
  <CharactersWithSpaces>10860</CharactersWithSpaces>
  <SharedDoc>false</SharedDoc>
  <HLinks>
    <vt:vector size="12" baseType="variant">
      <vt:variant>
        <vt:i4>3342441</vt:i4>
      </vt:variant>
      <vt:variant>
        <vt:i4>3</vt:i4>
      </vt:variant>
      <vt:variant>
        <vt:i4>0</vt:i4>
      </vt:variant>
      <vt:variant>
        <vt:i4>5</vt:i4>
      </vt:variant>
      <vt:variant>
        <vt:lpwstr>http://data.europa.eu/eli/reco/2003/361/oj</vt:lpwstr>
      </vt:variant>
      <vt:variant>
        <vt:lpwstr/>
      </vt:variant>
      <vt:variant>
        <vt:i4>2359333</vt:i4>
      </vt:variant>
      <vt:variant>
        <vt:i4>0</vt:i4>
      </vt:variant>
      <vt:variant>
        <vt:i4>0</vt:i4>
      </vt:variant>
      <vt:variant>
        <vt:i4>5</vt:i4>
      </vt:variant>
      <vt:variant>
        <vt:lpwstr>http://data.europa.eu/eli/reco/2025/1099/oj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2026-03-17T11:45:00Z</dcterms:created>
  <dcterms:modified xsi:type="dcterms:W3CDTF">2026-03-18T10:05:00Z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2026-03-17T11:45:53Z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b89962b6-47e0-40b5-955f-07a1e9c07f1a</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COM/AA/NOEEA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SJ-014</vt:lpwstr>
  </property>
  <property fmtid="{D5CDD505-2E9C-101B-9397-08002B2CF9AE}" pid="16" name="DQCStatus">
    <vt:lpwstr>Yellow (DQC version 03)</vt:lpwstr>
  </property>
</Properties>
</file>