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9DE" w:rsidRPr="00CA6026" w:rsidRDefault="00D76B42" w:rsidP="00D76B4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2E8E8C95-6307-403B-9268-21A6DED96B0B" style="width:455.25pt;height:318pt">
            <v:imagedata r:id="rId8" o:title=""/>
          </v:shape>
        </w:pict>
      </w:r>
    </w:p>
    <w:p w:rsidR="001979DE" w:rsidRPr="00CA6026" w:rsidRDefault="001979DE" w:rsidP="00DC103E">
      <w:pPr>
        <w:rPr>
          <w:noProof/>
          <w:szCs w:val="24"/>
        </w:rPr>
        <w:sectPr w:rsidR="001979DE" w:rsidRPr="00CA6026" w:rsidSect="00D76B4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1979DE" w:rsidRPr="00CA6026" w:rsidRDefault="00301338" w:rsidP="00301338">
      <w:pPr>
        <w:pStyle w:val="Typedudocument"/>
        <w:rPr>
          <w:noProof/>
        </w:rPr>
      </w:pPr>
      <w:bookmarkStart w:id="0" w:name="_Hlk212568192"/>
      <w:bookmarkStart w:id="1" w:name="_GoBack"/>
      <w:bookmarkEnd w:id="1"/>
      <w:r w:rsidRPr="00301338">
        <w:rPr>
          <w:noProof/>
        </w:rPr>
        <w:lastRenderedPageBreak/>
        <w:t>RECOMANDAREA COMISIEI</w:t>
      </w:r>
    </w:p>
    <w:p w:rsidR="001979DE" w:rsidRPr="00CA6026" w:rsidRDefault="00301338" w:rsidP="00301338">
      <w:pPr>
        <w:pStyle w:val="Datedadoption"/>
        <w:rPr>
          <w:noProof/>
        </w:rPr>
      </w:pPr>
      <w:r>
        <w:rPr>
          <w:noProof/>
        </w:rPr>
        <w:t>din 18.3.2026</w:t>
      </w:r>
    </w:p>
    <w:p w:rsidR="001979DE" w:rsidRPr="00CA6026" w:rsidRDefault="00301338" w:rsidP="00301338">
      <w:pPr>
        <w:pStyle w:val="Titreobjet"/>
        <w:rPr>
          <w:noProof/>
        </w:rPr>
      </w:pPr>
      <w:r w:rsidRPr="00301338">
        <w:rPr>
          <w:noProof/>
        </w:rPr>
        <w:t>privind definiția întreprinderilor inovatoare, a start-upurilor inovatoare și a întreprinderilor inovatoare în fază de extindere</w:t>
      </w:r>
    </w:p>
    <w:p w:rsidR="001979DE" w:rsidRPr="00CA6026" w:rsidRDefault="001979DE" w:rsidP="00DC103E">
      <w:pPr>
        <w:pStyle w:val="Institutionquiagit"/>
        <w:rPr>
          <w:noProof/>
          <w:szCs w:val="24"/>
        </w:rPr>
      </w:pPr>
      <w:r w:rsidRPr="00CA6026">
        <w:rPr>
          <w:noProof/>
        </w:rPr>
        <w:t>COMISIA EUROPEANĂ,</w:t>
      </w:r>
    </w:p>
    <w:p w:rsidR="001979DE" w:rsidRPr="00CA6026" w:rsidRDefault="001979DE" w:rsidP="00DC103E">
      <w:pPr>
        <w:rPr>
          <w:noProof/>
          <w:szCs w:val="24"/>
        </w:rPr>
      </w:pPr>
      <w:r w:rsidRPr="00CA6026">
        <w:rPr>
          <w:noProof/>
        </w:rPr>
        <w:t>având în vedere Tratatul privind funcționarea Uniunii Europene, în special articolul 292,</w:t>
      </w:r>
    </w:p>
    <w:p w:rsidR="001979DE" w:rsidRPr="00CA6026" w:rsidRDefault="001979DE" w:rsidP="00DC103E">
      <w:pPr>
        <w:rPr>
          <w:noProof/>
          <w:color w:val="000000" w:themeColor="text1"/>
          <w:szCs w:val="24"/>
        </w:rPr>
      </w:pPr>
      <w:r w:rsidRPr="00CA6026">
        <w:rPr>
          <w:noProof/>
          <w:color w:val="000000" w:themeColor="text1"/>
        </w:rPr>
        <w:t>întrucât:</w:t>
      </w:r>
    </w:p>
    <w:p w:rsidR="001979DE" w:rsidRPr="00CA6026" w:rsidRDefault="75E961D3" w:rsidP="00DE45F5">
      <w:pPr>
        <w:pStyle w:val="ManualConsidrant"/>
        <w:rPr>
          <w:noProof/>
        </w:rPr>
      </w:pPr>
      <w:r>
        <w:rPr>
          <w:noProof/>
        </w:rPr>
        <w:t>(1)</w:t>
      </w:r>
      <w:r>
        <w:rPr>
          <w:noProof/>
        </w:rPr>
        <w:tab/>
      </w:r>
      <w:r w:rsidRPr="00CA6026">
        <w:rPr>
          <w:noProof/>
        </w:rPr>
        <w:t>Comunicarea Comisiei privind „O Busolă pentru competitivitatea UE”</w:t>
      </w:r>
      <w:r w:rsidRPr="00CA6026">
        <w:rPr>
          <w:rStyle w:val="FootnoteReference"/>
          <w:noProof/>
        </w:rPr>
        <w:footnoteReference w:id="1"/>
      </w:r>
      <w:r w:rsidRPr="00CA6026">
        <w:rPr>
          <w:noProof/>
        </w:rPr>
        <w:t xml:space="preserve"> reamintește că inovarea este un factor-cheie al competitivității și creșterii în Uniune. </w:t>
      </w:r>
    </w:p>
    <w:p w:rsidR="001979DE" w:rsidRPr="00CA6026" w:rsidRDefault="75E961D3" w:rsidP="008E7E75">
      <w:pPr>
        <w:pStyle w:val="ManualConsidrant"/>
        <w:rPr>
          <w:noProof/>
        </w:rPr>
      </w:pPr>
      <w:r>
        <w:rPr>
          <w:noProof/>
        </w:rPr>
        <w:t>(2)</w:t>
      </w:r>
      <w:r>
        <w:rPr>
          <w:noProof/>
        </w:rPr>
        <w:tab/>
      </w:r>
      <w:r w:rsidRPr="00CA6026">
        <w:rPr>
          <w:noProof/>
        </w:rPr>
        <w:t xml:space="preserve">Un nou model de competitivitate bazat pe productivitatea care are ca motor inovarea este necesar pentru a stimula creșterea economică viitoare. Întreprinderile inovatoare, start-upurile inovatoare și întreprinderile </w:t>
      </w:r>
      <w:bookmarkStart w:id="2" w:name="_Hlk223533785"/>
      <w:r w:rsidRPr="00CA6026">
        <w:rPr>
          <w:noProof/>
        </w:rPr>
        <w:t>inovatoare</w:t>
      </w:r>
      <w:bookmarkEnd w:id="2"/>
      <w:r w:rsidRPr="00CA6026">
        <w:rPr>
          <w:noProof/>
        </w:rPr>
        <w:t xml:space="preserve"> în faza de extindere, în special în domeniul tehnologiei profunde, joacă un rol esențial în dezvoltarea și comercializarea tehnologiilor inovatoare, plasându-le în centrul modelelor economice bazate pe inovare.</w:t>
      </w:r>
    </w:p>
    <w:p w:rsidR="00FB7068" w:rsidRPr="00CA6026" w:rsidRDefault="68D2E022" w:rsidP="008E7E75">
      <w:pPr>
        <w:pStyle w:val="ManualConsidrant"/>
        <w:rPr>
          <w:noProof/>
        </w:rPr>
      </w:pPr>
      <w:r>
        <w:rPr>
          <w:noProof/>
        </w:rPr>
        <w:t>(3)</w:t>
      </w:r>
      <w:r>
        <w:rPr>
          <w:noProof/>
        </w:rPr>
        <w:tab/>
      </w:r>
      <w:r w:rsidRPr="00CA6026">
        <w:rPr>
          <w:noProof/>
        </w:rPr>
        <w:t>În comunicarea sa intitulată „Strategia UE privind start-upurile și întreprinderile în fază de extindere”</w:t>
      </w:r>
      <w:r w:rsidRPr="00CA6026">
        <w:rPr>
          <w:rStyle w:val="FootnoteReference"/>
          <w:noProof/>
        </w:rPr>
        <w:footnoteReference w:id="2"/>
      </w:r>
      <w:r w:rsidRPr="00CA6026">
        <w:rPr>
          <w:noProof/>
        </w:rPr>
        <w:t>, Comisia a anunțat că va propune o definiție a întreprinderilor inovatoare, a start-upurilor inovatoare și a întreprinderilor inovatoare în fază de extindere.</w:t>
      </w:r>
    </w:p>
    <w:p w:rsidR="00A722C9" w:rsidRPr="00CA6026" w:rsidRDefault="48BC08D6" w:rsidP="008E7E75">
      <w:pPr>
        <w:pStyle w:val="ManualConsidrant"/>
        <w:rPr>
          <w:noProof/>
        </w:rPr>
      </w:pPr>
      <w:r>
        <w:rPr>
          <w:noProof/>
        </w:rPr>
        <w:t>(4)</w:t>
      </w:r>
      <w:r>
        <w:rPr>
          <w:noProof/>
        </w:rPr>
        <w:tab/>
      </w:r>
      <w:r w:rsidRPr="00CA6026">
        <w:rPr>
          <w:noProof/>
        </w:rPr>
        <w:t>Întreprinderile din domeniul tehnologiei profunde, inclusiv cele din domeniul tehnologiilor strategice, precum tehnologii digitale, biotehnologii și tehnologii curate, dar fără a se limita la acestea, sunt deosebit de importante pentru inovare, deoarece transpun progresele științifice și tehnologice de frontieră în produse și industrii scalabile, generând adesea soluții transformatoare cu un impact economic și societal semnificativ pe termen lung. Prin urmare, definițiile ar trebui să țină seama de caracteristicile specifice ale întreprinderilor din domeniul tehnologiei profunde, deoarece ciclurile lor de dezvoltare sunt, de regulă, mai lungi și necesită mai mult capital ca urmare a activităților complexe de cercetare și dezvoltare (C&amp;D), a validării normative și a maturizării tehnologiei.</w:t>
      </w:r>
    </w:p>
    <w:p w:rsidR="00C7712D" w:rsidRPr="00CA6026" w:rsidRDefault="75E961D3" w:rsidP="008E7E75">
      <w:pPr>
        <w:pStyle w:val="ManualConsidrant"/>
        <w:rPr>
          <w:noProof/>
        </w:rPr>
      </w:pPr>
      <w:r>
        <w:rPr>
          <w:noProof/>
        </w:rPr>
        <w:t>(5)</w:t>
      </w:r>
      <w:r>
        <w:rPr>
          <w:noProof/>
        </w:rPr>
        <w:tab/>
      </w:r>
      <w:r w:rsidRPr="00CA6026">
        <w:rPr>
          <w:noProof/>
        </w:rPr>
        <w:t>Mai multe state membre au adoptat definiții juridice diferite ale întreprinderilor inovatoare, ale start-upurilor inovatoare și ale întreprinderilor inovatoare în fază de extindere, în timp ce Regulamentul (UE) nr. 651/2014 al Comisiei</w:t>
      </w:r>
      <w:r w:rsidRPr="00CA6026">
        <w:rPr>
          <w:rStyle w:val="FootnoteReference"/>
          <w:noProof/>
        </w:rPr>
        <w:footnoteReference w:id="3"/>
      </w:r>
      <w:r w:rsidRPr="00CA6026">
        <w:rPr>
          <w:noProof/>
        </w:rPr>
        <w:t xml:space="preserve"> și Regulamentul (UE) 2021/695 al Parlamentului European și al Consiliului</w:t>
      </w:r>
      <w:r w:rsidRPr="00CA6026">
        <w:rPr>
          <w:rStyle w:val="FootnoteReference"/>
          <w:noProof/>
        </w:rPr>
        <w:footnoteReference w:id="4"/>
      </w:r>
      <w:r w:rsidRPr="00CA6026">
        <w:rPr>
          <w:noProof/>
        </w:rPr>
        <w:t xml:space="preserve"> stabilesc, de asemenea, definiții la nivelul Uniunii în scopurile lor respective. </w:t>
      </w:r>
    </w:p>
    <w:p w:rsidR="001979DE" w:rsidRPr="00CA6026" w:rsidRDefault="4E8BAAF4" w:rsidP="008E7E75">
      <w:pPr>
        <w:pStyle w:val="ManualConsidrant"/>
        <w:rPr>
          <w:noProof/>
        </w:rPr>
      </w:pPr>
      <w:r>
        <w:rPr>
          <w:noProof/>
        </w:rPr>
        <w:t>(6)</w:t>
      </w:r>
      <w:r>
        <w:rPr>
          <w:noProof/>
        </w:rPr>
        <w:tab/>
      </w:r>
      <w:r w:rsidRPr="00CA6026">
        <w:rPr>
          <w:noProof/>
        </w:rPr>
        <w:t xml:space="preserve">Măsurile politicii de inovare sunt concepute la nivelul statelor membre și la nivelul Uniunii pentru a sprijini întreprinderile inovatoare, start-upurile inovatoare sau întreprinderile inovatoare în faza de extindere. În absența unor definiții comune, astfel de măsuri pot fi aplicate în mod inconsecvent între statele membre și între Uniune și statele membre. Acest lucru poate avea ca rezultat faptul că întreprinderile clasificate ca întreprinderi inovatoare, start-upuri inovatoare sau întreprinderi inovatoare în fază de extindere într-un stat membru nu se califică pentru scheme de sprijin comparabile într-un alt stat membru, restricționând astfel activitățile transfrontaliere și extinderea în cadrul pieței unice. O astfel de insecuritate juridică poate fi unul dintre numeroasele motive care descurajează întreprinderile în cauză să își desfășoare activitatea sau să se mute în alte state membre. Urmând logica unei piețe unice a UE fără frontiere interne și asigurând că instituțiile Uniunii și statele membre se pot baza pe o referință consecventă, utilizarea unor definiții comune ale întreprinderilor inovatoare, ale start-upurilor inovatoare și ale întreprinderilor inovatoare în fază de extindere ar contribui la asigurarea unor condiții de concurență echitabile în ceea ce privește tratamentul aplicat întreprinderilor în întreaga Uniune. </w:t>
      </w:r>
    </w:p>
    <w:p w:rsidR="001979DE" w:rsidRPr="00CA6026" w:rsidRDefault="75E961D3" w:rsidP="008E7E75">
      <w:pPr>
        <w:pStyle w:val="ManualConsidrant"/>
        <w:rPr>
          <w:noProof/>
        </w:rPr>
      </w:pPr>
      <w:r>
        <w:rPr>
          <w:noProof/>
        </w:rPr>
        <w:t>(7)</w:t>
      </w:r>
      <w:r>
        <w:rPr>
          <w:noProof/>
        </w:rPr>
        <w:tab/>
      </w:r>
      <w:r w:rsidRPr="00CA6026">
        <w:rPr>
          <w:noProof/>
        </w:rPr>
        <w:t>De asemenea, sunt necesare definiții comune, având în vedere interacțiunea amplă dintre măsurile naționale și cele ale Uniunii de sprijinire a întreprinderilor inovatoare, a start-upurilor inovatoare și a întreprinderilor inovatoare în faza de extindere. În plus, aplicarea aceleiași definiții de către Comisie, statele membre, Banca Europeană de Investiții (BEI) și Fondul European de Investiții (FEI) ar îmbunătăți alinierea, coerența și eficacitatea politicilor care vizează întreprinderile inovatoare, start-upurile inovatoare și întreprinderile inovatoare în fază de extindere și, prin urmare, ar limita riscul de denaturare a concurenței legat de accesul inechitabil la sprijin public</w:t>
      </w:r>
      <w:r w:rsidRPr="00CA6026">
        <w:rPr>
          <w:rStyle w:val="FootnoteReference"/>
          <w:noProof/>
        </w:rPr>
        <w:footnoteReference w:id="5"/>
      </w:r>
      <w:r w:rsidRPr="00CA6026">
        <w:rPr>
          <w:noProof/>
        </w:rPr>
        <w:t>.</w:t>
      </w:r>
    </w:p>
    <w:p w:rsidR="001979DE" w:rsidRPr="00CA6026" w:rsidRDefault="75E961D3" w:rsidP="008E7E75">
      <w:pPr>
        <w:pStyle w:val="ManualConsidrant"/>
        <w:rPr>
          <w:noProof/>
        </w:rPr>
      </w:pPr>
      <w:r>
        <w:rPr>
          <w:noProof/>
        </w:rPr>
        <w:t>(8)</w:t>
      </w:r>
      <w:r>
        <w:rPr>
          <w:noProof/>
        </w:rPr>
        <w:tab/>
      </w:r>
      <w:r w:rsidRPr="00CA6026">
        <w:rPr>
          <w:noProof/>
        </w:rPr>
        <w:t>Comisia a stabilit deja definiții care permit clasificarea întreprinderilor în funcție de dimensiune, făcând distincție între întreprinderile mici și mijlocii (IMM-uri), întreprinderile mici cu capitalizare medie (IMCM-uri) și întreprinderile mari. Definițiile întreprinderilor inovatoare, ale start-upurilor inovatoare și ale întreprinderilor inovatoare în faza de extindere nu ar trebui în niciun caz să pună sub semnul întrebării clasificările stabilite respective. După caz, definițiile întreprinderilor inovatoare, ale start-upurilor inovatoare și ale întreprinderilor inovatoare în fază de extindere ar trebui să se bazeze pe criteriile stabilite pentru IMM-uri și IMCM-uri, inclusiv pragurile de mărime și caracteristicile structurale.</w:t>
      </w:r>
    </w:p>
    <w:p w:rsidR="001979DE" w:rsidRPr="00CA6026" w:rsidRDefault="4F2AD5B6" w:rsidP="008E7E75">
      <w:pPr>
        <w:pStyle w:val="ManualConsidrant"/>
        <w:rPr>
          <w:noProof/>
        </w:rPr>
      </w:pPr>
      <w:r>
        <w:rPr>
          <w:noProof/>
        </w:rPr>
        <w:t>(9)</w:t>
      </w:r>
      <w:r>
        <w:rPr>
          <w:noProof/>
        </w:rPr>
        <w:tab/>
      </w:r>
      <w:r w:rsidRPr="00CA6026">
        <w:rPr>
          <w:noProof/>
        </w:rPr>
        <w:t xml:space="preserve">Pentru a se asigura că servesc scopurilor preconizate, definițiile respective ar trebui să reflecte caracteristicile distinctive ale unui grup foarte specific de întreprinderi, și anume ale întreprinderilor inovatoare, start-upurilor inovatoare și întreprinderilor inovatoare în faza de extindere, și să se bazeze pe criterii și praguri obiective. Prin urmare, este necesar ca aceste definiții să se bazeze pe criterii ușor de aplicat, cum ar fi investițiile în activități de inovare, vârsta, dimensiunea sau creșterea. </w:t>
      </w:r>
    </w:p>
    <w:p w:rsidR="001979DE" w:rsidRPr="00CA6026" w:rsidRDefault="75E961D3" w:rsidP="008E7E75">
      <w:pPr>
        <w:pStyle w:val="ManualConsidrant"/>
        <w:rPr>
          <w:noProof/>
        </w:rPr>
      </w:pPr>
      <w:r>
        <w:rPr>
          <w:noProof/>
        </w:rPr>
        <w:t>(10)</w:t>
      </w:r>
      <w:r>
        <w:rPr>
          <w:noProof/>
        </w:rPr>
        <w:tab/>
      </w:r>
      <w:r w:rsidRPr="00CA6026">
        <w:rPr>
          <w:noProof/>
        </w:rPr>
        <w:t xml:space="preserve">În conformitate cu clasificările internaționale utilizate pe scară largă, „inovarea” ar trebui definită ca un produs, serviciu sau proces nou sau îmbunătățit care diferă în mod semnificativ de iterațiile anterioare și care este pus la dispoziția potențialilor utilizatori.  </w:t>
      </w:r>
    </w:p>
    <w:p w:rsidR="001979DE" w:rsidRPr="00CA6026" w:rsidRDefault="75E961D3" w:rsidP="008E7E75">
      <w:pPr>
        <w:pStyle w:val="ManualConsidrant"/>
        <w:rPr>
          <w:noProof/>
        </w:rPr>
      </w:pPr>
      <w:r>
        <w:rPr>
          <w:noProof/>
        </w:rPr>
        <w:t>(11)</w:t>
      </w:r>
      <w:r>
        <w:rPr>
          <w:noProof/>
        </w:rPr>
        <w:tab/>
      </w:r>
      <w:r w:rsidRPr="00CA6026">
        <w:rPr>
          <w:noProof/>
        </w:rPr>
        <w:t>Activitățile de inovare pot fi evidențiate prin eforturile de C&amp;D, care corespund unor activități organizate și deliberate menite să genereze noi cunoștințe și să dezvolte produse, servicii și procese noi sau îmbunătățite. Activitățile de C&amp;D ar trebui definite în conformitate cu clasificările internaționale utilizate pe scară largă</w:t>
      </w:r>
      <w:r w:rsidRPr="00CA6026">
        <w:rPr>
          <w:rStyle w:val="FootnoteReference"/>
          <w:noProof/>
        </w:rPr>
        <w:footnoteReference w:id="6"/>
      </w:r>
      <w:r w:rsidRPr="00CA6026">
        <w:rPr>
          <w:noProof/>
        </w:rPr>
        <w:t xml:space="preserve"> și cu normele Uniunii. Angajamentul strategic al unei întreprinderi față de activitățile de C&amp;D poate fi evidențiat prin resursele investite în aceste activități, fie ca procent din costurile de exploatare, fie ca procent din venituri, denumite în mod obișnuit intensitatea C&amp;D. </w:t>
      </w:r>
    </w:p>
    <w:p w:rsidR="001979DE" w:rsidRPr="00CA6026" w:rsidRDefault="75E961D3" w:rsidP="008E7E75">
      <w:pPr>
        <w:pStyle w:val="ManualConsidrant"/>
        <w:rPr>
          <w:noProof/>
        </w:rPr>
      </w:pPr>
      <w:r>
        <w:rPr>
          <w:noProof/>
        </w:rPr>
        <w:t>(12)</w:t>
      </w:r>
      <w:r>
        <w:rPr>
          <w:noProof/>
        </w:rPr>
        <w:tab/>
      </w:r>
      <w:r w:rsidRPr="00CA6026">
        <w:rPr>
          <w:noProof/>
        </w:rPr>
        <w:t>O întreprindere poate fi inovatoare chiar dacă nu investește în activități de C&amp;D. Prin urmare, o întreprindere ar trebui, de asemenea, să fie considerată inovatoare dacă poate demonstra că, în ultimii trei ani, a dezvoltat, dezvoltă sau va dezvolta în viitorul apropiat produse, servicii sau procese comerciale în vederea comercializării, care sunt noi sau îmbunătățite substanțial în comparație cu stadiul actual al tehnologiei din industria sa și care prezintă un risc de eșec tehnologic sau industrial.</w:t>
      </w:r>
    </w:p>
    <w:p w:rsidR="001979DE" w:rsidRPr="00CA6026" w:rsidRDefault="3E73F524" w:rsidP="008E7E75">
      <w:pPr>
        <w:pStyle w:val="ManualConsidrant"/>
        <w:rPr>
          <w:noProof/>
        </w:rPr>
      </w:pPr>
      <w:r>
        <w:rPr>
          <w:noProof/>
        </w:rPr>
        <w:t>(13)</w:t>
      </w:r>
      <w:r>
        <w:rPr>
          <w:noProof/>
        </w:rPr>
        <w:tab/>
      </w:r>
      <w:r w:rsidRPr="00CA6026">
        <w:rPr>
          <w:noProof/>
        </w:rPr>
        <w:t>Start-upurile inovatoare și întreprinderile inovatoare în faza de extindere ar trebui definite ca un subset de întreprinderi inovatoare, deoarece inovarea este principala caracteristică distinctivă care poate justifica tratamentul diferențiat în materie de politici, sprijinul public specific și facilitarea normativă, separându-le de întreprinderile obișnuite noi sau cu creștere rapidă care se extind fără a genera produse, servicii, tehnologii sau modele de afaceri noi.</w:t>
      </w:r>
    </w:p>
    <w:p w:rsidR="001979DE" w:rsidRPr="00CA6026" w:rsidRDefault="3E73F524" w:rsidP="008E7E75">
      <w:pPr>
        <w:pStyle w:val="ManualConsidrant"/>
        <w:rPr>
          <w:noProof/>
        </w:rPr>
      </w:pPr>
      <w:r>
        <w:rPr>
          <w:noProof/>
        </w:rPr>
        <w:t>(14)</w:t>
      </w:r>
      <w:r>
        <w:rPr>
          <w:noProof/>
        </w:rPr>
        <w:tab/>
      </w:r>
      <w:r w:rsidRPr="00CA6026">
        <w:rPr>
          <w:noProof/>
        </w:rPr>
        <w:t xml:space="preserve">Start-upurile inovatoare ar trebui definite pe baza unor criterii care să reflecte natura lor inovatoare, combinate cu limite de dimensiune și de vârstă. Pentru a asigura o coerență cât mai mare cu </w:t>
      </w:r>
      <w:bookmarkStart w:id="5" w:name="_Hlk222157040"/>
      <w:r w:rsidRPr="00CA6026">
        <w:rPr>
          <w:noProof/>
        </w:rPr>
        <w:t>Recomandarea 2003/361/CE a Comisiei</w:t>
      </w:r>
      <w:r w:rsidRPr="00CA6026">
        <w:rPr>
          <w:rStyle w:val="FootnoteReference"/>
          <w:noProof/>
        </w:rPr>
        <w:footnoteReference w:id="7"/>
      </w:r>
      <w:r w:rsidRPr="00CA6026">
        <w:rPr>
          <w:noProof/>
        </w:rPr>
        <w:t xml:space="preserve">, criteriile privind bilanțul total minim și cifra de afaceri pentru o întreprindere mică prevăzute în Recomandarea 2003/361/CE ar trebui să se aplice pentru definiția unui start-up inovator. </w:t>
      </w:r>
      <w:bookmarkEnd w:id="5"/>
      <w:r w:rsidRPr="00CA6026">
        <w:rPr>
          <w:noProof/>
        </w:rPr>
        <w:t>Cu toate acestea, în ceea ce privește numărul de persoane angajate, este mai adecvat să se stabilească numărul maxim de persoane angajate la 99, deoarece acest lucru poate permite multor start-upuri inovatoare, în special din sectoarele tehnologiei profunde și din sectoarele cu utilizare intensivă a economiilor de scară, să construiască echipe multidisciplinare mai mari în faza lor timpurie de creștere. O limită de vârstă de zece ani pentru start-upurile inovatoare este adecvată pentru a include și start-upurile, în special start-upurile din domeniul tehnologiei profunde, care pot necesita cicluri de C&amp;D mai lungi, faze de dezvoltare cu utilizare intensivă a capitalului și procese de validare normativă, ceea ce presupune generarea întârziată de venituri.</w:t>
      </w:r>
    </w:p>
    <w:p w:rsidR="001979DE" w:rsidRPr="00CA6026" w:rsidRDefault="3E73F524" w:rsidP="008E7E75">
      <w:pPr>
        <w:pStyle w:val="ManualConsidrant"/>
        <w:rPr>
          <w:noProof/>
        </w:rPr>
      </w:pPr>
      <w:r>
        <w:rPr>
          <w:noProof/>
        </w:rPr>
        <w:t>(15)</w:t>
      </w:r>
      <w:r>
        <w:rPr>
          <w:noProof/>
        </w:rPr>
        <w:tab/>
      </w:r>
      <w:r w:rsidRPr="00CA6026">
        <w:rPr>
          <w:noProof/>
        </w:rPr>
        <w:t>Întreprinderile inovatoare în fază de extindere ar trebui definite utilizând criterii care să reflecte natura lor inovatoare, combinate cu dimensiunea și dinamica creșterii, pe baza raționamentului care stă la baza definiției cantitative a întreprinderilor în fază de extindere stabilite de OCDE în clasificările utilizate pe scară largă. Pentru a face distincția între întreprinderile inovatoare în fază de extindere și întreprinderile mai stabile, este adecvat să se stabilească o dimensiune maximă pentru întreprinderile cotate la bursă, pe baza pragului stabilit pentru întreprinderile mici cu capitalizare medie din Recomandarea 2025/1099/CE</w:t>
      </w:r>
      <w:r w:rsidRPr="00CA6026">
        <w:rPr>
          <w:rStyle w:val="FootnoteReference"/>
          <w:noProof/>
        </w:rPr>
        <w:footnoteReference w:id="8"/>
      </w:r>
      <w:r w:rsidRPr="00CA6026">
        <w:rPr>
          <w:noProof/>
        </w:rPr>
        <w:t>. În plus, pentru a se asigura că definiția întreprinderilor inovatoare în fază de extindere include întreprinderile cu o maturitate suficientă și nu se suprapune cu definiția start-upurilor inovatoare, este necesar să se aplice o cifră de afaceri minimă sau un bilanț total minim pe baza pragurilor relevante stabilite pentru întreprinderile mijlocii în Recomandarea 2003/361/CE</w:t>
      </w:r>
      <w:r w:rsidRPr="00CA6026">
        <w:rPr>
          <w:rStyle w:val="FootnoteReference"/>
          <w:noProof/>
        </w:rPr>
        <w:footnoteReference w:id="9"/>
      </w:r>
      <w:r w:rsidRPr="00CA6026">
        <w:rPr>
          <w:noProof/>
        </w:rPr>
        <w:t xml:space="preserve">.  </w:t>
      </w:r>
    </w:p>
    <w:p w:rsidR="001979DE" w:rsidRPr="00CA6026" w:rsidRDefault="001979DE" w:rsidP="00645246">
      <w:pPr>
        <w:rPr>
          <w:noProof/>
        </w:rPr>
      </w:pPr>
    </w:p>
    <w:p w:rsidR="001979DE" w:rsidRPr="00CA6026" w:rsidRDefault="001979DE" w:rsidP="00DC103E">
      <w:pPr>
        <w:pStyle w:val="Formuledadoption"/>
        <w:rPr>
          <w:noProof/>
          <w:szCs w:val="24"/>
        </w:rPr>
      </w:pPr>
      <w:r w:rsidRPr="00CA6026">
        <w:rPr>
          <w:noProof/>
          <w:color w:val="000000" w:themeColor="text1"/>
        </w:rPr>
        <w:t>RECOMANDĂ</w:t>
      </w:r>
      <w:r w:rsidRPr="00CA6026">
        <w:rPr>
          <w:noProof/>
        </w:rPr>
        <w:t xml:space="preserve">: </w:t>
      </w:r>
    </w:p>
    <w:p w:rsidR="75E961D3" w:rsidRPr="00CA6026" w:rsidRDefault="75E961D3" w:rsidP="00DE45F5">
      <w:pPr>
        <w:pStyle w:val="ManualNumPar1"/>
        <w:rPr>
          <w:i/>
          <w:iCs/>
          <w:noProof/>
        </w:rPr>
      </w:pPr>
      <w:r>
        <w:rPr>
          <w:noProof/>
        </w:rPr>
        <w:t>1.</w:t>
      </w:r>
      <w:r>
        <w:rPr>
          <w:noProof/>
        </w:rPr>
        <w:tab/>
      </w:r>
      <w:r w:rsidRPr="00CA6026">
        <w:rPr>
          <w:noProof/>
        </w:rPr>
        <w:t>Prezenta recomandare vizează definiția întreprinderilor inovatoare, definiția start-upurilor inovatoare și definiția întreprinderilor inovatoare în fază de extindere, utilizate în politicile Uniunii aplicate în cadrul Uniunii și în Spațiul Economic European.</w:t>
      </w:r>
    </w:p>
    <w:p w:rsidR="001979DE" w:rsidRPr="00CA6026" w:rsidRDefault="001979DE" w:rsidP="00F5323F">
      <w:pPr>
        <w:pStyle w:val="ManualNumPar1"/>
        <w:rPr>
          <w:i/>
          <w:noProof/>
        </w:rPr>
      </w:pPr>
      <w:r>
        <w:rPr>
          <w:noProof/>
        </w:rPr>
        <w:t>2.</w:t>
      </w:r>
      <w:r>
        <w:rPr>
          <w:noProof/>
        </w:rPr>
        <w:tab/>
      </w:r>
      <w:r w:rsidRPr="00CA6026">
        <w:rPr>
          <w:noProof/>
        </w:rPr>
        <w:t>Statele membre, Banca Europeană de Investiții (BEI) și Fondul European de Investiții (FEI) sunt invitate:</w:t>
      </w:r>
    </w:p>
    <w:p w:rsidR="00F5323F" w:rsidRPr="00CA6026" w:rsidRDefault="001979DE" w:rsidP="00DE45F5">
      <w:pPr>
        <w:pStyle w:val="Point1"/>
        <w:rPr>
          <w:noProof/>
        </w:rPr>
      </w:pPr>
      <w:r>
        <w:rPr>
          <w:noProof/>
        </w:rPr>
        <w:t>(a)</w:t>
      </w:r>
      <w:r>
        <w:rPr>
          <w:noProof/>
        </w:rPr>
        <w:tab/>
      </w:r>
      <w:r w:rsidRPr="00CA6026">
        <w:rPr>
          <w:noProof/>
        </w:rPr>
        <w:t xml:space="preserve">să utilizeze definițiile prevăzute în anexă atunci când adoptă măsuri legislative, de politică sau de sprijin financiar sau când pun în aplicare programe destinate întreprinderilor inovatoare, start-upurilor inovatoare și întreprinderilor inovatoare în fază de extindere; </w:t>
      </w:r>
    </w:p>
    <w:p w:rsidR="001979DE" w:rsidRPr="00CA6026" w:rsidRDefault="75E961D3" w:rsidP="00F5323F">
      <w:pPr>
        <w:pStyle w:val="Point1"/>
        <w:rPr>
          <w:noProof/>
        </w:rPr>
      </w:pPr>
      <w:r>
        <w:rPr>
          <w:noProof/>
        </w:rPr>
        <w:t>(b)</w:t>
      </w:r>
      <w:r>
        <w:rPr>
          <w:noProof/>
        </w:rPr>
        <w:tab/>
      </w:r>
      <w:r w:rsidRPr="00CA6026">
        <w:rPr>
          <w:noProof/>
        </w:rPr>
        <w:t>să utilizeze definițiile prevăzute în anexă în scopul colectării de date privind întreprinderile inovatoare, start-upurile inovatoare și întreprinderile inovatoare în faza de extindere.</w:t>
      </w:r>
    </w:p>
    <w:p w:rsidR="00F5323F" w:rsidRPr="00CA6026" w:rsidRDefault="001979DE" w:rsidP="00F5323F">
      <w:pPr>
        <w:pStyle w:val="ManualNumPar1"/>
        <w:rPr>
          <w:i/>
          <w:noProof/>
        </w:rPr>
      </w:pPr>
      <w:r>
        <w:rPr>
          <w:noProof/>
        </w:rPr>
        <w:t>3.</w:t>
      </w:r>
      <w:r>
        <w:rPr>
          <w:noProof/>
        </w:rPr>
        <w:tab/>
      </w:r>
      <w:r w:rsidRPr="00CA6026">
        <w:rPr>
          <w:noProof/>
        </w:rPr>
        <w:t>Prezenta recomandare se adresează statelor membre, BEI și FEI.</w:t>
      </w:r>
    </w:p>
    <w:p w:rsidR="00F5323F" w:rsidRPr="00CA6026" w:rsidRDefault="001979DE" w:rsidP="00F5323F">
      <w:pPr>
        <w:pStyle w:val="ManualNumPar1"/>
        <w:rPr>
          <w:i/>
          <w:iCs/>
          <w:noProof/>
        </w:rPr>
      </w:pPr>
      <w:r>
        <w:rPr>
          <w:noProof/>
        </w:rPr>
        <w:t>4.</w:t>
      </w:r>
      <w:r>
        <w:rPr>
          <w:noProof/>
        </w:rPr>
        <w:tab/>
      </w:r>
      <w:r w:rsidRPr="00CA6026">
        <w:rPr>
          <w:noProof/>
        </w:rPr>
        <w:t>Statele membre, BEI și FEI sunt invitate să informeze Comisia cu privire la orice măsuri pe care le-au luat pentru a pune în aplicare prezenta recomandare.</w:t>
      </w:r>
    </w:p>
    <w:p w:rsidR="001979DE" w:rsidRPr="00CA6026" w:rsidRDefault="00301338" w:rsidP="0038067C">
      <w:pPr>
        <w:pStyle w:val="Fait"/>
        <w:rPr>
          <w:noProof/>
        </w:rPr>
      </w:pPr>
      <w:r>
        <w:rPr>
          <w:noProof/>
        </w:rPr>
        <w:t>Adoptată la Bruxelles, 18.3.2026</w:t>
      </w:r>
    </w:p>
    <w:p w:rsidR="001979DE" w:rsidRPr="00CA6026" w:rsidRDefault="001979DE" w:rsidP="0038067C">
      <w:pPr>
        <w:pStyle w:val="Institutionquisigne"/>
        <w:rPr>
          <w:noProof/>
          <w:szCs w:val="24"/>
        </w:rPr>
      </w:pPr>
      <w:r w:rsidRPr="00CA6026">
        <w:rPr>
          <w:noProof/>
        </w:rPr>
        <w:tab/>
        <w:t>Pentru Comisie</w:t>
      </w:r>
    </w:p>
    <w:p w:rsidR="007247F7" w:rsidRPr="00CA6026" w:rsidRDefault="001979DE" w:rsidP="0038067C">
      <w:pPr>
        <w:pStyle w:val="Personnequisigne"/>
        <w:keepNext/>
        <w:rPr>
          <w:noProof/>
        </w:rPr>
      </w:pPr>
      <w:r w:rsidRPr="00CA6026">
        <w:rPr>
          <w:noProof/>
        </w:rPr>
        <w:tab/>
        <w:t xml:space="preserve">Ekaterina ZAHARIEVA </w:t>
      </w:r>
      <w:r w:rsidRPr="00CA6026">
        <w:rPr>
          <w:noProof/>
        </w:rPr>
        <w:br/>
      </w:r>
      <w:r w:rsidRPr="00CA6026">
        <w:rPr>
          <w:noProof/>
        </w:rPr>
        <w:tab/>
        <w:t>Membră a Comisiei</w:t>
      </w:r>
      <w:bookmarkEnd w:id="0"/>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B344E8">
        <w:trPr>
          <w:cantSplit/>
        </w:trPr>
        <w:tc>
          <w:tcPr>
            <w:tcW w:w="0" w:type="auto"/>
            <w:shd w:val="clear" w:color="auto" w:fill="auto"/>
          </w:tcPr>
          <w:p w:rsidR="00B344E8" w:rsidRDefault="001E5688">
            <w:pPr>
              <w:rPr>
                <w:noProof/>
              </w:rPr>
            </w:pPr>
            <w:r>
              <w:rPr>
                <w:noProof/>
              </w:rPr>
              <w:pict>
                <v:shape id="_x0000_i1026" type="#_x0000_t75" style="width:188.25pt;height:102pt">
                  <v:imagedata r:id="rId15" o:title=""/>
                </v:shape>
              </w:pict>
            </w:r>
          </w:p>
        </w:tc>
      </w:tr>
    </w:tbl>
    <w:p w:rsidR="00EC237B" w:rsidRDefault="00EC237B">
      <w:pPr>
        <w:rPr>
          <w:noProof/>
        </w:rPr>
      </w:pPr>
    </w:p>
    <w:sectPr w:rsidR="00EC237B" w:rsidSect="00D76B42">
      <w:headerReference w:type="even" r:id="rId16"/>
      <w:footerReference w:type="even" r:id="rId17"/>
      <w:footerReference w:type="default" r:id="rId18"/>
      <w:headerReference w:type="first" r:id="rId19"/>
      <w:footerReference w:type="first" r:id="rId20"/>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5DA" w:rsidRDefault="007E15DA" w:rsidP="00D959F3">
      <w:pPr>
        <w:spacing w:before="0" w:after="0"/>
      </w:pPr>
      <w:r>
        <w:separator/>
      </w:r>
    </w:p>
  </w:endnote>
  <w:endnote w:type="continuationSeparator" w:id="0">
    <w:p w:rsidR="007E15DA" w:rsidRDefault="007E15DA" w:rsidP="00D959F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Footer"/>
      <w:rPr>
        <w:rFonts w:ascii="Arial" w:hAnsi="Arial" w:cs="Arial"/>
        <w:b/>
        <w:sz w:val="48"/>
      </w:rPr>
    </w:pPr>
    <w:r w:rsidRPr="00D76B42">
      <w:rPr>
        <w:rFonts w:ascii="Arial" w:hAnsi="Arial" w:cs="Arial"/>
        <w:b/>
        <w:sz w:val="48"/>
      </w:rPr>
      <w:t>RO</w:t>
    </w:r>
    <w:r w:rsidRPr="00D76B42">
      <w:rPr>
        <w:rFonts w:ascii="Arial" w:hAnsi="Arial" w:cs="Arial"/>
        <w:b/>
        <w:sz w:val="48"/>
      </w:rPr>
      <w:tab/>
    </w:r>
    <w:r w:rsidRPr="00D76B42">
      <w:rPr>
        <w:rFonts w:ascii="Arial" w:hAnsi="Arial" w:cs="Arial"/>
        <w:b/>
        <w:sz w:val="48"/>
      </w:rPr>
      <w:tab/>
    </w:r>
    <w:r w:rsidRPr="00D76B42">
      <w:tab/>
    </w:r>
    <w:r w:rsidRPr="00D76B4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Footer"/>
      <w:rPr>
        <w:rFonts w:ascii="Arial" w:hAnsi="Arial" w:cs="Arial"/>
        <w:b/>
        <w:sz w:val="48"/>
      </w:rPr>
    </w:pPr>
    <w:r w:rsidRPr="00D76B42">
      <w:rPr>
        <w:rFonts w:ascii="Arial" w:hAnsi="Arial" w:cs="Arial"/>
        <w:b/>
        <w:sz w:val="48"/>
      </w:rPr>
      <w:t>RO</w:t>
    </w:r>
    <w:r w:rsidRPr="00D76B42">
      <w:rPr>
        <w:rFonts w:ascii="Arial" w:hAnsi="Arial" w:cs="Arial"/>
        <w:b/>
        <w:sz w:val="48"/>
      </w:rPr>
      <w:tab/>
    </w:r>
    <w:r w:rsidRPr="00D76B42">
      <w:rPr>
        <w:rFonts w:ascii="Arial" w:hAnsi="Arial" w:cs="Arial"/>
        <w:b/>
        <w:sz w:val="48"/>
      </w:rPr>
      <w:tab/>
    </w:r>
    <w:r w:rsidRPr="00D76B42">
      <w:tab/>
    </w:r>
    <w:r w:rsidRPr="00D76B4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Default="00D76B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Footer"/>
      <w:rPr>
        <w:rFonts w:ascii="Arial" w:hAnsi="Arial" w:cs="Arial"/>
        <w:b/>
        <w:sz w:val="48"/>
      </w:rPr>
    </w:pPr>
    <w:r w:rsidRPr="00D76B42">
      <w:rPr>
        <w:rFonts w:ascii="Arial" w:hAnsi="Arial" w:cs="Arial"/>
        <w:b/>
        <w:sz w:val="48"/>
      </w:rPr>
      <w:t>RO</w:t>
    </w:r>
    <w:r w:rsidRPr="00D76B42">
      <w:rPr>
        <w:rFonts w:ascii="Arial" w:hAnsi="Arial" w:cs="Arial"/>
        <w:b/>
        <w:sz w:val="48"/>
      </w:rPr>
      <w:tab/>
    </w:r>
    <w:r>
      <w:fldChar w:fldCharType="begin"/>
    </w:r>
    <w:r>
      <w:instrText xml:space="preserve"> PAGE  \* MERGEFORMAT </w:instrText>
    </w:r>
    <w:r>
      <w:fldChar w:fldCharType="separate"/>
    </w:r>
    <w:r w:rsidR="0038067C">
      <w:rPr>
        <w:noProof/>
      </w:rPr>
      <w:t>4</w:t>
    </w:r>
    <w:r>
      <w:fldChar w:fldCharType="end"/>
    </w:r>
    <w:r>
      <w:tab/>
    </w:r>
    <w:r w:rsidRPr="00D76B42">
      <w:tab/>
    </w:r>
    <w:r w:rsidRPr="00D76B4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Default="00D76B42" w:rsidP="00D76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5DA" w:rsidRDefault="007E15DA" w:rsidP="00D959F3">
      <w:pPr>
        <w:spacing w:before="0" w:after="0"/>
      </w:pPr>
      <w:r>
        <w:separator/>
      </w:r>
    </w:p>
  </w:footnote>
  <w:footnote w:type="continuationSeparator" w:id="0">
    <w:p w:rsidR="007E15DA" w:rsidRDefault="007E15DA" w:rsidP="00D959F3">
      <w:pPr>
        <w:spacing w:before="0" w:after="0"/>
      </w:pPr>
      <w:r>
        <w:continuationSeparator/>
      </w:r>
    </w:p>
  </w:footnote>
  <w:footnote w:id="1">
    <w:p w:rsidR="001979DE" w:rsidRPr="00B93E75" w:rsidRDefault="001979DE" w:rsidP="00705027">
      <w:pPr>
        <w:pStyle w:val="FootnoteText"/>
      </w:pPr>
      <w:r>
        <w:rPr>
          <w:rStyle w:val="FootnoteReference"/>
        </w:rPr>
        <w:footnoteRef/>
      </w:r>
      <w:r>
        <w:tab/>
        <w:t xml:space="preserve">Comunicarea Comisiei către Parlamentul European, Consiliu, Comitetul Economic și Social European și Comitetul Regiunilor – O Busolă pentru competitivitatea UE, COM(2025) 30 final, 29 ianuarie 2025. </w:t>
      </w:r>
    </w:p>
  </w:footnote>
  <w:footnote w:id="2">
    <w:p w:rsidR="00FB7068" w:rsidRPr="00021447" w:rsidRDefault="00FB7068" w:rsidP="00705027">
      <w:pPr>
        <w:pStyle w:val="FootnoteText"/>
      </w:pPr>
      <w:r>
        <w:rPr>
          <w:rStyle w:val="FootnoteReference"/>
        </w:rPr>
        <w:footnoteRef/>
      </w:r>
      <w:r>
        <w:tab/>
      </w:r>
      <w:bookmarkStart w:id="3" w:name="_Hlk221633458"/>
      <w:r>
        <w:t xml:space="preserve">Comunicare a Comisiei către Parlamentul European, Consiliu, </w:t>
      </w:r>
      <w:bookmarkStart w:id="4" w:name="_Hlk223456587"/>
      <w:r>
        <w:t>Comitetul Economic și Social și Comitetul Regiunilor – Strategia UE privind start-upurile și întreprinderile în fază de extindere</w:t>
      </w:r>
      <w:bookmarkEnd w:id="3"/>
      <w:bookmarkEnd w:id="4"/>
      <w:r>
        <w:t>, COM(2025) 270 final, 28 mai 2025.</w:t>
      </w:r>
    </w:p>
  </w:footnote>
  <w:footnote w:id="3">
    <w:p w:rsidR="00ED114F" w:rsidRPr="00B93E75" w:rsidRDefault="00ED114F">
      <w:pPr>
        <w:pStyle w:val="FootnoteText"/>
      </w:pPr>
      <w:r>
        <w:rPr>
          <w:rStyle w:val="FootnoteReference"/>
        </w:rPr>
        <w:footnoteRef/>
      </w:r>
      <w:r>
        <w:tab/>
        <w:t>Regulamentul (UE) nr. 651/2014 al Comisiei din 17 iunie 2014 de declarare a anumitor categorii de ajutoare compatibile cu piața internă în aplicarea articolelor 107 și 108 din tratat (JO L 187, 26.6.2014, p. 1, ELI: http://data.europa.eu/eli/reg/2014/651/oj).</w:t>
      </w:r>
    </w:p>
  </w:footnote>
  <w:footnote w:id="4">
    <w:p w:rsidR="009D6D2A" w:rsidRPr="00301338" w:rsidRDefault="009D6D2A">
      <w:pPr>
        <w:pStyle w:val="FootnoteText"/>
      </w:pPr>
      <w:r>
        <w:rPr>
          <w:rStyle w:val="FootnoteReference"/>
        </w:rPr>
        <w:footnoteRef/>
      </w:r>
      <w:r w:rsidRPr="00301338">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 ELI: http://data.europa.eu/eli/reg/2021/695/oj).</w:t>
      </w:r>
    </w:p>
  </w:footnote>
  <w:footnote w:id="5">
    <w:p w:rsidR="00330B87" w:rsidRPr="00301338" w:rsidRDefault="00330B87">
      <w:pPr>
        <w:pStyle w:val="FootnoteText"/>
      </w:pPr>
      <w:r>
        <w:rPr>
          <w:rStyle w:val="FootnoteReference"/>
        </w:rPr>
        <w:footnoteRef/>
      </w:r>
      <w:r w:rsidRPr="00301338">
        <w:tab/>
        <w:t>Acest lucru nu aduce atingere cerințelor suplimentare sau diferite care pot fi impuse pentru îndeplinirea obiectivelor viitoarelor inițiative de politică.</w:t>
      </w:r>
    </w:p>
  </w:footnote>
  <w:footnote w:id="6">
    <w:p w:rsidR="001979DE" w:rsidRPr="00B93E75" w:rsidRDefault="001979DE" w:rsidP="00705027">
      <w:pPr>
        <w:pStyle w:val="FootnoteText"/>
      </w:pPr>
      <w:r>
        <w:rPr>
          <w:rStyle w:val="FootnoteReference"/>
        </w:rPr>
        <w:footnoteRef/>
      </w:r>
      <w:r>
        <w:tab/>
        <w:t xml:space="preserve">De exemplu, OCDE, Manualul Frascati 2015, </w:t>
      </w:r>
      <w:r>
        <w:rPr>
          <w:i/>
        </w:rPr>
        <w:t>Guidelines for Collecting and Reporting Data on Research and Experimental Development</w:t>
      </w:r>
      <w:r>
        <w:t xml:space="preserve"> (Orientări pentru colectarea și raportarea datelor privind cercetarea și dezvoltarea experimentală).</w:t>
      </w:r>
    </w:p>
  </w:footnote>
  <w:footnote w:id="7">
    <w:p w:rsidR="00112069" w:rsidRPr="00273B14" w:rsidRDefault="00112069">
      <w:pPr>
        <w:pStyle w:val="FootnoteText"/>
      </w:pPr>
      <w:r>
        <w:rPr>
          <w:rStyle w:val="FootnoteReference"/>
        </w:rPr>
        <w:footnoteRef/>
      </w:r>
      <w:r>
        <w:tab/>
        <w:t>Recomandarea Comisiei din 6 mai 2003 privind definirea microîntreprinderilor și a întreprinderilor mici și mijlocii (JO L 124, 20.5.2003, p. 36, ELI: http://data.europa.eu/eli/reco/2003/361/oj).</w:t>
      </w:r>
    </w:p>
  </w:footnote>
  <w:footnote w:id="8">
    <w:p w:rsidR="00705027" w:rsidRPr="00E617A4" w:rsidRDefault="00705027">
      <w:pPr>
        <w:pStyle w:val="FootnoteText"/>
      </w:pPr>
      <w:r>
        <w:rPr>
          <w:rStyle w:val="FootnoteReference"/>
        </w:rPr>
        <w:footnoteRef/>
      </w:r>
      <w:r>
        <w:tab/>
        <w:t xml:space="preserve">Recomandarea (UE) 2025/1099 a Comisiei din 21 mai 2025 privind definiția întreprinderilor mici cu capitalizare medie. JO L, 2025/1099, 28.5.2025, ELI: </w:t>
      </w:r>
      <w:hyperlink r:id="rId1" w:history="1">
        <w:r>
          <w:rPr>
            <w:rStyle w:val="Hyperlink"/>
          </w:rPr>
          <w:t>http://data.europa.eu/eli/reco/2025/1099/oj</w:t>
        </w:r>
      </w:hyperlink>
    </w:p>
  </w:footnote>
  <w:footnote w:id="9">
    <w:p w:rsidR="00705027" w:rsidRPr="00E617A4" w:rsidRDefault="00705027" w:rsidP="00705027">
      <w:pPr>
        <w:pStyle w:val="FootnoteText"/>
      </w:pPr>
      <w:r>
        <w:rPr>
          <w:rStyle w:val="FootnoteReference"/>
        </w:rPr>
        <w:footnoteRef/>
      </w:r>
      <w:r>
        <w:tab/>
        <w:t xml:space="preserve">Recomandarea Comisiei din 6 mai 2003 privind definirea microîntreprinderilor și a întreprinderilor mici și mijlocii (Text cu relevanță pentru SEE) [notificat cu numărul de document C(2003) 1422]. JO L 124, 20.5.2003, p. 36-41, </w:t>
      </w:r>
      <w:r>
        <w:tab/>
        <w:t xml:space="preserve"> </w:t>
      </w:r>
      <w:r>
        <w:br/>
        <w:t xml:space="preserve">ELI: </w:t>
      </w:r>
      <w:hyperlink r:id="rId2" w:history="1">
        <w:r>
          <w:rPr>
            <w:rStyle w:val="Hyperlink"/>
          </w:rPr>
          <w:t>http://data.europa.eu/eli/reco/2003/361/oj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Pr="00D76B42" w:rsidRDefault="00D76B42" w:rsidP="00D76B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Default="00D76B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B42" w:rsidRDefault="00D76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AE886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DF224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C88105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06AD2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9"/>
  </w:num>
  <w:num w:numId="9">
    <w:abstractNumId w:val="18"/>
  </w:num>
  <w:num w:numId="10">
    <w:abstractNumId w:val="7"/>
  </w:num>
  <w:num w:numId="11">
    <w:abstractNumId w:val="10"/>
  </w:num>
  <w:num w:numId="12">
    <w:abstractNumId w:val="11"/>
  </w:num>
  <w:num w:numId="13">
    <w:abstractNumId w:val="5"/>
  </w:num>
  <w:num w:numId="14">
    <w:abstractNumId w:val="17"/>
  </w:num>
  <w:num w:numId="15">
    <w:abstractNumId w:val="4"/>
  </w:num>
  <w:num w:numId="16">
    <w:abstractNumId w:val="12"/>
  </w:num>
  <w:num w:numId="17">
    <w:abstractNumId w:val="14"/>
  </w:num>
  <w:num w:numId="18">
    <w:abstractNumId w:val="15"/>
  </w:num>
  <w:num w:numId="19">
    <w:abstractNumId w:val="6"/>
  </w:num>
  <w:num w:numId="20">
    <w:abstractNumId w:val="13"/>
  </w:num>
  <w:num w:numId="21">
    <w:abstractNumId w:val="19"/>
  </w:num>
  <w:num w:numId="22">
    <w:abstractNumId w:val="19"/>
    <w:lvlOverride w:ilvl="0">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5:15: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2E8E8C95-6307-403B-9268-21A6DED96B0B"/>
    <w:docVar w:name="LW_COVERPAGE_TYPE" w:val="1"/>
    <w:docVar w:name="LW_CreatedUtc" w:val="2025-10-27T10:10:54.9441800Z"/>
    <w:docVar w:name="LW_CROSSREFERENCE" w:val="&lt;UNUSED&gt;"/>
    <w:docVar w:name="LW_DATE.ADOPT.CP" w:val="din 18.3.2026"/>
    <w:docVar w:name="LW_DATE.ADOPT.CP_DATEFORMAT" w:val="din %DATE%"/>
    <w:docVar w:name="LW_DATE.ADOPT.CP_ISODATE" w:val="2026-03-18"/>
    <w:docVar w:name="LW_DocType" w:val="COM"/>
    <w:docVar w:name="LW_EMISSION" w:val="18.3.2026"/>
    <w:docVar w:name="LW_EMISSION_ISODATE" w:val="2026-03-18"/>
    <w:docVar w:name="LW_EMISSION_LOCATION" w:val="BRX"/>
    <w:docVar w:name="LW_EMISSION_PREFIX" w:val="Bruxelles, "/>
    <w:docVar w:name="LW_EMISSION_SUFFIX" w:val=" "/>
    <w:docVar w:name="LW_ID_DOCMODEL" w:val="SJ-014"/>
    <w:docVar w:name="LW_ID_DOCSIGNATURE" w:val="SJ-014"/>
    <w:docVar w:name="LW_ID_DOCSTRUCTURE" w:val="COM/AA/NOEEA"/>
    <w:docVar w:name="LW_ID_DOCTYPE" w:val="SJ-014"/>
    <w:docVar w:name="LW_LANGUE" w:val="RO"/>
    <w:docVar w:name="LW_LANGUESFAISANTFOI.CP" w:val="&lt;UNUSED&gt;"/>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1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defini\u539?ia întreprinderilor inovatoare, a start-upurilor inovatoare \u537?i a întreprinderilor inovatoare în faz\u259? de extindere"/>
    <w:docVar w:name="LW_TYPE.DOC.CP" w:val="RECOMANDAREA COMISIEI"/>
    <w:docVar w:name="LwApiVersions" w:val="LW4CoDe 1.24.5.0; LW 9.2, Build 20251112"/>
  </w:docVars>
  <w:rsids>
    <w:rsidRoot w:val="00D959F3"/>
    <w:rsid w:val="000001F6"/>
    <w:rsid w:val="00000C00"/>
    <w:rsid w:val="00002946"/>
    <w:rsid w:val="00004878"/>
    <w:rsid w:val="00004D36"/>
    <w:rsid w:val="00004EBE"/>
    <w:rsid w:val="00005600"/>
    <w:rsid w:val="000059FD"/>
    <w:rsid w:val="00012F6B"/>
    <w:rsid w:val="0001424C"/>
    <w:rsid w:val="000173BC"/>
    <w:rsid w:val="00020157"/>
    <w:rsid w:val="0002045E"/>
    <w:rsid w:val="000205A0"/>
    <w:rsid w:val="00020D63"/>
    <w:rsid w:val="00021447"/>
    <w:rsid w:val="000228F3"/>
    <w:rsid w:val="00022BAA"/>
    <w:rsid w:val="00025CDC"/>
    <w:rsid w:val="00026E0A"/>
    <w:rsid w:val="00026F28"/>
    <w:rsid w:val="00030E32"/>
    <w:rsid w:val="00031D0E"/>
    <w:rsid w:val="00031FEE"/>
    <w:rsid w:val="000340A3"/>
    <w:rsid w:val="00035904"/>
    <w:rsid w:val="00037104"/>
    <w:rsid w:val="0003754E"/>
    <w:rsid w:val="00040295"/>
    <w:rsid w:val="00040800"/>
    <w:rsid w:val="000412BB"/>
    <w:rsid w:val="00043171"/>
    <w:rsid w:val="00043719"/>
    <w:rsid w:val="0004423C"/>
    <w:rsid w:val="00044967"/>
    <w:rsid w:val="00045CBE"/>
    <w:rsid w:val="00046321"/>
    <w:rsid w:val="0004723B"/>
    <w:rsid w:val="000475DA"/>
    <w:rsid w:val="00047F37"/>
    <w:rsid w:val="00051231"/>
    <w:rsid w:val="000516A4"/>
    <w:rsid w:val="0005240F"/>
    <w:rsid w:val="00052505"/>
    <w:rsid w:val="00053064"/>
    <w:rsid w:val="00053780"/>
    <w:rsid w:val="00054A80"/>
    <w:rsid w:val="00054F56"/>
    <w:rsid w:val="00055D77"/>
    <w:rsid w:val="0005643B"/>
    <w:rsid w:val="00056504"/>
    <w:rsid w:val="000600D1"/>
    <w:rsid w:val="00064531"/>
    <w:rsid w:val="00067134"/>
    <w:rsid w:val="00067768"/>
    <w:rsid w:val="00070CDE"/>
    <w:rsid w:val="0007114D"/>
    <w:rsid w:val="000711CA"/>
    <w:rsid w:val="000724D0"/>
    <w:rsid w:val="0007311E"/>
    <w:rsid w:val="00073E0C"/>
    <w:rsid w:val="0007534C"/>
    <w:rsid w:val="000776FF"/>
    <w:rsid w:val="00080FB1"/>
    <w:rsid w:val="000818E4"/>
    <w:rsid w:val="00081B47"/>
    <w:rsid w:val="00082012"/>
    <w:rsid w:val="0008216A"/>
    <w:rsid w:val="00082A3D"/>
    <w:rsid w:val="000836C2"/>
    <w:rsid w:val="00084B0F"/>
    <w:rsid w:val="00087592"/>
    <w:rsid w:val="00093CA0"/>
    <w:rsid w:val="0009580D"/>
    <w:rsid w:val="00095EE0"/>
    <w:rsid w:val="000977F8"/>
    <w:rsid w:val="000978F4"/>
    <w:rsid w:val="000A1AC9"/>
    <w:rsid w:val="000A22B9"/>
    <w:rsid w:val="000A2BBC"/>
    <w:rsid w:val="000A3B00"/>
    <w:rsid w:val="000A3DA2"/>
    <w:rsid w:val="000A4B0A"/>
    <w:rsid w:val="000A5AF3"/>
    <w:rsid w:val="000A6671"/>
    <w:rsid w:val="000A6F56"/>
    <w:rsid w:val="000A762A"/>
    <w:rsid w:val="000A7993"/>
    <w:rsid w:val="000B0678"/>
    <w:rsid w:val="000B08FF"/>
    <w:rsid w:val="000B48FB"/>
    <w:rsid w:val="000B5656"/>
    <w:rsid w:val="000B58AB"/>
    <w:rsid w:val="000B5ED8"/>
    <w:rsid w:val="000B6906"/>
    <w:rsid w:val="000B76F3"/>
    <w:rsid w:val="000C05A9"/>
    <w:rsid w:val="000C0D51"/>
    <w:rsid w:val="000C1CBE"/>
    <w:rsid w:val="000C2E91"/>
    <w:rsid w:val="000C4BD1"/>
    <w:rsid w:val="000C5286"/>
    <w:rsid w:val="000C533F"/>
    <w:rsid w:val="000C58A5"/>
    <w:rsid w:val="000C5D82"/>
    <w:rsid w:val="000C7255"/>
    <w:rsid w:val="000C7D80"/>
    <w:rsid w:val="000D0262"/>
    <w:rsid w:val="000D0C33"/>
    <w:rsid w:val="000D2D03"/>
    <w:rsid w:val="000D4DCB"/>
    <w:rsid w:val="000D5018"/>
    <w:rsid w:val="000D628D"/>
    <w:rsid w:val="000D70C3"/>
    <w:rsid w:val="000D73A4"/>
    <w:rsid w:val="000D7A06"/>
    <w:rsid w:val="000E0183"/>
    <w:rsid w:val="000E020B"/>
    <w:rsid w:val="000E0435"/>
    <w:rsid w:val="000E1251"/>
    <w:rsid w:val="000E2243"/>
    <w:rsid w:val="000E29F2"/>
    <w:rsid w:val="000E33E3"/>
    <w:rsid w:val="000E3EAE"/>
    <w:rsid w:val="000E44F5"/>
    <w:rsid w:val="000E60F7"/>
    <w:rsid w:val="000E6ED6"/>
    <w:rsid w:val="000E6EF1"/>
    <w:rsid w:val="000E72C4"/>
    <w:rsid w:val="000E772D"/>
    <w:rsid w:val="000F02A7"/>
    <w:rsid w:val="000F0A69"/>
    <w:rsid w:val="000F0F37"/>
    <w:rsid w:val="000F155F"/>
    <w:rsid w:val="000F185B"/>
    <w:rsid w:val="000F29D8"/>
    <w:rsid w:val="000F5011"/>
    <w:rsid w:val="000F5C7C"/>
    <w:rsid w:val="000F61A6"/>
    <w:rsid w:val="000F621C"/>
    <w:rsid w:val="000F6C5C"/>
    <w:rsid w:val="000F6DFB"/>
    <w:rsid w:val="000F7673"/>
    <w:rsid w:val="000F7FB9"/>
    <w:rsid w:val="00100D12"/>
    <w:rsid w:val="00100E9C"/>
    <w:rsid w:val="00102246"/>
    <w:rsid w:val="001022BB"/>
    <w:rsid w:val="00103034"/>
    <w:rsid w:val="00104248"/>
    <w:rsid w:val="00105154"/>
    <w:rsid w:val="00105497"/>
    <w:rsid w:val="001065F5"/>
    <w:rsid w:val="00106B1D"/>
    <w:rsid w:val="00107A13"/>
    <w:rsid w:val="00107AC5"/>
    <w:rsid w:val="0011025B"/>
    <w:rsid w:val="001115DA"/>
    <w:rsid w:val="00112069"/>
    <w:rsid w:val="00112443"/>
    <w:rsid w:val="00113358"/>
    <w:rsid w:val="001136AD"/>
    <w:rsid w:val="00113736"/>
    <w:rsid w:val="00114CEF"/>
    <w:rsid w:val="00115452"/>
    <w:rsid w:val="001159F4"/>
    <w:rsid w:val="001165EC"/>
    <w:rsid w:val="001212FE"/>
    <w:rsid w:val="00121A18"/>
    <w:rsid w:val="00122583"/>
    <w:rsid w:val="001227BB"/>
    <w:rsid w:val="00122DC3"/>
    <w:rsid w:val="00123805"/>
    <w:rsid w:val="001238EF"/>
    <w:rsid w:val="00123AEC"/>
    <w:rsid w:val="00123D5C"/>
    <w:rsid w:val="00125117"/>
    <w:rsid w:val="0012561F"/>
    <w:rsid w:val="00126661"/>
    <w:rsid w:val="00126FE8"/>
    <w:rsid w:val="00130662"/>
    <w:rsid w:val="001314AA"/>
    <w:rsid w:val="00131606"/>
    <w:rsid w:val="001327D1"/>
    <w:rsid w:val="00132CAD"/>
    <w:rsid w:val="0013376F"/>
    <w:rsid w:val="00133D2B"/>
    <w:rsid w:val="00135DCA"/>
    <w:rsid w:val="001366CA"/>
    <w:rsid w:val="001375F6"/>
    <w:rsid w:val="00140C4C"/>
    <w:rsid w:val="001435EA"/>
    <w:rsid w:val="00143901"/>
    <w:rsid w:val="00145ECB"/>
    <w:rsid w:val="00147A9E"/>
    <w:rsid w:val="0015097A"/>
    <w:rsid w:val="0015135A"/>
    <w:rsid w:val="00151799"/>
    <w:rsid w:val="00151B04"/>
    <w:rsid w:val="0015226C"/>
    <w:rsid w:val="001534E7"/>
    <w:rsid w:val="001535B2"/>
    <w:rsid w:val="001549CA"/>
    <w:rsid w:val="00157A1D"/>
    <w:rsid w:val="00157A8B"/>
    <w:rsid w:val="00157B81"/>
    <w:rsid w:val="00157CDB"/>
    <w:rsid w:val="00160009"/>
    <w:rsid w:val="00160C76"/>
    <w:rsid w:val="001625C3"/>
    <w:rsid w:val="0016305A"/>
    <w:rsid w:val="00164B64"/>
    <w:rsid w:val="0016576C"/>
    <w:rsid w:val="00165ACB"/>
    <w:rsid w:val="00165E8A"/>
    <w:rsid w:val="00166E8E"/>
    <w:rsid w:val="00167B8F"/>
    <w:rsid w:val="00170DD2"/>
    <w:rsid w:val="00170EBA"/>
    <w:rsid w:val="00171A35"/>
    <w:rsid w:val="00172E0C"/>
    <w:rsid w:val="00173247"/>
    <w:rsid w:val="001741CF"/>
    <w:rsid w:val="00175611"/>
    <w:rsid w:val="00175877"/>
    <w:rsid w:val="00175D8F"/>
    <w:rsid w:val="00176112"/>
    <w:rsid w:val="0017638A"/>
    <w:rsid w:val="001764CF"/>
    <w:rsid w:val="001778A4"/>
    <w:rsid w:val="00177A38"/>
    <w:rsid w:val="00180B94"/>
    <w:rsid w:val="001814F6"/>
    <w:rsid w:val="00181C18"/>
    <w:rsid w:val="00181F1F"/>
    <w:rsid w:val="00182115"/>
    <w:rsid w:val="001821AF"/>
    <w:rsid w:val="00182C65"/>
    <w:rsid w:val="0018305B"/>
    <w:rsid w:val="0018390E"/>
    <w:rsid w:val="00184752"/>
    <w:rsid w:val="00184C03"/>
    <w:rsid w:val="0018763B"/>
    <w:rsid w:val="0019095F"/>
    <w:rsid w:val="001918DC"/>
    <w:rsid w:val="001919D9"/>
    <w:rsid w:val="00191D59"/>
    <w:rsid w:val="001923AA"/>
    <w:rsid w:val="00192501"/>
    <w:rsid w:val="00194AEE"/>
    <w:rsid w:val="00194C83"/>
    <w:rsid w:val="001954A2"/>
    <w:rsid w:val="0019641D"/>
    <w:rsid w:val="00196D7F"/>
    <w:rsid w:val="00197613"/>
    <w:rsid w:val="001979DE"/>
    <w:rsid w:val="00197D97"/>
    <w:rsid w:val="001A0453"/>
    <w:rsid w:val="001A060D"/>
    <w:rsid w:val="001A0AC2"/>
    <w:rsid w:val="001A224D"/>
    <w:rsid w:val="001A2534"/>
    <w:rsid w:val="001A286F"/>
    <w:rsid w:val="001A2AEE"/>
    <w:rsid w:val="001A38AA"/>
    <w:rsid w:val="001A3A3E"/>
    <w:rsid w:val="001A57A7"/>
    <w:rsid w:val="001A7A59"/>
    <w:rsid w:val="001A7B07"/>
    <w:rsid w:val="001B0502"/>
    <w:rsid w:val="001B05F5"/>
    <w:rsid w:val="001B0954"/>
    <w:rsid w:val="001B11BC"/>
    <w:rsid w:val="001B1DF2"/>
    <w:rsid w:val="001B3A0C"/>
    <w:rsid w:val="001B3AAA"/>
    <w:rsid w:val="001B6229"/>
    <w:rsid w:val="001B7388"/>
    <w:rsid w:val="001C0577"/>
    <w:rsid w:val="001C0688"/>
    <w:rsid w:val="001C0AAC"/>
    <w:rsid w:val="001C403F"/>
    <w:rsid w:val="001C432C"/>
    <w:rsid w:val="001C454C"/>
    <w:rsid w:val="001C4751"/>
    <w:rsid w:val="001C655B"/>
    <w:rsid w:val="001C6AE3"/>
    <w:rsid w:val="001C6F94"/>
    <w:rsid w:val="001C7EC9"/>
    <w:rsid w:val="001D2F50"/>
    <w:rsid w:val="001D31D2"/>
    <w:rsid w:val="001D34EC"/>
    <w:rsid w:val="001D37A2"/>
    <w:rsid w:val="001D3D3D"/>
    <w:rsid w:val="001D3FCE"/>
    <w:rsid w:val="001D4925"/>
    <w:rsid w:val="001D5E43"/>
    <w:rsid w:val="001D6D59"/>
    <w:rsid w:val="001D7045"/>
    <w:rsid w:val="001D70A7"/>
    <w:rsid w:val="001E05B0"/>
    <w:rsid w:val="001E05FB"/>
    <w:rsid w:val="001E0A9C"/>
    <w:rsid w:val="001E0BF8"/>
    <w:rsid w:val="001E209B"/>
    <w:rsid w:val="001E3B53"/>
    <w:rsid w:val="001E3B5B"/>
    <w:rsid w:val="001E5688"/>
    <w:rsid w:val="001E66BA"/>
    <w:rsid w:val="001E7077"/>
    <w:rsid w:val="001E722E"/>
    <w:rsid w:val="001E7F52"/>
    <w:rsid w:val="001F0829"/>
    <w:rsid w:val="001F1A2C"/>
    <w:rsid w:val="001F23CB"/>
    <w:rsid w:val="001F5B3B"/>
    <w:rsid w:val="001F737C"/>
    <w:rsid w:val="001F7541"/>
    <w:rsid w:val="00202C50"/>
    <w:rsid w:val="00204E99"/>
    <w:rsid w:val="002051BB"/>
    <w:rsid w:val="00205468"/>
    <w:rsid w:val="00205853"/>
    <w:rsid w:val="00206662"/>
    <w:rsid w:val="0020672C"/>
    <w:rsid w:val="00207409"/>
    <w:rsid w:val="00207B5F"/>
    <w:rsid w:val="00210BFF"/>
    <w:rsid w:val="0021145D"/>
    <w:rsid w:val="00211BA3"/>
    <w:rsid w:val="00211DB2"/>
    <w:rsid w:val="002139E5"/>
    <w:rsid w:val="00216D49"/>
    <w:rsid w:val="0022043B"/>
    <w:rsid w:val="00220765"/>
    <w:rsid w:val="0022090F"/>
    <w:rsid w:val="00220930"/>
    <w:rsid w:val="00221507"/>
    <w:rsid w:val="0022259D"/>
    <w:rsid w:val="00222A7B"/>
    <w:rsid w:val="00225B66"/>
    <w:rsid w:val="00227877"/>
    <w:rsid w:val="00227A45"/>
    <w:rsid w:val="00231440"/>
    <w:rsid w:val="00231DA0"/>
    <w:rsid w:val="002330DB"/>
    <w:rsid w:val="00233220"/>
    <w:rsid w:val="00233A44"/>
    <w:rsid w:val="00233DC7"/>
    <w:rsid w:val="00235525"/>
    <w:rsid w:val="00235992"/>
    <w:rsid w:val="002365C4"/>
    <w:rsid w:val="00236A48"/>
    <w:rsid w:val="00237976"/>
    <w:rsid w:val="00241682"/>
    <w:rsid w:val="0024230A"/>
    <w:rsid w:val="00242791"/>
    <w:rsid w:val="00242DB5"/>
    <w:rsid w:val="00242F8A"/>
    <w:rsid w:val="00244F72"/>
    <w:rsid w:val="002470AB"/>
    <w:rsid w:val="00247779"/>
    <w:rsid w:val="00250541"/>
    <w:rsid w:val="00252012"/>
    <w:rsid w:val="00253B22"/>
    <w:rsid w:val="00253F7F"/>
    <w:rsid w:val="00253F80"/>
    <w:rsid w:val="00255460"/>
    <w:rsid w:val="002577DE"/>
    <w:rsid w:val="00261BA5"/>
    <w:rsid w:val="00263BA1"/>
    <w:rsid w:val="00263D19"/>
    <w:rsid w:val="0026511E"/>
    <w:rsid w:val="00266AA8"/>
    <w:rsid w:val="0026721D"/>
    <w:rsid w:val="00267CF1"/>
    <w:rsid w:val="00267F74"/>
    <w:rsid w:val="00270B06"/>
    <w:rsid w:val="00271373"/>
    <w:rsid w:val="00271AD9"/>
    <w:rsid w:val="00272027"/>
    <w:rsid w:val="00272518"/>
    <w:rsid w:val="00272833"/>
    <w:rsid w:val="00273B14"/>
    <w:rsid w:val="00273FDF"/>
    <w:rsid w:val="00276180"/>
    <w:rsid w:val="002763A1"/>
    <w:rsid w:val="00277EBA"/>
    <w:rsid w:val="00280F38"/>
    <w:rsid w:val="00281D06"/>
    <w:rsid w:val="00283BCD"/>
    <w:rsid w:val="0028419D"/>
    <w:rsid w:val="00285BEE"/>
    <w:rsid w:val="002867B7"/>
    <w:rsid w:val="00286F15"/>
    <w:rsid w:val="00290FD2"/>
    <w:rsid w:val="00291E65"/>
    <w:rsid w:val="0029399C"/>
    <w:rsid w:val="00293DEC"/>
    <w:rsid w:val="00294B77"/>
    <w:rsid w:val="00295127"/>
    <w:rsid w:val="0029533F"/>
    <w:rsid w:val="00295804"/>
    <w:rsid w:val="0029628E"/>
    <w:rsid w:val="00296A1E"/>
    <w:rsid w:val="002971E2"/>
    <w:rsid w:val="002A04B3"/>
    <w:rsid w:val="002A08DA"/>
    <w:rsid w:val="002A09A0"/>
    <w:rsid w:val="002A400C"/>
    <w:rsid w:val="002A42DA"/>
    <w:rsid w:val="002A43E4"/>
    <w:rsid w:val="002A5172"/>
    <w:rsid w:val="002A5559"/>
    <w:rsid w:val="002A5EED"/>
    <w:rsid w:val="002A692A"/>
    <w:rsid w:val="002A6C33"/>
    <w:rsid w:val="002A6D11"/>
    <w:rsid w:val="002A7780"/>
    <w:rsid w:val="002A7D61"/>
    <w:rsid w:val="002B11E6"/>
    <w:rsid w:val="002B1E17"/>
    <w:rsid w:val="002B20D9"/>
    <w:rsid w:val="002B2642"/>
    <w:rsid w:val="002B2B7D"/>
    <w:rsid w:val="002B30AF"/>
    <w:rsid w:val="002B325A"/>
    <w:rsid w:val="002B4016"/>
    <w:rsid w:val="002B58A3"/>
    <w:rsid w:val="002B61B2"/>
    <w:rsid w:val="002C015B"/>
    <w:rsid w:val="002C15DA"/>
    <w:rsid w:val="002C21E9"/>
    <w:rsid w:val="002C321F"/>
    <w:rsid w:val="002C350B"/>
    <w:rsid w:val="002C39C1"/>
    <w:rsid w:val="002C4AC4"/>
    <w:rsid w:val="002C6A9E"/>
    <w:rsid w:val="002C6D9B"/>
    <w:rsid w:val="002C7B3D"/>
    <w:rsid w:val="002D000F"/>
    <w:rsid w:val="002D234F"/>
    <w:rsid w:val="002D4314"/>
    <w:rsid w:val="002D4F11"/>
    <w:rsid w:val="002D6506"/>
    <w:rsid w:val="002D661E"/>
    <w:rsid w:val="002D6819"/>
    <w:rsid w:val="002E11FB"/>
    <w:rsid w:val="002E17CC"/>
    <w:rsid w:val="002E1F22"/>
    <w:rsid w:val="002E37EE"/>
    <w:rsid w:val="002E4D91"/>
    <w:rsid w:val="002E4FC3"/>
    <w:rsid w:val="002E5863"/>
    <w:rsid w:val="002E5B23"/>
    <w:rsid w:val="002E5CBD"/>
    <w:rsid w:val="002E758F"/>
    <w:rsid w:val="002E75C6"/>
    <w:rsid w:val="002F1015"/>
    <w:rsid w:val="002F2530"/>
    <w:rsid w:val="002F25C5"/>
    <w:rsid w:val="002F40B6"/>
    <w:rsid w:val="002F5AC1"/>
    <w:rsid w:val="002F71D7"/>
    <w:rsid w:val="002F7A51"/>
    <w:rsid w:val="002FC027"/>
    <w:rsid w:val="0030000A"/>
    <w:rsid w:val="0030000E"/>
    <w:rsid w:val="00300EBA"/>
    <w:rsid w:val="00301338"/>
    <w:rsid w:val="00301428"/>
    <w:rsid w:val="003018C1"/>
    <w:rsid w:val="00302C7E"/>
    <w:rsid w:val="003032A8"/>
    <w:rsid w:val="00306045"/>
    <w:rsid w:val="003066E1"/>
    <w:rsid w:val="00311151"/>
    <w:rsid w:val="00311C39"/>
    <w:rsid w:val="003125DE"/>
    <w:rsid w:val="003126F9"/>
    <w:rsid w:val="00313089"/>
    <w:rsid w:val="003149BA"/>
    <w:rsid w:val="00314FFD"/>
    <w:rsid w:val="0031507C"/>
    <w:rsid w:val="00315EA0"/>
    <w:rsid w:val="0031631B"/>
    <w:rsid w:val="003173BA"/>
    <w:rsid w:val="00321D57"/>
    <w:rsid w:val="00321FB6"/>
    <w:rsid w:val="00323FF0"/>
    <w:rsid w:val="00324DC6"/>
    <w:rsid w:val="00324F6A"/>
    <w:rsid w:val="00325C73"/>
    <w:rsid w:val="00330192"/>
    <w:rsid w:val="003309A7"/>
    <w:rsid w:val="00330B87"/>
    <w:rsid w:val="00331C70"/>
    <w:rsid w:val="00332397"/>
    <w:rsid w:val="00332AEC"/>
    <w:rsid w:val="0033340C"/>
    <w:rsid w:val="0033344A"/>
    <w:rsid w:val="003338FD"/>
    <w:rsid w:val="00333978"/>
    <w:rsid w:val="00333D27"/>
    <w:rsid w:val="00334D4F"/>
    <w:rsid w:val="0033514E"/>
    <w:rsid w:val="00336DA1"/>
    <w:rsid w:val="003403CC"/>
    <w:rsid w:val="00341A56"/>
    <w:rsid w:val="00341D28"/>
    <w:rsid w:val="00342260"/>
    <w:rsid w:val="00343760"/>
    <w:rsid w:val="00344604"/>
    <w:rsid w:val="003446F7"/>
    <w:rsid w:val="003450F8"/>
    <w:rsid w:val="00345D9E"/>
    <w:rsid w:val="003505FC"/>
    <w:rsid w:val="0035102B"/>
    <w:rsid w:val="00351720"/>
    <w:rsid w:val="00351791"/>
    <w:rsid w:val="00355010"/>
    <w:rsid w:val="00355910"/>
    <w:rsid w:val="00355961"/>
    <w:rsid w:val="00357B28"/>
    <w:rsid w:val="003615FB"/>
    <w:rsid w:val="00362379"/>
    <w:rsid w:val="00362A0C"/>
    <w:rsid w:val="003633EE"/>
    <w:rsid w:val="00364737"/>
    <w:rsid w:val="003668F5"/>
    <w:rsid w:val="00366B2F"/>
    <w:rsid w:val="00366E8A"/>
    <w:rsid w:val="0037352C"/>
    <w:rsid w:val="00373885"/>
    <w:rsid w:val="00373E28"/>
    <w:rsid w:val="00373E6F"/>
    <w:rsid w:val="003746B1"/>
    <w:rsid w:val="0037629C"/>
    <w:rsid w:val="00376319"/>
    <w:rsid w:val="003769E5"/>
    <w:rsid w:val="0038067C"/>
    <w:rsid w:val="003807AF"/>
    <w:rsid w:val="00380AD6"/>
    <w:rsid w:val="00380C01"/>
    <w:rsid w:val="00382457"/>
    <w:rsid w:val="00382B4B"/>
    <w:rsid w:val="003833D1"/>
    <w:rsid w:val="00384135"/>
    <w:rsid w:val="00385450"/>
    <w:rsid w:val="00386323"/>
    <w:rsid w:val="00387038"/>
    <w:rsid w:val="00387D0C"/>
    <w:rsid w:val="00392984"/>
    <w:rsid w:val="00394CDB"/>
    <w:rsid w:val="00395E17"/>
    <w:rsid w:val="003961B7"/>
    <w:rsid w:val="003962BC"/>
    <w:rsid w:val="003968CF"/>
    <w:rsid w:val="00397049"/>
    <w:rsid w:val="00397249"/>
    <w:rsid w:val="0039750A"/>
    <w:rsid w:val="003A1435"/>
    <w:rsid w:val="003A1AA6"/>
    <w:rsid w:val="003A22DE"/>
    <w:rsid w:val="003A2F5B"/>
    <w:rsid w:val="003A40DB"/>
    <w:rsid w:val="003A4142"/>
    <w:rsid w:val="003A4589"/>
    <w:rsid w:val="003A5266"/>
    <w:rsid w:val="003A54E0"/>
    <w:rsid w:val="003A5B98"/>
    <w:rsid w:val="003A5CBF"/>
    <w:rsid w:val="003A66B0"/>
    <w:rsid w:val="003A6AEF"/>
    <w:rsid w:val="003A6CDE"/>
    <w:rsid w:val="003B0C0F"/>
    <w:rsid w:val="003B35EE"/>
    <w:rsid w:val="003B4B40"/>
    <w:rsid w:val="003B5BF7"/>
    <w:rsid w:val="003B6D7F"/>
    <w:rsid w:val="003B7C9E"/>
    <w:rsid w:val="003B7E0D"/>
    <w:rsid w:val="003C1377"/>
    <w:rsid w:val="003C1400"/>
    <w:rsid w:val="003C1BBE"/>
    <w:rsid w:val="003C21D9"/>
    <w:rsid w:val="003C2562"/>
    <w:rsid w:val="003C34D7"/>
    <w:rsid w:val="003C38D5"/>
    <w:rsid w:val="003C70BA"/>
    <w:rsid w:val="003C74DA"/>
    <w:rsid w:val="003C7978"/>
    <w:rsid w:val="003D1226"/>
    <w:rsid w:val="003D17E3"/>
    <w:rsid w:val="003D1E4F"/>
    <w:rsid w:val="003D3AF4"/>
    <w:rsid w:val="003D42F4"/>
    <w:rsid w:val="003D5696"/>
    <w:rsid w:val="003D6F14"/>
    <w:rsid w:val="003D7456"/>
    <w:rsid w:val="003D7571"/>
    <w:rsid w:val="003E0083"/>
    <w:rsid w:val="003E0A1F"/>
    <w:rsid w:val="003E28B5"/>
    <w:rsid w:val="003E327D"/>
    <w:rsid w:val="003E3524"/>
    <w:rsid w:val="003E3695"/>
    <w:rsid w:val="003E41FE"/>
    <w:rsid w:val="003E461D"/>
    <w:rsid w:val="003E54C7"/>
    <w:rsid w:val="003E6745"/>
    <w:rsid w:val="003E7D90"/>
    <w:rsid w:val="003F3169"/>
    <w:rsid w:val="003F359A"/>
    <w:rsid w:val="003F63E9"/>
    <w:rsid w:val="003F7063"/>
    <w:rsid w:val="003F79B2"/>
    <w:rsid w:val="0040024E"/>
    <w:rsid w:val="0040228D"/>
    <w:rsid w:val="00402D23"/>
    <w:rsid w:val="00402DAC"/>
    <w:rsid w:val="00402FB1"/>
    <w:rsid w:val="004034AE"/>
    <w:rsid w:val="00403BCA"/>
    <w:rsid w:val="00404AAD"/>
    <w:rsid w:val="004055A3"/>
    <w:rsid w:val="00405F68"/>
    <w:rsid w:val="004069E5"/>
    <w:rsid w:val="00406A82"/>
    <w:rsid w:val="00406DBB"/>
    <w:rsid w:val="004079C3"/>
    <w:rsid w:val="004103FF"/>
    <w:rsid w:val="00410E9B"/>
    <w:rsid w:val="00411EE2"/>
    <w:rsid w:val="00412224"/>
    <w:rsid w:val="004128F9"/>
    <w:rsid w:val="00412F27"/>
    <w:rsid w:val="00413224"/>
    <w:rsid w:val="00414548"/>
    <w:rsid w:val="00414A93"/>
    <w:rsid w:val="00415060"/>
    <w:rsid w:val="004167A1"/>
    <w:rsid w:val="0041785A"/>
    <w:rsid w:val="0042070D"/>
    <w:rsid w:val="004208C5"/>
    <w:rsid w:val="00421419"/>
    <w:rsid w:val="00422099"/>
    <w:rsid w:val="004237DC"/>
    <w:rsid w:val="00423F60"/>
    <w:rsid w:val="004246DB"/>
    <w:rsid w:val="00424C10"/>
    <w:rsid w:val="004263EC"/>
    <w:rsid w:val="0042648E"/>
    <w:rsid w:val="0042762D"/>
    <w:rsid w:val="00430EC3"/>
    <w:rsid w:val="00431AE3"/>
    <w:rsid w:val="00432CA2"/>
    <w:rsid w:val="00433402"/>
    <w:rsid w:val="00433415"/>
    <w:rsid w:val="00433DE0"/>
    <w:rsid w:val="00434ABC"/>
    <w:rsid w:val="00435374"/>
    <w:rsid w:val="00435812"/>
    <w:rsid w:val="00435BDF"/>
    <w:rsid w:val="00436DBB"/>
    <w:rsid w:val="00437537"/>
    <w:rsid w:val="00437995"/>
    <w:rsid w:val="00440422"/>
    <w:rsid w:val="004405D5"/>
    <w:rsid w:val="004413C7"/>
    <w:rsid w:val="00441798"/>
    <w:rsid w:val="0044188B"/>
    <w:rsid w:val="00443450"/>
    <w:rsid w:val="004439F3"/>
    <w:rsid w:val="00443B07"/>
    <w:rsid w:val="004503E9"/>
    <w:rsid w:val="00450FC9"/>
    <w:rsid w:val="00451968"/>
    <w:rsid w:val="004528C8"/>
    <w:rsid w:val="00453B26"/>
    <w:rsid w:val="00453D31"/>
    <w:rsid w:val="004553C6"/>
    <w:rsid w:val="0045542A"/>
    <w:rsid w:val="0045605B"/>
    <w:rsid w:val="00456DEE"/>
    <w:rsid w:val="004579F6"/>
    <w:rsid w:val="004609CA"/>
    <w:rsid w:val="00460DBD"/>
    <w:rsid w:val="00461CE7"/>
    <w:rsid w:val="00462D4E"/>
    <w:rsid w:val="00463428"/>
    <w:rsid w:val="00464BED"/>
    <w:rsid w:val="0046585D"/>
    <w:rsid w:val="00466B96"/>
    <w:rsid w:val="00467C0B"/>
    <w:rsid w:val="00471BD2"/>
    <w:rsid w:val="0047222E"/>
    <w:rsid w:val="00472BE3"/>
    <w:rsid w:val="00472F96"/>
    <w:rsid w:val="00473F95"/>
    <w:rsid w:val="004742F6"/>
    <w:rsid w:val="0047477E"/>
    <w:rsid w:val="004748B9"/>
    <w:rsid w:val="00475C90"/>
    <w:rsid w:val="00475F09"/>
    <w:rsid w:val="00476CD2"/>
    <w:rsid w:val="00477F0B"/>
    <w:rsid w:val="00481615"/>
    <w:rsid w:val="004823D6"/>
    <w:rsid w:val="004828DA"/>
    <w:rsid w:val="00482DF0"/>
    <w:rsid w:val="00483689"/>
    <w:rsid w:val="0048373A"/>
    <w:rsid w:val="004841C6"/>
    <w:rsid w:val="004844A6"/>
    <w:rsid w:val="00485E57"/>
    <w:rsid w:val="00486B52"/>
    <w:rsid w:val="0048776A"/>
    <w:rsid w:val="00487EAA"/>
    <w:rsid w:val="0049007D"/>
    <w:rsid w:val="004916A7"/>
    <w:rsid w:val="004924A5"/>
    <w:rsid w:val="00492A72"/>
    <w:rsid w:val="00493604"/>
    <w:rsid w:val="004936D2"/>
    <w:rsid w:val="00493AB4"/>
    <w:rsid w:val="00495C3F"/>
    <w:rsid w:val="004A178C"/>
    <w:rsid w:val="004A23C0"/>
    <w:rsid w:val="004A54FC"/>
    <w:rsid w:val="004A583D"/>
    <w:rsid w:val="004A671E"/>
    <w:rsid w:val="004A6C86"/>
    <w:rsid w:val="004A7EEE"/>
    <w:rsid w:val="004A7F91"/>
    <w:rsid w:val="004A7FAE"/>
    <w:rsid w:val="004B061B"/>
    <w:rsid w:val="004B074E"/>
    <w:rsid w:val="004B0A9D"/>
    <w:rsid w:val="004B0C9C"/>
    <w:rsid w:val="004B254B"/>
    <w:rsid w:val="004B2582"/>
    <w:rsid w:val="004B2A9F"/>
    <w:rsid w:val="004B2D77"/>
    <w:rsid w:val="004B2E9E"/>
    <w:rsid w:val="004B3271"/>
    <w:rsid w:val="004B37D8"/>
    <w:rsid w:val="004B3AA3"/>
    <w:rsid w:val="004B4B1F"/>
    <w:rsid w:val="004B4C0E"/>
    <w:rsid w:val="004B4D50"/>
    <w:rsid w:val="004B5A03"/>
    <w:rsid w:val="004C0CE1"/>
    <w:rsid w:val="004C190E"/>
    <w:rsid w:val="004C1D18"/>
    <w:rsid w:val="004C3197"/>
    <w:rsid w:val="004C4416"/>
    <w:rsid w:val="004C4D2B"/>
    <w:rsid w:val="004C70A5"/>
    <w:rsid w:val="004C78CC"/>
    <w:rsid w:val="004C7F50"/>
    <w:rsid w:val="004D027A"/>
    <w:rsid w:val="004D1A1C"/>
    <w:rsid w:val="004D1A44"/>
    <w:rsid w:val="004D4224"/>
    <w:rsid w:val="004D47D4"/>
    <w:rsid w:val="004D4C24"/>
    <w:rsid w:val="004D5D5D"/>
    <w:rsid w:val="004D6567"/>
    <w:rsid w:val="004D72AA"/>
    <w:rsid w:val="004E24A4"/>
    <w:rsid w:val="004E40A0"/>
    <w:rsid w:val="004E529D"/>
    <w:rsid w:val="004E5F4C"/>
    <w:rsid w:val="004E666D"/>
    <w:rsid w:val="004E69E6"/>
    <w:rsid w:val="004E6B4F"/>
    <w:rsid w:val="004E7796"/>
    <w:rsid w:val="004E7C2D"/>
    <w:rsid w:val="004F1C61"/>
    <w:rsid w:val="004F5176"/>
    <w:rsid w:val="004F52B2"/>
    <w:rsid w:val="004F649F"/>
    <w:rsid w:val="004F763F"/>
    <w:rsid w:val="005002B3"/>
    <w:rsid w:val="00500B65"/>
    <w:rsid w:val="00500DD2"/>
    <w:rsid w:val="00503751"/>
    <w:rsid w:val="00503F3C"/>
    <w:rsid w:val="00504284"/>
    <w:rsid w:val="00504620"/>
    <w:rsid w:val="005076EB"/>
    <w:rsid w:val="005105F3"/>
    <w:rsid w:val="005108F9"/>
    <w:rsid w:val="00510B5D"/>
    <w:rsid w:val="00512B0E"/>
    <w:rsid w:val="005133EF"/>
    <w:rsid w:val="0051371F"/>
    <w:rsid w:val="005138D2"/>
    <w:rsid w:val="00513F14"/>
    <w:rsid w:val="00515926"/>
    <w:rsid w:val="00516C30"/>
    <w:rsid w:val="005175C2"/>
    <w:rsid w:val="00517ADE"/>
    <w:rsid w:val="0052048C"/>
    <w:rsid w:val="00521B2D"/>
    <w:rsid w:val="00522BFA"/>
    <w:rsid w:val="005238A2"/>
    <w:rsid w:val="005255EC"/>
    <w:rsid w:val="00525B21"/>
    <w:rsid w:val="0052628C"/>
    <w:rsid w:val="005319B0"/>
    <w:rsid w:val="00531FED"/>
    <w:rsid w:val="00532B88"/>
    <w:rsid w:val="005333F0"/>
    <w:rsid w:val="00533688"/>
    <w:rsid w:val="005336AA"/>
    <w:rsid w:val="00535BBC"/>
    <w:rsid w:val="00535CAC"/>
    <w:rsid w:val="005373C9"/>
    <w:rsid w:val="00537A88"/>
    <w:rsid w:val="0054195D"/>
    <w:rsid w:val="005421BA"/>
    <w:rsid w:val="0054636F"/>
    <w:rsid w:val="0054637B"/>
    <w:rsid w:val="00546814"/>
    <w:rsid w:val="0055009E"/>
    <w:rsid w:val="005506D5"/>
    <w:rsid w:val="005509A8"/>
    <w:rsid w:val="00550DC6"/>
    <w:rsid w:val="00550F06"/>
    <w:rsid w:val="005551CC"/>
    <w:rsid w:val="0055596C"/>
    <w:rsid w:val="00555DA6"/>
    <w:rsid w:val="00556515"/>
    <w:rsid w:val="0056082C"/>
    <w:rsid w:val="00561556"/>
    <w:rsid w:val="00562CC6"/>
    <w:rsid w:val="0056537C"/>
    <w:rsid w:val="00565FB3"/>
    <w:rsid w:val="005676D3"/>
    <w:rsid w:val="00567832"/>
    <w:rsid w:val="00572F3A"/>
    <w:rsid w:val="0057321A"/>
    <w:rsid w:val="00573F60"/>
    <w:rsid w:val="00574347"/>
    <w:rsid w:val="0057483E"/>
    <w:rsid w:val="00574EA6"/>
    <w:rsid w:val="00574F50"/>
    <w:rsid w:val="00575522"/>
    <w:rsid w:val="00575E28"/>
    <w:rsid w:val="00577EAC"/>
    <w:rsid w:val="00580D64"/>
    <w:rsid w:val="005810BF"/>
    <w:rsid w:val="005812A5"/>
    <w:rsid w:val="00581AF4"/>
    <w:rsid w:val="00582CB2"/>
    <w:rsid w:val="00582E65"/>
    <w:rsid w:val="005831ED"/>
    <w:rsid w:val="00583D5D"/>
    <w:rsid w:val="005840D4"/>
    <w:rsid w:val="005851A0"/>
    <w:rsid w:val="00585C17"/>
    <w:rsid w:val="00586270"/>
    <w:rsid w:val="00586720"/>
    <w:rsid w:val="00586E5E"/>
    <w:rsid w:val="0058733A"/>
    <w:rsid w:val="00590E80"/>
    <w:rsid w:val="0059234B"/>
    <w:rsid w:val="00593324"/>
    <w:rsid w:val="005951E0"/>
    <w:rsid w:val="00595DBD"/>
    <w:rsid w:val="00596B86"/>
    <w:rsid w:val="005A03BC"/>
    <w:rsid w:val="005A0C41"/>
    <w:rsid w:val="005A2E58"/>
    <w:rsid w:val="005A316C"/>
    <w:rsid w:val="005A3E1B"/>
    <w:rsid w:val="005A41CB"/>
    <w:rsid w:val="005A498D"/>
    <w:rsid w:val="005B16BF"/>
    <w:rsid w:val="005B1EB6"/>
    <w:rsid w:val="005B3F48"/>
    <w:rsid w:val="005B592B"/>
    <w:rsid w:val="005B7395"/>
    <w:rsid w:val="005B745A"/>
    <w:rsid w:val="005B7D96"/>
    <w:rsid w:val="005B7EA7"/>
    <w:rsid w:val="005C10AF"/>
    <w:rsid w:val="005C1465"/>
    <w:rsid w:val="005C2983"/>
    <w:rsid w:val="005C3357"/>
    <w:rsid w:val="005C33BD"/>
    <w:rsid w:val="005C3BCB"/>
    <w:rsid w:val="005C4751"/>
    <w:rsid w:val="005C5EFE"/>
    <w:rsid w:val="005C668A"/>
    <w:rsid w:val="005C78ED"/>
    <w:rsid w:val="005D3079"/>
    <w:rsid w:val="005D3E4F"/>
    <w:rsid w:val="005D491F"/>
    <w:rsid w:val="005D543A"/>
    <w:rsid w:val="005D58D0"/>
    <w:rsid w:val="005D5D47"/>
    <w:rsid w:val="005D6666"/>
    <w:rsid w:val="005D6875"/>
    <w:rsid w:val="005D6CD9"/>
    <w:rsid w:val="005D7592"/>
    <w:rsid w:val="005D76BD"/>
    <w:rsid w:val="005E0232"/>
    <w:rsid w:val="005E1118"/>
    <w:rsid w:val="005E1841"/>
    <w:rsid w:val="005E2A21"/>
    <w:rsid w:val="005E2E4E"/>
    <w:rsid w:val="005E395A"/>
    <w:rsid w:val="005E4668"/>
    <w:rsid w:val="005E4EC0"/>
    <w:rsid w:val="005E76EE"/>
    <w:rsid w:val="005F0F2F"/>
    <w:rsid w:val="005F1627"/>
    <w:rsid w:val="005F34FC"/>
    <w:rsid w:val="005F4B72"/>
    <w:rsid w:val="005F612D"/>
    <w:rsid w:val="005F7039"/>
    <w:rsid w:val="00600FBC"/>
    <w:rsid w:val="0060251E"/>
    <w:rsid w:val="00604E4E"/>
    <w:rsid w:val="00604E6C"/>
    <w:rsid w:val="00604EC7"/>
    <w:rsid w:val="0060525D"/>
    <w:rsid w:val="00605590"/>
    <w:rsid w:val="0060581C"/>
    <w:rsid w:val="00606697"/>
    <w:rsid w:val="006066EE"/>
    <w:rsid w:val="006078DF"/>
    <w:rsid w:val="00610341"/>
    <w:rsid w:val="00611A15"/>
    <w:rsid w:val="006123C1"/>
    <w:rsid w:val="00612B39"/>
    <w:rsid w:val="0061319C"/>
    <w:rsid w:val="0061471D"/>
    <w:rsid w:val="006147C9"/>
    <w:rsid w:val="00614907"/>
    <w:rsid w:val="00614FCD"/>
    <w:rsid w:val="0061551C"/>
    <w:rsid w:val="00615A0C"/>
    <w:rsid w:val="006166CC"/>
    <w:rsid w:val="00616A49"/>
    <w:rsid w:val="006171AD"/>
    <w:rsid w:val="00617479"/>
    <w:rsid w:val="0062322C"/>
    <w:rsid w:val="006243BF"/>
    <w:rsid w:val="00625E70"/>
    <w:rsid w:val="0062648F"/>
    <w:rsid w:val="00626935"/>
    <w:rsid w:val="00626A46"/>
    <w:rsid w:val="006278E4"/>
    <w:rsid w:val="00627A6D"/>
    <w:rsid w:val="00627EDB"/>
    <w:rsid w:val="006327EB"/>
    <w:rsid w:val="00634E24"/>
    <w:rsid w:val="00634F55"/>
    <w:rsid w:val="006353C7"/>
    <w:rsid w:val="00636CE6"/>
    <w:rsid w:val="00641B26"/>
    <w:rsid w:val="00641F97"/>
    <w:rsid w:val="00642410"/>
    <w:rsid w:val="00643848"/>
    <w:rsid w:val="0064395F"/>
    <w:rsid w:val="00644912"/>
    <w:rsid w:val="00645246"/>
    <w:rsid w:val="00646B97"/>
    <w:rsid w:val="006472C4"/>
    <w:rsid w:val="006479B9"/>
    <w:rsid w:val="00650C62"/>
    <w:rsid w:val="0065105A"/>
    <w:rsid w:val="00652A0E"/>
    <w:rsid w:val="0065354F"/>
    <w:rsid w:val="00653804"/>
    <w:rsid w:val="0065380F"/>
    <w:rsid w:val="00653A87"/>
    <w:rsid w:val="00654657"/>
    <w:rsid w:val="0065515A"/>
    <w:rsid w:val="0065552C"/>
    <w:rsid w:val="00655986"/>
    <w:rsid w:val="006559C7"/>
    <w:rsid w:val="00655BF3"/>
    <w:rsid w:val="00656EDF"/>
    <w:rsid w:val="00657A92"/>
    <w:rsid w:val="006603E1"/>
    <w:rsid w:val="0066279F"/>
    <w:rsid w:val="00662DD0"/>
    <w:rsid w:val="00663150"/>
    <w:rsid w:val="00663160"/>
    <w:rsid w:val="0066441B"/>
    <w:rsid w:val="00665FD1"/>
    <w:rsid w:val="00666121"/>
    <w:rsid w:val="0066635B"/>
    <w:rsid w:val="0067060A"/>
    <w:rsid w:val="00670D5C"/>
    <w:rsid w:val="00671603"/>
    <w:rsid w:val="00671E82"/>
    <w:rsid w:val="0067323B"/>
    <w:rsid w:val="00673595"/>
    <w:rsid w:val="006747B2"/>
    <w:rsid w:val="006749A1"/>
    <w:rsid w:val="00674A0C"/>
    <w:rsid w:val="00674A40"/>
    <w:rsid w:val="00675148"/>
    <w:rsid w:val="00675213"/>
    <w:rsid w:val="006758BA"/>
    <w:rsid w:val="006805D4"/>
    <w:rsid w:val="00680C45"/>
    <w:rsid w:val="006813B0"/>
    <w:rsid w:val="00681EE0"/>
    <w:rsid w:val="00684BA8"/>
    <w:rsid w:val="006857E8"/>
    <w:rsid w:val="0068778B"/>
    <w:rsid w:val="00691AEF"/>
    <w:rsid w:val="00692C43"/>
    <w:rsid w:val="00693677"/>
    <w:rsid w:val="00693F8A"/>
    <w:rsid w:val="00694FB9"/>
    <w:rsid w:val="00694FEB"/>
    <w:rsid w:val="00695238"/>
    <w:rsid w:val="0069525F"/>
    <w:rsid w:val="00696771"/>
    <w:rsid w:val="006974EB"/>
    <w:rsid w:val="006A1254"/>
    <w:rsid w:val="006A1370"/>
    <w:rsid w:val="006A169F"/>
    <w:rsid w:val="006A1761"/>
    <w:rsid w:val="006A2F3D"/>
    <w:rsid w:val="006A3208"/>
    <w:rsid w:val="006A388C"/>
    <w:rsid w:val="006A4C83"/>
    <w:rsid w:val="006A5437"/>
    <w:rsid w:val="006A6141"/>
    <w:rsid w:val="006A7F85"/>
    <w:rsid w:val="006B03EF"/>
    <w:rsid w:val="006B08C0"/>
    <w:rsid w:val="006B1E7D"/>
    <w:rsid w:val="006B224D"/>
    <w:rsid w:val="006B34FA"/>
    <w:rsid w:val="006B35E8"/>
    <w:rsid w:val="006B47FA"/>
    <w:rsid w:val="006B6C8A"/>
    <w:rsid w:val="006C01BF"/>
    <w:rsid w:val="006C17B2"/>
    <w:rsid w:val="006C3814"/>
    <w:rsid w:val="006C393E"/>
    <w:rsid w:val="006C3AE7"/>
    <w:rsid w:val="006C424E"/>
    <w:rsid w:val="006C49C2"/>
    <w:rsid w:val="006C5D30"/>
    <w:rsid w:val="006C692D"/>
    <w:rsid w:val="006C6EF7"/>
    <w:rsid w:val="006C6FE6"/>
    <w:rsid w:val="006C74E8"/>
    <w:rsid w:val="006D161A"/>
    <w:rsid w:val="006D23C3"/>
    <w:rsid w:val="006D2490"/>
    <w:rsid w:val="006D2567"/>
    <w:rsid w:val="006D32F6"/>
    <w:rsid w:val="006D5701"/>
    <w:rsid w:val="006D6272"/>
    <w:rsid w:val="006D628F"/>
    <w:rsid w:val="006D6505"/>
    <w:rsid w:val="006D6920"/>
    <w:rsid w:val="006D7A77"/>
    <w:rsid w:val="006E0D42"/>
    <w:rsid w:val="006E2BC5"/>
    <w:rsid w:val="006E2D8E"/>
    <w:rsid w:val="006E2E78"/>
    <w:rsid w:val="006E3464"/>
    <w:rsid w:val="006E37AF"/>
    <w:rsid w:val="006E7296"/>
    <w:rsid w:val="006E7F1E"/>
    <w:rsid w:val="006F03E8"/>
    <w:rsid w:val="006F06BF"/>
    <w:rsid w:val="006F13DB"/>
    <w:rsid w:val="006F1D55"/>
    <w:rsid w:val="006F2AEC"/>
    <w:rsid w:val="006F59FC"/>
    <w:rsid w:val="006F61CF"/>
    <w:rsid w:val="006F6232"/>
    <w:rsid w:val="006F6B3F"/>
    <w:rsid w:val="006F6C14"/>
    <w:rsid w:val="006F7CB8"/>
    <w:rsid w:val="00700D6C"/>
    <w:rsid w:val="00701800"/>
    <w:rsid w:val="00703268"/>
    <w:rsid w:val="00704D99"/>
    <w:rsid w:val="00705027"/>
    <w:rsid w:val="007056EC"/>
    <w:rsid w:val="00707216"/>
    <w:rsid w:val="00707B97"/>
    <w:rsid w:val="0071382F"/>
    <w:rsid w:val="00716263"/>
    <w:rsid w:val="00717B6F"/>
    <w:rsid w:val="00717C65"/>
    <w:rsid w:val="007203F1"/>
    <w:rsid w:val="00720CCA"/>
    <w:rsid w:val="0072202C"/>
    <w:rsid w:val="00722F54"/>
    <w:rsid w:val="0072359B"/>
    <w:rsid w:val="00723D26"/>
    <w:rsid w:val="00724407"/>
    <w:rsid w:val="007247F7"/>
    <w:rsid w:val="00724B39"/>
    <w:rsid w:val="00724F2D"/>
    <w:rsid w:val="007256D7"/>
    <w:rsid w:val="007268C6"/>
    <w:rsid w:val="00726AD8"/>
    <w:rsid w:val="0073148E"/>
    <w:rsid w:val="00731B9C"/>
    <w:rsid w:val="00731C27"/>
    <w:rsid w:val="007324EF"/>
    <w:rsid w:val="007346B4"/>
    <w:rsid w:val="00736F2C"/>
    <w:rsid w:val="00737584"/>
    <w:rsid w:val="00737857"/>
    <w:rsid w:val="0074076D"/>
    <w:rsid w:val="0074160D"/>
    <w:rsid w:val="00741A34"/>
    <w:rsid w:val="00741EAE"/>
    <w:rsid w:val="00744123"/>
    <w:rsid w:val="00745F0E"/>
    <w:rsid w:val="0074608E"/>
    <w:rsid w:val="00747197"/>
    <w:rsid w:val="00747E49"/>
    <w:rsid w:val="00747F61"/>
    <w:rsid w:val="007508E3"/>
    <w:rsid w:val="007523EB"/>
    <w:rsid w:val="00752EE3"/>
    <w:rsid w:val="00754C05"/>
    <w:rsid w:val="00755381"/>
    <w:rsid w:val="00756F85"/>
    <w:rsid w:val="0075704C"/>
    <w:rsid w:val="00757541"/>
    <w:rsid w:val="00757F68"/>
    <w:rsid w:val="00760096"/>
    <w:rsid w:val="007600E4"/>
    <w:rsid w:val="00760B80"/>
    <w:rsid w:val="00761D80"/>
    <w:rsid w:val="00762AF3"/>
    <w:rsid w:val="00764D15"/>
    <w:rsid w:val="007658A3"/>
    <w:rsid w:val="007664F9"/>
    <w:rsid w:val="00766996"/>
    <w:rsid w:val="00767E4E"/>
    <w:rsid w:val="00770430"/>
    <w:rsid w:val="007713C2"/>
    <w:rsid w:val="00771D1E"/>
    <w:rsid w:val="00772802"/>
    <w:rsid w:val="00772BD0"/>
    <w:rsid w:val="00773331"/>
    <w:rsid w:val="00773702"/>
    <w:rsid w:val="007750E0"/>
    <w:rsid w:val="00775163"/>
    <w:rsid w:val="0077528B"/>
    <w:rsid w:val="007756BE"/>
    <w:rsid w:val="00775B21"/>
    <w:rsid w:val="0077618F"/>
    <w:rsid w:val="00776405"/>
    <w:rsid w:val="007766FF"/>
    <w:rsid w:val="00776AE9"/>
    <w:rsid w:val="00777690"/>
    <w:rsid w:val="0078013E"/>
    <w:rsid w:val="007809C2"/>
    <w:rsid w:val="00782490"/>
    <w:rsid w:val="007848F6"/>
    <w:rsid w:val="0078536B"/>
    <w:rsid w:val="0079061C"/>
    <w:rsid w:val="0079139C"/>
    <w:rsid w:val="007919E8"/>
    <w:rsid w:val="00792089"/>
    <w:rsid w:val="00792334"/>
    <w:rsid w:val="007932EF"/>
    <w:rsid w:val="00795759"/>
    <w:rsid w:val="007957A0"/>
    <w:rsid w:val="007965A7"/>
    <w:rsid w:val="00796C28"/>
    <w:rsid w:val="007A07E8"/>
    <w:rsid w:val="007A5CAC"/>
    <w:rsid w:val="007A6255"/>
    <w:rsid w:val="007A6712"/>
    <w:rsid w:val="007A7BD1"/>
    <w:rsid w:val="007B0180"/>
    <w:rsid w:val="007B152B"/>
    <w:rsid w:val="007B3DAD"/>
    <w:rsid w:val="007B3EE4"/>
    <w:rsid w:val="007B44A0"/>
    <w:rsid w:val="007B52D4"/>
    <w:rsid w:val="007B6F6F"/>
    <w:rsid w:val="007B7E04"/>
    <w:rsid w:val="007C0498"/>
    <w:rsid w:val="007C074F"/>
    <w:rsid w:val="007C17BF"/>
    <w:rsid w:val="007C26B2"/>
    <w:rsid w:val="007C36DE"/>
    <w:rsid w:val="007C3BAF"/>
    <w:rsid w:val="007C42B1"/>
    <w:rsid w:val="007C48FC"/>
    <w:rsid w:val="007C492B"/>
    <w:rsid w:val="007C4E5F"/>
    <w:rsid w:val="007C52D8"/>
    <w:rsid w:val="007C596C"/>
    <w:rsid w:val="007C7056"/>
    <w:rsid w:val="007C7794"/>
    <w:rsid w:val="007C7945"/>
    <w:rsid w:val="007D10F1"/>
    <w:rsid w:val="007D1672"/>
    <w:rsid w:val="007D1D80"/>
    <w:rsid w:val="007D2BB7"/>
    <w:rsid w:val="007D3324"/>
    <w:rsid w:val="007D4201"/>
    <w:rsid w:val="007D46D7"/>
    <w:rsid w:val="007D5A19"/>
    <w:rsid w:val="007D7F97"/>
    <w:rsid w:val="007E05B0"/>
    <w:rsid w:val="007E0CBA"/>
    <w:rsid w:val="007E1076"/>
    <w:rsid w:val="007E121D"/>
    <w:rsid w:val="007E15DA"/>
    <w:rsid w:val="007E1A47"/>
    <w:rsid w:val="007E1D67"/>
    <w:rsid w:val="007E2E57"/>
    <w:rsid w:val="007E3B24"/>
    <w:rsid w:val="007E45D6"/>
    <w:rsid w:val="007E63B4"/>
    <w:rsid w:val="007E6E03"/>
    <w:rsid w:val="007E752A"/>
    <w:rsid w:val="007F06ED"/>
    <w:rsid w:val="007F1228"/>
    <w:rsid w:val="007F2DFC"/>
    <w:rsid w:val="007F3EB1"/>
    <w:rsid w:val="007F43AE"/>
    <w:rsid w:val="007F50DB"/>
    <w:rsid w:val="007F5221"/>
    <w:rsid w:val="007F5814"/>
    <w:rsid w:val="007F59B6"/>
    <w:rsid w:val="007F6043"/>
    <w:rsid w:val="007F6F08"/>
    <w:rsid w:val="007F718A"/>
    <w:rsid w:val="007F7496"/>
    <w:rsid w:val="008007D6"/>
    <w:rsid w:val="00800CFC"/>
    <w:rsid w:val="00801924"/>
    <w:rsid w:val="008026C4"/>
    <w:rsid w:val="008029D4"/>
    <w:rsid w:val="0080408E"/>
    <w:rsid w:val="008049FE"/>
    <w:rsid w:val="00804A7C"/>
    <w:rsid w:val="00805577"/>
    <w:rsid w:val="00805D95"/>
    <w:rsid w:val="00806F54"/>
    <w:rsid w:val="00811204"/>
    <w:rsid w:val="00811722"/>
    <w:rsid w:val="008127D9"/>
    <w:rsid w:val="00812C50"/>
    <w:rsid w:val="00813006"/>
    <w:rsid w:val="008133C5"/>
    <w:rsid w:val="00813A0D"/>
    <w:rsid w:val="00814A6C"/>
    <w:rsid w:val="00816C14"/>
    <w:rsid w:val="008176F3"/>
    <w:rsid w:val="0082274D"/>
    <w:rsid w:val="00822809"/>
    <w:rsid w:val="0082494A"/>
    <w:rsid w:val="00824F91"/>
    <w:rsid w:val="00825950"/>
    <w:rsid w:val="00825C0E"/>
    <w:rsid w:val="00826046"/>
    <w:rsid w:val="008266E2"/>
    <w:rsid w:val="00826BBC"/>
    <w:rsid w:val="00826FEC"/>
    <w:rsid w:val="00827399"/>
    <w:rsid w:val="00827424"/>
    <w:rsid w:val="0082749C"/>
    <w:rsid w:val="00827731"/>
    <w:rsid w:val="00830B53"/>
    <w:rsid w:val="00831806"/>
    <w:rsid w:val="00832C82"/>
    <w:rsid w:val="00832D2C"/>
    <w:rsid w:val="00833BCC"/>
    <w:rsid w:val="008346E7"/>
    <w:rsid w:val="0083487F"/>
    <w:rsid w:val="008361B5"/>
    <w:rsid w:val="00836554"/>
    <w:rsid w:val="008366B8"/>
    <w:rsid w:val="00836B22"/>
    <w:rsid w:val="00836DD3"/>
    <w:rsid w:val="00840142"/>
    <w:rsid w:val="00845B8F"/>
    <w:rsid w:val="00846C35"/>
    <w:rsid w:val="00847AC9"/>
    <w:rsid w:val="00847F9C"/>
    <w:rsid w:val="00850569"/>
    <w:rsid w:val="008509F5"/>
    <w:rsid w:val="00850D93"/>
    <w:rsid w:val="00851B43"/>
    <w:rsid w:val="0085233F"/>
    <w:rsid w:val="008533B3"/>
    <w:rsid w:val="00854563"/>
    <w:rsid w:val="008550D1"/>
    <w:rsid w:val="008550D7"/>
    <w:rsid w:val="0085587C"/>
    <w:rsid w:val="00855F71"/>
    <w:rsid w:val="008571FE"/>
    <w:rsid w:val="008576E7"/>
    <w:rsid w:val="00860885"/>
    <w:rsid w:val="00860C30"/>
    <w:rsid w:val="00861289"/>
    <w:rsid w:val="00861C64"/>
    <w:rsid w:val="00862C7A"/>
    <w:rsid w:val="00863673"/>
    <w:rsid w:val="00863882"/>
    <w:rsid w:val="00863A85"/>
    <w:rsid w:val="00864CEF"/>
    <w:rsid w:val="00865278"/>
    <w:rsid w:val="0086540D"/>
    <w:rsid w:val="00866309"/>
    <w:rsid w:val="008663AB"/>
    <w:rsid w:val="00866A2C"/>
    <w:rsid w:val="00867153"/>
    <w:rsid w:val="008674DA"/>
    <w:rsid w:val="008707EA"/>
    <w:rsid w:val="00870E40"/>
    <w:rsid w:val="00871CBC"/>
    <w:rsid w:val="00871F5F"/>
    <w:rsid w:val="00873AD5"/>
    <w:rsid w:val="00874D22"/>
    <w:rsid w:val="00874DB5"/>
    <w:rsid w:val="0087543F"/>
    <w:rsid w:val="00877A52"/>
    <w:rsid w:val="0088053A"/>
    <w:rsid w:val="00880E89"/>
    <w:rsid w:val="0088140A"/>
    <w:rsid w:val="008820B9"/>
    <w:rsid w:val="00883A4F"/>
    <w:rsid w:val="00885629"/>
    <w:rsid w:val="00886105"/>
    <w:rsid w:val="008865F8"/>
    <w:rsid w:val="008868C5"/>
    <w:rsid w:val="0088711C"/>
    <w:rsid w:val="008905F2"/>
    <w:rsid w:val="0089255B"/>
    <w:rsid w:val="00892BAE"/>
    <w:rsid w:val="00892E92"/>
    <w:rsid w:val="00894F16"/>
    <w:rsid w:val="00895010"/>
    <w:rsid w:val="00895E0E"/>
    <w:rsid w:val="00896B22"/>
    <w:rsid w:val="008973B7"/>
    <w:rsid w:val="00897630"/>
    <w:rsid w:val="00897843"/>
    <w:rsid w:val="00897B14"/>
    <w:rsid w:val="008A1886"/>
    <w:rsid w:val="008A198F"/>
    <w:rsid w:val="008A1D73"/>
    <w:rsid w:val="008A20E1"/>
    <w:rsid w:val="008A2914"/>
    <w:rsid w:val="008A2B5A"/>
    <w:rsid w:val="008A2FF1"/>
    <w:rsid w:val="008A3565"/>
    <w:rsid w:val="008A42C5"/>
    <w:rsid w:val="008A60C2"/>
    <w:rsid w:val="008A6370"/>
    <w:rsid w:val="008A6B79"/>
    <w:rsid w:val="008B0F84"/>
    <w:rsid w:val="008B1220"/>
    <w:rsid w:val="008B1499"/>
    <w:rsid w:val="008B21AF"/>
    <w:rsid w:val="008B7F00"/>
    <w:rsid w:val="008C098D"/>
    <w:rsid w:val="008C0E6D"/>
    <w:rsid w:val="008C10E8"/>
    <w:rsid w:val="008C1420"/>
    <w:rsid w:val="008C2964"/>
    <w:rsid w:val="008C38F7"/>
    <w:rsid w:val="008C405E"/>
    <w:rsid w:val="008C40EA"/>
    <w:rsid w:val="008C4F07"/>
    <w:rsid w:val="008C5C68"/>
    <w:rsid w:val="008C6BB1"/>
    <w:rsid w:val="008D0A98"/>
    <w:rsid w:val="008D142B"/>
    <w:rsid w:val="008D1C91"/>
    <w:rsid w:val="008D2736"/>
    <w:rsid w:val="008D328C"/>
    <w:rsid w:val="008D5AEB"/>
    <w:rsid w:val="008E06C5"/>
    <w:rsid w:val="008E183C"/>
    <w:rsid w:val="008E265B"/>
    <w:rsid w:val="008E28D7"/>
    <w:rsid w:val="008E35E5"/>
    <w:rsid w:val="008E4D8E"/>
    <w:rsid w:val="008E5638"/>
    <w:rsid w:val="008E74FC"/>
    <w:rsid w:val="008E7B43"/>
    <w:rsid w:val="008E7E75"/>
    <w:rsid w:val="008F0111"/>
    <w:rsid w:val="008F099A"/>
    <w:rsid w:val="008F1D49"/>
    <w:rsid w:val="008F2010"/>
    <w:rsid w:val="008F21DA"/>
    <w:rsid w:val="008F4BA8"/>
    <w:rsid w:val="008F5E6A"/>
    <w:rsid w:val="008F6C08"/>
    <w:rsid w:val="00901DD2"/>
    <w:rsid w:val="00904B74"/>
    <w:rsid w:val="00905AAD"/>
    <w:rsid w:val="009066F4"/>
    <w:rsid w:val="009131EE"/>
    <w:rsid w:val="009133B5"/>
    <w:rsid w:val="00913C67"/>
    <w:rsid w:val="00914AFE"/>
    <w:rsid w:val="009158FC"/>
    <w:rsid w:val="0091642F"/>
    <w:rsid w:val="00916A81"/>
    <w:rsid w:val="00916CE8"/>
    <w:rsid w:val="009172B7"/>
    <w:rsid w:val="00923885"/>
    <w:rsid w:val="0092443C"/>
    <w:rsid w:val="009256BE"/>
    <w:rsid w:val="00926121"/>
    <w:rsid w:val="00926323"/>
    <w:rsid w:val="009263A7"/>
    <w:rsid w:val="00926C27"/>
    <w:rsid w:val="009271FB"/>
    <w:rsid w:val="00927204"/>
    <w:rsid w:val="00927EC4"/>
    <w:rsid w:val="009308B2"/>
    <w:rsid w:val="009333A5"/>
    <w:rsid w:val="00933713"/>
    <w:rsid w:val="00933E0B"/>
    <w:rsid w:val="00935DC6"/>
    <w:rsid w:val="00940483"/>
    <w:rsid w:val="00940D7E"/>
    <w:rsid w:val="00941988"/>
    <w:rsid w:val="00941BE1"/>
    <w:rsid w:val="00942317"/>
    <w:rsid w:val="00942CD5"/>
    <w:rsid w:val="0094342C"/>
    <w:rsid w:val="00943AB2"/>
    <w:rsid w:val="009448B2"/>
    <w:rsid w:val="0094593B"/>
    <w:rsid w:val="009470E5"/>
    <w:rsid w:val="00947311"/>
    <w:rsid w:val="00951943"/>
    <w:rsid w:val="00952289"/>
    <w:rsid w:val="0095539F"/>
    <w:rsid w:val="00957346"/>
    <w:rsid w:val="009608E8"/>
    <w:rsid w:val="00963B48"/>
    <w:rsid w:val="00964395"/>
    <w:rsid w:val="009661CC"/>
    <w:rsid w:val="00970D1C"/>
    <w:rsid w:val="00970EF0"/>
    <w:rsid w:val="00971251"/>
    <w:rsid w:val="009713F7"/>
    <w:rsid w:val="009726C7"/>
    <w:rsid w:val="00973B67"/>
    <w:rsid w:val="009758C0"/>
    <w:rsid w:val="00975BA3"/>
    <w:rsid w:val="009766D9"/>
    <w:rsid w:val="00976E65"/>
    <w:rsid w:val="009804E7"/>
    <w:rsid w:val="00980FB5"/>
    <w:rsid w:val="009810F4"/>
    <w:rsid w:val="00981A5C"/>
    <w:rsid w:val="00982CC2"/>
    <w:rsid w:val="00983B01"/>
    <w:rsid w:val="00983E05"/>
    <w:rsid w:val="00983F60"/>
    <w:rsid w:val="00983FA9"/>
    <w:rsid w:val="00985B98"/>
    <w:rsid w:val="0098787B"/>
    <w:rsid w:val="00987AB3"/>
    <w:rsid w:val="0099312F"/>
    <w:rsid w:val="00994D96"/>
    <w:rsid w:val="00995BF6"/>
    <w:rsid w:val="00996727"/>
    <w:rsid w:val="00996C19"/>
    <w:rsid w:val="009A0C09"/>
    <w:rsid w:val="009A0D2E"/>
    <w:rsid w:val="009A22E7"/>
    <w:rsid w:val="009A3295"/>
    <w:rsid w:val="009A4237"/>
    <w:rsid w:val="009A45A0"/>
    <w:rsid w:val="009A4600"/>
    <w:rsid w:val="009A5E23"/>
    <w:rsid w:val="009A6250"/>
    <w:rsid w:val="009A6CA6"/>
    <w:rsid w:val="009A6D7C"/>
    <w:rsid w:val="009A747D"/>
    <w:rsid w:val="009A7C9A"/>
    <w:rsid w:val="009A7DA4"/>
    <w:rsid w:val="009B0025"/>
    <w:rsid w:val="009B0216"/>
    <w:rsid w:val="009B062C"/>
    <w:rsid w:val="009B3359"/>
    <w:rsid w:val="009B3413"/>
    <w:rsid w:val="009B5293"/>
    <w:rsid w:val="009B596C"/>
    <w:rsid w:val="009B6548"/>
    <w:rsid w:val="009B7310"/>
    <w:rsid w:val="009C0B60"/>
    <w:rsid w:val="009C1063"/>
    <w:rsid w:val="009C39B8"/>
    <w:rsid w:val="009C46EF"/>
    <w:rsid w:val="009C4C9A"/>
    <w:rsid w:val="009C6830"/>
    <w:rsid w:val="009C77D1"/>
    <w:rsid w:val="009C7E36"/>
    <w:rsid w:val="009D0274"/>
    <w:rsid w:val="009D06D2"/>
    <w:rsid w:val="009D15BB"/>
    <w:rsid w:val="009D30A1"/>
    <w:rsid w:val="009D32D2"/>
    <w:rsid w:val="009D42A7"/>
    <w:rsid w:val="009D466F"/>
    <w:rsid w:val="009D4BD4"/>
    <w:rsid w:val="009D4F51"/>
    <w:rsid w:val="009D594F"/>
    <w:rsid w:val="009D62CF"/>
    <w:rsid w:val="009D6A31"/>
    <w:rsid w:val="009D6D2A"/>
    <w:rsid w:val="009D7089"/>
    <w:rsid w:val="009D751D"/>
    <w:rsid w:val="009D78FF"/>
    <w:rsid w:val="009E0989"/>
    <w:rsid w:val="009E0F6A"/>
    <w:rsid w:val="009E1069"/>
    <w:rsid w:val="009E17F2"/>
    <w:rsid w:val="009E2147"/>
    <w:rsid w:val="009E22C1"/>
    <w:rsid w:val="009E30E4"/>
    <w:rsid w:val="009E3CDA"/>
    <w:rsid w:val="009E41BD"/>
    <w:rsid w:val="009E50A3"/>
    <w:rsid w:val="009E529B"/>
    <w:rsid w:val="009E546F"/>
    <w:rsid w:val="009E7622"/>
    <w:rsid w:val="009E78C5"/>
    <w:rsid w:val="009F0285"/>
    <w:rsid w:val="009F1A64"/>
    <w:rsid w:val="009F1A86"/>
    <w:rsid w:val="009F32C0"/>
    <w:rsid w:val="009F3353"/>
    <w:rsid w:val="009F35C3"/>
    <w:rsid w:val="009F38D3"/>
    <w:rsid w:val="009F3D50"/>
    <w:rsid w:val="009F56DB"/>
    <w:rsid w:val="009F5C5A"/>
    <w:rsid w:val="009F6FEF"/>
    <w:rsid w:val="009F77FF"/>
    <w:rsid w:val="00A00657"/>
    <w:rsid w:val="00A01613"/>
    <w:rsid w:val="00A01C37"/>
    <w:rsid w:val="00A02675"/>
    <w:rsid w:val="00A030BA"/>
    <w:rsid w:val="00A0321A"/>
    <w:rsid w:val="00A0352A"/>
    <w:rsid w:val="00A03F29"/>
    <w:rsid w:val="00A050C2"/>
    <w:rsid w:val="00A055F7"/>
    <w:rsid w:val="00A0644F"/>
    <w:rsid w:val="00A06DF2"/>
    <w:rsid w:val="00A07652"/>
    <w:rsid w:val="00A07B0D"/>
    <w:rsid w:val="00A10244"/>
    <w:rsid w:val="00A10D41"/>
    <w:rsid w:val="00A11EB5"/>
    <w:rsid w:val="00A12251"/>
    <w:rsid w:val="00A122DF"/>
    <w:rsid w:val="00A1298A"/>
    <w:rsid w:val="00A12B08"/>
    <w:rsid w:val="00A14A36"/>
    <w:rsid w:val="00A15750"/>
    <w:rsid w:val="00A16FB7"/>
    <w:rsid w:val="00A201B1"/>
    <w:rsid w:val="00A21826"/>
    <w:rsid w:val="00A21F66"/>
    <w:rsid w:val="00A24977"/>
    <w:rsid w:val="00A24AC7"/>
    <w:rsid w:val="00A2521F"/>
    <w:rsid w:val="00A25535"/>
    <w:rsid w:val="00A2556E"/>
    <w:rsid w:val="00A263F6"/>
    <w:rsid w:val="00A2708A"/>
    <w:rsid w:val="00A3014F"/>
    <w:rsid w:val="00A30340"/>
    <w:rsid w:val="00A30774"/>
    <w:rsid w:val="00A31920"/>
    <w:rsid w:val="00A31A52"/>
    <w:rsid w:val="00A32E1E"/>
    <w:rsid w:val="00A33D76"/>
    <w:rsid w:val="00A34532"/>
    <w:rsid w:val="00A34DF0"/>
    <w:rsid w:val="00A352EE"/>
    <w:rsid w:val="00A37039"/>
    <w:rsid w:val="00A37EC9"/>
    <w:rsid w:val="00A401B2"/>
    <w:rsid w:val="00A40222"/>
    <w:rsid w:val="00A40693"/>
    <w:rsid w:val="00A40BA5"/>
    <w:rsid w:val="00A448F8"/>
    <w:rsid w:val="00A44BC2"/>
    <w:rsid w:val="00A45200"/>
    <w:rsid w:val="00A468F7"/>
    <w:rsid w:val="00A47465"/>
    <w:rsid w:val="00A47B00"/>
    <w:rsid w:val="00A47C8C"/>
    <w:rsid w:val="00A5075B"/>
    <w:rsid w:val="00A50F85"/>
    <w:rsid w:val="00A52EFE"/>
    <w:rsid w:val="00A5351E"/>
    <w:rsid w:val="00A538C4"/>
    <w:rsid w:val="00A54A0D"/>
    <w:rsid w:val="00A56860"/>
    <w:rsid w:val="00A57735"/>
    <w:rsid w:val="00A57BD2"/>
    <w:rsid w:val="00A619E6"/>
    <w:rsid w:val="00A628E6"/>
    <w:rsid w:val="00A62E3E"/>
    <w:rsid w:val="00A63DF2"/>
    <w:rsid w:val="00A63EA8"/>
    <w:rsid w:val="00A6519A"/>
    <w:rsid w:val="00A67E0E"/>
    <w:rsid w:val="00A705D2"/>
    <w:rsid w:val="00A722C9"/>
    <w:rsid w:val="00A744C9"/>
    <w:rsid w:val="00A74A4A"/>
    <w:rsid w:val="00A766A1"/>
    <w:rsid w:val="00A76D90"/>
    <w:rsid w:val="00A77E3D"/>
    <w:rsid w:val="00A82BEC"/>
    <w:rsid w:val="00A82E1F"/>
    <w:rsid w:val="00A82FE6"/>
    <w:rsid w:val="00A834A0"/>
    <w:rsid w:val="00A834BC"/>
    <w:rsid w:val="00A8410F"/>
    <w:rsid w:val="00A8420B"/>
    <w:rsid w:val="00A8498F"/>
    <w:rsid w:val="00A86AAF"/>
    <w:rsid w:val="00A86B98"/>
    <w:rsid w:val="00A86C4A"/>
    <w:rsid w:val="00A86CCA"/>
    <w:rsid w:val="00A875AB"/>
    <w:rsid w:val="00A91DD3"/>
    <w:rsid w:val="00A92A25"/>
    <w:rsid w:val="00A93DAC"/>
    <w:rsid w:val="00A93EED"/>
    <w:rsid w:val="00A94D72"/>
    <w:rsid w:val="00A963C7"/>
    <w:rsid w:val="00A967E7"/>
    <w:rsid w:val="00A96C99"/>
    <w:rsid w:val="00A9761A"/>
    <w:rsid w:val="00AA0F8F"/>
    <w:rsid w:val="00AA1059"/>
    <w:rsid w:val="00AA12DC"/>
    <w:rsid w:val="00AA2E29"/>
    <w:rsid w:val="00AA31DB"/>
    <w:rsid w:val="00AA37C0"/>
    <w:rsid w:val="00AA5137"/>
    <w:rsid w:val="00AA54B6"/>
    <w:rsid w:val="00AA5797"/>
    <w:rsid w:val="00AA6040"/>
    <w:rsid w:val="00AA6E8B"/>
    <w:rsid w:val="00AA7A2B"/>
    <w:rsid w:val="00AB0638"/>
    <w:rsid w:val="00AB1212"/>
    <w:rsid w:val="00AB3971"/>
    <w:rsid w:val="00AB4598"/>
    <w:rsid w:val="00AB5399"/>
    <w:rsid w:val="00AB7A67"/>
    <w:rsid w:val="00AB7A74"/>
    <w:rsid w:val="00AC1174"/>
    <w:rsid w:val="00AC1648"/>
    <w:rsid w:val="00AC2051"/>
    <w:rsid w:val="00AC2484"/>
    <w:rsid w:val="00AC3013"/>
    <w:rsid w:val="00AC3CCC"/>
    <w:rsid w:val="00AC3E61"/>
    <w:rsid w:val="00AC4918"/>
    <w:rsid w:val="00AC500C"/>
    <w:rsid w:val="00AC5867"/>
    <w:rsid w:val="00AC5CF0"/>
    <w:rsid w:val="00AC6E14"/>
    <w:rsid w:val="00AC770B"/>
    <w:rsid w:val="00AC781D"/>
    <w:rsid w:val="00AC7A59"/>
    <w:rsid w:val="00AC7F19"/>
    <w:rsid w:val="00AD0881"/>
    <w:rsid w:val="00AD1F72"/>
    <w:rsid w:val="00AD5709"/>
    <w:rsid w:val="00AD64A7"/>
    <w:rsid w:val="00AD705B"/>
    <w:rsid w:val="00AD7859"/>
    <w:rsid w:val="00AE01FF"/>
    <w:rsid w:val="00AE0DA3"/>
    <w:rsid w:val="00AE112D"/>
    <w:rsid w:val="00AE2918"/>
    <w:rsid w:val="00AE2B83"/>
    <w:rsid w:val="00AE2CC0"/>
    <w:rsid w:val="00AE2E7A"/>
    <w:rsid w:val="00AE3BD8"/>
    <w:rsid w:val="00AE5164"/>
    <w:rsid w:val="00AE579D"/>
    <w:rsid w:val="00AE597E"/>
    <w:rsid w:val="00AE5B8B"/>
    <w:rsid w:val="00AE5FDC"/>
    <w:rsid w:val="00AE71A6"/>
    <w:rsid w:val="00AE7B0B"/>
    <w:rsid w:val="00AF1F32"/>
    <w:rsid w:val="00AF20A7"/>
    <w:rsid w:val="00AF2EFA"/>
    <w:rsid w:val="00AF354B"/>
    <w:rsid w:val="00AF3A50"/>
    <w:rsid w:val="00AF4B3C"/>
    <w:rsid w:val="00AF578F"/>
    <w:rsid w:val="00AF5FD3"/>
    <w:rsid w:val="00AF648F"/>
    <w:rsid w:val="00AF6F06"/>
    <w:rsid w:val="00AF6F50"/>
    <w:rsid w:val="00B003BA"/>
    <w:rsid w:val="00B006DC"/>
    <w:rsid w:val="00B00B58"/>
    <w:rsid w:val="00B012D5"/>
    <w:rsid w:val="00B0177C"/>
    <w:rsid w:val="00B03B00"/>
    <w:rsid w:val="00B03C4C"/>
    <w:rsid w:val="00B04BED"/>
    <w:rsid w:val="00B04FE8"/>
    <w:rsid w:val="00B05F8A"/>
    <w:rsid w:val="00B06918"/>
    <w:rsid w:val="00B071C3"/>
    <w:rsid w:val="00B116AF"/>
    <w:rsid w:val="00B11B7E"/>
    <w:rsid w:val="00B11D04"/>
    <w:rsid w:val="00B12282"/>
    <w:rsid w:val="00B12DC0"/>
    <w:rsid w:val="00B1311B"/>
    <w:rsid w:val="00B13682"/>
    <w:rsid w:val="00B16287"/>
    <w:rsid w:val="00B2018E"/>
    <w:rsid w:val="00B20B3D"/>
    <w:rsid w:val="00B21720"/>
    <w:rsid w:val="00B21D6E"/>
    <w:rsid w:val="00B22429"/>
    <w:rsid w:val="00B2344F"/>
    <w:rsid w:val="00B2357E"/>
    <w:rsid w:val="00B24656"/>
    <w:rsid w:val="00B2594C"/>
    <w:rsid w:val="00B263C2"/>
    <w:rsid w:val="00B27534"/>
    <w:rsid w:val="00B27668"/>
    <w:rsid w:val="00B27E51"/>
    <w:rsid w:val="00B3052E"/>
    <w:rsid w:val="00B310D1"/>
    <w:rsid w:val="00B3147B"/>
    <w:rsid w:val="00B33614"/>
    <w:rsid w:val="00B33D37"/>
    <w:rsid w:val="00B344E8"/>
    <w:rsid w:val="00B347D0"/>
    <w:rsid w:val="00B37A48"/>
    <w:rsid w:val="00B410D6"/>
    <w:rsid w:val="00B41615"/>
    <w:rsid w:val="00B417EC"/>
    <w:rsid w:val="00B42D50"/>
    <w:rsid w:val="00B46286"/>
    <w:rsid w:val="00B46649"/>
    <w:rsid w:val="00B46CB9"/>
    <w:rsid w:val="00B4772E"/>
    <w:rsid w:val="00B47A90"/>
    <w:rsid w:val="00B47E10"/>
    <w:rsid w:val="00B50141"/>
    <w:rsid w:val="00B503CF"/>
    <w:rsid w:val="00B50D2F"/>
    <w:rsid w:val="00B51743"/>
    <w:rsid w:val="00B5222A"/>
    <w:rsid w:val="00B53254"/>
    <w:rsid w:val="00B56470"/>
    <w:rsid w:val="00B57DC4"/>
    <w:rsid w:val="00B6124E"/>
    <w:rsid w:val="00B63403"/>
    <w:rsid w:val="00B64C7C"/>
    <w:rsid w:val="00B65A84"/>
    <w:rsid w:val="00B71291"/>
    <w:rsid w:val="00B7136A"/>
    <w:rsid w:val="00B71781"/>
    <w:rsid w:val="00B71DAD"/>
    <w:rsid w:val="00B72508"/>
    <w:rsid w:val="00B74297"/>
    <w:rsid w:val="00B748F1"/>
    <w:rsid w:val="00B764D4"/>
    <w:rsid w:val="00B77789"/>
    <w:rsid w:val="00B80E9C"/>
    <w:rsid w:val="00B81F39"/>
    <w:rsid w:val="00B8382F"/>
    <w:rsid w:val="00B85C37"/>
    <w:rsid w:val="00B873C2"/>
    <w:rsid w:val="00B87915"/>
    <w:rsid w:val="00B901D8"/>
    <w:rsid w:val="00B91248"/>
    <w:rsid w:val="00B91839"/>
    <w:rsid w:val="00B93E75"/>
    <w:rsid w:val="00B9503F"/>
    <w:rsid w:val="00B95897"/>
    <w:rsid w:val="00B96F67"/>
    <w:rsid w:val="00B97AC0"/>
    <w:rsid w:val="00B97DA5"/>
    <w:rsid w:val="00BA05F8"/>
    <w:rsid w:val="00BA0BE8"/>
    <w:rsid w:val="00BA1AC1"/>
    <w:rsid w:val="00BA2F90"/>
    <w:rsid w:val="00BA41AD"/>
    <w:rsid w:val="00BA5C67"/>
    <w:rsid w:val="00BA6744"/>
    <w:rsid w:val="00BA6E7E"/>
    <w:rsid w:val="00BB2449"/>
    <w:rsid w:val="00BB3C22"/>
    <w:rsid w:val="00BB5C02"/>
    <w:rsid w:val="00BB5DDD"/>
    <w:rsid w:val="00BB63AC"/>
    <w:rsid w:val="00BB7284"/>
    <w:rsid w:val="00BC0F9F"/>
    <w:rsid w:val="00BC2FFD"/>
    <w:rsid w:val="00BC3409"/>
    <w:rsid w:val="00BC3B1C"/>
    <w:rsid w:val="00BC48C2"/>
    <w:rsid w:val="00BC5317"/>
    <w:rsid w:val="00BC5B41"/>
    <w:rsid w:val="00BC6DFE"/>
    <w:rsid w:val="00BC74AD"/>
    <w:rsid w:val="00BD037F"/>
    <w:rsid w:val="00BD059F"/>
    <w:rsid w:val="00BD0878"/>
    <w:rsid w:val="00BD1096"/>
    <w:rsid w:val="00BD2382"/>
    <w:rsid w:val="00BD2BD2"/>
    <w:rsid w:val="00BD31A1"/>
    <w:rsid w:val="00BD3A95"/>
    <w:rsid w:val="00BD4238"/>
    <w:rsid w:val="00BD4629"/>
    <w:rsid w:val="00BD4FF3"/>
    <w:rsid w:val="00BD5E36"/>
    <w:rsid w:val="00BD6A92"/>
    <w:rsid w:val="00BD7D31"/>
    <w:rsid w:val="00BE0BD8"/>
    <w:rsid w:val="00BE0DAA"/>
    <w:rsid w:val="00BE11E1"/>
    <w:rsid w:val="00BE16F5"/>
    <w:rsid w:val="00BE204B"/>
    <w:rsid w:val="00BE3A6E"/>
    <w:rsid w:val="00BE4BAC"/>
    <w:rsid w:val="00BE6AA8"/>
    <w:rsid w:val="00BE74C3"/>
    <w:rsid w:val="00BE7587"/>
    <w:rsid w:val="00BF1DA9"/>
    <w:rsid w:val="00BF2C71"/>
    <w:rsid w:val="00BF3880"/>
    <w:rsid w:val="00BF5398"/>
    <w:rsid w:val="00BF6991"/>
    <w:rsid w:val="00C00AC7"/>
    <w:rsid w:val="00C01DEA"/>
    <w:rsid w:val="00C02334"/>
    <w:rsid w:val="00C0280D"/>
    <w:rsid w:val="00C02852"/>
    <w:rsid w:val="00C032D1"/>
    <w:rsid w:val="00C05A35"/>
    <w:rsid w:val="00C070EB"/>
    <w:rsid w:val="00C07835"/>
    <w:rsid w:val="00C104D2"/>
    <w:rsid w:val="00C10E9D"/>
    <w:rsid w:val="00C11000"/>
    <w:rsid w:val="00C11E25"/>
    <w:rsid w:val="00C12301"/>
    <w:rsid w:val="00C12497"/>
    <w:rsid w:val="00C137F4"/>
    <w:rsid w:val="00C15D44"/>
    <w:rsid w:val="00C15E79"/>
    <w:rsid w:val="00C15EFA"/>
    <w:rsid w:val="00C16C14"/>
    <w:rsid w:val="00C17593"/>
    <w:rsid w:val="00C17863"/>
    <w:rsid w:val="00C178F9"/>
    <w:rsid w:val="00C17E6B"/>
    <w:rsid w:val="00C20A08"/>
    <w:rsid w:val="00C2148C"/>
    <w:rsid w:val="00C21527"/>
    <w:rsid w:val="00C225FD"/>
    <w:rsid w:val="00C22EFC"/>
    <w:rsid w:val="00C23450"/>
    <w:rsid w:val="00C243F8"/>
    <w:rsid w:val="00C24F4E"/>
    <w:rsid w:val="00C25496"/>
    <w:rsid w:val="00C2558E"/>
    <w:rsid w:val="00C25FB3"/>
    <w:rsid w:val="00C26147"/>
    <w:rsid w:val="00C26B4E"/>
    <w:rsid w:val="00C275E7"/>
    <w:rsid w:val="00C31E1A"/>
    <w:rsid w:val="00C32F21"/>
    <w:rsid w:val="00C33A52"/>
    <w:rsid w:val="00C33DD2"/>
    <w:rsid w:val="00C33F34"/>
    <w:rsid w:val="00C341D7"/>
    <w:rsid w:val="00C34579"/>
    <w:rsid w:val="00C347A7"/>
    <w:rsid w:val="00C353FE"/>
    <w:rsid w:val="00C354F4"/>
    <w:rsid w:val="00C36B57"/>
    <w:rsid w:val="00C36F6E"/>
    <w:rsid w:val="00C375C1"/>
    <w:rsid w:val="00C41769"/>
    <w:rsid w:val="00C421B9"/>
    <w:rsid w:val="00C42585"/>
    <w:rsid w:val="00C4272D"/>
    <w:rsid w:val="00C442D3"/>
    <w:rsid w:val="00C44348"/>
    <w:rsid w:val="00C444C1"/>
    <w:rsid w:val="00C4475C"/>
    <w:rsid w:val="00C447F8"/>
    <w:rsid w:val="00C44AF3"/>
    <w:rsid w:val="00C44CA0"/>
    <w:rsid w:val="00C450DA"/>
    <w:rsid w:val="00C456F2"/>
    <w:rsid w:val="00C469B9"/>
    <w:rsid w:val="00C5085D"/>
    <w:rsid w:val="00C533DB"/>
    <w:rsid w:val="00C540E9"/>
    <w:rsid w:val="00C54B2D"/>
    <w:rsid w:val="00C55541"/>
    <w:rsid w:val="00C5578C"/>
    <w:rsid w:val="00C559F6"/>
    <w:rsid w:val="00C55A08"/>
    <w:rsid w:val="00C5645E"/>
    <w:rsid w:val="00C565D6"/>
    <w:rsid w:val="00C6118C"/>
    <w:rsid w:val="00C61941"/>
    <w:rsid w:val="00C62435"/>
    <w:rsid w:val="00C63331"/>
    <w:rsid w:val="00C63BDB"/>
    <w:rsid w:val="00C64F16"/>
    <w:rsid w:val="00C65E35"/>
    <w:rsid w:val="00C663DC"/>
    <w:rsid w:val="00C6697F"/>
    <w:rsid w:val="00C67724"/>
    <w:rsid w:val="00C70B8A"/>
    <w:rsid w:val="00C715B2"/>
    <w:rsid w:val="00C715F8"/>
    <w:rsid w:val="00C72236"/>
    <w:rsid w:val="00C72BA2"/>
    <w:rsid w:val="00C7365B"/>
    <w:rsid w:val="00C73C42"/>
    <w:rsid w:val="00C73CE9"/>
    <w:rsid w:val="00C754F1"/>
    <w:rsid w:val="00C75D79"/>
    <w:rsid w:val="00C760C6"/>
    <w:rsid w:val="00C764F9"/>
    <w:rsid w:val="00C768D5"/>
    <w:rsid w:val="00C7712D"/>
    <w:rsid w:val="00C77FE7"/>
    <w:rsid w:val="00C80BF9"/>
    <w:rsid w:val="00C80C75"/>
    <w:rsid w:val="00C81E92"/>
    <w:rsid w:val="00C82078"/>
    <w:rsid w:val="00C8217F"/>
    <w:rsid w:val="00C83DCE"/>
    <w:rsid w:val="00C85053"/>
    <w:rsid w:val="00C859D2"/>
    <w:rsid w:val="00C86F65"/>
    <w:rsid w:val="00C876DF"/>
    <w:rsid w:val="00C9132D"/>
    <w:rsid w:val="00C919BA"/>
    <w:rsid w:val="00C91E9E"/>
    <w:rsid w:val="00C921C9"/>
    <w:rsid w:val="00C942B7"/>
    <w:rsid w:val="00C94A72"/>
    <w:rsid w:val="00C9545D"/>
    <w:rsid w:val="00CA0417"/>
    <w:rsid w:val="00CA06F6"/>
    <w:rsid w:val="00CA0D60"/>
    <w:rsid w:val="00CA1F2A"/>
    <w:rsid w:val="00CA3719"/>
    <w:rsid w:val="00CA3D87"/>
    <w:rsid w:val="00CA3F1F"/>
    <w:rsid w:val="00CA41AD"/>
    <w:rsid w:val="00CA5628"/>
    <w:rsid w:val="00CA5CAE"/>
    <w:rsid w:val="00CA6026"/>
    <w:rsid w:val="00CA77B2"/>
    <w:rsid w:val="00CA7FC7"/>
    <w:rsid w:val="00CB07A3"/>
    <w:rsid w:val="00CB2067"/>
    <w:rsid w:val="00CB3D0A"/>
    <w:rsid w:val="00CB3E66"/>
    <w:rsid w:val="00CB43EA"/>
    <w:rsid w:val="00CB5722"/>
    <w:rsid w:val="00CB6BBE"/>
    <w:rsid w:val="00CB7D1A"/>
    <w:rsid w:val="00CC0723"/>
    <w:rsid w:val="00CC0F4B"/>
    <w:rsid w:val="00CC484A"/>
    <w:rsid w:val="00CC4F86"/>
    <w:rsid w:val="00CC6251"/>
    <w:rsid w:val="00CC650C"/>
    <w:rsid w:val="00CC6A1C"/>
    <w:rsid w:val="00CC7327"/>
    <w:rsid w:val="00CD004C"/>
    <w:rsid w:val="00CD1837"/>
    <w:rsid w:val="00CD3BBE"/>
    <w:rsid w:val="00CD3EDA"/>
    <w:rsid w:val="00CD4813"/>
    <w:rsid w:val="00CD4CA4"/>
    <w:rsid w:val="00CD5074"/>
    <w:rsid w:val="00CD6F6B"/>
    <w:rsid w:val="00CD7234"/>
    <w:rsid w:val="00CD7A73"/>
    <w:rsid w:val="00CE19F2"/>
    <w:rsid w:val="00CE345E"/>
    <w:rsid w:val="00CE437E"/>
    <w:rsid w:val="00CE49DF"/>
    <w:rsid w:val="00CE6247"/>
    <w:rsid w:val="00CE6367"/>
    <w:rsid w:val="00CE6F2D"/>
    <w:rsid w:val="00CF0646"/>
    <w:rsid w:val="00CF1720"/>
    <w:rsid w:val="00CF193F"/>
    <w:rsid w:val="00CF1947"/>
    <w:rsid w:val="00CF3B87"/>
    <w:rsid w:val="00CF4BEC"/>
    <w:rsid w:val="00CF6500"/>
    <w:rsid w:val="00D0026D"/>
    <w:rsid w:val="00D003C8"/>
    <w:rsid w:val="00D00951"/>
    <w:rsid w:val="00D00BDA"/>
    <w:rsid w:val="00D019A3"/>
    <w:rsid w:val="00D03093"/>
    <w:rsid w:val="00D032C1"/>
    <w:rsid w:val="00D04641"/>
    <w:rsid w:val="00D05598"/>
    <w:rsid w:val="00D05C56"/>
    <w:rsid w:val="00D10BC8"/>
    <w:rsid w:val="00D10C66"/>
    <w:rsid w:val="00D11C27"/>
    <w:rsid w:val="00D12A54"/>
    <w:rsid w:val="00D1468A"/>
    <w:rsid w:val="00D148BE"/>
    <w:rsid w:val="00D152C9"/>
    <w:rsid w:val="00D1583C"/>
    <w:rsid w:val="00D16441"/>
    <w:rsid w:val="00D16F78"/>
    <w:rsid w:val="00D17509"/>
    <w:rsid w:val="00D17B96"/>
    <w:rsid w:val="00D17D09"/>
    <w:rsid w:val="00D20381"/>
    <w:rsid w:val="00D20F44"/>
    <w:rsid w:val="00D22EB6"/>
    <w:rsid w:val="00D24E0B"/>
    <w:rsid w:val="00D24E1D"/>
    <w:rsid w:val="00D26BA8"/>
    <w:rsid w:val="00D2750E"/>
    <w:rsid w:val="00D30F87"/>
    <w:rsid w:val="00D339F9"/>
    <w:rsid w:val="00D33E38"/>
    <w:rsid w:val="00D34F28"/>
    <w:rsid w:val="00D36D60"/>
    <w:rsid w:val="00D4058D"/>
    <w:rsid w:val="00D4136A"/>
    <w:rsid w:val="00D4175B"/>
    <w:rsid w:val="00D41AE2"/>
    <w:rsid w:val="00D42605"/>
    <w:rsid w:val="00D439E5"/>
    <w:rsid w:val="00D43EC9"/>
    <w:rsid w:val="00D46475"/>
    <w:rsid w:val="00D467C9"/>
    <w:rsid w:val="00D5006C"/>
    <w:rsid w:val="00D51D3A"/>
    <w:rsid w:val="00D522DC"/>
    <w:rsid w:val="00D52C4C"/>
    <w:rsid w:val="00D55619"/>
    <w:rsid w:val="00D55C45"/>
    <w:rsid w:val="00D56D31"/>
    <w:rsid w:val="00D608FE"/>
    <w:rsid w:val="00D62A3F"/>
    <w:rsid w:val="00D63313"/>
    <w:rsid w:val="00D63609"/>
    <w:rsid w:val="00D63DC2"/>
    <w:rsid w:val="00D65DF3"/>
    <w:rsid w:val="00D678EC"/>
    <w:rsid w:val="00D702A5"/>
    <w:rsid w:val="00D714E4"/>
    <w:rsid w:val="00D72891"/>
    <w:rsid w:val="00D729AA"/>
    <w:rsid w:val="00D72E28"/>
    <w:rsid w:val="00D737DF"/>
    <w:rsid w:val="00D738B5"/>
    <w:rsid w:val="00D75163"/>
    <w:rsid w:val="00D75535"/>
    <w:rsid w:val="00D76B42"/>
    <w:rsid w:val="00D77DCE"/>
    <w:rsid w:val="00D81520"/>
    <w:rsid w:val="00D82A5D"/>
    <w:rsid w:val="00D82EC7"/>
    <w:rsid w:val="00D82F74"/>
    <w:rsid w:val="00D83903"/>
    <w:rsid w:val="00D841D5"/>
    <w:rsid w:val="00D849E6"/>
    <w:rsid w:val="00D84FAE"/>
    <w:rsid w:val="00D850FE"/>
    <w:rsid w:val="00D85520"/>
    <w:rsid w:val="00D85BF2"/>
    <w:rsid w:val="00D86C77"/>
    <w:rsid w:val="00D8774D"/>
    <w:rsid w:val="00D87A2B"/>
    <w:rsid w:val="00D906A7"/>
    <w:rsid w:val="00D924A5"/>
    <w:rsid w:val="00D92C87"/>
    <w:rsid w:val="00D94BE2"/>
    <w:rsid w:val="00D959F3"/>
    <w:rsid w:val="00D96C54"/>
    <w:rsid w:val="00D96CF8"/>
    <w:rsid w:val="00D96F7F"/>
    <w:rsid w:val="00D9781B"/>
    <w:rsid w:val="00DA1B7C"/>
    <w:rsid w:val="00DA2EAA"/>
    <w:rsid w:val="00DA3EA2"/>
    <w:rsid w:val="00DA586B"/>
    <w:rsid w:val="00DA64B2"/>
    <w:rsid w:val="00DA68DD"/>
    <w:rsid w:val="00DA76DF"/>
    <w:rsid w:val="00DB2AE5"/>
    <w:rsid w:val="00DB4381"/>
    <w:rsid w:val="00DB4524"/>
    <w:rsid w:val="00DB4D84"/>
    <w:rsid w:val="00DB53BC"/>
    <w:rsid w:val="00DB5FCC"/>
    <w:rsid w:val="00DB6086"/>
    <w:rsid w:val="00DB757B"/>
    <w:rsid w:val="00DC103E"/>
    <w:rsid w:val="00DC47B7"/>
    <w:rsid w:val="00DC55CF"/>
    <w:rsid w:val="00DC6844"/>
    <w:rsid w:val="00DC6C9D"/>
    <w:rsid w:val="00DC71B0"/>
    <w:rsid w:val="00DD02D6"/>
    <w:rsid w:val="00DD0769"/>
    <w:rsid w:val="00DD0800"/>
    <w:rsid w:val="00DD0FF9"/>
    <w:rsid w:val="00DD2504"/>
    <w:rsid w:val="00DD44B4"/>
    <w:rsid w:val="00DD494B"/>
    <w:rsid w:val="00DD56D3"/>
    <w:rsid w:val="00DD620C"/>
    <w:rsid w:val="00DE1336"/>
    <w:rsid w:val="00DE26D3"/>
    <w:rsid w:val="00DE3878"/>
    <w:rsid w:val="00DE3C86"/>
    <w:rsid w:val="00DE4535"/>
    <w:rsid w:val="00DE45F5"/>
    <w:rsid w:val="00DE7CF8"/>
    <w:rsid w:val="00DF1E83"/>
    <w:rsid w:val="00DF45A6"/>
    <w:rsid w:val="00DF499A"/>
    <w:rsid w:val="00DF4C46"/>
    <w:rsid w:val="00DF5841"/>
    <w:rsid w:val="00DF59F6"/>
    <w:rsid w:val="00DF669F"/>
    <w:rsid w:val="00DF77DD"/>
    <w:rsid w:val="00DF78B2"/>
    <w:rsid w:val="00E00380"/>
    <w:rsid w:val="00E01DDF"/>
    <w:rsid w:val="00E02CD6"/>
    <w:rsid w:val="00E036DE"/>
    <w:rsid w:val="00E03D79"/>
    <w:rsid w:val="00E04D99"/>
    <w:rsid w:val="00E0501E"/>
    <w:rsid w:val="00E05D14"/>
    <w:rsid w:val="00E06183"/>
    <w:rsid w:val="00E068BB"/>
    <w:rsid w:val="00E1068E"/>
    <w:rsid w:val="00E10A79"/>
    <w:rsid w:val="00E10C1C"/>
    <w:rsid w:val="00E10E49"/>
    <w:rsid w:val="00E115FA"/>
    <w:rsid w:val="00E149E8"/>
    <w:rsid w:val="00E14E6F"/>
    <w:rsid w:val="00E15148"/>
    <w:rsid w:val="00E151DE"/>
    <w:rsid w:val="00E216F6"/>
    <w:rsid w:val="00E21BB9"/>
    <w:rsid w:val="00E2244B"/>
    <w:rsid w:val="00E22C8C"/>
    <w:rsid w:val="00E24295"/>
    <w:rsid w:val="00E2591E"/>
    <w:rsid w:val="00E25E9B"/>
    <w:rsid w:val="00E2608B"/>
    <w:rsid w:val="00E27607"/>
    <w:rsid w:val="00E27E7F"/>
    <w:rsid w:val="00E2E935"/>
    <w:rsid w:val="00E30967"/>
    <w:rsid w:val="00E30991"/>
    <w:rsid w:val="00E30C5A"/>
    <w:rsid w:val="00E3157A"/>
    <w:rsid w:val="00E31616"/>
    <w:rsid w:val="00E316E4"/>
    <w:rsid w:val="00E31C99"/>
    <w:rsid w:val="00E3289A"/>
    <w:rsid w:val="00E33BAE"/>
    <w:rsid w:val="00E35675"/>
    <w:rsid w:val="00E35E76"/>
    <w:rsid w:val="00E36307"/>
    <w:rsid w:val="00E3670C"/>
    <w:rsid w:val="00E36EE6"/>
    <w:rsid w:val="00E377AE"/>
    <w:rsid w:val="00E37B1B"/>
    <w:rsid w:val="00E40A58"/>
    <w:rsid w:val="00E40E3A"/>
    <w:rsid w:val="00E40F85"/>
    <w:rsid w:val="00E4262F"/>
    <w:rsid w:val="00E4268D"/>
    <w:rsid w:val="00E4345A"/>
    <w:rsid w:val="00E4436F"/>
    <w:rsid w:val="00E44508"/>
    <w:rsid w:val="00E44C57"/>
    <w:rsid w:val="00E44FDD"/>
    <w:rsid w:val="00E451FF"/>
    <w:rsid w:val="00E45339"/>
    <w:rsid w:val="00E45960"/>
    <w:rsid w:val="00E4602C"/>
    <w:rsid w:val="00E46C38"/>
    <w:rsid w:val="00E50EF4"/>
    <w:rsid w:val="00E51871"/>
    <w:rsid w:val="00E51983"/>
    <w:rsid w:val="00E53794"/>
    <w:rsid w:val="00E5432B"/>
    <w:rsid w:val="00E56F8E"/>
    <w:rsid w:val="00E576CF"/>
    <w:rsid w:val="00E57A12"/>
    <w:rsid w:val="00E57FAB"/>
    <w:rsid w:val="00E60A40"/>
    <w:rsid w:val="00E617A4"/>
    <w:rsid w:val="00E6418D"/>
    <w:rsid w:val="00E643D1"/>
    <w:rsid w:val="00E658DC"/>
    <w:rsid w:val="00E660B4"/>
    <w:rsid w:val="00E662E0"/>
    <w:rsid w:val="00E665A0"/>
    <w:rsid w:val="00E668E3"/>
    <w:rsid w:val="00E7028E"/>
    <w:rsid w:val="00E708B1"/>
    <w:rsid w:val="00E718B7"/>
    <w:rsid w:val="00E720D1"/>
    <w:rsid w:val="00E720E9"/>
    <w:rsid w:val="00E756D8"/>
    <w:rsid w:val="00E75C46"/>
    <w:rsid w:val="00E7705D"/>
    <w:rsid w:val="00E771EE"/>
    <w:rsid w:val="00E81BE4"/>
    <w:rsid w:val="00E82503"/>
    <w:rsid w:val="00E82FAF"/>
    <w:rsid w:val="00E83194"/>
    <w:rsid w:val="00E84513"/>
    <w:rsid w:val="00E86BF4"/>
    <w:rsid w:val="00E87DCE"/>
    <w:rsid w:val="00E933B8"/>
    <w:rsid w:val="00E9538C"/>
    <w:rsid w:val="00E96D8C"/>
    <w:rsid w:val="00E97450"/>
    <w:rsid w:val="00EA1E60"/>
    <w:rsid w:val="00EA4AB4"/>
    <w:rsid w:val="00EA4B82"/>
    <w:rsid w:val="00EA60F2"/>
    <w:rsid w:val="00EB05C9"/>
    <w:rsid w:val="00EB3F0E"/>
    <w:rsid w:val="00EB4163"/>
    <w:rsid w:val="00EB4355"/>
    <w:rsid w:val="00EB4B25"/>
    <w:rsid w:val="00EB6DCA"/>
    <w:rsid w:val="00EB7CE2"/>
    <w:rsid w:val="00EB7DEC"/>
    <w:rsid w:val="00EC0D93"/>
    <w:rsid w:val="00EC2359"/>
    <w:rsid w:val="00EC237B"/>
    <w:rsid w:val="00EC3434"/>
    <w:rsid w:val="00EC428C"/>
    <w:rsid w:val="00EC4BD1"/>
    <w:rsid w:val="00EC52EC"/>
    <w:rsid w:val="00EC58CE"/>
    <w:rsid w:val="00EC5A9F"/>
    <w:rsid w:val="00EC5C06"/>
    <w:rsid w:val="00EC66C2"/>
    <w:rsid w:val="00EC6F2E"/>
    <w:rsid w:val="00EC71E4"/>
    <w:rsid w:val="00EC7C9E"/>
    <w:rsid w:val="00EC7D72"/>
    <w:rsid w:val="00ED01CD"/>
    <w:rsid w:val="00ED114F"/>
    <w:rsid w:val="00ED19B7"/>
    <w:rsid w:val="00ED27A2"/>
    <w:rsid w:val="00ED6E71"/>
    <w:rsid w:val="00ED7122"/>
    <w:rsid w:val="00EE0A7B"/>
    <w:rsid w:val="00EE130A"/>
    <w:rsid w:val="00EE248A"/>
    <w:rsid w:val="00EE2EAE"/>
    <w:rsid w:val="00EE528B"/>
    <w:rsid w:val="00EF0974"/>
    <w:rsid w:val="00EF0FC9"/>
    <w:rsid w:val="00EF391B"/>
    <w:rsid w:val="00EF540A"/>
    <w:rsid w:val="00EF5F57"/>
    <w:rsid w:val="00EF6EE3"/>
    <w:rsid w:val="00EF7254"/>
    <w:rsid w:val="00EF74EE"/>
    <w:rsid w:val="00EF7CB3"/>
    <w:rsid w:val="00F00984"/>
    <w:rsid w:val="00F00DA9"/>
    <w:rsid w:val="00F013EA"/>
    <w:rsid w:val="00F021A6"/>
    <w:rsid w:val="00F02299"/>
    <w:rsid w:val="00F05A56"/>
    <w:rsid w:val="00F06AB0"/>
    <w:rsid w:val="00F07101"/>
    <w:rsid w:val="00F07CD2"/>
    <w:rsid w:val="00F108A9"/>
    <w:rsid w:val="00F11460"/>
    <w:rsid w:val="00F11604"/>
    <w:rsid w:val="00F12CF8"/>
    <w:rsid w:val="00F15929"/>
    <w:rsid w:val="00F15F75"/>
    <w:rsid w:val="00F16771"/>
    <w:rsid w:val="00F175F4"/>
    <w:rsid w:val="00F17743"/>
    <w:rsid w:val="00F17CF4"/>
    <w:rsid w:val="00F2066C"/>
    <w:rsid w:val="00F2108B"/>
    <w:rsid w:val="00F21814"/>
    <w:rsid w:val="00F22421"/>
    <w:rsid w:val="00F22A1C"/>
    <w:rsid w:val="00F2305A"/>
    <w:rsid w:val="00F23734"/>
    <w:rsid w:val="00F23E89"/>
    <w:rsid w:val="00F2492F"/>
    <w:rsid w:val="00F26353"/>
    <w:rsid w:val="00F26733"/>
    <w:rsid w:val="00F304F8"/>
    <w:rsid w:val="00F31DD2"/>
    <w:rsid w:val="00F32DD4"/>
    <w:rsid w:val="00F32DEE"/>
    <w:rsid w:val="00F33140"/>
    <w:rsid w:val="00F33ACE"/>
    <w:rsid w:val="00F33E15"/>
    <w:rsid w:val="00F33EEB"/>
    <w:rsid w:val="00F35770"/>
    <w:rsid w:val="00F36113"/>
    <w:rsid w:val="00F364FD"/>
    <w:rsid w:val="00F36A19"/>
    <w:rsid w:val="00F36AFB"/>
    <w:rsid w:val="00F42F5F"/>
    <w:rsid w:val="00F4371A"/>
    <w:rsid w:val="00F43C98"/>
    <w:rsid w:val="00F45324"/>
    <w:rsid w:val="00F4601D"/>
    <w:rsid w:val="00F4675C"/>
    <w:rsid w:val="00F475AF"/>
    <w:rsid w:val="00F47794"/>
    <w:rsid w:val="00F52FE0"/>
    <w:rsid w:val="00F5323F"/>
    <w:rsid w:val="00F53588"/>
    <w:rsid w:val="00F53AB3"/>
    <w:rsid w:val="00F53B8E"/>
    <w:rsid w:val="00F53D20"/>
    <w:rsid w:val="00F5502C"/>
    <w:rsid w:val="00F56215"/>
    <w:rsid w:val="00F56A70"/>
    <w:rsid w:val="00F579A2"/>
    <w:rsid w:val="00F60702"/>
    <w:rsid w:val="00F60E23"/>
    <w:rsid w:val="00F61D78"/>
    <w:rsid w:val="00F62BE1"/>
    <w:rsid w:val="00F630BD"/>
    <w:rsid w:val="00F633E2"/>
    <w:rsid w:val="00F64161"/>
    <w:rsid w:val="00F643A1"/>
    <w:rsid w:val="00F64F2F"/>
    <w:rsid w:val="00F65BB5"/>
    <w:rsid w:val="00F667D7"/>
    <w:rsid w:val="00F66C8E"/>
    <w:rsid w:val="00F70509"/>
    <w:rsid w:val="00F70A80"/>
    <w:rsid w:val="00F70B5F"/>
    <w:rsid w:val="00F72598"/>
    <w:rsid w:val="00F72BD1"/>
    <w:rsid w:val="00F738EA"/>
    <w:rsid w:val="00F73A31"/>
    <w:rsid w:val="00F73AB1"/>
    <w:rsid w:val="00F74968"/>
    <w:rsid w:val="00F7510A"/>
    <w:rsid w:val="00F757A1"/>
    <w:rsid w:val="00F75B93"/>
    <w:rsid w:val="00F76B2B"/>
    <w:rsid w:val="00F76C7C"/>
    <w:rsid w:val="00F772C3"/>
    <w:rsid w:val="00F7742C"/>
    <w:rsid w:val="00F77764"/>
    <w:rsid w:val="00F77DD2"/>
    <w:rsid w:val="00F77E0A"/>
    <w:rsid w:val="00F8076A"/>
    <w:rsid w:val="00F8090D"/>
    <w:rsid w:val="00F81025"/>
    <w:rsid w:val="00F8196B"/>
    <w:rsid w:val="00F82368"/>
    <w:rsid w:val="00F823F4"/>
    <w:rsid w:val="00F8310D"/>
    <w:rsid w:val="00F8319B"/>
    <w:rsid w:val="00F83436"/>
    <w:rsid w:val="00F839C2"/>
    <w:rsid w:val="00F847BB"/>
    <w:rsid w:val="00F84903"/>
    <w:rsid w:val="00F849AC"/>
    <w:rsid w:val="00F8685F"/>
    <w:rsid w:val="00F872C0"/>
    <w:rsid w:val="00F87584"/>
    <w:rsid w:val="00F87F5F"/>
    <w:rsid w:val="00F9013D"/>
    <w:rsid w:val="00F9086A"/>
    <w:rsid w:val="00F91914"/>
    <w:rsid w:val="00F92712"/>
    <w:rsid w:val="00F93469"/>
    <w:rsid w:val="00F934D5"/>
    <w:rsid w:val="00F941B5"/>
    <w:rsid w:val="00F94347"/>
    <w:rsid w:val="00F95A1B"/>
    <w:rsid w:val="00F95B13"/>
    <w:rsid w:val="00F96196"/>
    <w:rsid w:val="00F964FB"/>
    <w:rsid w:val="00F97A28"/>
    <w:rsid w:val="00F97FFB"/>
    <w:rsid w:val="00FA09DA"/>
    <w:rsid w:val="00FA348D"/>
    <w:rsid w:val="00FA4937"/>
    <w:rsid w:val="00FA4A93"/>
    <w:rsid w:val="00FA6849"/>
    <w:rsid w:val="00FA79EE"/>
    <w:rsid w:val="00FA7F54"/>
    <w:rsid w:val="00FB0170"/>
    <w:rsid w:val="00FB278B"/>
    <w:rsid w:val="00FB329E"/>
    <w:rsid w:val="00FB377F"/>
    <w:rsid w:val="00FB37AD"/>
    <w:rsid w:val="00FB3D47"/>
    <w:rsid w:val="00FB7068"/>
    <w:rsid w:val="00FB7652"/>
    <w:rsid w:val="00FB7A16"/>
    <w:rsid w:val="00FC0432"/>
    <w:rsid w:val="00FC0795"/>
    <w:rsid w:val="00FC38F8"/>
    <w:rsid w:val="00FC4CBF"/>
    <w:rsid w:val="00FC687B"/>
    <w:rsid w:val="00FD01AA"/>
    <w:rsid w:val="00FD0444"/>
    <w:rsid w:val="00FD14C6"/>
    <w:rsid w:val="00FD1687"/>
    <w:rsid w:val="00FD1B3A"/>
    <w:rsid w:val="00FD315C"/>
    <w:rsid w:val="00FD33CA"/>
    <w:rsid w:val="00FE0864"/>
    <w:rsid w:val="00FE0EB8"/>
    <w:rsid w:val="00FE2516"/>
    <w:rsid w:val="00FE2693"/>
    <w:rsid w:val="00FE2A89"/>
    <w:rsid w:val="00FE324C"/>
    <w:rsid w:val="00FE3679"/>
    <w:rsid w:val="00FE3834"/>
    <w:rsid w:val="00FE478F"/>
    <w:rsid w:val="00FE4E44"/>
    <w:rsid w:val="00FE6EA3"/>
    <w:rsid w:val="00FE76A6"/>
    <w:rsid w:val="00FE7FD0"/>
    <w:rsid w:val="00FF0087"/>
    <w:rsid w:val="00FF0910"/>
    <w:rsid w:val="00FF340F"/>
    <w:rsid w:val="00FF408A"/>
    <w:rsid w:val="00FF4F9F"/>
    <w:rsid w:val="00FF55C4"/>
    <w:rsid w:val="00FF5775"/>
    <w:rsid w:val="00FF5D69"/>
    <w:rsid w:val="01465471"/>
    <w:rsid w:val="0203A449"/>
    <w:rsid w:val="02756D5C"/>
    <w:rsid w:val="035E80C0"/>
    <w:rsid w:val="04354FD4"/>
    <w:rsid w:val="045D9E0D"/>
    <w:rsid w:val="0509307F"/>
    <w:rsid w:val="05481475"/>
    <w:rsid w:val="054AC32E"/>
    <w:rsid w:val="06A76E49"/>
    <w:rsid w:val="076D18C1"/>
    <w:rsid w:val="07C12776"/>
    <w:rsid w:val="08341923"/>
    <w:rsid w:val="08542C0C"/>
    <w:rsid w:val="08733365"/>
    <w:rsid w:val="0873F3F3"/>
    <w:rsid w:val="08D6A49C"/>
    <w:rsid w:val="09AC7652"/>
    <w:rsid w:val="0ADA9CDD"/>
    <w:rsid w:val="0ADE86FB"/>
    <w:rsid w:val="0B16E69E"/>
    <w:rsid w:val="0C253300"/>
    <w:rsid w:val="0C63F6B9"/>
    <w:rsid w:val="0CAD313D"/>
    <w:rsid w:val="0D73B8E1"/>
    <w:rsid w:val="0EA3DA08"/>
    <w:rsid w:val="0EE8F980"/>
    <w:rsid w:val="0EFCD00D"/>
    <w:rsid w:val="0F1518A2"/>
    <w:rsid w:val="0F599746"/>
    <w:rsid w:val="0FA72E31"/>
    <w:rsid w:val="10122BBF"/>
    <w:rsid w:val="1188145C"/>
    <w:rsid w:val="1190F369"/>
    <w:rsid w:val="11952E25"/>
    <w:rsid w:val="12140A1E"/>
    <w:rsid w:val="125965C2"/>
    <w:rsid w:val="127CAB0F"/>
    <w:rsid w:val="131EA4BA"/>
    <w:rsid w:val="13923964"/>
    <w:rsid w:val="13AB9BB6"/>
    <w:rsid w:val="13D17EB0"/>
    <w:rsid w:val="142437AE"/>
    <w:rsid w:val="14A3C02D"/>
    <w:rsid w:val="156E8357"/>
    <w:rsid w:val="15D9EF94"/>
    <w:rsid w:val="1616D5AB"/>
    <w:rsid w:val="1619C835"/>
    <w:rsid w:val="16220067"/>
    <w:rsid w:val="1622090C"/>
    <w:rsid w:val="162AEFF4"/>
    <w:rsid w:val="162D9DB4"/>
    <w:rsid w:val="16476BA1"/>
    <w:rsid w:val="1654A251"/>
    <w:rsid w:val="165BC51D"/>
    <w:rsid w:val="169E236F"/>
    <w:rsid w:val="16AF4520"/>
    <w:rsid w:val="170EE9B8"/>
    <w:rsid w:val="17803EF6"/>
    <w:rsid w:val="17D0D467"/>
    <w:rsid w:val="17EE0936"/>
    <w:rsid w:val="191A5ADA"/>
    <w:rsid w:val="196FC1A9"/>
    <w:rsid w:val="1974A2F6"/>
    <w:rsid w:val="19E1B8F3"/>
    <w:rsid w:val="1C459B6A"/>
    <w:rsid w:val="1C4CDCDC"/>
    <w:rsid w:val="1C8DDC9E"/>
    <w:rsid w:val="1CD19933"/>
    <w:rsid w:val="1D4E2FA0"/>
    <w:rsid w:val="1DBB473B"/>
    <w:rsid w:val="1DFC7BC6"/>
    <w:rsid w:val="1E8D8BBB"/>
    <w:rsid w:val="1F4AEFCA"/>
    <w:rsid w:val="1F6F5985"/>
    <w:rsid w:val="1FA0670B"/>
    <w:rsid w:val="201BE4D5"/>
    <w:rsid w:val="2053A0D7"/>
    <w:rsid w:val="2056D231"/>
    <w:rsid w:val="20856057"/>
    <w:rsid w:val="20F217E3"/>
    <w:rsid w:val="21462D17"/>
    <w:rsid w:val="225E7B2E"/>
    <w:rsid w:val="2269844E"/>
    <w:rsid w:val="22A863F2"/>
    <w:rsid w:val="238A32CF"/>
    <w:rsid w:val="239AE6AB"/>
    <w:rsid w:val="23A5A2E7"/>
    <w:rsid w:val="23BC9BBF"/>
    <w:rsid w:val="23FD9AAE"/>
    <w:rsid w:val="23FF042B"/>
    <w:rsid w:val="24F25368"/>
    <w:rsid w:val="25776376"/>
    <w:rsid w:val="25D36477"/>
    <w:rsid w:val="25F82616"/>
    <w:rsid w:val="280A7C17"/>
    <w:rsid w:val="2853EC81"/>
    <w:rsid w:val="28548074"/>
    <w:rsid w:val="28BAAC51"/>
    <w:rsid w:val="294ACDBE"/>
    <w:rsid w:val="297691AD"/>
    <w:rsid w:val="2A2DE96C"/>
    <w:rsid w:val="2A3C4D62"/>
    <w:rsid w:val="2A45A5AD"/>
    <w:rsid w:val="2AA4B767"/>
    <w:rsid w:val="2B5BC9EA"/>
    <w:rsid w:val="2B8682B6"/>
    <w:rsid w:val="2BB46B54"/>
    <w:rsid w:val="2BDFABF8"/>
    <w:rsid w:val="2C31D166"/>
    <w:rsid w:val="2DB6884F"/>
    <w:rsid w:val="2E01F9AB"/>
    <w:rsid w:val="2E4695BA"/>
    <w:rsid w:val="2F202017"/>
    <w:rsid w:val="30387C73"/>
    <w:rsid w:val="3043B80E"/>
    <w:rsid w:val="30D52E88"/>
    <w:rsid w:val="3192CDA3"/>
    <w:rsid w:val="322F49DD"/>
    <w:rsid w:val="3272B51C"/>
    <w:rsid w:val="329F0779"/>
    <w:rsid w:val="32AFE395"/>
    <w:rsid w:val="3358164D"/>
    <w:rsid w:val="33FD0963"/>
    <w:rsid w:val="346709C5"/>
    <w:rsid w:val="34868676"/>
    <w:rsid w:val="34ED9D0E"/>
    <w:rsid w:val="34FE0A9F"/>
    <w:rsid w:val="34FFB062"/>
    <w:rsid w:val="36125BB4"/>
    <w:rsid w:val="37983307"/>
    <w:rsid w:val="37AE1D2F"/>
    <w:rsid w:val="384CE5C8"/>
    <w:rsid w:val="392125E8"/>
    <w:rsid w:val="396A1EB3"/>
    <w:rsid w:val="39A2B2C8"/>
    <w:rsid w:val="3AB60BDA"/>
    <w:rsid w:val="3AEA11B3"/>
    <w:rsid w:val="3BFD188C"/>
    <w:rsid w:val="3C63D9C3"/>
    <w:rsid w:val="3E73F524"/>
    <w:rsid w:val="3E78BC59"/>
    <w:rsid w:val="3E8036D0"/>
    <w:rsid w:val="3F3865E1"/>
    <w:rsid w:val="401A6EA5"/>
    <w:rsid w:val="410C6B39"/>
    <w:rsid w:val="4394EB81"/>
    <w:rsid w:val="4467BFB6"/>
    <w:rsid w:val="44783A93"/>
    <w:rsid w:val="4613F11B"/>
    <w:rsid w:val="472A682C"/>
    <w:rsid w:val="47B57C4E"/>
    <w:rsid w:val="481ADBEE"/>
    <w:rsid w:val="48BC08D6"/>
    <w:rsid w:val="4958C5D5"/>
    <w:rsid w:val="4AE2037A"/>
    <w:rsid w:val="4B3CFF53"/>
    <w:rsid w:val="4BDFCEDE"/>
    <w:rsid w:val="4C3BB78F"/>
    <w:rsid w:val="4DC029E7"/>
    <w:rsid w:val="4DDCC842"/>
    <w:rsid w:val="4E48C4E3"/>
    <w:rsid w:val="4E8BAAF4"/>
    <w:rsid w:val="4EB644E6"/>
    <w:rsid w:val="4F2AD5B6"/>
    <w:rsid w:val="4FAA5CEF"/>
    <w:rsid w:val="4FFAD6F7"/>
    <w:rsid w:val="5017F305"/>
    <w:rsid w:val="50ECB761"/>
    <w:rsid w:val="50FF11BC"/>
    <w:rsid w:val="51686C95"/>
    <w:rsid w:val="51EDE153"/>
    <w:rsid w:val="533C0355"/>
    <w:rsid w:val="5356F842"/>
    <w:rsid w:val="5383885C"/>
    <w:rsid w:val="53FF1542"/>
    <w:rsid w:val="542143EE"/>
    <w:rsid w:val="552FFDA5"/>
    <w:rsid w:val="55966140"/>
    <w:rsid w:val="559BB8F8"/>
    <w:rsid w:val="55D3FF6C"/>
    <w:rsid w:val="560310C4"/>
    <w:rsid w:val="566A94B7"/>
    <w:rsid w:val="56A080DF"/>
    <w:rsid w:val="56B1D750"/>
    <w:rsid w:val="56CDFD91"/>
    <w:rsid w:val="56E5C997"/>
    <w:rsid w:val="57E8EEFD"/>
    <w:rsid w:val="583F688B"/>
    <w:rsid w:val="584F1AB2"/>
    <w:rsid w:val="599E54F7"/>
    <w:rsid w:val="59E5643E"/>
    <w:rsid w:val="5A4DDC57"/>
    <w:rsid w:val="5A885D89"/>
    <w:rsid w:val="5B0F0652"/>
    <w:rsid w:val="5B571CDA"/>
    <w:rsid w:val="5BAFAA94"/>
    <w:rsid w:val="5C3AE918"/>
    <w:rsid w:val="5C8ED3CB"/>
    <w:rsid w:val="5D7EA081"/>
    <w:rsid w:val="5DB4DE72"/>
    <w:rsid w:val="5DE615FD"/>
    <w:rsid w:val="5DF8864B"/>
    <w:rsid w:val="5EEEE497"/>
    <w:rsid w:val="5F2CB266"/>
    <w:rsid w:val="600C5D28"/>
    <w:rsid w:val="6078D157"/>
    <w:rsid w:val="609E326B"/>
    <w:rsid w:val="60F928E5"/>
    <w:rsid w:val="621FCAA0"/>
    <w:rsid w:val="62841C03"/>
    <w:rsid w:val="62D5BAF3"/>
    <w:rsid w:val="62ED4296"/>
    <w:rsid w:val="639F866B"/>
    <w:rsid w:val="65831F6F"/>
    <w:rsid w:val="65D8D886"/>
    <w:rsid w:val="667542E7"/>
    <w:rsid w:val="66AF38AD"/>
    <w:rsid w:val="67C5D2BB"/>
    <w:rsid w:val="68271B7B"/>
    <w:rsid w:val="683E6D40"/>
    <w:rsid w:val="68542645"/>
    <w:rsid w:val="68D2E022"/>
    <w:rsid w:val="6985A9BC"/>
    <w:rsid w:val="69C23A79"/>
    <w:rsid w:val="6A23BB9A"/>
    <w:rsid w:val="6B1A4118"/>
    <w:rsid w:val="6BB5E942"/>
    <w:rsid w:val="6BE309AE"/>
    <w:rsid w:val="6C4D1C29"/>
    <w:rsid w:val="6C554EFA"/>
    <w:rsid w:val="6CCBE4DC"/>
    <w:rsid w:val="6D16E3C7"/>
    <w:rsid w:val="6D5369A6"/>
    <w:rsid w:val="6D83CBC7"/>
    <w:rsid w:val="6DCA2B52"/>
    <w:rsid w:val="6DE7B8DD"/>
    <w:rsid w:val="6E439B50"/>
    <w:rsid w:val="6EEFF797"/>
    <w:rsid w:val="713D4641"/>
    <w:rsid w:val="7173083C"/>
    <w:rsid w:val="717F7D3E"/>
    <w:rsid w:val="71F1EFA6"/>
    <w:rsid w:val="72624232"/>
    <w:rsid w:val="73161707"/>
    <w:rsid w:val="73E88802"/>
    <w:rsid w:val="7400292C"/>
    <w:rsid w:val="742D300C"/>
    <w:rsid w:val="743B8100"/>
    <w:rsid w:val="74B70EA8"/>
    <w:rsid w:val="753E5E3D"/>
    <w:rsid w:val="7587F87F"/>
    <w:rsid w:val="75BCF839"/>
    <w:rsid w:val="75E961D3"/>
    <w:rsid w:val="765DCA79"/>
    <w:rsid w:val="76B58782"/>
    <w:rsid w:val="7762862F"/>
    <w:rsid w:val="777FE9F8"/>
    <w:rsid w:val="77828E11"/>
    <w:rsid w:val="78EA3D66"/>
    <w:rsid w:val="7954B401"/>
    <w:rsid w:val="79C0EB72"/>
    <w:rsid w:val="79C45F53"/>
    <w:rsid w:val="79D72318"/>
    <w:rsid w:val="7C118701"/>
    <w:rsid w:val="7CE2F607"/>
    <w:rsid w:val="7CFA9F1D"/>
    <w:rsid w:val="7D5C53B7"/>
    <w:rsid w:val="7DDC4A7D"/>
    <w:rsid w:val="7E945EF5"/>
    <w:rsid w:val="7EDEFFFA"/>
    <w:rsid w:val="7EE6A6EA"/>
    <w:rsid w:val="7EECB1EC"/>
    <w:rsid w:val="7FDF6961"/>
    <w:rsid w:val="7FF02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8B5"/>
    <w:pPr>
      <w:spacing w:before="0" w:after="160" w:line="278" w:lineRule="auto"/>
      <w:ind w:left="720"/>
      <w:contextualSpacing/>
      <w:jc w:val="left"/>
    </w:pPr>
    <w:rPr>
      <w:rFonts w:asciiTheme="minorHAnsi" w:hAnsiTheme="minorHAnsi" w:cstheme="minorBidi"/>
      <w:kern w:val="2"/>
      <w:szCs w:val="24"/>
      <w14:ligatures w14:val="standardContextual"/>
    </w:rPr>
  </w:style>
  <w:style w:type="character" w:styleId="CommentReference">
    <w:name w:val="annotation reference"/>
    <w:basedOn w:val="DefaultParagraphFont"/>
    <w:uiPriority w:val="99"/>
    <w:semiHidden/>
    <w:unhideWhenUsed/>
    <w:rsid w:val="003E28B5"/>
    <w:rPr>
      <w:sz w:val="16"/>
      <w:szCs w:val="16"/>
    </w:rPr>
  </w:style>
  <w:style w:type="paragraph" w:styleId="CommentText">
    <w:name w:val="annotation text"/>
    <w:basedOn w:val="Normal"/>
    <w:link w:val="CommentTextChar"/>
    <w:uiPriority w:val="99"/>
    <w:unhideWhenUsed/>
    <w:rsid w:val="003E28B5"/>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3E28B5"/>
    <w:rPr>
      <w:kern w:val="2"/>
      <w:sz w:val="20"/>
      <w:szCs w:val="20"/>
      <w:lang w:val="ro-RO"/>
      <w14:ligatures w14:val="standardContextual"/>
    </w:rPr>
  </w:style>
  <w:style w:type="paragraph" w:styleId="ListBullet">
    <w:name w:val="List Bullet"/>
    <w:basedOn w:val="Normal"/>
    <w:uiPriority w:val="99"/>
    <w:semiHidden/>
    <w:unhideWhenUsed/>
    <w:rsid w:val="00AB3971"/>
    <w:pPr>
      <w:numPr>
        <w:numId w:val="1"/>
      </w:numPr>
      <w:contextualSpacing/>
    </w:pPr>
  </w:style>
  <w:style w:type="paragraph" w:styleId="ListBullet2">
    <w:name w:val="List Bullet 2"/>
    <w:basedOn w:val="Normal"/>
    <w:uiPriority w:val="99"/>
    <w:semiHidden/>
    <w:unhideWhenUsed/>
    <w:rsid w:val="00AB3971"/>
    <w:pPr>
      <w:numPr>
        <w:numId w:val="2"/>
      </w:numPr>
      <w:contextualSpacing/>
    </w:pPr>
  </w:style>
  <w:style w:type="paragraph" w:styleId="ListBullet3">
    <w:name w:val="List Bullet 3"/>
    <w:basedOn w:val="Normal"/>
    <w:uiPriority w:val="99"/>
    <w:semiHidden/>
    <w:unhideWhenUsed/>
    <w:rsid w:val="00AB3971"/>
    <w:pPr>
      <w:numPr>
        <w:numId w:val="3"/>
      </w:numPr>
      <w:contextualSpacing/>
    </w:pPr>
  </w:style>
  <w:style w:type="paragraph" w:styleId="ListBullet4">
    <w:name w:val="List Bullet 4"/>
    <w:basedOn w:val="Normal"/>
    <w:uiPriority w:val="99"/>
    <w:semiHidden/>
    <w:unhideWhenUsed/>
    <w:rsid w:val="00AB3971"/>
    <w:pPr>
      <w:numPr>
        <w:numId w:val="4"/>
      </w:numPr>
      <w:contextualSpacing/>
    </w:pPr>
  </w:style>
  <w:style w:type="paragraph" w:styleId="Revision">
    <w:name w:val="Revision"/>
    <w:hidden/>
    <w:uiPriority w:val="99"/>
    <w:semiHidden/>
    <w:rsid w:val="00AB3971"/>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5238A2"/>
    <w:pPr>
      <w:spacing w:before="0" w:after="0"/>
    </w:pPr>
    <w:rPr>
      <w:sz w:val="20"/>
      <w:szCs w:val="20"/>
    </w:rPr>
  </w:style>
  <w:style w:type="character" w:customStyle="1" w:styleId="EndnoteTextChar">
    <w:name w:val="Endnote Text Char"/>
    <w:basedOn w:val="DefaultParagraphFont"/>
    <w:link w:val="EndnoteText"/>
    <w:uiPriority w:val="99"/>
    <w:semiHidden/>
    <w:rsid w:val="005238A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5238A2"/>
    <w:rPr>
      <w:vertAlign w:val="superscript"/>
    </w:rPr>
  </w:style>
  <w:style w:type="paragraph" w:customStyle="1" w:styleId="LegalNumPar">
    <w:name w:val="LegalNumPar"/>
    <w:basedOn w:val="Normal"/>
    <w:rsid w:val="000C58A5"/>
    <w:pPr>
      <w:numPr>
        <w:numId w:val="5"/>
      </w:numPr>
      <w:spacing w:line="360" w:lineRule="auto"/>
    </w:pPr>
  </w:style>
  <w:style w:type="paragraph" w:customStyle="1" w:styleId="LegalNumPar2">
    <w:name w:val="LegalNumPar2"/>
    <w:basedOn w:val="Normal"/>
    <w:rsid w:val="000C58A5"/>
    <w:pPr>
      <w:numPr>
        <w:ilvl w:val="1"/>
        <w:numId w:val="5"/>
      </w:numPr>
      <w:spacing w:line="360" w:lineRule="auto"/>
    </w:pPr>
  </w:style>
  <w:style w:type="paragraph" w:customStyle="1" w:styleId="LegalNumPar3">
    <w:name w:val="LegalNumPar3"/>
    <w:basedOn w:val="Normal"/>
    <w:rsid w:val="000C58A5"/>
    <w:pPr>
      <w:numPr>
        <w:ilvl w:val="2"/>
        <w:numId w:val="5"/>
      </w:numPr>
      <w:spacing w:line="360" w:lineRule="auto"/>
    </w:pPr>
  </w:style>
  <w:style w:type="paragraph" w:styleId="CommentSubject">
    <w:name w:val="annotation subject"/>
    <w:basedOn w:val="CommentText"/>
    <w:next w:val="CommentText"/>
    <w:link w:val="CommentSubjectChar"/>
    <w:uiPriority w:val="99"/>
    <w:semiHidden/>
    <w:unhideWhenUsed/>
    <w:rsid w:val="00926121"/>
    <w:pPr>
      <w:spacing w:before="120" w:after="120"/>
      <w:jc w:val="both"/>
    </w:pPr>
    <w:rPr>
      <w:rFonts w:ascii="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926121"/>
    <w:rPr>
      <w:rFonts w:ascii="Times New Roman" w:hAnsi="Times New Roman" w:cs="Times New Roman"/>
      <w:b/>
      <w:bCs/>
      <w:kern w:val="2"/>
      <w:sz w:val="20"/>
      <w:szCs w:val="20"/>
      <w:lang w:val="ro-RO"/>
      <w14:ligatures w14:val="standardContextual"/>
    </w:rPr>
  </w:style>
  <w:style w:type="character" w:styleId="Hyperlink">
    <w:name w:val="Hyperlink"/>
    <w:basedOn w:val="DefaultParagraphFont"/>
    <w:uiPriority w:val="99"/>
    <w:unhideWhenUsed/>
    <w:rsid w:val="7CFA9F1D"/>
    <w:rPr>
      <w:color w:val="0000FF"/>
      <w:u w:val="single"/>
    </w:rPr>
  </w:style>
  <w:style w:type="character" w:styleId="FollowedHyperlink">
    <w:name w:val="FollowedHyperlink"/>
    <w:basedOn w:val="DefaultParagraphFont"/>
    <w:uiPriority w:val="99"/>
    <w:semiHidden/>
    <w:unhideWhenUsed/>
    <w:rsid w:val="00C02334"/>
    <w:rPr>
      <w:color w:val="800080" w:themeColor="followedHyperlink"/>
      <w:u w:val="single"/>
    </w:rPr>
  </w:style>
  <w:style w:type="character" w:customStyle="1" w:styleId="Mention">
    <w:name w:val="Mention"/>
    <w:basedOn w:val="DefaultParagraphFont"/>
    <w:uiPriority w:val="99"/>
    <w:unhideWhenUsed/>
    <w:rsid w:val="005F7039"/>
    <w:rPr>
      <w:color w:val="2B579A"/>
      <w:shd w:val="clear" w:color="auto" w:fill="E1DFDD"/>
    </w:rPr>
  </w:style>
  <w:style w:type="character" w:customStyle="1" w:styleId="UnresolvedMention">
    <w:name w:val="Unresolved Mention"/>
    <w:basedOn w:val="DefaultParagraphFont"/>
    <w:uiPriority w:val="99"/>
    <w:semiHidden/>
    <w:unhideWhenUsed/>
    <w:rsid w:val="008905F2"/>
    <w:rPr>
      <w:color w:val="605E5C"/>
      <w:shd w:val="clear" w:color="auto" w:fill="E1DFDD"/>
    </w:rPr>
  </w:style>
  <w:style w:type="character" w:customStyle="1" w:styleId="HeaderChar">
    <w:name w:val="Header Char"/>
    <w:basedOn w:val="DefaultParagraphFont"/>
    <w:link w:val="Header"/>
    <w:uiPriority w:val="99"/>
    <w:rsid w:val="00D76B42"/>
    <w:rPr>
      <w:rFonts w:ascii="Times New Roman" w:hAnsi="Times New Roman" w:cs="Times New Roman"/>
      <w:sz w:val="24"/>
      <w:lang w:val="ro-RO"/>
    </w:rPr>
  </w:style>
  <w:style w:type="character" w:customStyle="1" w:styleId="FooterChar">
    <w:name w:val="Footer Char"/>
    <w:basedOn w:val="DefaultParagraphFont"/>
    <w:link w:val="Footer"/>
    <w:uiPriority w:val="99"/>
    <w:rsid w:val="00D76B4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76B4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76B42"/>
    <w:pPr>
      <w:spacing w:before="0"/>
      <w:jc w:val="right"/>
    </w:pPr>
    <w:rPr>
      <w:sz w:val="28"/>
    </w:rPr>
  </w:style>
  <w:style w:type="paragraph" w:customStyle="1" w:styleId="FooterSensitivity">
    <w:name w:val="Footer Sensitivity"/>
    <w:basedOn w:val="Normal"/>
    <w:rsid w:val="00D76B4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76B42"/>
    <w:pPr>
      <w:tabs>
        <w:tab w:val="center" w:pos="4535"/>
        <w:tab w:val="right" w:pos="9071"/>
      </w:tabs>
      <w:spacing w:before="0"/>
    </w:pPr>
  </w:style>
  <w:style w:type="paragraph" w:customStyle="1" w:styleId="HeaderLandscape">
    <w:name w:val="HeaderLandscape"/>
    <w:basedOn w:val="Normal"/>
    <w:rsid w:val="00D76B42"/>
    <w:pPr>
      <w:tabs>
        <w:tab w:val="center" w:pos="7285"/>
        <w:tab w:val="right" w:pos="14003"/>
      </w:tabs>
      <w:spacing w:before="0"/>
    </w:pPr>
  </w:style>
  <w:style w:type="paragraph" w:styleId="Footer">
    <w:name w:val="footer"/>
    <w:basedOn w:val="Normal"/>
    <w:link w:val="FooterChar"/>
    <w:uiPriority w:val="99"/>
    <w:unhideWhenUsed/>
    <w:rsid w:val="00D76B4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76B4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0309">
      <w:bodyDiv w:val="1"/>
      <w:marLeft w:val="0"/>
      <w:marRight w:val="0"/>
      <w:marTop w:val="0"/>
      <w:marBottom w:val="0"/>
      <w:divBdr>
        <w:top w:val="none" w:sz="0" w:space="0" w:color="auto"/>
        <w:left w:val="none" w:sz="0" w:space="0" w:color="auto"/>
        <w:bottom w:val="none" w:sz="0" w:space="0" w:color="auto"/>
        <w:right w:val="none" w:sz="0" w:space="0" w:color="auto"/>
      </w:divBdr>
    </w:div>
    <w:div w:id="65419576">
      <w:bodyDiv w:val="1"/>
      <w:marLeft w:val="0"/>
      <w:marRight w:val="0"/>
      <w:marTop w:val="0"/>
      <w:marBottom w:val="0"/>
      <w:divBdr>
        <w:top w:val="none" w:sz="0" w:space="0" w:color="auto"/>
        <w:left w:val="none" w:sz="0" w:space="0" w:color="auto"/>
        <w:bottom w:val="none" w:sz="0" w:space="0" w:color="auto"/>
        <w:right w:val="none" w:sz="0" w:space="0" w:color="auto"/>
      </w:divBdr>
      <w:divsChild>
        <w:div w:id="206766598">
          <w:marLeft w:val="0"/>
          <w:marRight w:val="0"/>
          <w:marTop w:val="0"/>
          <w:marBottom w:val="0"/>
          <w:divBdr>
            <w:top w:val="none" w:sz="0" w:space="0" w:color="auto"/>
            <w:left w:val="none" w:sz="0" w:space="0" w:color="auto"/>
            <w:bottom w:val="none" w:sz="0" w:space="0" w:color="auto"/>
            <w:right w:val="none" w:sz="0" w:space="0" w:color="auto"/>
          </w:divBdr>
        </w:div>
        <w:div w:id="256646101">
          <w:marLeft w:val="0"/>
          <w:marRight w:val="0"/>
          <w:marTop w:val="0"/>
          <w:marBottom w:val="0"/>
          <w:divBdr>
            <w:top w:val="none" w:sz="0" w:space="0" w:color="auto"/>
            <w:left w:val="none" w:sz="0" w:space="0" w:color="auto"/>
            <w:bottom w:val="none" w:sz="0" w:space="0" w:color="auto"/>
            <w:right w:val="none" w:sz="0" w:space="0" w:color="auto"/>
          </w:divBdr>
        </w:div>
        <w:div w:id="670332004">
          <w:marLeft w:val="0"/>
          <w:marRight w:val="0"/>
          <w:marTop w:val="0"/>
          <w:marBottom w:val="0"/>
          <w:divBdr>
            <w:top w:val="none" w:sz="0" w:space="0" w:color="auto"/>
            <w:left w:val="none" w:sz="0" w:space="0" w:color="auto"/>
            <w:bottom w:val="none" w:sz="0" w:space="0" w:color="auto"/>
            <w:right w:val="none" w:sz="0" w:space="0" w:color="auto"/>
          </w:divBdr>
        </w:div>
        <w:div w:id="1019044635">
          <w:marLeft w:val="0"/>
          <w:marRight w:val="0"/>
          <w:marTop w:val="0"/>
          <w:marBottom w:val="0"/>
          <w:divBdr>
            <w:top w:val="none" w:sz="0" w:space="0" w:color="auto"/>
            <w:left w:val="none" w:sz="0" w:space="0" w:color="auto"/>
            <w:bottom w:val="none" w:sz="0" w:space="0" w:color="auto"/>
            <w:right w:val="none" w:sz="0" w:space="0" w:color="auto"/>
          </w:divBdr>
        </w:div>
        <w:div w:id="1203245761">
          <w:marLeft w:val="0"/>
          <w:marRight w:val="0"/>
          <w:marTop w:val="0"/>
          <w:marBottom w:val="0"/>
          <w:divBdr>
            <w:top w:val="none" w:sz="0" w:space="0" w:color="auto"/>
            <w:left w:val="none" w:sz="0" w:space="0" w:color="auto"/>
            <w:bottom w:val="none" w:sz="0" w:space="0" w:color="auto"/>
            <w:right w:val="none" w:sz="0" w:space="0" w:color="auto"/>
          </w:divBdr>
        </w:div>
        <w:div w:id="1405713579">
          <w:marLeft w:val="0"/>
          <w:marRight w:val="0"/>
          <w:marTop w:val="0"/>
          <w:marBottom w:val="0"/>
          <w:divBdr>
            <w:top w:val="none" w:sz="0" w:space="0" w:color="auto"/>
            <w:left w:val="none" w:sz="0" w:space="0" w:color="auto"/>
            <w:bottom w:val="none" w:sz="0" w:space="0" w:color="auto"/>
            <w:right w:val="none" w:sz="0" w:space="0" w:color="auto"/>
          </w:divBdr>
        </w:div>
        <w:div w:id="1502744049">
          <w:marLeft w:val="0"/>
          <w:marRight w:val="0"/>
          <w:marTop w:val="0"/>
          <w:marBottom w:val="0"/>
          <w:divBdr>
            <w:top w:val="none" w:sz="0" w:space="0" w:color="auto"/>
            <w:left w:val="none" w:sz="0" w:space="0" w:color="auto"/>
            <w:bottom w:val="none" w:sz="0" w:space="0" w:color="auto"/>
            <w:right w:val="none" w:sz="0" w:space="0" w:color="auto"/>
          </w:divBdr>
        </w:div>
        <w:div w:id="1585653001">
          <w:marLeft w:val="0"/>
          <w:marRight w:val="0"/>
          <w:marTop w:val="0"/>
          <w:marBottom w:val="0"/>
          <w:divBdr>
            <w:top w:val="none" w:sz="0" w:space="0" w:color="auto"/>
            <w:left w:val="none" w:sz="0" w:space="0" w:color="auto"/>
            <w:bottom w:val="none" w:sz="0" w:space="0" w:color="auto"/>
            <w:right w:val="none" w:sz="0" w:space="0" w:color="auto"/>
          </w:divBdr>
        </w:div>
        <w:div w:id="2026441395">
          <w:marLeft w:val="0"/>
          <w:marRight w:val="0"/>
          <w:marTop w:val="0"/>
          <w:marBottom w:val="0"/>
          <w:divBdr>
            <w:top w:val="none" w:sz="0" w:space="0" w:color="auto"/>
            <w:left w:val="none" w:sz="0" w:space="0" w:color="auto"/>
            <w:bottom w:val="none" w:sz="0" w:space="0" w:color="auto"/>
            <w:right w:val="none" w:sz="0" w:space="0" w:color="auto"/>
          </w:divBdr>
        </w:div>
      </w:divsChild>
    </w:div>
    <w:div w:id="84957518">
      <w:bodyDiv w:val="1"/>
      <w:marLeft w:val="0"/>
      <w:marRight w:val="0"/>
      <w:marTop w:val="0"/>
      <w:marBottom w:val="0"/>
      <w:divBdr>
        <w:top w:val="none" w:sz="0" w:space="0" w:color="auto"/>
        <w:left w:val="none" w:sz="0" w:space="0" w:color="auto"/>
        <w:bottom w:val="none" w:sz="0" w:space="0" w:color="auto"/>
        <w:right w:val="none" w:sz="0" w:space="0" w:color="auto"/>
      </w:divBdr>
      <w:divsChild>
        <w:div w:id="535116573">
          <w:marLeft w:val="0"/>
          <w:marRight w:val="0"/>
          <w:marTop w:val="0"/>
          <w:marBottom w:val="0"/>
          <w:divBdr>
            <w:top w:val="none" w:sz="0" w:space="0" w:color="auto"/>
            <w:left w:val="none" w:sz="0" w:space="0" w:color="auto"/>
            <w:bottom w:val="none" w:sz="0" w:space="0" w:color="auto"/>
            <w:right w:val="none" w:sz="0" w:space="0" w:color="auto"/>
          </w:divBdr>
          <w:divsChild>
            <w:div w:id="177161276">
              <w:marLeft w:val="0"/>
              <w:marRight w:val="0"/>
              <w:marTop w:val="0"/>
              <w:marBottom w:val="0"/>
              <w:divBdr>
                <w:top w:val="none" w:sz="0" w:space="0" w:color="auto"/>
                <w:left w:val="none" w:sz="0" w:space="0" w:color="auto"/>
                <w:bottom w:val="none" w:sz="0" w:space="0" w:color="auto"/>
                <w:right w:val="none" w:sz="0" w:space="0" w:color="auto"/>
              </w:divBdr>
            </w:div>
            <w:div w:id="569656415">
              <w:marLeft w:val="0"/>
              <w:marRight w:val="0"/>
              <w:marTop w:val="0"/>
              <w:marBottom w:val="0"/>
              <w:divBdr>
                <w:top w:val="none" w:sz="0" w:space="0" w:color="auto"/>
                <w:left w:val="none" w:sz="0" w:space="0" w:color="auto"/>
                <w:bottom w:val="none" w:sz="0" w:space="0" w:color="auto"/>
                <w:right w:val="none" w:sz="0" w:space="0" w:color="auto"/>
              </w:divBdr>
            </w:div>
            <w:div w:id="627200992">
              <w:marLeft w:val="0"/>
              <w:marRight w:val="0"/>
              <w:marTop w:val="0"/>
              <w:marBottom w:val="0"/>
              <w:divBdr>
                <w:top w:val="none" w:sz="0" w:space="0" w:color="auto"/>
                <w:left w:val="none" w:sz="0" w:space="0" w:color="auto"/>
                <w:bottom w:val="none" w:sz="0" w:space="0" w:color="auto"/>
                <w:right w:val="none" w:sz="0" w:space="0" w:color="auto"/>
              </w:divBdr>
            </w:div>
            <w:div w:id="1164397597">
              <w:marLeft w:val="0"/>
              <w:marRight w:val="0"/>
              <w:marTop w:val="0"/>
              <w:marBottom w:val="0"/>
              <w:divBdr>
                <w:top w:val="none" w:sz="0" w:space="0" w:color="auto"/>
                <w:left w:val="none" w:sz="0" w:space="0" w:color="auto"/>
                <w:bottom w:val="none" w:sz="0" w:space="0" w:color="auto"/>
                <w:right w:val="none" w:sz="0" w:space="0" w:color="auto"/>
              </w:divBdr>
            </w:div>
            <w:div w:id="1893349688">
              <w:marLeft w:val="0"/>
              <w:marRight w:val="0"/>
              <w:marTop w:val="0"/>
              <w:marBottom w:val="0"/>
              <w:divBdr>
                <w:top w:val="none" w:sz="0" w:space="0" w:color="auto"/>
                <w:left w:val="none" w:sz="0" w:space="0" w:color="auto"/>
                <w:bottom w:val="none" w:sz="0" w:space="0" w:color="auto"/>
                <w:right w:val="none" w:sz="0" w:space="0" w:color="auto"/>
              </w:divBdr>
            </w:div>
            <w:div w:id="1947542879">
              <w:marLeft w:val="0"/>
              <w:marRight w:val="0"/>
              <w:marTop w:val="0"/>
              <w:marBottom w:val="0"/>
              <w:divBdr>
                <w:top w:val="none" w:sz="0" w:space="0" w:color="auto"/>
                <w:left w:val="none" w:sz="0" w:space="0" w:color="auto"/>
                <w:bottom w:val="none" w:sz="0" w:space="0" w:color="auto"/>
                <w:right w:val="none" w:sz="0" w:space="0" w:color="auto"/>
              </w:divBdr>
            </w:div>
          </w:divsChild>
        </w:div>
        <w:div w:id="2059670663">
          <w:marLeft w:val="0"/>
          <w:marRight w:val="0"/>
          <w:marTop w:val="0"/>
          <w:marBottom w:val="0"/>
          <w:divBdr>
            <w:top w:val="none" w:sz="0" w:space="0" w:color="auto"/>
            <w:left w:val="none" w:sz="0" w:space="0" w:color="auto"/>
            <w:bottom w:val="none" w:sz="0" w:space="0" w:color="auto"/>
            <w:right w:val="none" w:sz="0" w:space="0" w:color="auto"/>
          </w:divBdr>
          <w:divsChild>
            <w:div w:id="208571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91226">
      <w:bodyDiv w:val="1"/>
      <w:marLeft w:val="0"/>
      <w:marRight w:val="0"/>
      <w:marTop w:val="0"/>
      <w:marBottom w:val="0"/>
      <w:divBdr>
        <w:top w:val="none" w:sz="0" w:space="0" w:color="auto"/>
        <w:left w:val="none" w:sz="0" w:space="0" w:color="auto"/>
        <w:bottom w:val="none" w:sz="0" w:space="0" w:color="auto"/>
        <w:right w:val="none" w:sz="0" w:space="0" w:color="auto"/>
      </w:divBdr>
      <w:divsChild>
        <w:div w:id="82531881">
          <w:marLeft w:val="0"/>
          <w:marRight w:val="0"/>
          <w:marTop w:val="0"/>
          <w:marBottom w:val="0"/>
          <w:divBdr>
            <w:top w:val="none" w:sz="0" w:space="0" w:color="auto"/>
            <w:left w:val="none" w:sz="0" w:space="0" w:color="auto"/>
            <w:bottom w:val="none" w:sz="0" w:space="0" w:color="auto"/>
            <w:right w:val="none" w:sz="0" w:space="0" w:color="auto"/>
          </w:divBdr>
        </w:div>
        <w:div w:id="265046555">
          <w:marLeft w:val="0"/>
          <w:marRight w:val="0"/>
          <w:marTop w:val="0"/>
          <w:marBottom w:val="0"/>
          <w:divBdr>
            <w:top w:val="none" w:sz="0" w:space="0" w:color="auto"/>
            <w:left w:val="none" w:sz="0" w:space="0" w:color="auto"/>
            <w:bottom w:val="none" w:sz="0" w:space="0" w:color="auto"/>
            <w:right w:val="none" w:sz="0" w:space="0" w:color="auto"/>
          </w:divBdr>
        </w:div>
        <w:div w:id="555358726">
          <w:marLeft w:val="0"/>
          <w:marRight w:val="0"/>
          <w:marTop w:val="0"/>
          <w:marBottom w:val="0"/>
          <w:divBdr>
            <w:top w:val="none" w:sz="0" w:space="0" w:color="auto"/>
            <w:left w:val="none" w:sz="0" w:space="0" w:color="auto"/>
            <w:bottom w:val="none" w:sz="0" w:space="0" w:color="auto"/>
            <w:right w:val="none" w:sz="0" w:space="0" w:color="auto"/>
          </w:divBdr>
        </w:div>
        <w:div w:id="672102616">
          <w:marLeft w:val="0"/>
          <w:marRight w:val="0"/>
          <w:marTop w:val="0"/>
          <w:marBottom w:val="0"/>
          <w:divBdr>
            <w:top w:val="none" w:sz="0" w:space="0" w:color="auto"/>
            <w:left w:val="none" w:sz="0" w:space="0" w:color="auto"/>
            <w:bottom w:val="none" w:sz="0" w:space="0" w:color="auto"/>
            <w:right w:val="none" w:sz="0" w:space="0" w:color="auto"/>
          </w:divBdr>
        </w:div>
        <w:div w:id="713307418">
          <w:marLeft w:val="0"/>
          <w:marRight w:val="0"/>
          <w:marTop w:val="0"/>
          <w:marBottom w:val="0"/>
          <w:divBdr>
            <w:top w:val="none" w:sz="0" w:space="0" w:color="auto"/>
            <w:left w:val="none" w:sz="0" w:space="0" w:color="auto"/>
            <w:bottom w:val="none" w:sz="0" w:space="0" w:color="auto"/>
            <w:right w:val="none" w:sz="0" w:space="0" w:color="auto"/>
          </w:divBdr>
        </w:div>
        <w:div w:id="957100347">
          <w:marLeft w:val="0"/>
          <w:marRight w:val="0"/>
          <w:marTop w:val="0"/>
          <w:marBottom w:val="0"/>
          <w:divBdr>
            <w:top w:val="none" w:sz="0" w:space="0" w:color="auto"/>
            <w:left w:val="none" w:sz="0" w:space="0" w:color="auto"/>
            <w:bottom w:val="none" w:sz="0" w:space="0" w:color="auto"/>
            <w:right w:val="none" w:sz="0" w:space="0" w:color="auto"/>
          </w:divBdr>
        </w:div>
        <w:div w:id="969554872">
          <w:marLeft w:val="0"/>
          <w:marRight w:val="0"/>
          <w:marTop w:val="0"/>
          <w:marBottom w:val="0"/>
          <w:divBdr>
            <w:top w:val="none" w:sz="0" w:space="0" w:color="auto"/>
            <w:left w:val="none" w:sz="0" w:space="0" w:color="auto"/>
            <w:bottom w:val="none" w:sz="0" w:space="0" w:color="auto"/>
            <w:right w:val="none" w:sz="0" w:space="0" w:color="auto"/>
          </w:divBdr>
        </w:div>
        <w:div w:id="1179538072">
          <w:marLeft w:val="0"/>
          <w:marRight w:val="0"/>
          <w:marTop w:val="0"/>
          <w:marBottom w:val="0"/>
          <w:divBdr>
            <w:top w:val="none" w:sz="0" w:space="0" w:color="auto"/>
            <w:left w:val="none" w:sz="0" w:space="0" w:color="auto"/>
            <w:bottom w:val="none" w:sz="0" w:space="0" w:color="auto"/>
            <w:right w:val="none" w:sz="0" w:space="0" w:color="auto"/>
          </w:divBdr>
        </w:div>
        <w:div w:id="1565333830">
          <w:marLeft w:val="0"/>
          <w:marRight w:val="0"/>
          <w:marTop w:val="0"/>
          <w:marBottom w:val="0"/>
          <w:divBdr>
            <w:top w:val="none" w:sz="0" w:space="0" w:color="auto"/>
            <w:left w:val="none" w:sz="0" w:space="0" w:color="auto"/>
            <w:bottom w:val="none" w:sz="0" w:space="0" w:color="auto"/>
            <w:right w:val="none" w:sz="0" w:space="0" w:color="auto"/>
          </w:divBdr>
        </w:div>
      </w:divsChild>
    </w:div>
    <w:div w:id="319966593">
      <w:bodyDiv w:val="1"/>
      <w:marLeft w:val="0"/>
      <w:marRight w:val="0"/>
      <w:marTop w:val="0"/>
      <w:marBottom w:val="0"/>
      <w:divBdr>
        <w:top w:val="none" w:sz="0" w:space="0" w:color="auto"/>
        <w:left w:val="none" w:sz="0" w:space="0" w:color="auto"/>
        <w:bottom w:val="none" w:sz="0" w:space="0" w:color="auto"/>
        <w:right w:val="none" w:sz="0" w:space="0" w:color="auto"/>
      </w:divBdr>
    </w:div>
    <w:div w:id="610867047">
      <w:bodyDiv w:val="1"/>
      <w:marLeft w:val="0"/>
      <w:marRight w:val="0"/>
      <w:marTop w:val="0"/>
      <w:marBottom w:val="0"/>
      <w:divBdr>
        <w:top w:val="none" w:sz="0" w:space="0" w:color="auto"/>
        <w:left w:val="none" w:sz="0" w:space="0" w:color="auto"/>
        <w:bottom w:val="none" w:sz="0" w:space="0" w:color="auto"/>
        <w:right w:val="none" w:sz="0" w:space="0" w:color="auto"/>
      </w:divBdr>
      <w:divsChild>
        <w:div w:id="102387336">
          <w:marLeft w:val="0"/>
          <w:marRight w:val="0"/>
          <w:marTop w:val="0"/>
          <w:marBottom w:val="0"/>
          <w:divBdr>
            <w:top w:val="none" w:sz="0" w:space="0" w:color="auto"/>
            <w:left w:val="none" w:sz="0" w:space="0" w:color="auto"/>
            <w:bottom w:val="none" w:sz="0" w:space="0" w:color="auto"/>
            <w:right w:val="none" w:sz="0" w:space="0" w:color="auto"/>
          </w:divBdr>
        </w:div>
        <w:div w:id="267153999">
          <w:marLeft w:val="0"/>
          <w:marRight w:val="0"/>
          <w:marTop w:val="0"/>
          <w:marBottom w:val="0"/>
          <w:divBdr>
            <w:top w:val="none" w:sz="0" w:space="0" w:color="auto"/>
            <w:left w:val="none" w:sz="0" w:space="0" w:color="auto"/>
            <w:bottom w:val="none" w:sz="0" w:space="0" w:color="auto"/>
            <w:right w:val="none" w:sz="0" w:space="0" w:color="auto"/>
          </w:divBdr>
        </w:div>
        <w:div w:id="733040200">
          <w:marLeft w:val="0"/>
          <w:marRight w:val="0"/>
          <w:marTop w:val="0"/>
          <w:marBottom w:val="0"/>
          <w:divBdr>
            <w:top w:val="none" w:sz="0" w:space="0" w:color="auto"/>
            <w:left w:val="none" w:sz="0" w:space="0" w:color="auto"/>
            <w:bottom w:val="none" w:sz="0" w:space="0" w:color="auto"/>
            <w:right w:val="none" w:sz="0" w:space="0" w:color="auto"/>
          </w:divBdr>
        </w:div>
        <w:div w:id="798837575">
          <w:marLeft w:val="0"/>
          <w:marRight w:val="0"/>
          <w:marTop w:val="0"/>
          <w:marBottom w:val="0"/>
          <w:divBdr>
            <w:top w:val="none" w:sz="0" w:space="0" w:color="auto"/>
            <w:left w:val="none" w:sz="0" w:space="0" w:color="auto"/>
            <w:bottom w:val="none" w:sz="0" w:space="0" w:color="auto"/>
            <w:right w:val="none" w:sz="0" w:space="0" w:color="auto"/>
          </w:divBdr>
        </w:div>
        <w:div w:id="1203326775">
          <w:marLeft w:val="0"/>
          <w:marRight w:val="0"/>
          <w:marTop w:val="0"/>
          <w:marBottom w:val="0"/>
          <w:divBdr>
            <w:top w:val="none" w:sz="0" w:space="0" w:color="auto"/>
            <w:left w:val="none" w:sz="0" w:space="0" w:color="auto"/>
            <w:bottom w:val="none" w:sz="0" w:space="0" w:color="auto"/>
            <w:right w:val="none" w:sz="0" w:space="0" w:color="auto"/>
          </w:divBdr>
        </w:div>
        <w:div w:id="1349482715">
          <w:marLeft w:val="0"/>
          <w:marRight w:val="0"/>
          <w:marTop w:val="0"/>
          <w:marBottom w:val="0"/>
          <w:divBdr>
            <w:top w:val="none" w:sz="0" w:space="0" w:color="auto"/>
            <w:left w:val="none" w:sz="0" w:space="0" w:color="auto"/>
            <w:bottom w:val="none" w:sz="0" w:space="0" w:color="auto"/>
            <w:right w:val="none" w:sz="0" w:space="0" w:color="auto"/>
          </w:divBdr>
        </w:div>
        <w:div w:id="1969242371">
          <w:marLeft w:val="0"/>
          <w:marRight w:val="0"/>
          <w:marTop w:val="0"/>
          <w:marBottom w:val="0"/>
          <w:divBdr>
            <w:top w:val="none" w:sz="0" w:space="0" w:color="auto"/>
            <w:left w:val="none" w:sz="0" w:space="0" w:color="auto"/>
            <w:bottom w:val="none" w:sz="0" w:space="0" w:color="auto"/>
            <w:right w:val="none" w:sz="0" w:space="0" w:color="auto"/>
          </w:divBdr>
        </w:div>
      </w:divsChild>
    </w:div>
    <w:div w:id="857351651">
      <w:bodyDiv w:val="1"/>
      <w:marLeft w:val="0"/>
      <w:marRight w:val="0"/>
      <w:marTop w:val="0"/>
      <w:marBottom w:val="0"/>
      <w:divBdr>
        <w:top w:val="none" w:sz="0" w:space="0" w:color="auto"/>
        <w:left w:val="none" w:sz="0" w:space="0" w:color="auto"/>
        <w:bottom w:val="none" w:sz="0" w:space="0" w:color="auto"/>
        <w:right w:val="none" w:sz="0" w:space="0" w:color="auto"/>
      </w:divBdr>
    </w:div>
    <w:div w:id="1110053886">
      <w:bodyDiv w:val="1"/>
      <w:marLeft w:val="0"/>
      <w:marRight w:val="0"/>
      <w:marTop w:val="0"/>
      <w:marBottom w:val="0"/>
      <w:divBdr>
        <w:top w:val="none" w:sz="0" w:space="0" w:color="auto"/>
        <w:left w:val="none" w:sz="0" w:space="0" w:color="auto"/>
        <w:bottom w:val="none" w:sz="0" w:space="0" w:color="auto"/>
        <w:right w:val="none" w:sz="0" w:space="0" w:color="auto"/>
      </w:divBdr>
    </w:div>
    <w:div w:id="1341813518">
      <w:bodyDiv w:val="1"/>
      <w:marLeft w:val="0"/>
      <w:marRight w:val="0"/>
      <w:marTop w:val="0"/>
      <w:marBottom w:val="0"/>
      <w:divBdr>
        <w:top w:val="none" w:sz="0" w:space="0" w:color="auto"/>
        <w:left w:val="none" w:sz="0" w:space="0" w:color="auto"/>
        <w:bottom w:val="none" w:sz="0" w:space="0" w:color="auto"/>
        <w:right w:val="none" w:sz="0" w:space="0" w:color="auto"/>
      </w:divBdr>
      <w:divsChild>
        <w:div w:id="154222172">
          <w:marLeft w:val="0"/>
          <w:marRight w:val="0"/>
          <w:marTop w:val="0"/>
          <w:marBottom w:val="0"/>
          <w:divBdr>
            <w:top w:val="none" w:sz="0" w:space="0" w:color="auto"/>
            <w:left w:val="none" w:sz="0" w:space="0" w:color="auto"/>
            <w:bottom w:val="none" w:sz="0" w:space="0" w:color="auto"/>
            <w:right w:val="none" w:sz="0" w:space="0" w:color="auto"/>
          </w:divBdr>
        </w:div>
        <w:div w:id="288630393">
          <w:marLeft w:val="0"/>
          <w:marRight w:val="0"/>
          <w:marTop w:val="0"/>
          <w:marBottom w:val="0"/>
          <w:divBdr>
            <w:top w:val="none" w:sz="0" w:space="0" w:color="auto"/>
            <w:left w:val="none" w:sz="0" w:space="0" w:color="auto"/>
            <w:bottom w:val="none" w:sz="0" w:space="0" w:color="auto"/>
            <w:right w:val="none" w:sz="0" w:space="0" w:color="auto"/>
          </w:divBdr>
        </w:div>
        <w:div w:id="805509641">
          <w:marLeft w:val="0"/>
          <w:marRight w:val="0"/>
          <w:marTop w:val="0"/>
          <w:marBottom w:val="0"/>
          <w:divBdr>
            <w:top w:val="none" w:sz="0" w:space="0" w:color="auto"/>
            <w:left w:val="none" w:sz="0" w:space="0" w:color="auto"/>
            <w:bottom w:val="none" w:sz="0" w:space="0" w:color="auto"/>
            <w:right w:val="none" w:sz="0" w:space="0" w:color="auto"/>
          </w:divBdr>
        </w:div>
        <w:div w:id="1453591046">
          <w:marLeft w:val="0"/>
          <w:marRight w:val="0"/>
          <w:marTop w:val="0"/>
          <w:marBottom w:val="0"/>
          <w:divBdr>
            <w:top w:val="none" w:sz="0" w:space="0" w:color="auto"/>
            <w:left w:val="none" w:sz="0" w:space="0" w:color="auto"/>
            <w:bottom w:val="none" w:sz="0" w:space="0" w:color="auto"/>
            <w:right w:val="none" w:sz="0" w:space="0" w:color="auto"/>
          </w:divBdr>
        </w:div>
        <w:div w:id="1655068260">
          <w:marLeft w:val="0"/>
          <w:marRight w:val="0"/>
          <w:marTop w:val="0"/>
          <w:marBottom w:val="0"/>
          <w:divBdr>
            <w:top w:val="none" w:sz="0" w:space="0" w:color="auto"/>
            <w:left w:val="none" w:sz="0" w:space="0" w:color="auto"/>
            <w:bottom w:val="none" w:sz="0" w:space="0" w:color="auto"/>
            <w:right w:val="none" w:sz="0" w:space="0" w:color="auto"/>
          </w:divBdr>
        </w:div>
        <w:div w:id="1796943787">
          <w:marLeft w:val="0"/>
          <w:marRight w:val="0"/>
          <w:marTop w:val="0"/>
          <w:marBottom w:val="0"/>
          <w:divBdr>
            <w:top w:val="none" w:sz="0" w:space="0" w:color="auto"/>
            <w:left w:val="none" w:sz="0" w:space="0" w:color="auto"/>
            <w:bottom w:val="none" w:sz="0" w:space="0" w:color="auto"/>
            <w:right w:val="none" w:sz="0" w:space="0" w:color="auto"/>
          </w:divBdr>
        </w:div>
        <w:div w:id="2055696414">
          <w:marLeft w:val="0"/>
          <w:marRight w:val="0"/>
          <w:marTop w:val="0"/>
          <w:marBottom w:val="0"/>
          <w:divBdr>
            <w:top w:val="none" w:sz="0" w:space="0" w:color="auto"/>
            <w:left w:val="none" w:sz="0" w:space="0" w:color="auto"/>
            <w:bottom w:val="none" w:sz="0" w:space="0" w:color="auto"/>
            <w:right w:val="none" w:sz="0" w:space="0" w:color="auto"/>
          </w:divBdr>
        </w:div>
      </w:divsChild>
    </w:div>
    <w:div w:id="1428767142">
      <w:bodyDiv w:val="1"/>
      <w:marLeft w:val="0"/>
      <w:marRight w:val="0"/>
      <w:marTop w:val="0"/>
      <w:marBottom w:val="0"/>
      <w:divBdr>
        <w:top w:val="none" w:sz="0" w:space="0" w:color="auto"/>
        <w:left w:val="none" w:sz="0" w:space="0" w:color="auto"/>
        <w:bottom w:val="none" w:sz="0" w:space="0" w:color="auto"/>
        <w:right w:val="none" w:sz="0" w:space="0" w:color="auto"/>
      </w:divBdr>
    </w:div>
    <w:div w:id="1534076794">
      <w:bodyDiv w:val="1"/>
      <w:marLeft w:val="0"/>
      <w:marRight w:val="0"/>
      <w:marTop w:val="0"/>
      <w:marBottom w:val="0"/>
      <w:divBdr>
        <w:top w:val="none" w:sz="0" w:space="0" w:color="auto"/>
        <w:left w:val="none" w:sz="0" w:space="0" w:color="auto"/>
        <w:bottom w:val="none" w:sz="0" w:space="0" w:color="auto"/>
        <w:right w:val="none" w:sz="0" w:space="0" w:color="auto"/>
      </w:divBdr>
      <w:divsChild>
        <w:div w:id="313147390">
          <w:marLeft w:val="0"/>
          <w:marRight w:val="0"/>
          <w:marTop w:val="0"/>
          <w:marBottom w:val="0"/>
          <w:divBdr>
            <w:top w:val="none" w:sz="0" w:space="0" w:color="auto"/>
            <w:left w:val="none" w:sz="0" w:space="0" w:color="auto"/>
            <w:bottom w:val="none" w:sz="0" w:space="0" w:color="auto"/>
            <w:right w:val="none" w:sz="0" w:space="0" w:color="auto"/>
          </w:divBdr>
          <w:divsChild>
            <w:div w:id="480275249">
              <w:marLeft w:val="0"/>
              <w:marRight w:val="0"/>
              <w:marTop w:val="0"/>
              <w:marBottom w:val="0"/>
              <w:divBdr>
                <w:top w:val="none" w:sz="0" w:space="0" w:color="auto"/>
                <w:left w:val="none" w:sz="0" w:space="0" w:color="auto"/>
                <w:bottom w:val="none" w:sz="0" w:space="0" w:color="auto"/>
                <w:right w:val="none" w:sz="0" w:space="0" w:color="auto"/>
              </w:divBdr>
            </w:div>
            <w:div w:id="1709450037">
              <w:marLeft w:val="0"/>
              <w:marRight w:val="0"/>
              <w:marTop w:val="0"/>
              <w:marBottom w:val="0"/>
              <w:divBdr>
                <w:top w:val="none" w:sz="0" w:space="0" w:color="auto"/>
                <w:left w:val="none" w:sz="0" w:space="0" w:color="auto"/>
                <w:bottom w:val="none" w:sz="0" w:space="0" w:color="auto"/>
                <w:right w:val="none" w:sz="0" w:space="0" w:color="auto"/>
              </w:divBdr>
            </w:div>
            <w:div w:id="1860465703">
              <w:marLeft w:val="0"/>
              <w:marRight w:val="0"/>
              <w:marTop w:val="0"/>
              <w:marBottom w:val="0"/>
              <w:divBdr>
                <w:top w:val="none" w:sz="0" w:space="0" w:color="auto"/>
                <w:left w:val="none" w:sz="0" w:space="0" w:color="auto"/>
                <w:bottom w:val="none" w:sz="0" w:space="0" w:color="auto"/>
                <w:right w:val="none" w:sz="0" w:space="0" w:color="auto"/>
              </w:divBdr>
            </w:div>
            <w:div w:id="1876652254">
              <w:marLeft w:val="0"/>
              <w:marRight w:val="0"/>
              <w:marTop w:val="0"/>
              <w:marBottom w:val="0"/>
              <w:divBdr>
                <w:top w:val="none" w:sz="0" w:space="0" w:color="auto"/>
                <w:left w:val="none" w:sz="0" w:space="0" w:color="auto"/>
                <w:bottom w:val="none" w:sz="0" w:space="0" w:color="auto"/>
                <w:right w:val="none" w:sz="0" w:space="0" w:color="auto"/>
              </w:divBdr>
            </w:div>
            <w:div w:id="1962759424">
              <w:marLeft w:val="0"/>
              <w:marRight w:val="0"/>
              <w:marTop w:val="0"/>
              <w:marBottom w:val="0"/>
              <w:divBdr>
                <w:top w:val="none" w:sz="0" w:space="0" w:color="auto"/>
                <w:left w:val="none" w:sz="0" w:space="0" w:color="auto"/>
                <w:bottom w:val="none" w:sz="0" w:space="0" w:color="auto"/>
                <w:right w:val="none" w:sz="0" w:space="0" w:color="auto"/>
              </w:divBdr>
            </w:div>
            <w:div w:id="2098595005">
              <w:marLeft w:val="0"/>
              <w:marRight w:val="0"/>
              <w:marTop w:val="0"/>
              <w:marBottom w:val="0"/>
              <w:divBdr>
                <w:top w:val="none" w:sz="0" w:space="0" w:color="auto"/>
                <w:left w:val="none" w:sz="0" w:space="0" w:color="auto"/>
                <w:bottom w:val="none" w:sz="0" w:space="0" w:color="auto"/>
                <w:right w:val="none" w:sz="0" w:space="0" w:color="auto"/>
              </w:divBdr>
            </w:div>
          </w:divsChild>
        </w:div>
        <w:div w:id="548110160">
          <w:marLeft w:val="0"/>
          <w:marRight w:val="0"/>
          <w:marTop w:val="0"/>
          <w:marBottom w:val="0"/>
          <w:divBdr>
            <w:top w:val="none" w:sz="0" w:space="0" w:color="auto"/>
            <w:left w:val="none" w:sz="0" w:space="0" w:color="auto"/>
            <w:bottom w:val="none" w:sz="0" w:space="0" w:color="auto"/>
            <w:right w:val="none" w:sz="0" w:space="0" w:color="auto"/>
          </w:divBdr>
          <w:divsChild>
            <w:div w:id="117541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2030">
      <w:bodyDiv w:val="1"/>
      <w:marLeft w:val="0"/>
      <w:marRight w:val="0"/>
      <w:marTop w:val="0"/>
      <w:marBottom w:val="0"/>
      <w:divBdr>
        <w:top w:val="none" w:sz="0" w:space="0" w:color="auto"/>
        <w:left w:val="none" w:sz="0" w:space="0" w:color="auto"/>
        <w:bottom w:val="none" w:sz="0" w:space="0" w:color="auto"/>
        <w:right w:val="none" w:sz="0" w:space="0" w:color="auto"/>
      </w:divBdr>
    </w:div>
    <w:div w:id="1815559468">
      <w:bodyDiv w:val="1"/>
      <w:marLeft w:val="0"/>
      <w:marRight w:val="0"/>
      <w:marTop w:val="0"/>
      <w:marBottom w:val="0"/>
      <w:divBdr>
        <w:top w:val="none" w:sz="0" w:space="0" w:color="auto"/>
        <w:left w:val="none" w:sz="0" w:space="0" w:color="auto"/>
        <w:bottom w:val="none" w:sz="0" w:space="0" w:color="auto"/>
        <w:right w:val="none" w:sz="0" w:space="0" w:color="auto"/>
      </w:divBdr>
      <w:divsChild>
        <w:div w:id="299385384">
          <w:marLeft w:val="0"/>
          <w:marRight w:val="0"/>
          <w:marTop w:val="0"/>
          <w:marBottom w:val="0"/>
          <w:divBdr>
            <w:top w:val="none" w:sz="0" w:space="0" w:color="auto"/>
            <w:left w:val="none" w:sz="0" w:space="0" w:color="auto"/>
            <w:bottom w:val="none" w:sz="0" w:space="0" w:color="auto"/>
            <w:right w:val="none" w:sz="0" w:space="0" w:color="auto"/>
          </w:divBdr>
        </w:div>
        <w:div w:id="372119154">
          <w:marLeft w:val="0"/>
          <w:marRight w:val="0"/>
          <w:marTop w:val="0"/>
          <w:marBottom w:val="0"/>
          <w:divBdr>
            <w:top w:val="none" w:sz="0" w:space="0" w:color="auto"/>
            <w:left w:val="none" w:sz="0" w:space="0" w:color="auto"/>
            <w:bottom w:val="none" w:sz="0" w:space="0" w:color="auto"/>
            <w:right w:val="none" w:sz="0" w:space="0" w:color="auto"/>
          </w:divBdr>
        </w:div>
        <w:div w:id="740911330">
          <w:marLeft w:val="0"/>
          <w:marRight w:val="0"/>
          <w:marTop w:val="0"/>
          <w:marBottom w:val="0"/>
          <w:divBdr>
            <w:top w:val="none" w:sz="0" w:space="0" w:color="auto"/>
            <w:left w:val="none" w:sz="0" w:space="0" w:color="auto"/>
            <w:bottom w:val="none" w:sz="0" w:space="0" w:color="auto"/>
            <w:right w:val="none" w:sz="0" w:space="0" w:color="auto"/>
          </w:divBdr>
        </w:div>
        <w:div w:id="766540130">
          <w:marLeft w:val="0"/>
          <w:marRight w:val="0"/>
          <w:marTop w:val="0"/>
          <w:marBottom w:val="0"/>
          <w:divBdr>
            <w:top w:val="none" w:sz="0" w:space="0" w:color="auto"/>
            <w:left w:val="none" w:sz="0" w:space="0" w:color="auto"/>
            <w:bottom w:val="none" w:sz="0" w:space="0" w:color="auto"/>
            <w:right w:val="none" w:sz="0" w:space="0" w:color="auto"/>
          </w:divBdr>
        </w:div>
        <w:div w:id="903181892">
          <w:marLeft w:val="0"/>
          <w:marRight w:val="0"/>
          <w:marTop w:val="0"/>
          <w:marBottom w:val="0"/>
          <w:divBdr>
            <w:top w:val="none" w:sz="0" w:space="0" w:color="auto"/>
            <w:left w:val="none" w:sz="0" w:space="0" w:color="auto"/>
            <w:bottom w:val="none" w:sz="0" w:space="0" w:color="auto"/>
            <w:right w:val="none" w:sz="0" w:space="0" w:color="auto"/>
          </w:divBdr>
        </w:div>
        <w:div w:id="1181117720">
          <w:marLeft w:val="0"/>
          <w:marRight w:val="0"/>
          <w:marTop w:val="0"/>
          <w:marBottom w:val="0"/>
          <w:divBdr>
            <w:top w:val="none" w:sz="0" w:space="0" w:color="auto"/>
            <w:left w:val="none" w:sz="0" w:space="0" w:color="auto"/>
            <w:bottom w:val="none" w:sz="0" w:space="0" w:color="auto"/>
            <w:right w:val="none" w:sz="0" w:space="0" w:color="auto"/>
          </w:divBdr>
        </w:div>
        <w:div w:id="1283146544">
          <w:marLeft w:val="0"/>
          <w:marRight w:val="0"/>
          <w:marTop w:val="0"/>
          <w:marBottom w:val="0"/>
          <w:divBdr>
            <w:top w:val="none" w:sz="0" w:space="0" w:color="auto"/>
            <w:left w:val="none" w:sz="0" w:space="0" w:color="auto"/>
            <w:bottom w:val="none" w:sz="0" w:space="0" w:color="auto"/>
            <w:right w:val="none" w:sz="0" w:space="0" w:color="auto"/>
          </w:divBdr>
        </w:div>
        <w:div w:id="1411348838">
          <w:marLeft w:val="0"/>
          <w:marRight w:val="0"/>
          <w:marTop w:val="0"/>
          <w:marBottom w:val="0"/>
          <w:divBdr>
            <w:top w:val="none" w:sz="0" w:space="0" w:color="auto"/>
            <w:left w:val="none" w:sz="0" w:space="0" w:color="auto"/>
            <w:bottom w:val="none" w:sz="0" w:space="0" w:color="auto"/>
            <w:right w:val="none" w:sz="0" w:space="0" w:color="auto"/>
          </w:divBdr>
        </w:div>
        <w:div w:id="1470632912">
          <w:marLeft w:val="0"/>
          <w:marRight w:val="0"/>
          <w:marTop w:val="0"/>
          <w:marBottom w:val="0"/>
          <w:divBdr>
            <w:top w:val="none" w:sz="0" w:space="0" w:color="auto"/>
            <w:left w:val="none" w:sz="0" w:space="0" w:color="auto"/>
            <w:bottom w:val="none" w:sz="0" w:space="0" w:color="auto"/>
            <w:right w:val="none" w:sz="0" w:space="0" w:color="auto"/>
          </w:divBdr>
        </w:div>
      </w:divsChild>
    </w:div>
    <w:div w:id="1849561846">
      <w:bodyDiv w:val="1"/>
      <w:marLeft w:val="0"/>
      <w:marRight w:val="0"/>
      <w:marTop w:val="0"/>
      <w:marBottom w:val="0"/>
      <w:divBdr>
        <w:top w:val="none" w:sz="0" w:space="0" w:color="auto"/>
        <w:left w:val="none" w:sz="0" w:space="0" w:color="auto"/>
        <w:bottom w:val="none" w:sz="0" w:space="0" w:color="auto"/>
        <w:right w:val="none" w:sz="0" w:space="0" w:color="auto"/>
      </w:divBdr>
      <w:divsChild>
        <w:div w:id="78598337">
          <w:marLeft w:val="0"/>
          <w:marRight w:val="0"/>
          <w:marTop w:val="0"/>
          <w:marBottom w:val="0"/>
          <w:divBdr>
            <w:top w:val="none" w:sz="0" w:space="0" w:color="auto"/>
            <w:left w:val="none" w:sz="0" w:space="0" w:color="auto"/>
            <w:bottom w:val="none" w:sz="0" w:space="0" w:color="auto"/>
            <w:right w:val="none" w:sz="0" w:space="0" w:color="auto"/>
          </w:divBdr>
        </w:div>
        <w:div w:id="156002911">
          <w:marLeft w:val="0"/>
          <w:marRight w:val="0"/>
          <w:marTop w:val="0"/>
          <w:marBottom w:val="0"/>
          <w:divBdr>
            <w:top w:val="none" w:sz="0" w:space="0" w:color="auto"/>
            <w:left w:val="none" w:sz="0" w:space="0" w:color="auto"/>
            <w:bottom w:val="none" w:sz="0" w:space="0" w:color="auto"/>
            <w:right w:val="none" w:sz="0" w:space="0" w:color="auto"/>
          </w:divBdr>
        </w:div>
        <w:div w:id="538056221">
          <w:marLeft w:val="0"/>
          <w:marRight w:val="0"/>
          <w:marTop w:val="0"/>
          <w:marBottom w:val="0"/>
          <w:divBdr>
            <w:top w:val="none" w:sz="0" w:space="0" w:color="auto"/>
            <w:left w:val="none" w:sz="0" w:space="0" w:color="auto"/>
            <w:bottom w:val="none" w:sz="0" w:space="0" w:color="auto"/>
            <w:right w:val="none" w:sz="0" w:space="0" w:color="auto"/>
          </w:divBdr>
        </w:div>
        <w:div w:id="1047609344">
          <w:marLeft w:val="0"/>
          <w:marRight w:val="0"/>
          <w:marTop w:val="0"/>
          <w:marBottom w:val="0"/>
          <w:divBdr>
            <w:top w:val="none" w:sz="0" w:space="0" w:color="auto"/>
            <w:left w:val="none" w:sz="0" w:space="0" w:color="auto"/>
            <w:bottom w:val="none" w:sz="0" w:space="0" w:color="auto"/>
            <w:right w:val="none" w:sz="0" w:space="0" w:color="auto"/>
          </w:divBdr>
        </w:div>
        <w:div w:id="1693216095">
          <w:marLeft w:val="0"/>
          <w:marRight w:val="0"/>
          <w:marTop w:val="0"/>
          <w:marBottom w:val="0"/>
          <w:divBdr>
            <w:top w:val="none" w:sz="0" w:space="0" w:color="auto"/>
            <w:left w:val="none" w:sz="0" w:space="0" w:color="auto"/>
            <w:bottom w:val="none" w:sz="0" w:space="0" w:color="auto"/>
            <w:right w:val="none" w:sz="0" w:space="0" w:color="auto"/>
          </w:divBdr>
        </w:div>
        <w:div w:id="1840198073">
          <w:marLeft w:val="0"/>
          <w:marRight w:val="0"/>
          <w:marTop w:val="0"/>
          <w:marBottom w:val="0"/>
          <w:divBdr>
            <w:top w:val="none" w:sz="0" w:space="0" w:color="auto"/>
            <w:left w:val="none" w:sz="0" w:space="0" w:color="auto"/>
            <w:bottom w:val="none" w:sz="0" w:space="0" w:color="auto"/>
            <w:right w:val="none" w:sz="0" w:space="0" w:color="auto"/>
          </w:divBdr>
        </w:div>
        <w:div w:id="1865246031">
          <w:marLeft w:val="0"/>
          <w:marRight w:val="0"/>
          <w:marTop w:val="0"/>
          <w:marBottom w:val="0"/>
          <w:divBdr>
            <w:top w:val="none" w:sz="0" w:space="0" w:color="auto"/>
            <w:left w:val="none" w:sz="0" w:space="0" w:color="auto"/>
            <w:bottom w:val="none" w:sz="0" w:space="0" w:color="auto"/>
            <w:right w:val="none" w:sz="0" w:space="0" w:color="auto"/>
          </w:divBdr>
        </w:div>
        <w:div w:id="1964841551">
          <w:marLeft w:val="0"/>
          <w:marRight w:val="0"/>
          <w:marTop w:val="0"/>
          <w:marBottom w:val="0"/>
          <w:divBdr>
            <w:top w:val="none" w:sz="0" w:space="0" w:color="auto"/>
            <w:left w:val="none" w:sz="0" w:space="0" w:color="auto"/>
            <w:bottom w:val="none" w:sz="0" w:space="0" w:color="auto"/>
            <w:right w:val="none" w:sz="0" w:space="0" w:color="auto"/>
          </w:divBdr>
        </w:div>
        <w:div w:id="2096826279">
          <w:marLeft w:val="0"/>
          <w:marRight w:val="0"/>
          <w:marTop w:val="0"/>
          <w:marBottom w:val="0"/>
          <w:divBdr>
            <w:top w:val="none" w:sz="0" w:space="0" w:color="auto"/>
            <w:left w:val="none" w:sz="0" w:space="0" w:color="auto"/>
            <w:bottom w:val="none" w:sz="0" w:space="0" w:color="auto"/>
            <w:right w:val="none" w:sz="0" w:space="0" w:color="auto"/>
          </w:divBdr>
        </w:div>
      </w:divsChild>
    </w:div>
    <w:div w:id="195382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gif"/><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co/2003/361/oj" TargetMode="External"/><Relationship Id="rId1" Type="http://schemas.openxmlformats.org/officeDocument/2006/relationships/hyperlink" Target="http://data.europa.eu/eli/reco/2025/109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C2CF-D0B3-4F81-9A80-3156D6718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1640</Words>
  <Characters>9349</Characters>
  <Application>Microsoft Office Word</Application>
  <DocSecurity>0</DocSecurity>
  <Lines>77</Lines>
  <Paragraphs>21</Paragraphs>
  <ScaleCrop>false</ScaleCrop>
  <Manager/>
  <Company/>
  <LinksUpToDate>false</LinksUpToDate>
  <CharactersWithSpaces>10968</CharactersWithSpaces>
  <SharedDoc>false</SharedDoc>
  <HLinks>
    <vt:vector size="12" baseType="variant">
      <vt:variant>
        <vt:i4>3342441</vt:i4>
      </vt:variant>
      <vt:variant>
        <vt:i4>3</vt:i4>
      </vt:variant>
      <vt:variant>
        <vt:i4>0</vt:i4>
      </vt:variant>
      <vt:variant>
        <vt:i4>5</vt:i4>
      </vt:variant>
      <vt:variant>
        <vt:lpwstr>http://data.europa.eu/eli/reco/2003/361/oj</vt:lpwstr>
      </vt:variant>
      <vt:variant>
        <vt:lpwstr/>
      </vt:variant>
      <vt:variant>
        <vt:i4>2359333</vt:i4>
      </vt:variant>
      <vt:variant>
        <vt:i4>0</vt:i4>
      </vt:variant>
      <vt:variant>
        <vt:i4>0</vt:i4>
      </vt:variant>
      <vt:variant>
        <vt:i4>5</vt:i4>
      </vt:variant>
      <vt:variant>
        <vt:lpwstr>http://data.europa.eu/eli/reco/2025/1099/oj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2026-03-18T08:17:00Z</dcterms:created>
  <dcterms:modified xsi:type="dcterms:W3CDTF">2026-03-18T10:05:00Z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2026-03-17T11:45:53Z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b89962b6-47e0-40b5-955f-07a1e9c07f1a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COM/AA/NOEEA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SJ-014</vt:lpwstr>
  </property>
  <property fmtid="{D5CDD505-2E9C-101B-9397-08002B2CF9AE}" pid="16" name="DQCStatus">
    <vt:lpwstr>Yellow (DQC version 03)</vt:lpwstr>
  </property>
</Properties>
</file>