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8A2020" w14:textId="41ABE398" w:rsidR="00145EAC" w:rsidRPr="0019240C" w:rsidRDefault="0015409E" w:rsidP="0015409E">
      <w:pPr>
        <w:pStyle w:val="Pagedecouverture"/>
        <w:rPr>
          <w:noProof/>
        </w:rPr>
      </w:pPr>
      <w:r>
        <w:rPr>
          <w:noProof/>
        </w:rPr>
        <w:pict w14:anchorId="39C946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5EC35CED-0EB5-42B3-ACDB-EF0A8C214FCF" style="width:455.25pt;height:368.25pt">
            <v:imagedata r:id="rId8" o:title=""/>
          </v:shape>
        </w:pict>
      </w:r>
    </w:p>
    <w:p w14:paraId="01FF4F0F" w14:textId="77777777" w:rsidR="00145EAC" w:rsidRPr="0019240C" w:rsidRDefault="00145EAC">
      <w:pPr>
        <w:rPr>
          <w:noProof/>
        </w:rPr>
        <w:sectPr w:rsidR="00145EAC" w:rsidRPr="0019240C" w:rsidSect="0015409E">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14:paraId="3A88A759" w14:textId="77777777" w:rsidR="00145EAC" w:rsidRPr="0019240C" w:rsidRDefault="00C73F7B">
      <w:pPr>
        <w:pStyle w:val="Annexetitre"/>
        <w:rPr>
          <w:noProof/>
        </w:rPr>
      </w:pPr>
      <w:bookmarkStart w:id="0" w:name="_GoBack"/>
      <w:bookmarkEnd w:id="0"/>
      <w:r w:rsidRPr="0019240C">
        <w:rPr>
          <w:noProof/>
        </w:rPr>
        <w:lastRenderedPageBreak/>
        <w:t xml:space="preserve">ANEXĂ </w:t>
      </w:r>
    </w:p>
    <w:p w14:paraId="2788E451" w14:textId="22F0BEE7" w:rsidR="00145EAC" w:rsidRPr="0019240C" w:rsidRDefault="00C73F7B">
      <w:pPr>
        <w:pStyle w:val="Personnequisigne"/>
        <w:spacing w:after="120"/>
        <w:jc w:val="center"/>
        <w:rPr>
          <w:b/>
          <w:bCs/>
          <w:i w:val="0"/>
          <w:iCs/>
          <w:noProof/>
          <w:szCs w:val="24"/>
        </w:rPr>
      </w:pPr>
      <w:r w:rsidRPr="0019240C">
        <w:rPr>
          <w:b/>
          <w:i w:val="0"/>
          <w:noProof/>
        </w:rPr>
        <w:t xml:space="preserve">DEFINIȚIA </w:t>
      </w:r>
      <w:r w:rsidR="0019240C" w:rsidRPr="0019240C">
        <w:rPr>
          <w:b/>
          <w:i w:val="0"/>
          <w:noProof/>
        </w:rPr>
        <w:t>ÎNTREPRINDERILOR</w:t>
      </w:r>
      <w:r w:rsidRPr="0019240C">
        <w:rPr>
          <w:b/>
          <w:i w:val="0"/>
          <w:noProof/>
        </w:rPr>
        <w:t xml:space="preserve"> INOVATOARE, A START-UPURILOR INOVATOARE</w:t>
      </w:r>
      <w:r w:rsidRPr="0019240C">
        <w:rPr>
          <w:noProof/>
        </w:rPr>
        <w:t xml:space="preserve"> </w:t>
      </w:r>
      <w:r w:rsidRPr="0019240C">
        <w:rPr>
          <w:b/>
          <w:i w:val="0"/>
          <w:noProof/>
        </w:rPr>
        <w:t xml:space="preserve">ȘI A </w:t>
      </w:r>
      <w:r w:rsidR="0019240C" w:rsidRPr="0019240C">
        <w:rPr>
          <w:b/>
          <w:i w:val="0"/>
          <w:noProof/>
        </w:rPr>
        <w:t>ÎNTREPRINDERILOR</w:t>
      </w:r>
      <w:r w:rsidRPr="0019240C">
        <w:rPr>
          <w:b/>
          <w:i w:val="0"/>
          <w:noProof/>
        </w:rPr>
        <w:t xml:space="preserve"> INOVATOARE ÎN FAZĂ DE EXTINDERE </w:t>
      </w:r>
    </w:p>
    <w:p w14:paraId="49ABBFE2" w14:textId="77777777" w:rsidR="00145EAC" w:rsidRPr="0019240C" w:rsidRDefault="00145EAC">
      <w:pPr>
        <w:rPr>
          <w:noProof/>
        </w:rPr>
      </w:pPr>
    </w:p>
    <w:p w14:paraId="5CED0D61" w14:textId="77777777" w:rsidR="00145EAC" w:rsidRPr="0019240C" w:rsidRDefault="00C73F7B" w:rsidP="00D85955">
      <w:pPr>
        <w:pStyle w:val="ManualNumPar1"/>
        <w:rPr>
          <w:b/>
          <w:bCs/>
          <w:noProof/>
        </w:rPr>
      </w:pPr>
      <w:r>
        <w:rPr>
          <w:noProof/>
        </w:rPr>
        <w:t>1.</w:t>
      </w:r>
      <w:r>
        <w:rPr>
          <w:noProof/>
        </w:rPr>
        <w:tab/>
      </w:r>
      <w:r w:rsidRPr="0019240C">
        <w:rPr>
          <w:b/>
          <w:noProof/>
        </w:rPr>
        <w:t>Introducere</w:t>
      </w:r>
    </w:p>
    <w:p w14:paraId="0D2718A2" w14:textId="77777777" w:rsidR="00145EAC" w:rsidRPr="0019240C" w:rsidRDefault="00145EAC">
      <w:pPr>
        <w:rPr>
          <w:noProof/>
        </w:rPr>
      </w:pPr>
    </w:p>
    <w:p w14:paraId="2FE8C2E3" w14:textId="77777777" w:rsidR="00145EAC" w:rsidRPr="0019240C" w:rsidRDefault="00C73F7B">
      <w:pPr>
        <w:spacing w:before="0"/>
        <w:rPr>
          <w:noProof/>
          <w:szCs w:val="24"/>
        </w:rPr>
      </w:pPr>
      <w:r w:rsidRPr="0019240C">
        <w:rPr>
          <w:noProof/>
        </w:rPr>
        <w:t>În sensul prezentei recomandări, se aplică următoarele definiții:</w:t>
      </w:r>
    </w:p>
    <w:p w14:paraId="0F89559C" w14:textId="77777777" w:rsidR="00145EAC" w:rsidRPr="0019240C" w:rsidRDefault="00C73F7B" w:rsidP="00D85955">
      <w:pPr>
        <w:pStyle w:val="Point0"/>
        <w:rPr>
          <w:noProof/>
        </w:rPr>
      </w:pPr>
      <w:r>
        <w:rPr>
          <w:noProof/>
        </w:rPr>
        <w:t>(a)</w:t>
      </w:r>
      <w:r>
        <w:rPr>
          <w:noProof/>
        </w:rPr>
        <w:tab/>
      </w:r>
      <w:r w:rsidRPr="0019240C">
        <w:rPr>
          <w:noProof/>
        </w:rPr>
        <w:t>„costuri de exploatare” înseamnă costurile suportate de întreprindere în cursul operațiunilor sale comerciale normale, cuprinzând toate costurile necesare pentru producția de bunuri și prestarea de servicii în cursul perioadei contabile, incluzând costuri precum costurile cu personalul, materialele, serviciile contractate, comunicațiile, energia, întreținerea, chiria, administrarea, dar excluzând finanțarea și elementele fiscale;</w:t>
      </w:r>
    </w:p>
    <w:p w14:paraId="22A5FEAA" w14:textId="77777777" w:rsidR="00145EAC" w:rsidRPr="0019240C" w:rsidRDefault="00C73F7B">
      <w:pPr>
        <w:pStyle w:val="Point0"/>
        <w:rPr>
          <w:noProof/>
        </w:rPr>
      </w:pPr>
      <w:r>
        <w:rPr>
          <w:noProof/>
        </w:rPr>
        <w:t>(b)</w:t>
      </w:r>
      <w:r>
        <w:rPr>
          <w:noProof/>
        </w:rPr>
        <w:tab/>
      </w:r>
      <w:r w:rsidRPr="0019240C">
        <w:rPr>
          <w:noProof/>
        </w:rPr>
        <w:t>„cifră de afaceri netă” înseamnă sumele obținute din vânzarea de produse și prestarea de servicii după deducerea reducerilor comerciale și a taxei pe valoarea adăugată și a altor impozite direct legate de cifra de afaceri;</w:t>
      </w:r>
    </w:p>
    <w:p w14:paraId="5527940D" w14:textId="77777777" w:rsidR="00145EAC" w:rsidRPr="0019240C" w:rsidRDefault="00C73F7B">
      <w:pPr>
        <w:pStyle w:val="Point0"/>
        <w:rPr>
          <w:noProof/>
        </w:rPr>
      </w:pPr>
      <w:r>
        <w:rPr>
          <w:noProof/>
        </w:rPr>
        <w:t>(c)</w:t>
      </w:r>
      <w:r>
        <w:rPr>
          <w:noProof/>
        </w:rPr>
        <w:tab/>
      </w:r>
      <w:r w:rsidRPr="0019240C">
        <w:rPr>
          <w:noProof/>
        </w:rPr>
        <w:t>„cercetare și dezvoltare” înseamnă orice activitate care se încadrează în categoria cercetării fundamentale, a cercetării industriale sau a dezvoltării experimentale, astfel cum sunt definite la articolul 2 punctele (84), (85) și, respectiv, (86) din Regulamentul (UE) nr. 651/2014</w:t>
      </w:r>
      <w:r w:rsidRPr="0019240C">
        <w:rPr>
          <w:rStyle w:val="FootnoteReference"/>
          <w:rFonts w:eastAsia="Times New Roman"/>
          <w:noProof/>
          <w:szCs w:val="24"/>
        </w:rPr>
        <w:footnoteReference w:id="1"/>
      </w:r>
      <w:r w:rsidRPr="0019240C">
        <w:rPr>
          <w:noProof/>
        </w:rPr>
        <w:t xml:space="preserve"> ; </w:t>
      </w:r>
    </w:p>
    <w:p w14:paraId="6A679DD2" w14:textId="77777777" w:rsidR="00145EAC" w:rsidRPr="0019240C" w:rsidRDefault="00C73F7B">
      <w:pPr>
        <w:pStyle w:val="Point0"/>
        <w:rPr>
          <w:noProof/>
        </w:rPr>
      </w:pPr>
      <w:r>
        <w:rPr>
          <w:noProof/>
        </w:rPr>
        <w:t>(d)</w:t>
      </w:r>
      <w:r>
        <w:rPr>
          <w:noProof/>
        </w:rPr>
        <w:tab/>
      </w:r>
      <w:r w:rsidRPr="0019240C">
        <w:rPr>
          <w:noProof/>
        </w:rPr>
        <w:t xml:space="preserve">„întreprindere” înseamnă orice entitate care desfășoară o activitate economică, indiferent de forma juridică a acesteia, inclusiv parteneriatele sau asociațiile care desfășoară în mod regulat o activitate economică. </w:t>
      </w:r>
    </w:p>
    <w:p w14:paraId="241E7F18" w14:textId="77777777" w:rsidR="00145EAC" w:rsidRPr="0019240C" w:rsidRDefault="00145EAC">
      <w:pPr>
        <w:rPr>
          <w:noProof/>
        </w:rPr>
      </w:pPr>
    </w:p>
    <w:p w14:paraId="40FE9495" w14:textId="77777777" w:rsidR="00145EAC" w:rsidRPr="0019240C" w:rsidRDefault="00C73F7B">
      <w:pPr>
        <w:pStyle w:val="ManualNumPar1"/>
        <w:rPr>
          <w:b/>
          <w:bCs/>
          <w:noProof/>
        </w:rPr>
      </w:pPr>
      <w:r>
        <w:rPr>
          <w:noProof/>
        </w:rPr>
        <w:t>2.</w:t>
      </w:r>
      <w:r>
        <w:rPr>
          <w:noProof/>
        </w:rPr>
        <w:tab/>
      </w:r>
      <w:r w:rsidRPr="0019240C">
        <w:rPr>
          <w:b/>
          <w:noProof/>
        </w:rPr>
        <w:t>Întreprindere inovatoare</w:t>
      </w:r>
    </w:p>
    <w:p w14:paraId="0197024E" w14:textId="77777777" w:rsidR="00145EAC" w:rsidRPr="0019240C" w:rsidRDefault="00145EAC">
      <w:pPr>
        <w:pStyle w:val="ListParagraph"/>
        <w:spacing w:before="0"/>
        <w:ind w:left="851"/>
        <w:contextualSpacing w:val="0"/>
        <w:rPr>
          <w:b/>
          <w:bCs/>
          <w:noProof/>
        </w:rPr>
      </w:pPr>
    </w:p>
    <w:p w14:paraId="19402C93" w14:textId="77777777" w:rsidR="00145EAC" w:rsidRPr="0019240C" w:rsidRDefault="00C73F7B">
      <w:pPr>
        <w:pStyle w:val="ManualNumPar2"/>
        <w:rPr>
          <w:noProof/>
        </w:rPr>
      </w:pPr>
      <w:r>
        <w:rPr>
          <w:noProof/>
        </w:rPr>
        <w:t>2.1.</w:t>
      </w:r>
      <w:r>
        <w:rPr>
          <w:noProof/>
        </w:rPr>
        <w:tab/>
      </w:r>
      <w:r w:rsidRPr="0019240C">
        <w:rPr>
          <w:noProof/>
        </w:rPr>
        <w:t>O „întreprindere inovatoare” este o întreprindere care îndeplinește cel puțin unul dintre următoarele criterii:</w:t>
      </w:r>
    </w:p>
    <w:p w14:paraId="4DFACCC2" w14:textId="77777777" w:rsidR="00145EAC" w:rsidRPr="0019240C" w:rsidRDefault="00C73F7B">
      <w:pPr>
        <w:pStyle w:val="Point1"/>
        <w:rPr>
          <w:noProof/>
        </w:rPr>
      </w:pPr>
      <w:r>
        <w:rPr>
          <w:noProof/>
        </w:rPr>
        <w:t>(a)</w:t>
      </w:r>
      <w:r>
        <w:rPr>
          <w:noProof/>
        </w:rPr>
        <w:tab/>
      </w:r>
      <w:r w:rsidRPr="0019240C">
        <w:rPr>
          <w:noProof/>
        </w:rPr>
        <w:t>în cel puțin unul dintre cele trei exerciții financiare precedente, a suportat costuri de cercetare și dezvoltare reprezentând fie cel puțin 10 % din costurile sale totale de exploatare, fie cel puțin 5 % din vânzările sale nete totale;</w:t>
      </w:r>
    </w:p>
    <w:p w14:paraId="298E0D26" w14:textId="77777777" w:rsidR="00145EAC" w:rsidRPr="0019240C" w:rsidRDefault="00C73F7B">
      <w:pPr>
        <w:pStyle w:val="Point1"/>
        <w:rPr>
          <w:noProof/>
        </w:rPr>
      </w:pPr>
      <w:r>
        <w:rPr>
          <w:noProof/>
        </w:rPr>
        <w:t>(b)</w:t>
      </w:r>
      <w:r>
        <w:rPr>
          <w:noProof/>
        </w:rPr>
        <w:tab/>
      </w:r>
      <w:r w:rsidRPr="0019240C">
        <w:rPr>
          <w:noProof/>
        </w:rPr>
        <w:t>având obiectivul comercializării, în ultimele trei exerciții financiare a dezvoltat, dezvoltă sau va dezvolta în viitorul apropiat produse, servicii sau procese comerciale care sunt noi sau îmbunătățite substanțial în comparație cu stadiul actual al tehnologiei din industria sa și care prezintă un risc de eșec tehnologic sau industrial.</w:t>
      </w:r>
    </w:p>
    <w:p w14:paraId="499B44B8" w14:textId="77777777" w:rsidR="00145EAC" w:rsidRPr="0019240C" w:rsidRDefault="00C73F7B">
      <w:pPr>
        <w:pStyle w:val="ManualNumPar2"/>
        <w:rPr>
          <w:noProof/>
        </w:rPr>
      </w:pPr>
      <w:r>
        <w:rPr>
          <w:noProof/>
        </w:rPr>
        <w:t>2.2.</w:t>
      </w:r>
      <w:r>
        <w:rPr>
          <w:noProof/>
        </w:rPr>
        <w:tab/>
      </w:r>
      <w:r w:rsidRPr="0019240C">
        <w:rPr>
          <w:noProof/>
        </w:rPr>
        <w:t>Pentru a determina cuantumul costurilor de cercetare și dezvoltare menționate la punctul 2.1 litera (a), costurile de cercetare și dezvoltare ar trebui să ia în considerare următoarele costuri:</w:t>
      </w:r>
    </w:p>
    <w:p w14:paraId="64A81F7B" w14:textId="77777777" w:rsidR="00145EAC" w:rsidRPr="0019240C" w:rsidRDefault="00C73F7B" w:rsidP="00D85955">
      <w:pPr>
        <w:pStyle w:val="Point1"/>
        <w:rPr>
          <w:noProof/>
        </w:rPr>
      </w:pPr>
      <w:r>
        <w:rPr>
          <w:noProof/>
        </w:rPr>
        <w:t>(a)</w:t>
      </w:r>
      <w:r>
        <w:rPr>
          <w:noProof/>
        </w:rPr>
        <w:tab/>
      </w:r>
      <w:r w:rsidRPr="0019240C">
        <w:rPr>
          <w:noProof/>
        </w:rPr>
        <w:t>costurile cu personalul, inclusiv costul cercetătorilor, al tehnicienilor și al altor membri ai personalului de sprijin în măsura în care sunt angajați în proiecte de cercetare și dezvoltare;</w:t>
      </w:r>
    </w:p>
    <w:p w14:paraId="20CCAD51" w14:textId="77777777" w:rsidR="00145EAC" w:rsidRPr="0019240C" w:rsidRDefault="00C73F7B">
      <w:pPr>
        <w:pStyle w:val="Point1"/>
        <w:rPr>
          <w:noProof/>
        </w:rPr>
      </w:pPr>
      <w:r>
        <w:rPr>
          <w:noProof/>
        </w:rPr>
        <w:t>(b)</w:t>
      </w:r>
      <w:r>
        <w:rPr>
          <w:noProof/>
        </w:rPr>
        <w:tab/>
      </w:r>
      <w:r w:rsidRPr="0019240C">
        <w:rPr>
          <w:noProof/>
        </w:rPr>
        <w:t>costurile alocate instrumentelor și echipamentelor, în măsura și pentru perioada alocată proiectelor de cercetare și dezvoltare; atunci când astfel de instrumente și echipamente nu se folosesc în proiecte pe întreaga lor durată de viață, ar trebui considerate eligibile doar costurile de amortizare corespunzătoare duratei proiectelor, calculate pe baza principiilor contabile general acceptate;</w:t>
      </w:r>
    </w:p>
    <w:p w14:paraId="6721CB06" w14:textId="77777777" w:rsidR="00145EAC" w:rsidRPr="0019240C" w:rsidRDefault="00C73F7B">
      <w:pPr>
        <w:pStyle w:val="Point1"/>
        <w:rPr>
          <w:noProof/>
        </w:rPr>
      </w:pPr>
      <w:r>
        <w:rPr>
          <w:noProof/>
        </w:rPr>
        <w:t>(c)</w:t>
      </w:r>
      <w:r>
        <w:rPr>
          <w:noProof/>
        </w:rPr>
        <w:tab/>
      </w:r>
      <w:r w:rsidRPr="0019240C">
        <w:rPr>
          <w:noProof/>
        </w:rPr>
        <w:t>costurile aferente clădirilor și terenurilor, în măsura în care acestea sunt utilizate în cadrul proiectelor de cercetare și dezvoltare și pe durata acestei utilizări; în ceea ce privește clădirile, doar costurile de amortizare corespunzătoare duratei proiectelor, calculate pe baza principiilor contabile general acceptate; în cazul terenurilor, costurile transferului comercial sau costurile de capital efectiv suportate;</w:t>
      </w:r>
    </w:p>
    <w:p w14:paraId="167693C7" w14:textId="77777777" w:rsidR="00145EAC" w:rsidRPr="0019240C" w:rsidRDefault="00C73F7B">
      <w:pPr>
        <w:pStyle w:val="Point1"/>
        <w:rPr>
          <w:noProof/>
        </w:rPr>
      </w:pPr>
      <w:r>
        <w:rPr>
          <w:noProof/>
        </w:rPr>
        <w:t>(d)</w:t>
      </w:r>
      <w:r>
        <w:rPr>
          <w:noProof/>
        </w:rPr>
        <w:tab/>
      </w:r>
      <w:r w:rsidRPr="0019240C">
        <w:rPr>
          <w:noProof/>
        </w:rPr>
        <w:t>costurile aferente cercetării contractuale, cunoștințelor și brevetelor cumpărate sau obținute cu licență din surse externe, în condiții de concurență deplină, precum și costurile aferente serviciilor de consultanță și serviciilor echivalente folosite exclusiv pentru proiecte de cercetare și dezvoltare;</w:t>
      </w:r>
    </w:p>
    <w:p w14:paraId="5E0FF0AA" w14:textId="77777777" w:rsidR="00145EAC" w:rsidRPr="0019240C" w:rsidRDefault="00C73F7B">
      <w:pPr>
        <w:pStyle w:val="Point1"/>
        <w:rPr>
          <w:noProof/>
        </w:rPr>
      </w:pPr>
      <w:r>
        <w:rPr>
          <w:noProof/>
        </w:rPr>
        <w:t>(e)</w:t>
      </w:r>
      <w:r>
        <w:rPr>
          <w:noProof/>
        </w:rPr>
        <w:tab/>
      </w:r>
      <w:r w:rsidRPr="0019240C">
        <w:rPr>
          <w:noProof/>
        </w:rPr>
        <w:t>cheltuielile generale suplimentare și alte costuri de exploatare, inclusiv costurile materialelor, consumabilelor și ale altor produse similare, suportate direct ca urmare a proiectelor de cercetare și dezvoltare.</w:t>
      </w:r>
    </w:p>
    <w:p w14:paraId="24908C84" w14:textId="77777777" w:rsidR="00145EAC" w:rsidRPr="0019240C" w:rsidRDefault="00145EAC">
      <w:pPr>
        <w:rPr>
          <w:noProof/>
        </w:rPr>
      </w:pPr>
    </w:p>
    <w:p w14:paraId="586B66DD" w14:textId="77777777" w:rsidR="00145EAC" w:rsidRPr="0019240C" w:rsidRDefault="00C73F7B">
      <w:pPr>
        <w:pStyle w:val="ManualNumPar1"/>
        <w:rPr>
          <w:b/>
          <w:bCs/>
          <w:noProof/>
        </w:rPr>
      </w:pPr>
      <w:r>
        <w:rPr>
          <w:noProof/>
        </w:rPr>
        <w:t>3.</w:t>
      </w:r>
      <w:r>
        <w:rPr>
          <w:noProof/>
        </w:rPr>
        <w:tab/>
      </w:r>
      <w:r w:rsidRPr="0019240C">
        <w:rPr>
          <w:b/>
          <w:noProof/>
        </w:rPr>
        <w:t>Start-up inovator</w:t>
      </w:r>
    </w:p>
    <w:p w14:paraId="2B560DFE" w14:textId="77777777" w:rsidR="00145EAC" w:rsidRPr="0019240C" w:rsidRDefault="00145EAC">
      <w:pPr>
        <w:spacing w:before="0"/>
        <w:ind w:firstLine="720"/>
        <w:rPr>
          <w:rFonts w:eastAsia="Times New Roman"/>
          <w:noProof/>
        </w:rPr>
      </w:pPr>
    </w:p>
    <w:p w14:paraId="1F639DB8" w14:textId="77777777" w:rsidR="00145EAC" w:rsidRPr="0019240C" w:rsidRDefault="00C73F7B">
      <w:pPr>
        <w:pStyle w:val="Text1"/>
        <w:rPr>
          <w:noProof/>
        </w:rPr>
      </w:pPr>
      <w:r w:rsidRPr="0019240C">
        <w:rPr>
          <w:noProof/>
        </w:rPr>
        <w:t>Un „start-up inovator” este o întreprindere care îndeplinește toate criteriile următoare:</w:t>
      </w:r>
    </w:p>
    <w:p w14:paraId="4BA66A85" w14:textId="77777777" w:rsidR="00145EAC" w:rsidRPr="0019240C" w:rsidRDefault="00C73F7B" w:rsidP="00D85955">
      <w:pPr>
        <w:pStyle w:val="Point1"/>
        <w:rPr>
          <w:rFonts w:eastAsia="Times New Roman"/>
          <w:noProof/>
        </w:rPr>
      </w:pPr>
      <w:r>
        <w:rPr>
          <w:noProof/>
        </w:rPr>
        <w:t>(a)</w:t>
      </w:r>
      <w:r>
        <w:rPr>
          <w:noProof/>
        </w:rPr>
        <w:tab/>
      </w:r>
      <w:r w:rsidRPr="0019240C">
        <w:rPr>
          <w:noProof/>
        </w:rPr>
        <w:t>este o întreprindere inovatoare în sensul punctului 2;</w:t>
      </w:r>
    </w:p>
    <w:p w14:paraId="4A513F84" w14:textId="4AE9F93B" w:rsidR="00145EAC" w:rsidRPr="0019240C" w:rsidRDefault="00C73F7B">
      <w:pPr>
        <w:pStyle w:val="Point1"/>
        <w:rPr>
          <w:noProof/>
        </w:rPr>
      </w:pPr>
      <w:r>
        <w:rPr>
          <w:noProof/>
        </w:rPr>
        <w:t>(b)</w:t>
      </w:r>
      <w:r>
        <w:rPr>
          <w:noProof/>
        </w:rPr>
        <w:tab/>
      </w:r>
      <w:r w:rsidRPr="0019240C">
        <w:rPr>
          <w:noProof/>
        </w:rPr>
        <w:t>este o întreprindere autonomă în sensul punctului 5.1.</w:t>
      </w:r>
      <w:r w:rsidR="0019240C">
        <w:rPr>
          <w:noProof/>
        </w:rPr>
        <w:t xml:space="preserve"> </w:t>
      </w:r>
    </w:p>
    <w:p w14:paraId="29FE8492" w14:textId="77777777" w:rsidR="00145EAC" w:rsidRPr="0019240C" w:rsidRDefault="00C73F7B">
      <w:pPr>
        <w:pStyle w:val="Point1"/>
        <w:rPr>
          <w:noProof/>
        </w:rPr>
      </w:pPr>
      <w:r>
        <w:rPr>
          <w:noProof/>
        </w:rPr>
        <w:t>(c)</w:t>
      </w:r>
      <w:r>
        <w:rPr>
          <w:noProof/>
        </w:rPr>
        <w:tab/>
      </w:r>
      <w:r w:rsidRPr="0019240C">
        <w:rPr>
          <w:noProof/>
        </w:rPr>
        <w:t>este o întreprindere care are mai puțin de 100 de angajați și în cazul căreia cifra de afaceri anuală sau bilanțul anual total ori ambele nu depășesc 10 milioane EUR;</w:t>
      </w:r>
    </w:p>
    <w:p w14:paraId="243091CF" w14:textId="77777777" w:rsidR="00145EAC" w:rsidRPr="0019240C" w:rsidRDefault="00C73F7B">
      <w:pPr>
        <w:pStyle w:val="Point1"/>
        <w:rPr>
          <w:noProof/>
        </w:rPr>
      </w:pPr>
      <w:r>
        <w:rPr>
          <w:noProof/>
        </w:rPr>
        <w:t>(d)</w:t>
      </w:r>
      <w:r>
        <w:rPr>
          <w:noProof/>
        </w:rPr>
        <w:tab/>
      </w:r>
      <w:r w:rsidRPr="0019240C">
        <w:rPr>
          <w:noProof/>
        </w:rPr>
        <w:t xml:space="preserve">funcționează de mai puțin de 10 ani de la înregistrare. </w:t>
      </w:r>
    </w:p>
    <w:p w14:paraId="76567196" w14:textId="77777777" w:rsidR="00145EAC" w:rsidRPr="0019240C" w:rsidRDefault="00145EAC">
      <w:pPr>
        <w:spacing w:before="0"/>
        <w:rPr>
          <w:noProof/>
        </w:rPr>
      </w:pPr>
    </w:p>
    <w:p w14:paraId="6D507AF4" w14:textId="77777777" w:rsidR="00145EAC" w:rsidRPr="0019240C" w:rsidRDefault="00C73F7B">
      <w:pPr>
        <w:pStyle w:val="ManualNumPar1"/>
        <w:rPr>
          <w:b/>
          <w:bCs/>
          <w:noProof/>
        </w:rPr>
      </w:pPr>
      <w:r>
        <w:rPr>
          <w:noProof/>
        </w:rPr>
        <w:t>4.</w:t>
      </w:r>
      <w:r>
        <w:rPr>
          <w:noProof/>
        </w:rPr>
        <w:tab/>
      </w:r>
      <w:r w:rsidRPr="0019240C">
        <w:rPr>
          <w:b/>
          <w:noProof/>
        </w:rPr>
        <w:t xml:space="preserve">Întreprindere inovatoare în fază de extindere </w:t>
      </w:r>
    </w:p>
    <w:p w14:paraId="4389DF65" w14:textId="77777777" w:rsidR="00145EAC" w:rsidRPr="0019240C" w:rsidRDefault="00145EAC">
      <w:pPr>
        <w:rPr>
          <w:noProof/>
        </w:rPr>
      </w:pPr>
    </w:p>
    <w:p w14:paraId="1B4C102B" w14:textId="77777777" w:rsidR="00145EAC" w:rsidRPr="0019240C" w:rsidRDefault="00C73F7B">
      <w:pPr>
        <w:pStyle w:val="Text1"/>
        <w:rPr>
          <w:noProof/>
        </w:rPr>
      </w:pPr>
      <w:r w:rsidRPr="0019240C">
        <w:rPr>
          <w:noProof/>
        </w:rPr>
        <w:t>O „întreprindere inovatoare în fază de extindere” este o întreprindere care îndeplinește toate criteriile următoare:</w:t>
      </w:r>
    </w:p>
    <w:p w14:paraId="5014F95E" w14:textId="77777777" w:rsidR="00145EAC" w:rsidRPr="0019240C" w:rsidRDefault="00C73F7B" w:rsidP="00D85955">
      <w:pPr>
        <w:pStyle w:val="Point1"/>
        <w:rPr>
          <w:noProof/>
        </w:rPr>
      </w:pPr>
      <w:r>
        <w:rPr>
          <w:noProof/>
        </w:rPr>
        <w:t>(a)</w:t>
      </w:r>
      <w:r>
        <w:rPr>
          <w:noProof/>
        </w:rPr>
        <w:tab/>
      </w:r>
      <w:r w:rsidRPr="0019240C">
        <w:rPr>
          <w:noProof/>
        </w:rPr>
        <w:t>este o întreprindere inovatoare în sensul punctului 2;</w:t>
      </w:r>
    </w:p>
    <w:p w14:paraId="4FAF6A62" w14:textId="01BF2679" w:rsidR="00145EAC" w:rsidRPr="0019240C" w:rsidRDefault="00C73F7B">
      <w:pPr>
        <w:pStyle w:val="Point1"/>
        <w:rPr>
          <w:noProof/>
        </w:rPr>
      </w:pPr>
      <w:r>
        <w:rPr>
          <w:noProof/>
        </w:rPr>
        <w:t>(b)</w:t>
      </w:r>
      <w:r>
        <w:rPr>
          <w:noProof/>
        </w:rPr>
        <w:tab/>
      </w:r>
      <w:r w:rsidRPr="0019240C">
        <w:rPr>
          <w:noProof/>
        </w:rPr>
        <w:t>este o întreprindere autonomă în sensul punctului 5.1;</w:t>
      </w:r>
      <w:r w:rsidR="0019240C">
        <w:rPr>
          <w:noProof/>
        </w:rPr>
        <w:t xml:space="preserve"> </w:t>
      </w:r>
    </w:p>
    <w:p w14:paraId="17910646" w14:textId="77777777" w:rsidR="00145EAC" w:rsidRPr="0019240C" w:rsidRDefault="00C73F7B">
      <w:pPr>
        <w:pStyle w:val="Point1"/>
        <w:rPr>
          <w:noProof/>
        </w:rPr>
      </w:pPr>
      <w:r>
        <w:rPr>
          <w:noProof/>
        </w:rPr>
        <w:t>(c)</w:t>
      </w:r>
      <w:r>
        <w:rPr>
          <w:noProof/>
        </w:rPr>
        <w:tab/>
      </w:r>
      <w:r w:rsidRPr="0019240C">
        <w:rPr>
          <w:noProof/>
        </w:rPr>
        <w:t xml:space="preserve">este o întreprindere în cazul căreia cifra de afaceri anuală sau bilanțul anual total ori ambele depășesc 10 milioane EUR; </w:t>
      </w:r>
    </w:p>
    <w:p w14:paraId="31AA68A6" w14:textId="77777777" w:rsidR="00145EAC" w:rsidRPr="0019240C" w:rsidRDefault="00C73F7B">
      <w:pPr>
        <w:pStyle w:val="Point1"/>
        <w:rPr>
          <w:rFonts w:eastAsia="Times New Roman"/>
          <w:noProof/>
        </w:rPr>
      </w:pPr>
      <w:r>
        <w:rPr>
          <w:noProof/>
        </w:rPr>
        <w:t>(d)</w:t>
      </w:r>
      <w:r>
        <w:rPr>
          <w:noProof/>
        </w:rPr>
        <w:tab/>
      </w:r>
      <w:r w:rsidRPr="0019240C">
        <w:rPr>
          <w:noProof/>
        </w:rPr>
        <w:t xml:space="preserve"> este o întreprindere a cărei creștere medie anualizată a numărului de angajați sau a veniturilor depășește 20 % în cei doi ani precedenți;</w:t>
      </w:r>
    </w:p>
    <w:p w14:paraId="717D6B23" w14:textId="77777777" w:rsidR="00145EAC" w:rsidRPr="0019240C" w:rsidRDefault="00C73F7B">
      <w:pPr>
        <w:pStyle w:val="Point1"/>
        <w:rPr>
          <w:rFonts w:eastAsia="Times New Roman"/>
          <w:noProof/>
        </w:rPr>
      </w:pPr>
      <w:r>
        <w:rPr>
          <w:noProof/>
        </w:rPr>
        <w:t>(e)</w:t>
      </w:r>
      <w:r>
        <w:rPr>
          <w:noProof/>
        </w:rPr>
        <w:tab/>
      </w:r>
      <w:r w:rsidRPr="0019240C">
        <w:rPr>
          <w:noProof/>
        </w:rPr>
        <w:t>Îndeplinește cel puțin unul dintre următoarele două criterii:</w:t>
      </w:r>
    </w:p>
    <w:p w14:paraId="73841ED0" w14:textId="77777777" w:rsidR="00145EAC" w:rsidRPr="0019240C" w:rsidRDefault="00C73F7B">
      <w:pPr>
        <w:pStyle w:val="Point2"/>
        <w:rPr>
          <w:noProof/>
        </w:rPr>
      </w:pPr>
      <w:bookmarkStart w:id="1" w:name="_Hlk224314408"/>
      <w:r w:rsidRPr="0019240C">
        <w:rPr>
          <w:noProof/>
        </w:rPr>
        <w:t>(i)</w:t>
      </w:r>
      <w:r w:rsidRPr="0019240C">
        <w:rPr>
          <w:noProof/>
        </w:rPr>
        <w:tab/>
        <w:t xml:space="preserve">este o întreprindere care are mai puțin de 750 de angajați; </w:t>
      </w:r>
      <w:bookmarkEnd w:id="1"/>
    </w:p>
    <w:p w14:paraId="2E9F1091" w14:textId="77777777" w:rsidR="00145EAC" w:rsidRPr="0019240C" w:rsidRDefault="00C73F7B">
      <w:pPr>
        <w:pStyle w:val="Point2"/>
        <w:rPr>
          <w:noProof/>
        </w:rPr>
      </w:pPr>
      <w:r w:rsidRPr="0019240C">
        <w:rPr>
          <w:noProof/>
        </w:rPr>
        <w:t>(ii)</w:t>
      </w:r>
      <w:r w:rsidRPr="0019240C">
        <w:rPr>
          <w:noProof/>
        </w:rPr>
        <w:tab/>
        <w:t>nu este cotată la bursă.</w:t>
      </w:r>
    </w:p>
    <w:p w14:paraId="274B6005" w14:textId="77777777" w:rsidR="00145EAC" w:rsidRPr="0019240C" w:rsidRDefault="00145EAC">
      <w:pPr>
        <w:spacing w:before="0"/>
        <w:rPr>
          <w:noProof/>
        </w:rPr>
      </w:pPr>
    </w:p>
    <w:p w14:paraId="11AF7563" w14:textId="77777777" w:rsidR="00145EAC" w:rsidRPr="0019240C" w:rsidRDefault="00C73F7B">
      <w:pPr>
        <w:pStyle w:val="ManualNumPar1"/>
        <w:rPr>
          <w:b/>
          <w:bCs/>
          <w:noProof/>
        </w:rPr>
      </w:pPr>
      <w:r>
        <w:rPr>
          <w:noProof/>
        </w:rPr>
        <w:t>5.</w:t>
      </w:r>
      <w:r>
        <w:rPr>
          <w:noProof/>
        </w:rPr>
        <w:tab/>
      </w:r>
      <w:r w:rsidRPr="0019240C">
        <w:rPr>
          <w:b/>
          <w:noProof/>
        </w:rPr>
        <w:t>Tipuri de întreprinderi luate în considerare la calcularea numărului de angajați și a valorilor financiare</w:t>
      </w:r>
    </w:p>
    <w:p w14:paraId="13371B14" w14:textId="77777777" w:rsidR="00145EAC" w:rsidRPr="0019240C" w:rsidRDefault="00145EAC">
      <w:pPr>
        <w:spacing w:before="0"/>
        <w:rPr>
          <w:noProof/>
        </w:rPr>
      </w:pPr>
    </w:p>
    <w:p w14:paraId="44168603" w14:textId="77777777" w:rsidR="00145EAC" w:rsidRPr="0019240C" w:rsidRDefault="00C73F7B">
      <w:pPr>
        <w:pStyle w:val="ManualNumPar2"/>
        <w:rPr>
          <w:noProof/>
        </w:rPr>
      </w:pPr>
      <w:r>
        <w:rPr>
          <w:noProof/>
        </w:rPr>
        <w:t>5.1.</w:t>
      </w:r>
      <w:r>
        <w:rPr>
          <w:noProof/>
        </w:rPr>
        <w:tab/>
      </w:r>
      <w:r w:rsidRPr="0019240C">
        <w:rPr>
          <w:noProof/>
        </w:rPr>
        <w:t>„Întreprindere autonomă” este orice întreprindere care nu este clasificată ca întreprindere parteneră în sensul punctului 5.2 sau ca întreprindere legată în sensul punctului 5.5.</w:t>
      </w:r>
    </w:p>
    <w:p w14:paraId="2F200053" w14:textId="77777777" w:rsidR="00145EAC" w:rsidRPr="0019240C" w:rsidRDefault="00C73F7B">
      <w:pPr>
        <w:pStyle w:val="ManualNumPar2"/>
        <w:rPr>
          <w:noProof/>
        </w:rPr>
      </w:pPr>
      <w:r>
        <w:rPr>
          <w:noProof/>
        </w:rPr>
        <w:t>5.2.</w:t>
      </w:r>
      <w:r>
        <w:rPr>
          <w:noProof/>
        </w:rPr>
        <w:tab/>
      </w:r>
      <w:r w:rsidRPr="0019240C">
        <w:rPr>
          <w:noProof/>
        </w:rPr>
        <w:t>„Întreprinderi partenere” sunt toate întreprinderile care nu sunt clasificate ca întreprinderi legate în sensul punctului 5.4 și între care există următoarea relație: o întreprindere (întreprinderea din amonte) deține, individual sau în comun cu una sau mai multe întreprinderi legate în sensul punctului 5.5, 25 % sau mai mult din capitalul sau din drepturile de vot ale unei alte întreprinderi (întreprinderea din aval).</w:t>
      </w:r>
    </w:p>
    <w:p w14:paraId="79B944D1" w14:textId="77777777" w:rsidR="00145EAC" w:rsidRPr="0019240C" w:rsidRDefault="00C73F7B">
      <w:pPr>
        <w:pStyle w:val="ManualNumPar2"/>
        <w:rPr>
          <w:noProof/>
        </w:rPr>
      </w:pPr>
      <w:r>
        <w:rPr>
          <w:noProof/>
        </w:rPr>
        <w:t>5.3.</w:t>
      </w:r>
      <w:r>
        <w:rPr>
          <w:noProof/>
        </w:rPr>
        <w:tab/>
      </w:r>
      <w:r w:rsidRPr="0019240C">
        <w:rPr>
          <w:noProof/>
        </w:rPr>
        <w:t>Cu excepția cazurilor prevăzute la punctul 5.4, o întreprindere nu poate fi considerată start-up inovator sau întreprindere inovatoare în fază de extindere dacă 25 % sau mai mult din capital sau din drepturile de vot sunt controlate direct sau indirect, în comun sau individual, de către unul sau mai multe organisme publice.</w:t>
      </w:r>
    </w:p>
    <w:p w14:paraId="53920FDE" w14:textId="77777777" w:rsidR="00145EAC" w:rsidRPr="0019240C" w:rsidRDefault="00C73F7B">
      <w:pPr>
        <w:pStyle w:val="ManualNumPar2"/>
        <w:rPr>
          <w:noProof/>
        </w:rPr>
      </w:pPr>
      <w:r>
        <w:rPr>
          <w:noProof/>
        </w:rPr>
        <w:t>5.4.</w:t>
      </w:r>
      <w:r>
        <w:rPr>
          <w:noProof/>
        </w:rPr>
        <w:tab/>
      </w:r>
      <w:r w:rsidRPr="0019240C">
        <w:rPr>
          <w:noProof/>
        </w:rPr>
        <w:t>Prin derogare de la punctul 5.2, o întreprindere poate fi clasificată ca autonomă și, prin urmare, ca neavând întreprinderi partenere, chiar dacă un procentaj de 25 % sau mai mult din capitalul sau din drepturile sale de vot este deținut de următorii investitori, cu condiția ca investitorii respectivi să nu fie legați, în sensul punctului 5.5, nici individual, nici în comun, de întreprinderea în cauză:</w:t>
      </w:r>
    </w:p>
    <w:p w14:paraId="2577A0ED" w14:textId="77777777" w:rsidR="00145EAC" w:rsidRPr="0019240C" w:rsidRDefault="00C73F7B" w:rsidP="00D85955">
      <w:pPr>
        <w:pStyle w:val="Point1"/>
        <w:rPr>
          <w:noProof/>
        </w:rPr>
      </w:pPr>
      <w:r>
        <w:rPr>
          <w:noProof/>
        </w:rPr>
        <w:t>(a)</w:t>
      </w:r>
      <w:r>
        <w:rPr>
          <w:noProof/>
        </w:rPr>
        <w:tab/>
      </w:r>
      <w:r w:rsidRPr="0019240C">
        <w:rPr>
          <w:noProof/>
        </w:rPr>
        <w:t>corporații de investiții publice, fonduri cu capital de risc sau fonduri de investiții în societăți necotate, persoane fizice sau grupuri de persoane fizice care exercită în mod regulat o activitate de investiții cu capital de risc și care investesc capital propriu în afaceri necotate la bursă („investitori providențiali”), cu condiția ca investiția totală a investitorilor providențiali în cauză în aceeași întreprindere să nu depășească 5 000 000 EUR;</w:t>
      </w:r>
    </w:p>
    <w:p w14:paraId="79655F70" w14:textId="77777777" w:rsidR="00145EAC" w:rsidRPr="0019240C" w:rsidRDefault="00C73F7B">
      <w:pPr>
        <w:pStyle w:val="Point1"/>
        <w:rPr>
          <w:noProof/>
        </w:rPr>
      </w:pPr>
      <w:r>
        <w:rPr>
          <w:noProof/>
        </w:rPr>
        <w:t>(b)</w:t>
      </w:r>
      <w:r>
        <w:rPr>
          <w:noProof/>
        </w:rPr>
        <w:tab/>
      </w:r>
      <w:r w:rsidRPr="0019240C">
        <w:rPr>
          <w:noProof/>
        </w:rPr>
        <w:t>universități sau centre de cercetare nonprofit;</w:t>
      </w:r>
    </w:p>
    <w:p w14:paraId="410B467F" w14:textId="77777777" w:rsidR="00145EAC" w:rsidRPr="0019240C" w:rsidRDefault="00C73F7B">
      <w:pPr>
        <w:pStyle w:val="Point1"/>
        <w:rPr>
          <w:noProof/>
        </w:rPr>
      </w:pPr>
      <w:r>
        <w:rPr>
          <w:noProof/>
        </w:rPr>
        <w:t>(c)</w:t>
      </w:r>
      <w:r>
        <w:rPr>
          <w:noProof/>
        </w:rPr>
        <w:tab/>
      </w:r>
      <w:r w:rsidRPr="0019240C">
        <w:rPr>
          <w:noProof/>
        </w:rPr>
        <w:t>investitori instituționali, inclusiv fonduri de dezvoltare regională;</w:t>
      </w:r>
    </w:p>
    <w:p w14:paraId="689C44E2" w14:textId="77777777" w:rsidR="00145EAC" w:rsidRPr="0019240C" w:rsidRDefault="00C73F7B">
      <w:pPr>
        <w:pStyle w:val="Point1"/>
        <w:rPr>
          <w:noProof/>
        </w:rPr>
      </w:pPr>
      <w:r>
        <w:rPr>
          <w:noProof/>
        </w:rPr>
        <w:t>(d)</w:t>
      </w:r>
      <w:r>
        <w:rPr>
          <w:noProof/>
        </w:rPr>
        <w:tab/>
      </w:r>
      <w:r w:rsidRPr="0019240C">
        <w:rPr>
          <w:noProof/>
        </w:rPr>
        <w:t>autorități locale autonome cu un buget anual mai mic de 10 milioane EUR și cu mai puțin de 5 000 de locuitori.</w:t>
      </w:r>
    </w:p>
    <w:p w14:paraId="4E0B8EA2" w14:textId="77777777" w:rsidR="00145EAC" w:rsidRPr="0019240C" w:rsidRDefault="00C73F7B">
      <w:pPr>
        <w:pStyle w:val="ManualNumPar2"/>
        <w:rPr>
          <w:noProof/>
        </w:rPr>
      </w:pPr>
      <w:r>
        <w:rPr>
          <w:noProof/>
        </w:rPr>
        <w:t>5.5.</w:t>
      </w:r>
      <w:r>
        <w:rPr>
          <w:noProof/>
        </w:rPr>
        <w:tab/>
      </w:r>
      <w:r w:rsidRPr="0019240C">
        <w:rPr>
          <w:noProof/>
        </w:rPr>
        <w:t>„Întreprinderi legate” sunt întreprinderi care prezintă între ele una dintre următoarele relații:</w:t>
      </w:r>
    </w:p>
    <w:p w14:paraId="2C6BB259" w14:textId="77777777" w:rsidR="00145EAC" w:rsidRPr="0019240C" w:rsidRDefault="00C73F7B" w:rsidP="00D85955">
      <w:pPr>
        <w:pStyle w:val="Point1"/>
        <w:rPr>
          <w:noProof/>
        </w:rPr>
      </w:pPr>
      <w:r>
        <w:rPr>
          <w:noProof/>
        </w:rPr>
        <w:t>(a)</w:t>
      </w:r>
      <w:r>
        <w:rPr>
          <w:noProof/>
        </w:rPr>
        <w:tab/>
      </w:r>
      <w:r w:rsidRPr="0019240C">
        <w:rPr>
          <w:noProof/>
        </w:rPr>
        <w:t>o întreprindere deține majoritatea drepturilor de vot ale acționarilor sau membrilor la o altă întreprindere;</w:t>
      </w:r>
    </w:p>
    <w:p w14:paraId="3AA5BD79" w14:textId="77777777" w:rsidR="00145EAC" w:rsidRPr="0019240C" w:rsidRDefault="00C73F7B">
      <w:pPr>
        <w:pStyle w:val="Point1"/>
        <w:rPr>
          <w:noProof/>
        </w:rPr>
      </w:pPr>
      <w:r>
        <w:rPr>
          <w:noProof/>
        </w:rPr>
        <w:t>(b)</w:t>
      </w:r>
      <w:r>
        <w:rPr>
          <w:noProof/>
        </w:rPr>
        <w:tab/>
      </w:r>
      <w:r w:rsidRPr="0019240C">
        <w:rPr>
          <w:noProof/>
        </w:rPr>
        <w:t>o întreprindere are dreptul de a numi sau demite majoritatea membrilor organului de administrare, gestionare sau supervizare al unei alte întreprinderi;</w:t>
      </w:r>
    </w:p>
    <w:p w14:paraId="0362AD31" w14:textId="77777777" w:rsidR="00145EAC" w:rsidRPr="0019240C" w:rsidRDefault="00C73F7B">
      <w:pPr>
        <w:pStyle w:val="Point1"/>
        <w:rPr>
          <w:noProof/>
        </w:rPr>
      </w:pPr>
      <w:r>
        <w:rPr>
          <w:noProof/>
        </w:rPr>
        <w:t>(c)</w:t>
      </w:r>
      <w:r>
        <w:rPr>
          <w:noProof/>
        </w:rPr>
        <w:tab/>
      </w:r>
      <w:r w:rsidRPr="0019240C">
        <w:rPr>
          <w:noProof/>
        </w:rPr>
        <w:t>o întreprindere are dreptul de a exercita o influență dominantă asupra unei alte întreprinderi în temeiul unui contract încheiat de cealaltă întreprindere sau al unei dispoziții din statutul sau contractul de societate al celeilalte întreprinderi;</w:t>
      </w:r>
    </w:p>
    <w:p w14:paraId="7B9AE94B" w14:textId="77777777" w:rsidR="00145EAC" w:rsidRPr="0019240C" w:rsidRDefault="00C73F7B">
      <w:pPr>
        <w:pStyle w:val="Point1"/>
        <w:rPr>
          <w:noProof/>
        </w:rPr>
      </w:pPr>
      <w:r>
        <w:rPr>
          <w:noProof/>
        </w:rPr>
        <w:t>(d)</w:t>
      </w:r>
      <w:r>
        <w:rPr>
          <w:noProof/>
        </w:rPr>
        <w:tab/>
      </w:r>
      <w:r w:rsidRPr="0019240C">
        <w:rPr>
          <w:noProof/>
        </w:rPr>
        <w:t>o întreprindere, care este acționar sau membru la o altă întreprindere, controlează singură, în temeiul unui acord încheiat cu ceilalți acționari sau membri ai celeilalte întreprinderi, majoritatea drepturilor de vot ale acționarilor sau membrilor la cealaltă întreprindere.</w:t>
      </w:r>
    </w:p>
    <w:p w14:paraId="00F4E0CE" w14:textId="77777777" w:rsidR="00145EAC" w:rsidRPr="0019240C" w:rsidRDefault="00C73F7B">
      <w:pPr>
        <w:spacing w:before="0"/>
        <w:rPr>
          <w:noProof/>
        </w:rPr>
      </w:pPr>
      <w:r w:rsidRPr="0019240C">
        <w:rPr>
          <w:noProof/>
        </w:rPr>
        <w:t>Se acordă prezumția inexistenței unei influențe dominante dacă investitorii enumerați la punctul 5.4 nu se implică ei înșiși direct sau indirect în gestionarea întreprinderii în cauză, fără a aduce atingere drepturilor lor de acționari.</w:t>
      </w:r>
    </w:p>
    <w:p w14:paraId="4D60EA5E" w14:textId="77777777" w:rsidR="00145EAC" w:rsidRPr="0019240C" w:rsidRDefault="00C73F7B">
      <w:pPr>
        <w:pStyle w:val="ManualNumPar3"/>
        <w:rPr>
          <w:noProof/>
        </w:rPr>
      </w:pPr>
      <w:r>
        <w:rPr>
          <w:noProof/>
        </w:rPr>
        <w:t>5.5.1.</w:t>
      </w:r>
      <w:r>
        <w:rPr>
          <w:noProof/>
        </w:rPr>
        <w:tab/>
      </w:r>
      <w:r w:rsidRPr="0019240C">
        <w:rPr>
          <w:noProof/>
        </w:rPr>
        <w:t>Întreprinderile implicate în una dintre relațiile descrise la punctul 5.5 de mai sus prin intermediul uneia sau mai multor întreprinderi, sau al oricăruia dintre investitorii menționați la punctul 5.4, sunt, de asemenea, considerate întreprinderi legate.</w:t>
      </w:r>
    </w:p>
    <w:p w14:paraId="1A0C0672" w14:textId="77777777" w:rsidR="00145EAC" w:rsidRPr="0019240C" w:rsidRDefault="00C73F7B">
      <w:pPr>
        <w:pStyle w:val="ManualNumPar3"/>
        <w:rPr>
          <w:noProof/>
        </w:rPr>
      </w:pPr>
      <w:r>
        <w:rPr>
          <w:noProof/>
        </w:rPr>
        <w:t>5.5.2.</w:t>
      </w:r>
      <w:r>
        <w:rPr>
          <w:noProof/>
        </w:rPr>
        <w:tab/>
      </w:r>
      <w:r w:rsidRPr="0019240C">
        <w:rPr>
          <w:noProof/>
        </w:rPr>
        <w:t>Întreprinderile implicate în una sau alta dintre relațiile descrise la punctul 5.5 de mai sus prin intermediul unei persoane fizice sau al unui grup de persoane fizice care acționează în comun sunt, de asemenea, considerate întreprinderi legate dacă se angajează în activitatea lor sau într-o parte a activității lor pe aceeași piață relevantă sau pe piețe adiacente. În sensul prezentului punct, „piață adiacentă” înseamnă piața unui produs sau a unui serviciu care este situată direct în amonte sau în aval de piața relevantă.</w:t>
      </w:r>
    </w:p>
    <w:p w14:paraId="5A6010BD" w14:textId="77777777" w:rsidR="00145EAC" w:rsidRPr="0019240C" w:rsidRDefault="00C73F7B">
      <w:pPr>
        <w:pStyle w:val="Text1"/>
        <w:rPr>
          <w:noProof/>
        </w:rPr>
      </w:pPr>
      <w:r w:rsidRPr="0019240C">
        <w:rPr>
          <w:noProof/>
        </w:rPr>
        <w:t>Întreprinderile pot da o declarație privind statutul lor de întreprindere autonomă, întreprindere parteneră sau întreprindere legată, care să includă datele referitoare la plafoanele prevăzute la punctele 2, 3 și 4.</w:t>
      </w:r>
    </w:p>
    <w:p w14:paraId="326F0DE2" w14:textId="77777777" w:rsidR="00145EAC" w:rsidRPr="0019240C" w:rsidRDefault="00C73F7B">
      <w:pPr>
        <w:pStyle w:val="ManualNumPar3"/>
        <w:rPr>
          <w:noProof/>
        </w:rPr>
      </w:pPr>
      <w:r>
        <w:rPr>
          <w:noProof/>
        </w:rPr>
        <w:t>5.5.3.</w:t>
      </w:r>
      <w:r>
        <w:rPr>
          <w:noProof/>
        </w:rPr>
        <w:tab/>
      </w:r>
      <w:r w:rsidRPr="0019240C">
        <w:rPr>
          <w:noProof/>
        </w:rPr>
        <w:t>În cazul în care un fond de investiții alternative, astfel cum este definit la articolul 4 alineatul (1) litera (a) din Directiva 2011/61/UE</w:t>
      </w:r>
      <w:r w:rsidRPr="0019240C">
        <w:rPr>
          <w:rStyle w:val="FootnoteReference"/>
          <w:noProof/>
        </w:rPr>
        <w:footnoteReference w:id="2"/>
      </w:r>
      <w:r w:rsidRPr="0019240C">
        <w:rPr>
          <w:noProof/>
        </w:rPr>
        <w:t>, a investit într-o întreprindere, următoarele nu ar trebui considerate „întreprinderi legate” în sensul punctului 5.5 din prezenta anexă:</w:t>
      </w:r>
    </w:p>
    <w:p w14:paraId="69746E2B" w14:textId="77777777" w:rsidR="00145EAC" w:rsidRPr="0019240C" w:rsidRDefault="00C73F7B" w:rsidP="00D85955">
      <w:pPr>
        <w:pStyle w:val="Point1"/>
        <w:rPr>
          <w:noProof/>
        </w:rPr>
      </w:pPr>
      <w:r>
        <w:rPr>
          <w:noProof/>
        </w:rPr>
        <w:t>(a)</w:t>
      </w:r>
      <w:r>
        <w:rPr>
          <w:noProof/>
        </w:rPr>
        <w:tab/>
      </w:r>
      <w:r w:rsidRPr="0019240C">
        <w:rPr>
          <w:noProof/>
        </w:rPr>
        <w:t>întreprinderea respectivă și respectivul fond de investiții alternative;</w:t>
      </w:r>
    </w:p>
    <w:p w14:paraId="32B34402" w14:textId="77777777" w:rsidR="00145EAC" w:rsidRPr="0019240C" w:rsidRDefault="00C73F7B">
      <w:pPr>
        <w:pStyle w:val="Point1"/>
        <w:rPr>
          <w:noProof/>
        </w:rPr>
      </w:pPr>
      <w:r>
        <w:rPr>
          <w:noProof/>
        </w:rPr>
        <w:t>(b)</w:t>
      </w:r>
      <w:r>
        <w:rPr>
          <w:noProof/>
        </w:rPr>
        <w:tab/>
      </w:r>
      <w:r w:rsidRPr="0019240C">
        <w:rPr>
          <w:noProof/>
        </w:rPr>
        <w:t>întreprinderea respectivă și administratorul respectivului fond de investiții alternative;</w:t>
      </w:r>
    </w:p>
    <w:p w14:paraId="2244D925" w14:textId="77777777" w:rsidR="00145EAC" w:rsidRPr="0019240C" w:rsidRDefault="00C73F7B">
      <w:pPr>
        <w:pStyle w:val="Point1"/>
        <w:rPr>
          <w:noProof/>
        </w:rPr>
      </w:pPr>
      <w:r>
        <w:rPr>
          <w:noProof/>
        </w:rPr>
        <w:t>(c)</w:t>
      </w:r>
      <w:r>
        <w:rPr>
          <w:noProof/>
        </w:rPr>
        <w:tab/>
      </w:r>
      <w:r w:rsidRPr="0019240C">
        <w:rPr>
          <w:noProof/>
        </w:rPr>
        <w:t>întreprinderea respectivă și o altă întreprindere în care a investit respectivul fond de investiții alternative.</w:t>
      </w:r>
    </w:p>
    <w:p w14:paraId="464B20CE" w14:textId="77777777" w:rsidR="00145EAC" w:rsidRPr="0019240C" w:rsidRDefault="00C73F7B">
      <w:pPr>
        <w:spacing w:before="0"/>
        <w:rPr>
          <w:noProof/>
        </w:rPr>
      </w:pPr>
      <w:r w:rsidRPr="0019240C">
        <w:rPr>
          <w:noProof/>
        </w:rPr>
        <w:t>Primul paragraf al acestui punct se aplică dacă sunt îndeplinite toate condițiile următoare:</w:t>
      </w:r>
    </w:p>
    <w:p w14:paraId="4B3659CC" w14:textId="77777777" w:rsidR="00145EAC" w:rsidRPr="0019240C" w:rsidRDefault="00C73F7B" w:rsidP="00D85955">
      <w:pPr>
        <w:pStyle w:val="Point1"/>
        <w:rPr>
          <w:noProof/>
        </w:rPr>
      </w:pPr>
      <w:r>
        <w:rPr>
          <w:noProof/>
        </w:rPr>
        <w:t>(a)</w:t>
      </w:r>
      <w:r>
        <w:rPr>
          <w:noProof/>
        </w:rPr>
        <w:tab/>
      </w:r>
      <w:r w:rsidRPr="0019240C">
        <w:rPr>
          <w:noProof/>
        </w:rPr>
        <w:t>fondul de investiții alternative și administratorul acestuia, precum și întreprinderile în cauză țin evidențe contabile separate;</w:t>
      </w:r>
    </w:p>
    <w:p w14:paraId="7F1FD493" w14:textId="77777777" w:rsidR="00145EAC" w:rsidRPr="0019240C" w:rsidRDefault="00C73F7B">
      <w:pPr>
        <w:pStyle w:val="Point1"/>
        <w:rPr>
          <w:noProof/>
        </w:rPr>
      </w:pPr>
      <w:r>
        <w:rPr>
          <w:noProof/>
        </w:rPr>
        <w:t>(b)</w:t>
      </w:r>
      <w:r>
        <w:rPr>
          <w:noProof/>
        </w:rPr>
        <w:tab/>
      </w:r>
      <w:r w:rsidRPr="0019240C">
        <w:rPr>
          <w:noProof/>
        </w:rPr>
        <w:t>fondul de investiții alternative și administratorul acestuia au o strategie de investiții predefinită pentru a ieși din întreprinderea sau întreprinderile în cauză, inclusiv prin realizarea valorii lor prin vânzarea întreprinderii sau prin alte mijloace.</w:t>
      </w:r>
    </w:p>
    <w:p w14:paraId="032B1A12" w14:textId="77777777" w:rsidR="00145EAC" w:rsidRPr="0019240C" w:rsidRDefault="00C73F7B">
      <w:pPr>
        <w:spacing w:before="0"/>
        <w:rPr>
          <w:noProof/>
        </w:rPr>
      </w:pPr>
      <w:r w:rsidRPr="0019240C">
        <w:rPr>
          <w:noProof/>
        </w:rPr>
        <w:t xml:space="preserve">Declarația se poate da chiar și atunci când capitalul este astfel divizat încât nu se poate determina exact cine îl deține, caz în care întreprinderea poate declara cu bună credință că presupune în mod legitim că nu este deținută în procent de 25 % sau mai mult de către o singură întreprindere sau în comun de întreprinderi legate între ele. Astfel de declarații se dau fără a aduce atingere verificărilor și investigațiilor prevăzute de normele naționale și de normele Uniunii. </w:t>
      </w:r>
    </w:p>
    <w:p w14:paraId="2793D206" w14:textId="77777777" w:rsidR="00145EAC" w:rsidRPr="0019240C" w:rsidRDefault="00145EAC">
      <w:pPr>
        <w:spacing w:before="0"/>
        <w:rPr>
          <w:noProof/>
        </w:rPr>
      </w:pPr>
    </w:p>
    <w:p w14:paraId="6CECED79" w14:textId="77777777" w:rsidR="00145EAC" w:rsidRPr="0019240C" w:rsidRDefault="00C73F7B">
      <w:pPr>
        <w:pStyle w:val="ManualNumPar1"/>
        <w:keepNext/>
        <w:rPr>
          <w:b/>
          <w:bCs/>
          <w:noProof/>
        </w:rPr>
      </w:pPr>
      <w:r>
        <w:rPr>
          <w:noProof/>
        </w:rPr>
        <w:t>6.</w:t>
      </w:r>
      <w:r>
        <w:rPr>
          <w:noProof/>
        </w:rPr>
        <w:tab/>
      </w:r>
      <w:r w:rsidRPr="0019240C">
        <w:rPr>
          <w:b/>
          <w:noProof/>
        </w:rPr>
        <w:t>Datele utilizate pentru calcularea numărului de angajați și a valorilor financiare și perioada de referință</w:t>
      </w:r>
    </w:p>
    <w:p w14:paraId="585F1BC3" w14:textId="77777777" w:rsidR="00145EAC" w:rsidRPr="0019240C" w:rsidRDefault="00145EAC">
      <w:pPr>
        <w:keepNext/>
        <w:spacing w:before="0"/>
        <w:rPr>
          <w:noProof/>
        </w:rPr>
      </w:pPr>
    </w:p>
    <w:p w14:paraId="53B8FBC1" w14:textId="77777777" w:rsidR="00145EAC" w:rsidRPr="0019240C" w:rsidRDefault="00C73F7B">
      <w:pPr>
        <w:pStyle w:val="ManualNumPar2"/>
        <w:keepNext/>
        <w:keepLines/>
        <w:rPr>
          <w:noProof/>
        </w:rPr>
      </w:pPr>
      <w:r>
        <w:rPr>
          <w:noProof/>
        </w:rPr>
        <w:t>6.1.</w:t>
      </w:r>
      <w:r>
        <w:rPr>
          <w:noProof/>
        </w:rPr>
        <w:tab/>
      </w:r>
      <w:r w:rsidRPr="0019240C">
        <w:rPr>
          <w:noProof/>
        </w:rPr>
        <w:t>Datele utilizate pentru calcularea numărului de angajați și a valorilor financiare sunt datele aferente ultimei perioade contabile aprobate și se calculează anual. Acestea sunt luate în calcul de la data închiderii conturilor. Valoarea selectată pentru cifra de afaceri se calculează cu excluderea taxei pe valoarea adăugată și a altor taxe indirecte.</w:t>
      </w:r>
    </w:p>
    <w:p w14:paraId="7A9EF4E0" w14:textId="77777777" w:rsidR="00145EAC" w:rsidRPr="0019240C" w:rsidRDefault="00C73F7B">
      <w:pPr>
        <w:pStyle w:val="ManualNumPar2"/>
        <w:rPr>
          <w:noProof/>
        </w:rPr>
      </w:pPr>
      <w:r>
        <w:rPr>
          <w:noProof/>
        </w:rPr>
        <w:t>6.2.</w:t>
      </w:r>
      <w:r>
        <w:rPr>
          <w:noProof/>
        </w:rPr>
        <w:tab/>
      </w:r>
      <w:r w:rsidRPr="0019240C">
        <w:rPr>
          <w:noProof/>
        </w:rPr>
        <w:t>În cazurile în care, la data închiderii conturilor, o întreprindere constată faptul că, pe o bază anuală, a depășit sau a scăzut sub numărul de angajați sau plafoanele financiare menționate la punctul 2, acest fapt nu va avea ca rezultat pierderea sau dobândirea statutului de întreprindere inovatoare decât dacă plafoanele în cauză sunt depășite pe parcursul a două perioade contabile consecutive.</w:t>
      </w:r>
    </w:p>
    <w:p w14:paraId="3F252671" w14:textId="77777777" w:rsidR="00145EAC" w:rsidRPr="0019240C" w:rsidRDefault="00C73F7B">
      <w:pPr>
        <w:pStyle w:val="ManualNumPar2"/>
        <w:rPr>
          <w:noProof/>
        </w:rPr>
      </w:pPr>
      <w:r>
        <w:rPr>
          <w:noProof/>
        </w:rPr>
        <w:t>6.3.</w:t>
      </w:r>
      <w:r>
        <w:rPr>
          <w:noProof/>
        </w:rPr>
        <w:tab/>
      </w:r>
      <w:r w:rsidRPr="0019240C">
        <w:rPr>
          <w:noProof/>
        </w:rPr>
        <w:t>În cazul întreprinderilor nou-înființate ale căror conturi nu au fost încă aprobate, datele care trebuie aplicate sunt derivate dintr-o estimare făcută cu bună credință în cursul anului financiar.</w:t>
      </w:r>
    </w:p>
    <w:p w14:paraId="0F409AA4" w14:textId="77777777" w:rsidR="00145EAC" w:rsidRPr="0019240C" w:rsidRDefault="00145EAC">
      <w:pPr>
        <w:spacing w:before="0"/>
        <w:rPr>
          <w:b/>
          <w:bCs/>
          <w:noProof/>
        </w:rPr>
      </w:pPr>
    </w:p>
    <w:p w14:paraId="3C793409" w14:textId="77777777" w:rsidR="00145EAC" w:rsidRPr="0019240C" w:rsidRDefault="00C73F7B">
      <w:pPr>
        <w:pStyle w:val="ManualNumPar1"/>
        <w:rPr>
          <w:b/>
          <w:bCs/>
          <w:noProof/>
        </w:rPr>
      </w:pPr>
      <w:r>
        <w:rPr>
          <w:noProof/>
        </w:rPr>
        <w:t>7.</w:t>
      </w:r>
      <w:r>
        <w:rPr>
          <w:noProof/>
        </w:rPr>
        <w:tab/>
      </w:r>
      <w:r w:rsidRPr="0019240C">
        <w:rPr>
          <w:b/>
          <w:noProof/>
        </w:rPr>
        <w:t>Numărul de angajați</w:t>
      </w:r>
    </w:p>
    <w:p w14:paraId="10CE086D" w14:textId="77777777" w:rsidR="00145EAC" w:rsidRPr="0019240C" w:rsidRDefault="00145EAC">
      <w:pPr>
        <w:spacing w:before="0"/>
        <w:rPr>
          <w:noProof/>
        </w:rPr>
      </w:pPr>
    </w:p>
    <w:p w14:paraId="4B25F831" w14:textId="77777777" w:rsidR="00145EAC" w:rsidRPr="0019240C" w:rsidRDefault="00C73F7B">
      <w:pPr>
        <w:pStyle w:val="ManualNumPar2"/>
        <w:rPr>
          <w:noProof/>
        </w:rPr>
      </w:pPr>
      <w:r>
        <w:rPr>
          <w:noProof/>
        </w:rPr>
        <w:t>7.1.</w:t>
      </w:r>
      <w:r>
        <w:rPr>
          <w:noProof/>
        </w:rPr>
        <w:tab/>
      </w:r>
      <w:r w:rsidRPr="0019240C">
        <w:rPr>
          <w:noProof/>
        </w:rPr>
        <w:t>Numărul de angajați corespunde numărului de persoane care au lucrat cu normă întreagă în cadrul întreprinderii în cauză sau în beneficiul acesteia pe durata întregului an de referință luat în calcul („unități de muncă anuale”). Activitatea persoanelor care nu au lucrat întregul an, activitatea celor care au lucrat cu normă parțială, indiferent de durată, precum și activitatea lucrătorilor sezonieri sunt calculate ca fracțiune de unități de muncă anuale. Personalul constă din:</w:t>
      </w:r>
    </w:p>
    <w:p w14:paraId="0AAF4B4B" w14:textId="77777777" w:rsidR="00145EAC" w:rsidRPr="0019240C" w:rsidRDefault="00C73F7B" w:rsidP="00D85955">
      <w:pPr>
        <w:pStyle w:val="Point1"/>
        <w:rPr>
          <w:noProof/>
        </w:rPr>
      </w:pPr>
      <w:r>
        <w:rPr>
          <w:noProof/>
        </w:rPr>
        <w:t>(a)</w:t>
      </w:r>
      <w:r>
        <w:rPr>
          <w:noProof/>
        </w:rPr>
        <w:tab/>
      </w:r>
      <w:r w:rsidRPr="0019240C">
        <w:rPr>
          <w:noProof/>
        </w:rPr>
        <w:t>angajați;</w:t>
      </w:r>
    </w:p>
    <w:p w14:paraId="01E82769" w14:textId="77777777" w:rsidR="00145EAC" w:rsidRPr="0019240C" w:rsidRDefault="00C73F7B">
      <w:pPr>
        <w:pStyle w:val="Point1"/>
        <w:rPr>
          <w:noProof/>
        </w:rPr>
      </w:pPr>
      <w:r>
        <w:rPr>
          <w:noProof/>
        </w:rPr>
        <w:t>(b)</w:t>
      </w:r>
      <w:r>
        <w:rPr>
          <w:noProof/>
        </w:rPr>
        <w:tab/>
      </w:r>
      <w:r w:rsidRPr="0019240C">
        <w:rPr>
          <w:noProof/>
        </w:rPr>
        <w:t>persoane care lucrează pentru întreprindere fiind subordonate acesteia și considerate drept angajați în temeiul legislației naționale;</w:t>
      </w:r>
    </w:p>
    <w:p w14:paraId="423C8C3C" w14:textId="77777777" w:rsidR="00145EAC" w:rsidRPr="0019240C" w:rsidRDefault="00C73F7B">
      <w:pPr>
        <w:pStyle w:val="Point1"/>
        <w:rPr>
          <w:noProof/>
        </w:rPr>
      </w:pPr>
      <w:r>
        <w:rPr>
          <w:noProof/>
        </w:rPr>
        <w:t>(c)</w:t>
      </w:r>
      <w:r>
        <w:rPr>
          <w:noProof/>
        </w:rPr>
        <w:tab/>
      </w:r>
      <w:r w:rsidRPr="0019240C">
        <w:rPr>
          <w:noProof/>
        </w:rPr>
        <w:t>proprietari-administratori;</w:t>
      </w:r>
    </w:p>
    <w:p w14:paraId="27DCB045" w14:textId="77777777" w:rsidR="00145EAC" w:rsidRPr="0019240C" w:rsidRDefault="00C73F7B">
      <w:pPr>
        <w:pStyle w:val="Point1"/>
        <w:rPr>
          <w:noProof/>
        </w:rPr>
      </w:pPr>
      <w:r>
        <w:rPr>
          <w:noProof/>
        </w:rPr>
        <w:t>(d)</w:t>
      </w:r>
      <w:r>
        <w:rPr>
          <w:noProof/>
        </w:rPr>
        <w:tab/>
      </w:r>
      <w:r w:rsidRPr="0019240C">
        <w:rPr>
          <w:noProof/>
        </w:rPr>
        <w:t>parteneri angajați într-o activitate regulată în cadrul întreprinderii și care beneficiază de avantaje financiare din partea întreprinderii.</w:t>
      </w:r>
    </w:p>
    <w:p w14:paraId="586302B5" w14:textId="77777777" w:rsidR="00145EAC" w:rsidRPr="0019240C" w:rsidRDefault="00C73F7B">
      <w:pPr>
        <w:pStyle w:val="ManualNumPar2"/>
        <w:rPr>
          <w:noProof/>
        </w:rPr>
      </w:pPr>
      <w:r>
        <w:rPr>
          <w:noProof/>
        </w:rPr>
        <w:t>7.2.</w:t>
      </w:r>
      <w:r>
        <w:rPr>
          <w:noProof/>
        </w:rPr>
        <w:tab/>
      </w:r>
      <w:r w:rsidRPr="0019240C">
        <w:rPr>
          <w:noProof/>
        </w:rPr>
        <w:t>Ucenicii sau studenții angajați în formare profesională având un contract de ucenicie sau formare profesională nu sunt incluși ca angajați. Durata concediilor de maternitate sau pentru creșterea copilului nu se ia în calcul.</w:t>
      </w:r>
    </w:p>
    <w:p w14:paraId="696BCA12" w14:textId="77777777" w:rsidR="00145EAC" w:rsidRPr="0019240C" w:rsidRDefault="00C73F7B">
      <w:pPr>
        <w:spacing w:before="0"/>
        <w:rPr>
          <w:noProof/>
        </w:rPr>
      </w:pPr>
      <w:r w:rsidRPr="0019240C">
        <w:rPr>
          <w:noProof/>
        </w:rPr>
        <w:t xml:space="preserve"> </w:t>
      </w:r>
    </w:p>
    <w:p w14:paraId="6733F917" w14:textId="77777777" w:rsidR="00145EAC" w:rsidRPr="0019240C" w:rsidRDefault="00C73F7B" w:rsidP="0019240C">
      <w:pPr>
        <w:pStyle w:val="ManualNumPar1"/>
        <w:keepNext/>
        <w:keepLines/>
        <w:rPr>
          <w:b/>
          <w:bCs/>
          <w:noProof/>
        </w:rPr>
      </w:pPr>
      <w:r>
        <w:rPr>
          <w:noProof/>
        </w:rPr>
        <w:t>8.</w:t>
      </w:r>
      <w:r>
        <w:rPr>
          <w:noProof/>
        </w:rPr>
        <w:tab/>
      </w:r>
      <w:r w:rsidRPr="0019240C">
        <w:rPr>
          <w:b/>
          <w:noProof/>
        </w:rPr>
        <w:t>Stabilirea datelor unei întreprinderi</w:t>
      </w:r>
    </w:p>
    <w:p w14:paraId="4FE7DE6A" w14:textId="77777777" w:rsidR="00145EAC" w:rsidRPr="0019240C" w:rsidRDefault="00145EAC" w:rsidP="0019240C">
      <w:pPr>
        <w:keepNext/>
        <w:keepLines/>
        <w:spacing w:before="0"/>
        <w:rPr>
          <w:noProof/>
        </w:rPr>
      </w:pPr>
    </w:p>
    <w:p w14:paraId="0D4C7A67" w14:textId="77777777" w:rsidR="00145EAC" w:rsidRPr="0019240C" w:rsidRDefault="00C73F7B" w:rsidP="0019240C">
      <w:pPr>
        <w:pStyle w:val="ManualNumPar2"/>
        <w:keepNext/>
        <w:keepLines/>
        <w:rPr>
          <w:noProof/>
        </w:rPr>
      </w:pPr>
      <w:r>
        <w:rPr>
          <w:noProof/>
        </w:rPr>
        <w:t>8.1.</w:t>
      </w:r>
      <w:r>
        <w:rPr>
          <w:noProof/>
        </w:rPr>
        <w:tab/>
      </w:r>
      <w:r w:rsidRPr="0019240C">
        <w:rPr>
          <w:noProof/>
        </w:rPr>
        <w:t>În cazul unei întreprinderi autonome, datele, inclusiv numărul de angajați, se stabilesc exclusiv pe baza conturilor întreprinderii respective.</w:t>
      </w:r>
    </w:p>
    <w:p w14:paraId="4A00787D" w14:textId="77777777" w:rsidR="00145EAC" w:rsidRPr="0019240C" w:rsidRDefault="00C73F7B">
      <w:pPr>
        <w:pStyle w:val="ManualNumPar2"/>
        <w:rPr>
          <w:noProof/>
        </w:rPr>
      </w:pPr>
      <w:r>
        <w:rPr>
          <w:noProof/>
        </w:rPr>
        <w:t>8.2.</w:t>
      </w:r>
      <w:r>
        <w:rPr>
          <w:noProof/>
        </w:rPr>
        <w:tab/>
      </w:r>
      <w:r w:rsidRPr="0019240C">
        <w:rPr>
          <w:noProof/>
        </w:rPr>
        <w:t>Datele, inclusiv numărul de angajați, ale unei întreprinderi care are întreprinderi partenere sau întreprinderi legate menționate la punctul 5 se stabilesc pe baza conturilor și a altor date ale întreprinderii sau, dacă există, a conturilor consolidate ale întreprinderii sau a conturilor consolidate în care este inclusă întreprinderea prin consolidare.</w:t>
      </w:r>
    </w:p>
    <w:p w14:paraId="0F1B40A9" w14:textId="77777777" w:rsidR="00145EAC" w:rsidRPr="0019240C" w:rsidRDefault="00C73F7B">
      <w:pPr>
        <w:pStyle w:val="Text1"/>
        <w:rPr>
          <w:noProof/>
        </w:rPr>
      </w:pPr>
      <w:r w:rsidRPr="0019240C">
        <w:rPr>
          <w:noProof/>
        </w:rPr>
        <w:t>La datele la care se face referire la primul paragraf al acestui punct se adaugă datele oricărei întreprinderi partenere a întreprinderii în cauză situate imediat în amonte sau în aval de aceasta. Agregarea este proporțională cu procentul de participare la capital sau la drepturile de vot (luându-se în calcul valoarea cea mai mare dintre cele două). În cazul participărilor încrucișate, se aplică procentul mai mare.</w:t>
      </w:r>
    </w:p>
    <w:p w14:paraId="238C406E" w14:textId="77777777" w:rsidR="00145EAC" w:rsidRPr="0019240C" w:rsidRDefault="00C73F7B">
      <w:pPr>
        <w:pStyle w:val="Text1"/>
        <w:rPr>
          <w:noProof/>
        </w:rPr>
      </w:pPr>
      <w:r w:rsidRPr="0019240C">
        <w:rPr>
          <w:noProof/>
        </w:rPr>
        <w:t>La datele la care se face referire la primul și al doilea paragraf ale acestui punct se adaugă 100 % din datele oricărei întreprinderi care este legată direct sau indirect de întreprinderea în cauză, cu excepția cazurilor în care datele în cauză au fost deja incluse în conturi prin consolidare.</w:t>
      </w:r>
    </w:p>
    <w:p w14:paraId="569075CE" w14:textId="77777777" w:rsidR="00145EAC" w:rsidRPr="0019240C" w:rsidRDefault="00C73F7B">
      <w:pPr>
        <w:pStyle w:val="ManualNumPar2"/>
        <w:rPr>
          <w:noProof/>
        </w:rPr>
      </w:pPr>
      <w:r>
        <w:rPr>
          <w:noProof/>
        </w:rPr>
        <w:t>8.3.</w:t>
      </w:r>
      <w:r>
        <w:rPr>
          <w:noProof/>
        </w:rPr>
        <w:tab/>
      </w:r>
      <w:r w:rsidRPr="0019240C">
        <w:rPr>
          <w:noProof/>
        </w:rPr>
        <w:t>Pentru aplicarea punctului 8.2, datele întreprinderilor partenere ale întreprinderii în cauză se deduc din conturile și din alte date ale acestora, consolidate, dacă există. La aceste date se adaugă 100% din datele întreprinderilor care sunt legate de întreprinderile partenere respective, cu excepția cazului în care datele conturilor acestora au fost deja incluse prin consolidare.</w:t>
      </w:r>
    </w:p>
    <w:p w14:paraId="7F04425D" w14:textId="77777777" w:rsidR="00145EAC" w:rsidRPr="0019240C" w:rsidRDefault="00C73F7B">
      <w:pPr>
        <w:pStyle w:val="Text1"/>
        <w:rPr>
          <w:noProof/>
        </w:rPr>
      </w:pPr>
      <w:r w:rsidRPr="0019240C">
        <w:rPr>
          <w:noProof/>
        </w:rPr>
        <w:t>Pentru aplicarea punctului 8.2, datele întreprinderilor care sunt legate de întreprinderea în cauză se deduc din conturile și din alte date ale acestora, consolidate, dacă există. La acestea se adaugă, pro rata, datele oricărei eventuale întreprinderi partenere ale respectivei întreprinderi legate, situată imediat în amonte sau în aval de aceasta, cu excepția cazului în care au fost deja incluse în conturile consolidate într-un procent cel puțin proporțional cu procentajul identificat la punctul 8.2 al doilea paragraf.</w:t>
      </w:r>
    </w:p>
    <w:p w14:paraId="6172E484" w14:textId="77777777" w:rsidR="00145EAC" w:rsidRPr="0019240C" w:rsidRDefault="00C73F7B">
      <w:pPr>
        <w:pStyle w:val="ManualNumPar2"/>
        <w:rPr>
          <w:noProof/>
        </w:rPr>
      </w:pPr>
      <w:r>
        <w:rPr>
          <w:noProof/>
        </w:rPr>
        <w:t>8.4.</w:t>
      </w:r>
      <w:r>
        <w:rPr>
          <w:noProof/>
        </w:rPr>
        <w:tab/>
      </w:r>
      <w:r w:rsidRPr="0019240C">
        <w:rPr>
          <w:noProof/>
        </w:rPr>
        <w:t>În cazul în care în conturile consolidate nu apar date privind personalul pentru o anumită întreprindere, numărul personalului se calculează prin agregarea proporțională a datelor de la întreprinderile partenere ale acesteia și prin adăugarea datelor întreprinderilor cu care întreprinderea în cauză este legată.</w:t>
      </w:r>
    </w:p>
    <w:sectPr w:rsidR="00145EAC" w:rsidRPr="0019240C" w:rsidSect="0015409E">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543724" w14:textId="77777777" w:rsidR="00145EAC" w:rsidRPr="0019240C" w:rsidRDefault="00C73F7B">
      <w:pPr>
        <w:spacing w:before="0" w:after="0"/>
      </w:pPr>
      <w:r w:rsidRPr="0019240C">
        <w:separator/>
      </w:r>
    </w:p>
  </w:endnote>
  <w:endnote w:type="continuationSeparator" w:id="0">
    <w:p w14:paraId="4C2BA21C" w14:textId="77777777" w:rsidR="00145EAC" w:rsidRPr="0019240C" w:rsidRDefault="00C73F7B">
      <w:pPr>
        <w:spacing w:before="0" w:after="0"/>
      </w:pPr>
      <w:r w:rsidRPr="001924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9501F1" w14:textId="31E1312C" w:rsidR="0015409E" w:rsidRPr="0015409E" w:rsidRDefault="0015409E" w:rsidP="0015409E">
    <w:pPr>
      <w:pStyle w:val="Footer"/>
      <w:rPr>
        <w:rFonts w:ascii="Arial" w:hAnsi="Arial" w:cs="Arial"/>
        <w:b/>
        <w:sz w:val="48"/>
      </w:rPr>
    </w:pPr>
    <w:r w:rsidRPr="0015409E">
      <w:rPr>
        <w:rFonts w:ascii="Arial" w:hAnsi="Arial" w:cs="Arial"/>
        <w:b/>
        <w:sz w:val="48"/>
      </w:rPr>
      <w:t>RO</w:t>
    </w:r>
    <w:r w:rsidRPr="0015409E">
      <w:rPr>
        <w:rFonts w:ascii="Arial" w:hAnsi="Arial" w:cs="Arial"/>
        <w:b/>
        <w:sz w:val="48"/>
      </w:rPr>
      <w:tab/>
    </w:r>
    <w:r w:rsidRPr="0015409E">
      <w:rPr>
        <w:rFonts w:ascii="Arial" w:hAnsi="Arial" w:cs="Arial"/>
        <w:b/>
        <w:sz w:val="48"/>
      </w:rPr>
      <w:tab/>
    </w:r>
    <w:r w:rsidRPr="0015409E">
      <w:tab/>
    </w:r>
    <w:r w:rsidRPr="0015409E">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9DD9C3" w14:textId="2F8C03F1" w:rsidR="0015409E" w:rsidRPr="0015409E" w:rsidRDefault="0015409E" w:rsidP="0015409E">
    <w:pPr>
      <w:pStyle w:val="Footer"/>
      <w:rPr>
        <w:rFonts w:ascii="Arial" w:hAnsi="Arial" w:cs="Arial"/>
        <w:b/>
        <w:sz w:val="48"/>
      </w:rPr>
    </w:pPr>
    <w:r w:rsidRPr="0015409E">
      <w:rPr>
        <w:rFonts w:ascii="Arial" w:hAnsi="Arial" w:cs="Arial"/>
        <w:b/>
        <w:sz w:val="48"/>
      </w:rPr>
      <w:t>RO</w:t>
    </w:r>
    <w:r w:rsidRPr="0015409E">
      <w:rPr>
        <w:rFonts w:ascii="Arial" w:hAnsi="Arial" w:cs="Arial"/>
        <w:b/>
        <w:sz w:val="48"/>
      </w:rPr>
      <w:tab/>
    </w:r>
    <w:r w:rsidRPr="0015409E">
      <w:rPr>
        <w:rFonts w:ascii="Arial" w:hAnsi="Arial" w:cs="Arial"/>
        <w:b/>
        <w:sz w:val="48"/>
      </w:rPr>
      <w:tab/>
    </w:r>
    <w:r w:rsidRPr="0015409E">
      <w:tab/>
    </w:r>
    <w:r w:rsidRPr="0015409E">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5A3758" w14:textId="77777777" w:rsidR="0015409E" w:rsidRPr="0015409E" w:rsidRDefault="0015409E" w:rsidP="0015409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FBC66C" w14:textId="77777777" w:rsidR="0015409E" w:rsidRDefault="0015409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937212" w14:textId="751440BB" w:rsidR="0015409E" w:rsidRPr="0015409E" w:rsidRDefault="0015409E" w:rsidP="0015409E">
    <w:pPr>
      <w:pStyle w:val="Footer"/>
      <w:rPr>
        <w:rFonts w:ascii="Arial" w:hAnsi="Arial" w:cs="Arial"/>
        <w:b/>
        <w:sz w:val="48"/>
      </w:rPr>
    </w:pPr>
    <w:r w:rsidRPr="0015409E">
      <w:rPr>
        <w:rFonts w:ascii="Arial" w:hAnsi="Arial" w:cs="Arial"/>
        <w:b/>
        <w:sz w:val="48"/>
      </w:rPr>
      <w:t>RO</w:t>
    </w:r>
    <w:r w:rsidRPr="0015409E">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15409E">
      <w:tab/>
    </w:r>
    <w:r w:rsidRPr="0015409E">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12D535" w14:textId="77777777" w:rsidR="0015409E" w:rsidRDefault="0015409E" w:rsidP="001540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2557B9" w14:textId="77777777" w:rsidR="00145EAC" w:rsidRPr="0019240C" w:rsidRDefault="00C73F7B">
      <w:pPr>
        <w:spacing w:before="0" w:after="0"/>
      </w:pPr>
      <w:r w:rsidRPr="0019240C">
        <w:separator/>
      </w:r>
    </w:p>
  </w:footnote>
  <w:footnote w:type="continuationSeparator" w:id="0">
    <w:p w14:paraId="327C2C7E" w14:textId="77777777" w:rsidR="00145EAC" w:rsidRPr="0019240C" w:rsidRDefault="00C73F7B">
      <w:pPr>
        <w:spacing w:before="0" w:after="0"/>
      </w:pPr>
      <w:r w:rsidRPr="0019240C">
        <w:continuationSeparator/>
      </w:r>
    </w:p>
  </w:footnote>
  <w:footnote w:id="1">
    <w:p w14:paraId="349A1466" w14:textId="57834A45" w:rsidR="00145EAC" w:rsidRPr="0019240C" w:rsidRDefault="00C73F7B">
      <w:pPr>
        <w:pStyle w:val="FootnoteText"/>
      </w:pPr>
      <w:r w:rsidRPr="0019240C">
        <w:rPr>
          <w:rStyle w:val="FootnoteReference"/>
        </w:rPr>
        <w:footnoteRef/>
      </w:r>
      <w:r w:rsidRPr="0019240C">
        <w:tab/>
        <w:t>Regulamentul (UE) nr. 651/2014 al Comisiei din 17 iunie 2014 de declarare a anumitor categorii de ajutoare compatibile cu piața internă în aplicarea articolelor 107 și 108 din tratat (Text cu relevanță pentru SEE), JO</w:t>
      </w:r>
      <w:r w:rsidR="0019240C">
        <w:t> </w:t>
      </w:r>
      <w:r w:rsidRPr="0019240C">
        <w:t xml:space="preserve">L 187, 26.6.2014, p. 1-78, ELI: </w:t>
      </w:r>
      <w:hyperlink r:id="rId1" w:history="1">
        <w:r w:rsidRPr="0019240C">
          <w:rPr>
            <w:rStyle w:val="Hyperlink"/>
          </w:rPr>
          <w:t>http://data.europa.eu/eli/reg/2014/651/oj</w:t>
        </w:r>
      </w:hyperlink>
      <w:r w:rsidR="0019240C">
        <w:t>.</w:t>
      </w:r>
    </w:p>
  </w:footnote>
  <w:footnote w:id="2">
    <w:p w14:paraId="160D4C7C" w14:textId="48CF7A9C" w:rsidR="00145EAC" w:rsidRDefault="00C73F7B">
      <w:pPr>
        <w:pStyle w:val="FootnoteText"/>
      </w:pPr>
      <w:r w:rsidRPr="0019240C">
        <w:rPr>
          <w:rStyle w:val="FootnoteReference"/>
        </w:rPr>
        <w:footnoteRef/>
      </w:r>
      <w:r w:rsidRPr="0019240C">
        <w:tab/>
        <w:t>Recomandarea (UE) 2025/1099 a Comisiei din 21 mai 2025 privind definiția întreprinderilor mici cu capitalizare medie. JO</w:t>
      </w:r>
      <w:r w:rsidR="0019240C">
        <w:t> </w:t>
      </w:r>
      <w:r w:rsidRPr="0019240C">
        <w:t xml:space="preserve">L, 2025/1099, 28.5.2025, ELI: </w:t>
      </w:r>
      <w:hyperlink r:id="rId2" w:history="1">
        <w:r w:rsidRPr="0019240C">
          <w:rPr>
            <w:rStyle w:val="Hyperlink"/>
          </w:rPr>
          <w:t>http://data.europa.eu/eli/reco/2025/1099/oj</w:t>
        </w:r>
      </w:hyperlink>
      <w:r w:rsidR="0019240C">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923C31" w14:textId="77777777" w:rsidR="0015409E" w:rsidRPr="0015409E" w:rsidRDefault="0015409E" w:rsidP="001540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8E7FEA" w14:textId="77777777" w:rsidR="0015409E" w:rsidRPr="0015409E" w:rsidRDefault="0015409E" w:rsidP="001540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03F522" w14:textId="77777777" w:rsidR="0015409E" w:rsidRPr="0015409E" w:rsidRDefault="0015409E" w:rsidP="0015409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18BD5B" w14:textId="77777777" w:rsidR="0015409E" w:rsidRDefault="0015409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2C65AE" w14:textId="77777777" w:rsidR="0015409E" w:rsidRDefault="0015409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1C8EC6C2"/>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43E417A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AFD06480"/>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91A26C76"/>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4"/>
  </w:num>
  <w:num w:numId="6">
    <w:abstractNumId w:val="4"/>
  </w:num>
  <w:num w:numId="7">
    <w:abstractNumId w:val="4"/>
  </w:num>
  <w:num w:numId="8">
    <w:abstractNumId w:val="4"/>
  </w:num>
  <w:num w:numId="9">
    <w:abstractNumId w:val="4"/>
  </w:num>
  <w:num w:numId="10">
    <w:abstractNumId w:val="4"/>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5"/>
  </w:num>
  <w:num w:numId="21">
    <w:abstractNumId w:val="8"/>
  </w:num>
  <w:num w:numId="22">
    <w:abstractNumId w:val="17"/>
  </w:num>
  <w:num w:numId="23">
    <w:abstractNumId w:val="7"/>
  </w:num>
  <w:num w:numId="24">
    <w:abstractNumId w:val="9"/>
  </w:num>
  <w:num w:numId="25">
    <w:abstractNumId w:val="10"/>
  </w:num>
  <w:num w:numId="26">
    <w:abstractNumId w:val="5"/>
  </w:num>
  <w:num w:numId="27">
    <w:abstractNumId w:val="16"/>
  </w:num>
  <w:num w:numId="28">
    <w:abstractNumId w:val="4"/>
  </w:num>
  <w:num w:numId="29">
    <w:abstractNumId w:val="11"/>
  </w:num>
  <w:num w:numId="30">
    <w:abstractNumId w:val="13"/>
  </w:num>
  <w:num w:numId="31">
    <w:abstractNumId w:val="14"/>
  </w:num>
  <w:num w:numId="32">
    <w:abstractNumId w:val="6"/>
  </w:num>
  <w:num w:numId="33">
    <w:abstractNumId w:val="12"/>
  </w:num>
  <w:num w:numId="34">
    <w:abstractNumId w:val="18"/>
  </w:num>
  <w:num w:numId="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5"/>
  </w:num>
  <w:num w:numId="37">
    <w:abstractNumId w:val="8"/>
  </w:num>
  <w:num w:numId="38">
    <w:abstractNumId w:val="17"/>
  </w:num>
  <w:num w:numId="39">
    <w:abstractNumId w:val="7"/>
  </w:num>
  <w:num w:numId="40">
    <w:abstractNumId w:val="9"/>
  </w:num>
  <w:num w:numId="41">
    <w:abstractNumId w:val="10"/>
  </w:num>
  <w:num w:numId="42">
    <w:abstractNumId w:val="5"/>
  </w:num>
  <w:num w:numId="43">
    <w:abstractNumId w:val="16"/>
  </w:num>
  <w:num w:numId="44">
    <w:abstractNumId w:val="4"/>
  </w:num>
  <w:num w:numId="45">
    <w:abstractNumId w:val="11"/>
  </w:num>
  <w:num w:numId="46">
    <w:abstractNumId w:val="13"/>
  </w:num>
  <w:num w:numId="47">
    <w:abstractNumId w:val="14"/>
  </w:num>
  <w:num w:numId="48">
    <w:abstractNumId w:val="6"/>
  </w:num>
  <w:num w:numId="49">
    <w:abstractNumId w:val="12"/>
  </w:num>
  <w:num w:numId="50">
    <w:abstractNumId w:val="18"/>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3-17 16:17:58"/>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LW_ACCOMPAGNANT" w:val="la"/>
    <w:docVar w:name="LW_ACCOMPAGNANT.CP" w:val="la"/>
    <w:docVar w:name="LW_ANNEX_NBR_FIRST" w:val="1"/>
    <w:docVar w:name="LW_ANNEX_NBR_LAST" w:val="1"/>
    <w:docVar w:name="LW_ANNEX_UNIQUE" w:val="1"/>
    <w:docVar w:name="LW_CORRIGENDUM" w:val="&lt;UNUSED&gt;"/>
    <w:docVar w:name="LW_COVERPAGE_EXISTS" w:val="True"/>
    <w:docVar w:name="LW_COVERPAGE_GUID" w:val="5EC35CED-0EB5-42B3-ACDB-EF0A8C214FCF"/>
    <w:docVar w:name="LW_COVERPAGE_TYPE" w:val="1"/>
    <w:docVar w:name="LW_CreatedUtc" w:val="2026-03-05T09:29:02.8306572Z"/>
    <w:docVar w:name="LW_CROSSREFERENCE" w:val="&lt;UNUSED&gt;"/>
    <w:docVar w:name="LW_DocType" w:val="ANNEX"/>
    <w:docVar w:name="LW_EMISSION" w:val="18.3.2026"/>
    <w:docVar w:name="LW_EMISSION_ISODATE" w:val="2026-03-18"/>
    <w:docVar w:name="LW_EMISSION_LOCATION" w:val="BRX"/>
    <w:docVar w:name="LW_EMISSION_PREFIX" w:val="Bruxelles, "/>
    <w:docVar w:name="LW_EMISSION_SUFFIX" w:val=" "/>
    <w:docVar w:name="LW_ID_DOCSTRUCTURE" w:val="COM/ANNEX"/>
    <w:docVar w:name="LW_ID_DOCTYPE" w:val="SG-068"/>
    <w:docVar w:name="LW_LANGUE" w:val="RO"/>
    <w:docVar w:name="LW_LEVEL_OF_SENSITIVITY" w:val="Standard treatment"/>
    <w:docVar w:name="LW_NOM.INST" w:val="COMISIA EUROPEAN\u258?"/>
    <w:docVar w:name="LW_NOM.INST_JOINTDOC" w:val="&lt;EMPTY&gt;"/>
    <w:docVar w:name="LW_OBJETACTEPRINCIPAL" w:val="&lt;FMT:Bold&gt;privind defini\u539?ia întreprinderilor inovatoare, a start-upurilor inovatoare \u537?i a întreprinderilor inovatoare în faz\u259? de extindere&lt;/FMT&gt;_x000d__x000b_"/>
    <w:docVar w:name="LW_OBJETACTEPRINCIPAL.CP" w:val="&lt;FMT:Bold&gt;privind defini\u539?ia întreprinderilor inovatoare, a start-upurilor inovatoare \u537?i a întreprinderilor inovatoare în faz\u259? de extindere&lt;/FMT&gt;_x000d__x000b_"/>
    <w:docVar w:name="LW_PART_NBR" w:val="1"/>
    <w:docVar w:name="LW_PART_NBR_TOTAL" w:val="1"/>
    <w:docVar w:name="LW_REF.INST.NEW" w:val="C"/>
    <w:docVar w:name="LW_REF.INST.NEW_ADOPTED" w:val="final"/>
    <w:docVar w:name="LW_REF.INST.NEW_TEXT" w:val="(2026) 180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EX\u258?"/>
    <w:docVar w:name="LW_TYPE.DOC.CP" w:val="ANEX\u258?"/>
    <w:docVar w:name="LW_TYPEACTEPRINCIPAL" w:val="RECOMANDAREA COMISIEI"/>
    <w:docVar w:name="LW_TYPEACTEPRINCIPAL.CP" w:val="RECOMANDAREA COMISIEI"/>
    <w:docVar w:name="LwApiVersions" w:val="LW4CoDe 1.24.5.0; LW 9.2, Build 20251112"/>
  </w:docVars>
  <w:rsids>
    <w:rsidRoot w:val="00145EAC"/>
    <w:rsid w:val="00046CEF"/>
    <w:rsid w:val="0008650F"/>
    <w:rsid w:val="000F15D1"/>
    <w:rsid w:val="00140624"/>
    <w:rsid w:val="00145EAC"/>
    <w:rsid w:val="0015409E"/>
    <w:rsid w:val="0019240C"/>
    <w:rsid w:val="00230017"/>
    <w:rsid w:val="002E0BFE"/>
    <w:rsid w:val="003769C9"/>
    <w:rsid w:val="00385D26"/>
    <w:rsid w:val="003932AB"/>
    <w:rsid w:val="00530B5B"/>
    <w:rsid w:val="0096433C"/>
    <w:rsid w:val="00A27D51"/>
    <w:rsid w:val="00A40E45"/>
    <w:rsid w:val="00BA71A9"/>
    <w:rsid w:val="00BF4582"/>
    <w:rsid w:val="00C73F7B"/>
    <w:rsid w:val="00CA44B1"/>
    <w:rsid w:val="00CE7155"/>
    <w:rsid w:val="00D85955"/>
    <w:rsid w:val="00DB646E"/>
    <w:rsid w:val="00E44DA1"/>
    <w:rsid w:val="00E756D8"/>
    <w:rsid w:val="00FD7D2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C52E51F"/>
  <w15:docId w15:val="{F2DB6C84-A459-48FB-882E-3B8065FD1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4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Revision">
    <w:name w:val="Revision"/>
    <w:hidden/>
    <w:uiPriority w:val="99"/>
    <w:semiHidden/>
    <w:pPr>
      <w:spacing w:after="0" w:line="240" w:lineRule="auto"/>
    </w:pPr>
    <w:rPr>
      <w:rFonts w:ascii="Times New Roman" w:hAnsi="Times New Roman" w:cs="Times New Roman"/>
      <w:sz w:val="24"/>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character" w:styleId="Hyperlink">
    <w:name w:val="Hyperlink"/>
    <w:basedOn w:val="DefaultParagraphFont"/>
    <w:uiPriority w:val="99"/>
    <w:unhideWhenUsed/>
    <w:rPr>
      <w:color w:val="0000FF" w:themeColor="hyperlink"/>
      <w:u w:val="single"/>
    </w:rPr>
  </w:style>
  <w:style w:type="character" w:customStyle="1" w:styleId="UnresolvedMention">
    <w:name w:val="Unresolved Mention"/>
    <w:basedOn w:val="DefaultParagraphFont"/>
    <w:uiPriority w:val="99"/>
    <w:semiHidden/>
    <w:unhideWhenUsed/>
    <w:rPr>
      <w:color w:val="605E5C"/>
      <w:shd w:val="clear" w:color="auto" w:fill="E1DFDD"/>
    </w:rPr>
  </w:style>
  <w:style w:type="character" w:styleId="FollowedHyperlink">
    <w:name w:val="FollowedHyperlink"/>
    <w:basedOn w:val="DefaultParagraphFont"/>
    <w:uiPriority w:val="99"/>
    <w:semiHidden/>
    <w:unhideWhenUsed/>
    <w:rsid w:val="0019240C"/>
    <w:rPr>
      <w:color w:val="800080" w:themeColor="followedHyperlink"/>
      <w:u w:val="single"/>
    </w:rPr>
  </w:style>
  <w:style w:type="character" w:customStyle="1" w:styleId="HeaderChar">
    <w:name w:val="Header Char"/>
    <w:basedOn w:val="DefaultParagraphFont"/>
    <w:link w:val="Header"/>
    <w:uiPriority w:val="99"/>
    <w:rsid w:val="0015409E"/>
    <w:rPr>
      <w:rFonts w:ascii="Times New Roman" w:hAnsi="Times New Roman" w:cs="Times New Roman"/>
      <w:sz w:val="24"/>
      <w:lang w:val="ro-RO"/>
    </w:rPr>
  </w:style>
  <w:style w:type="character" w:customStyle="1" w:styleId="FooterChar">
    <w:name w:val="Footer Char"/>
    <w:basedOn w:val="DefaultParagraphFont"/>
    <w:link w:val="Footer"/>
    <w:uiPriority w:val="99"/>
    <w:rsid w:val="0015409E"/>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15409E"/>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15409E"/>
    <w:pPr>
      <w:spacing w:before="0"/>
      <w:jc w:val="right"/>
    </w:pPr>
    <w:rPr>
      <w:sz w:val="28"/>
    </w:rPr>
  </w:style>
  <w:style w:type="paragraph" w:customStyle="1" w:styleId="FooterSensitivity">
    <w:name w:val="Footer Sensitivity"/>
    <w:basedOn w:val="Normal"/>
    <w:rsid w:val="0015409E"/>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6"/>
      </w:numPr>
    </w:pPr>
  </w:style>
  <w:style w:type="paragraph" w:customStyle="1" w:styleId="Tiret1">
    <w:name w:val="Tiret 1"/>
    <w:basedOn w:val="Point1"/>
    <w:pPr>
      <w:numPr>
        <w:numId w:val="37"/>
      </w:numPr>
    </w:pPr>
  </w:style>
  <w:style w:type="paragraph" w:customStyle="1" w:styleId="Tiret2">
    <w:name w:val="Tiret 2"/>
    <w:basedOn w:val="Point2"/>
    <w:pPr>
      <w:numPr>
        <w:numId w:val="38"/>
      </w:numPr>
    </w:pPr>
  </w:style>
  <w:style w:type="paragraph" w:customStyle="1" w:styleId="Tiret3">
    <w:name w:val="Tiret 3"/>
    <w:basedOn w:val="Point3"/>
    <w:pPr>
      <w:numPr>
        <w:numId w:val="39"/>
      </w:numPr>
    </w:pPr>
  </w:style>
  <w:style w:type="paragraph" w:customStyle="1" w:styleId="Tiret4">
    <w:name w:val="Tiret 4"/>
    <w:basedOn w:val="Point4"/>
    <w:pPr>
      <w:numPr>
        <w:numId w:val="40"/>
      </w:numPr>
    </w:pPr>
  </w:style>
  <w:style w:type="paragraph" w:customStyle="1" w:styleId="Tiret5">
    <w:name w:val="Tiret 5"/>
    <w:basedOn w:val="Point5"/>
    <w:pPr>
      <w:numPr>
        <w:numId w:val="4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2"/>
      </w:numPr>
    </w:pPr>
  </w:style>
  <w:style w:type="paragraph" w:customStyle="1" w:styleId="NumPar2">
    <w:name w:val="NumPar 2"/>
    <w:basedOn w:val="Normal"/>
    <w:next w:val="Text1"/>
    <w:pPr>
      <w:numPr>
        <w:ilvl w:val="1"/>
        <w:numId w:val="42"/>
      </w:numPr>
    </w:pPr>
  </w:style>
  <w:style w:type="paragraph" w:customStyle="1" w:styleId="NumPar3">
    <w:name w:val="NumPar 3"/>
    <w:basedOn w:val="Normal"/>
    <w:next w:val="Text1"/>
    <w:pPr>
      <w:numPr>
        <w:ilvl w:val="2"/>
        <w:numId w:val="42"/>
      </w:numPr>
    </w:pPr>
  </w:style>
  <w:style w:type="paragraph" w:customStyle="1" w:styleId="NumPar4">
    <w:name w:val="NumPar 4"/>
    <w:basedOn w:val="Normal"/>
    <w:next w:val="Text1"/>
    <w:pPr>
      <w:numPr>
        <w:ilvl w:val="3"/>
        <w:numId w:val="42"/>
      </w:numPr>
    </w:pPr>
  </w:style>
  <w:style w:type="paragraph" w:customStyle="1" w:styleId="NumPar5">
    <w:name w:val="NumPar 5"/>
    <w:basedOn w:val="Normal"/>
    <w:next w:val="Text2"/>
    <w:pPr>
      <w:numPr>
        <w:ilvl w:val="4"/>
        <w:numId w:val="42"/>
      </w:numPr>
    </w:pPr>
  </w:style>
  <w:style w:type="paragraph" w:customStyle="1" w:styleId="NumPar6">
    <w:name w:val="NumPar 6"/>
    <w:basedOn w:val="Normal"/>
    <w:next w:val="Text2"/>
    <w:pPr>
      <w:numPr>
        <w:ilvl w:val="5"/>
        <w:numId w:val="42"/>
      </w:numPr>
    </w:pPr>
  </w:style>
  <w:style w:type="paragraph" w:customStyle="1" w:styleId="NumPar7">
    <w:name w:val="NumPar 7"/>
    <w:basedOn w:val="Normal"/>
    <w:next w:val="Text2"/>
    <w:pPr>
      <w:numPr>
        <w:ilvl w:val="6"/>
        <w:numId w:val="4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4"/>
      </w:numPr>
    </w:pPr>
  </w:style>
  <w:style w:type="paragraph" w:customStyle="1" w:styleId="Point1number">
    <w:name w:val="Point 1 (number)"/>
    <w:basedOn w:val="Normal"/>
    <w:pPr>
      <w:numPr>
        <w:ilvl w:val="2"/>
        <w:numId w:val="44"/>
      </w:numPr>
    </w:pPr>
  </w:style>
  <w:style w:type="paragraph" w:customStyle="1" w:styleId="Point2number">
    <w:name w:val="Point 2 (number)"/>
    <w:basedOn w:val="Normal"/>
    <w:pPr>
      <w:numPr>
        <w:ilvl w:val="4"/>
        <w:numId w:val="44"/>
      </w:numPr>
    </w:pPr>
  </w:style>
  <w:style w:type="paragraph" w:customStyle="1" w:styleId="Point3number">
    <w:name w:val="Point 3 (number)"/>
    <w:basedOn w:val="Normal"/>
    <w:pPr>
      <w:numPr>
        <w:ilvl w:val="6"/>
        <w:numId w:val="44"/>
      </w:numPr>
    </w:pPr>
  </w:style>
  <w:style w:type="paragraph" w:customStyle="1" w:styleId="Point0letter">
    <w:name w:val="Point 0 (letter)"/>
    <w:basedOn w:val="Normal"/>
    <w:pPr>
      <w:numPr>
        <w:ilvl w:val="1"/>
        <w:numId w:val="44"/>
      </w:numPr>
    </w:pPr>
  </w:style>
  <w:style w:type="paragraph" w:customStyle="1" w:styleId="Point1letter">
    <w:name w:val="Point 1 (letter)"/>
    <w:basedOn w:val="Normal"/>
    <w:pPr>
      <w:numPr>
        <w:ilvl w:val="3"/>
        <w:numId w:val="44"/>
      </w:numPr>
    </w:pPr>
  </w:style>
  <w:style w:type="paragraph" w:customStyle="1" w:styleId="Point2letter">
    <w:name w:val="Point 2 (letter)"/>
    <w:basedOn w:val="Normal"/>
    <w:pPr>
      <w:numPr>
        <w:ilvl w:val="5"/>
        <w:numId w:val="44"/>
      </w:numPr>
    </w:pPr>
  </w:style>
  <w:style w:type="paragraph" w:customStyle="1" w:styleId="Point3letter">
    <w:name w:val="Point 3 (letter)"/>
    <w:basedOn w:val="Normal"/>
    <w:pPr>
      <w:numPr>
        <w:ilvl w:val="7"/>
        <w:numId w:val="44"/>
      </w:numPr>
    </w:pPr>
  </w:style>
  <w:style w:type="paragraph" w:customStyle="1" w:styleId="Point4letter">
    <w:name w:val="Point 4 (letter)"/>
    <w:basedOn w:val="Normal"/>
    <w:pPr>
      <w:numPr>
        <w:ilvl w:val="8"/>
        <w:numId w:val="44"/>
      </w:numPr>
    </w:pPr>
  </w:style>
  <w:style w:type="paragraph" w:customStyle="1" w:styleId="Bullet0">
    <w:name w:val="Bullet 0"/>
    <w:basedOn w:val="Normal"/>
    <w:pPr>
      <w:numPr>
        <w:numId w:val="45"/>
      </w:numPr>
    </w:pPr>
  </w:style>
  <w:style w:type="paragraph" w:customStyle="1" w:styleId="Bullet1">
    <w:name w:val="Bullet 1"/>
    <w:basedOn w:val="Normal"/>
    <w:pPr>
      <w:numPr>
        <w:numId w:val="46"/>
      </w:numPr>
    </w:pPr>
  </w:style>
  <w:style w:type="paragraph" w:customStyle="1" w:styleId="Bullet2">
    <w:name w:val="Bullet 2"/>
    <w:basedOn w:val="Normal"/>
    <w:pPr>
      <w:numPr>
        <w:numId w:val="47"/>
      </w:numPr>
    </w:pPr>
  </w:style>
  <w:style w:type="paragraph" w:customStyle="1" w:styleId="Bullet3">
    <w:name w:val="Bullet 3"/>
    <w:basedOn w:val="Normal"/>
    <w:pPr>
      <w:numPr>
        <w:numId w:val="48"/>
      </w:numPr>
    </w:pPr>
  </w:style>
  <w:style w:type="paragraph" w:customStyle="1" w:styleId="Bullet4">
    <w:name w:val="Bullet 4"/>
    <w:basedOn w:val="Normal"/>
    <w:pPr>
      <w:numPr>
        <w:numId w:val="4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5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15409E"/>
    <w:pPr>
      <w:tabs>
        <w:tab w:val="center" w:pos="4535"/>
        <w:tab w:val="right" w:pos="9071"/>
      </w:tabs>
      <w:spacing w:before="0"/>
    </w:pPr>
  </w:style>
  <w:style w:type="paragraph" w:customStyle="1" w:styleId="HeaderLandscape">
    <w:name w:val="HeaderLandscape"/>
    <w:basedOn w:val="Normal"/>
    <w:rsid w:val="0015409E"/>
    <w:pPr>
      <w:tabs>
        <w:tab w:val="center" w:pos="7285"/>
        <w:tab w:val="right" w:pos="14003"/>
      </w:tabs>
      <w:spacing w:before="0"/>
    </w:pPr>
  </w:style>
  <w:style w:type="paragraph" w:styleId="Footer">
    <w:name w:val="footer"/>
    <w:basedOn w:val="Normal"/>
    <w:link w:val="FooterChar"/>
    <w:uiPriority w:val="99"/>
    <w:unhideWhenUsed/>
    <w:rsid w:val="0015409E"/>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15409E"/>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0829213">
      <w:bodyDiv w:val="1"/>
      <w:marLeft w:val="0"/>
      <w:marRight w:val="0"/>
      <w:marTop w:val="0"/>
      <w:marBottom w:val="0"/>
      <w:divBdr>
        <w:top w:val="none" w:sz="0" w:space="0" w:color="auto"/>
        <w:left w:val="none" w:sz="0" w:space="0" w:color="auto"/>
        <w:bottom w:val="none" w:sz="0" w:space="0" w:color="auto"/>
        <w:right w:val="none" w:sz="0" w:space="0" w:color="auto"/>
      </w:divBdr>
      <w:divsChild>
        <w:div w:id="39210361">
          <w:marLeft w:val="0"/>
          <w:marRight w:val="0"/>
          <w:marTop w:val="0"/>
          <w:marBottom w:val="240"/>
          <w:divBdr>
            <w:top w:val="none" w:sz="0" w:space="0" w:color="auto"/>
            <w:left w:val="none" w:sz="0" w:space="0" w:color="auto"/>
            <w:bottom w:val="none" w:sz="0" w:space="0" w:color="auto"/>
            <w:right w:val="none" w:sz="0" w:space="0" w:color="auto"/>
          </w:divBdr>
        </w:div>
        <w:div w:id="58287216">
          <w:marLeft w:val="0"/>
          <w:marRight w:val="0"/>
          <w:marTop w:val="0"/>
          <w:marBottom w:val="240"/>
          <w:divBdr>
            <w:top w:val="none" w:sz="0" w:space="0" w:color="auto"/>
            <w:left w:val="none" w:sz="0" w:space="0" w:color="auto"/>
            <w:bottom w:val="none" w:sz="0" w:space="0" w:color="auto"/>
            <w:right w:val="none" w:sz="0" w:space="0" w:color="auto"/>
          </w:divBdr>
        </w:div>
        <w:div w:id="134106792">
          <w:marLeft w:val="0"/>
          <w:marRight w:val="0"/>
          <w:marTop w:val="0"/>
          <w:marBottom w:val="240"/>
          <w:divBdr>
            <w:top w:val="none" w:sz="0" w:space="0" w:color="auto"/>
            <w:left w:val="none" w:sz="0" w:space="0" w:color="auto"/>
            <w:bottom w:val="none" w:sz="0" w:space="0" w:color="auto"/>
            <w:right w:val="none" w:sz="0" w:space="0" w:color="auto"/>
          </w:divBdr>
        </w:div>
        <w:div w:id="152718617">
          <w:marLeft w:val="0"/>
          <w:marRight w:val="0"/>
          <w:marTop w:val="0"/>
          <w:marBottom w:val="240"/>
          <w:divBdr>
            <w:top w:val="none" w:sz="0" w:space="0" w:color="auto"/>
            <w:left w:val="none" w:sz="0" w:space="0" w:color="auto"/>
            <w:bottom w:val="none" w:sz="0" w:space="0" w:color="auto"/>
            <w:right w:val="none" w:sz="0" w:space="0" w:color="auto"/>
          </w:divBdr>
        </w:div>
        <w:div w:id="237634606">
          <w:marLeft w:val="0"/>
          <w:marRight w:val="0"/>
          <w:marTop w:val="0"/>
          <w:marBottom w:val="240"/>
          <w:divBdr>
            <w:top w:val="none" w:sz="0" w:space="0" w:color="auto"/>
            <w:left w:val="none" w:sz="0" w:space="0" w:color="auto"/>
            <w:bottom w:val="none" w:sz="0" w:space="0" w:color="auto"/>
            <w:right w:val="none" w:sz="0" w:space="0" w:color="auto"/>
          </w:divBdr>
        </w:div>
        <w:div w:id="334504274">
          <w:marLeft w:val="0"/>
          <w:marRight w:val="0"/>
          <w:marTop w:val="0"/>
          <w:marBottom w:val="240"/>
          <w:divBdr>
            <w:top w:val="none" w:sz="0" w:space="0" w:color="auto"/>
            <w:left w:val="none" w:sz="0" w:space="0" w:color="auto"/>
            <w:bottom w:val="none" w:sz="0" w:space="0" w:color="auto"/>
            <w:right w:val="none" w:sz="0" w:space="0" w:color="auto"/>
          </w:divBdr>
        </w:div>
        <w:div w:id="418674637">
          <w:marLeft w:val="0"/>
          <w:marRight w:val="0"/>
          <w:marTop w:val="0"/>
          <w:marBottom w:val="240"/>
          <w:divBdr>
            <w:top w:val="none" w:sz="0" w:space="0" w:color="auto"/>
            <w:left w:val="none" w:sz="0" w:space="0" w:color="auto"/>
            <w:bottom w:val="none" w:sz="0" w:space="0" w:color="auto"/>
            <w:right w:val="none" w:sz="0" w:space="0" w:color="auto"/>
          </w:divBdr>
        </w:div>
        <w:div w:id="563224828">
          <w:marLeft w:val="0"/>
          <w:marRight w:val="0"/>
          <w:marTop w:val="0"/>
          <w:marBottom w:val="240"/>
          <w:divBdr>
            <w:top w:val="none" w:sz="0" w:space="0" w:color="auto"/>
            <w:left w:val="none" w:sz="0" w:space="0" w:color="auto"/>
            <w:bottom w:val="none" w:sz="0" w:space="0" w:color="auto"/>
            <w:right w:val="none" w:sz="0" w:space="0" w:color="auto"/>
          </w:divBdr>
        </w:div>
        <w:div w:id="604389234">
          <w:marLeft w:val="0"/>
          <w:marRight w:val="0"/>
          <w:marTop w:val="0"/>
          <w:marBottom w:val="240"/>
          <w:divBdr>
            <w:top w:val="none" w:sz="0" w:space="0" w:color="auto"/>
            <w:left w:val="none" w:sz="0" w:space="0" w:color="auto"/>
            <w:bottom w:val="none" w:sz="0" w:space="0" w:color="auto"/>
            <w:right w:val="none" w:sz="0" w:space="0" w:color="auto"/>
          </w:divBdr>
        </w:div>
        <w:div w:id="634914057">
          <w:marLeft w:val="0"/>
          <w:marRight w:val="0"/>
          <w:marTop w:val="0"/>
          <w:marBottom w:val="240"/>
          <w:divBdr>
            <w:top w:val="none" w:sz="0" w:space="0" w:color="auto"/>
            <w:left w:val="none" w:sz="0" w:space="0" w:color="auto"/>
            <w:bottom w:val="none" w:sz="0" w:space="0" w:color="auto"/>
            <w:right w:val="none" w:sz="0" w:space="0" w:color="auto"/>
          </w:divBdr>
        </w:div>
        <w:div w:id="836579690">
          <w:marLeft w:val="0"/>
          <w:marRight w:val="0"/>
          <w:marTop w:val="0"/>
          <w:marBottom w:val="240"/>
          <w:divBdr>
            <w:top w:val="none" w:sz="0" w:space="0" w:color="auto"/>
            <w:left w:val="none" w:sz="0" w:space="0" w:color="auto"/>
            <w:bottom w:val="none" w:sz="0" w:space="0" w:color="auto"/>
            <w:right w:val="none" w:sz="0" w:space="0" w:color="auto"/>
          </w:divBdr>
        </w:div>
        <w:div w:id="978345469">
          <w:marLeft w:val="0"/>
          <w:marRight w:val="0"/>
          <w:marTop w:val="0"/>
          <w:marBottom w:val="240"/>
          <w:divBdr>
            <w:top w:val="none" w:sz="0" w:space="0" w:color="auto"/>
            <w:left w:val="none" w:sz="0" w:space="0" w:color="auto"/>
            <w:bottom w:val="none" w:sz="0" w:space="0" w:color="auto"/>
            <w:right w:val="none" w:sz="0" w:space="0" w:color="auto"/>
          </w:divBdr>
        </w:div>
        <w:div w:id="1172916876">
          <w:marLeft w:val="0"/>
          <w:marRight w:val="0"/>
          <w:marTop w:val="0"/>
          <w:marBottom w:val="240"/>
          <w:divBdr>
            <w:top w:val="none" w:sz="0" w:space="0" w:color="auto"/>
            <w:left w:val="none" w:sz="0" w:space="0" w:color="auto"/>
            <w:bottom w:val="none" w:sz="0" w:space="0" w:color="auto"/>
            <w:right w:val="none" w:sz="0" w:space="0" w:color="auto"/>
          </w:divBdr>
        </w:div>
        <w:div w:id="1240865214">
          <w:marLeft w:val="0"/>
          <w:marRight w:val="0"/>
          <w:marTop w:val="0"/>
          <w:marBottom w:val="240"/>
          <w:divBdr>
            <w:top w:val="none" w:sz="0" w:space="0" w:color="auto"/>
            <w:left w:val="none" w:sz="0" w:space="0" w:color="auto"/>
            <w:bottom w:val="none" w:sz="0" w:space="0" w:color="auto"/>
            <w:right w:val="none" w:sz="0" w:space="0" w:color="auto"/>
          </w:divBdr>
        </w:div>
        <w:div w:id="1309288508">
          <w:marLeft w:val="0"/>
          <w:marRight w:val="0"/>
          <w:marTop w:val="0"/>
          <w:marBottom w:val="240"/>
          <w:divBdr>
            <w:top w:val="none" w:sz="0" w:space="0" w:color="auto"/>
            <w:left w:val="none" w:sz="0" w:space="0" w:color="auto"/>
            <w:bottom w:val="none" w:sz="0" w:space="0" w:color="auto"/>
            <w:right w:val="none" w:sz="0" w:space="0" w:color="auto"/>
          </w:divBdr>
        </w:div>
        <w:div w:id="1472361424">
          <w:marLeft w:val="0"/>
          <w:marRight w:val="0"/>
          <w:marTop w:val="0"/>
          <w:marBottom w:val="240"/>
          <w:divBdr>
            <w:top w:val="none" w:sz="0" w:space="0" w:color="auto"/>
            <w:left w:val="none" w:sz="0" w:space="0" w:color="auto"/>
            <w:bottom w:val="none" w:sz="0" w:space="0" w:color="auto"/>
            <w:right w:val="none" w:sz="0" w:space="0" w:color="auto"/>
          </w:divBdr>
        </w:div>
        <w:div w:id="1536038391">
          <w:marLeft w:val="0"/>
          <w:marRight w:val="0"/>
          <w:marTop w:val="0"/>
          <w:marBottom w:val="240"/>
          <w:divBdr>
            <w:top w:val="none" w:sz="0" w:space="0" w:color="auto"/>
            <w:left w:val="none" w:sz="0" w:space="0" w:color="auto"/>
            <w:bottom w:val="none" w:sz="0" w:space="0" w:color="auto"/>
            <w:right w:val="none" w:sz="0" w:space="0" w:color="auto"/>
          </w:divBdr>
        </w:div>
        <w:div w:id="1660190037">
          <w:marLeft w:val="0"/>
          <w:marRight w:val="0"/>
          <w:marTop w:val="0"/>
          <w:marBottom w:val="240"/>
          <w:divBdr>
            <w:top w:val="none" w:sz="0" w:space="0" w:color="auto"/>
            <w:left w:val="none" w:sz="0" w:space="0" w:color="auto"/>
            <w:bottom w:val="none" w:sz="0" w:space="0" w:color="auto"/>
            <w:right w:val="none" w:sz="0" w:space="0" w:color="auto"/>
          </w:divBdr>
        </w:div>
        <w:div w:id="1850175656">
          <w:marLeft w:val="0"/>
          <w:marRight w:val="0"/>
          <w:marTop w:val="0"/>
          <w:marBottom w:val="240"/>
          <w:divBdr>
            <w:top w:val="none" w:sz="0" w:space="0" w:color="auto"/>
            <w:left w:val="none" w:sz="0" w:space="0" w:color="auto"/>
            <w:bottom w:val="none" w:sz="0" w:space="0" w:color="auto"/>
            <w:right w:val="none" w:sz="0" w:space="0" w:color="auto"/>
          </w:divBdr>
        </w:div>
        <w:div w:id="2004894992">
          <w:marLeft w:val="0"/>
          <w:marRight w:val="0"/>
          <w:marTop w:val="0"/>
          <w:marBottom w:val="240"/>
          <w:divBdr>
            <w:top w:val="none" w:sz="0" w:space="0" w:color="auto"/>
            <w:left w:val="none" w:sz="0" w:space="0" w:color="auto"/>
            <w:bottom w:val="none" w:sz="0" w:space="0" w:color="auto"/>
            <w:right w:val="none" w:sz="0" w:space="0" w:color="auto"/>
          </w:divBdr>
        </w:div>
        <w:div w:id="2118676181">
          <w:marLeft w:val="0"/>
          <w:marRight w:val="0"/>
          <w:marTop w:val="0"/>
          <w:marBottom w:val="240"/>
          <w:divBdr>
            <w:top w:val="none" w:sz="0" w:space="0" w:color="auto"/>
            <w:left w:val="none" w:sz="0" w:space="0" w:color="auto"/>
            <w:bottom w:val="none" w:sz="0" w:space="0" w:color="auto"/>
            <w:right w:val="none" w:sz="0" w:space="0" w:color="auto"/>
          </w:divBdr>
        </w:div>
      </w:divsChild>
    </w:div>
    <w:div w:id="1141725138">
      <w:bodyDiv w:val="1"/>
      <w:marLeft w:val="0"/>
      <w:marRight w:val="0"/>
      <w:marTop w:val="0"/>
      <w:marBottom w:val="0"/>
      <w:divBdr>
        <w:top w:val="none" w:sz="0" w:space="0" w:color="auto"/>
        <w:left w:val="none" w:sz="0" w:space="0" w:color="auto"/>
        <w:bottom w:val="none" w:sz="0" w:space="0" w:color="auto"/>
        <w:right w:val="none" w:sz="0" w:space="0" w:color="auto"/>
      </w:divBdr>
      <w:divsChild>
        <w:div w:id="301153498">
          <w:marLeft w:val="0"/>
          <w:marRight w:val="0"/>
          <w:marTop w:val="0"/>
          <w:marBottom w:val="240"/>
          <w:divBdr>
            <w:top w:val="none" w:sz="0" w:space="0" w:color="auto"/>
            <w:left w:val="none" w:sz="0" w:space="0" w:color="auto"/>
            <w:bottom w:val="none" w:sz="0" w:space="0" w:color="auto"/>
            <w:right w:val="none" w:sz="0" w:space="0" w:color="auto"/>
          </w:divBdr>
        </w:div>
        <w:div w:id="309749743">
          <w:marLeft w:val="0"/>
          <w:marRight w:val="0"/>
          <w:marTop w:val="0"/>
          <w:marBottom w:val="240"/>
          <w:divBdr>
            <w:top w:val="none" w:sz="0" w:space="0" w:color="auto"/>
            <w:left w:val="none" w:sz="0" w:space="0" w:color="auto"/>
            <w:bottom w:val="none" w:sz="0" w:space="0" w:color="auto"/>
            <w:right w:val="none" w:sz="0" w:space="0" w:color="auto"/>
          </w:divBdr>
        </w:div>
        <w:div w:id="327176827">
          <w:marLeft w:val="0"/>
          <w:marRight w:val="0"/>
          <w:marTop w:val="0"/>
          <w:marBottom w:val="240"/>
          <w:divBdr>
            <w:top w:val="none" w:sz="0" w:space="0" w:color="auto"/>
            <w:left w:val="none" w:sz="0" w:space="0" w:color="auto"/>
            <w:bottom w:val="none" w:sz="0" w:space="0" w:color="auto"/>
            <w:right w:val="none" w:sz="0" w:space="0" w:color="auto"/>
          </w:divBdr>
        </w:div>
        <w:div w:id="462650053">
          <w:marLeft w:val="0"/>
          <w:marRight w:val="0"/>
          <w:marTop w:val="0"/>
          <w:marBottom w:val="240"/>
          <w:divBdr>
            <w:top w:val="none" w:sz="0" w:space="0" w:color="auto"/>
            <w:left w:val="none" w:sz="0" w:space="0" w:color="auto"/>
            <w:bottom w:val="none" w:sz="0" w:space="0" w:color="auto"/>
            <w:right w:val="none" w:sz="0" w:space="0" w:color="auto"/>
          </w:divBdr>
        </w:div>
        <w:div w:id="488987724">
          <w:marLeft w:val="0"/>
          <w:marRight w:val="0"/>
          <w:marTop w:val="0"/>
          <w:marBottom w:val="240"/>
          <w:divBdr>
            <w:top w:val="none" w:sz="0" w:space="0" w:color="auto"/>
            <w:left w:val="none" w:sz="0" w:space="0" w:color="auto"/>
            <w:bottom w:val="none" w:sz="0" w:space="0" w:color="auto"/>
            <w:right w:val="none" w:sz="0" w:space="0" w:color="auto"/>
          </w:divBdr>
        </w:div>
        <w:div w:id="629475723">
          <w:marLeft w:val="0"/>
          <w:marRight w:val="0"/>
          <w:marTop w:val="0"/>
          <w:marBottom w:val="240"/>
          <w:divBdr>
            <w:top w:val="none" w:sz="0" w:space="0" w:color="auto"/>
            <w:left w:val="none" w:sz="0" w:space="0" w:color="auto"/>
            <w:bottom w:val="none" w:sz="0" w:space="0" w:color="auto"/>
            <w:right w:val="none" w:sz="0" w:space="0" w:color="auto"/>
          </w:divBdr>
        </w:div>
        <w:div w:id="656618403">
          <w:marLeft w:val="0"/>
          <w:marRight w:val="0"/>
          <w:marTop w:val="0"/>
          <w:marBottom w:val="240"/>
          <w:divBdr>
            <w:top w:val="none" w:sz="0" w:space="0" w:color="auto"/>
            <w:left w:val="none" w:sz="0" w:space="0" w:color="auto"/>
            <w:bottom w:val="none" w:sz="0" w:space="0" w:color="auto"/>
            <w:right w:val="none" w:sz="0" w:space="0" w:color="auto"/>
          </w:divBdr>
        </w:div>
        <w:div w:id="738022599">
          <w:marLeft w:val="0"/>
          <w:marRight w:val="0"/>
          <w:marTop w:val="0"/>
          <w:marBottom w:val="240"/>
          <w:divBdr>
            <w:top w:val="none" w:sz="0" w:space="0" w:color="auto"/>
            <w:left w:val="none" w:sz="0" w:space="0" w:color="auto"/>
            <w:bottom w:val="none" w:sz="0" w:space="0" w:color="auto"/>
            <w:right w:val="none" w:sz="0" w:space="0" w:color="auto"/>
          </w:divBdr>
        </w:div>
        <w:div w:id="756558031">
          <w:marLeft w:val="0"/>
          <w:marRight w:val="0"/>
          <w:marTop w:val="0"/>
          <w:marBottom w:val="240"/>
          <w:divBdr>
            <w:top w:val="none" w:sz="0" w:space="0" w:color="auto"/>
            <w:left w:val="none" w:sz="0" w:space="0" w:color="auto"/>
            <w:bottom w:val="none" w:sz="0" w:space="0" w:color="auto"/>
            <w:right w:val="none" w:sz="0" w:space="0" w:color="auto"/>
          </w:divBdr>
        </w:div>
        <w:div w:id="862666564">
          <w:marLeft w:val="0"/>
          <w:marRight w:val="0"/>
          <w:marTop w:val="0"/>
          <w:marBottom w:val="240"/>
          <w:divBdr>
            <w:top w:val="none" w:sz="0" w:space="0" w:color="auto"/>
            <w:left w:val="none" w:sz="0" w:space="0" w:color="auto"/>
            <w:bottom w:val="none" w:sz="0" w:space="0" w:color="auto"/>
            <w:right w:val="none" w:sz="0" w:space="0" w:color="auto"/>
          </w:divBdr>
        </w:div>
        <w:div w:id="1191458329">
          <w:marLeft w:val="0"/>
          <w:marRight w:val="0"/>
          <w:marTop w:val="0"/>
          <w:marBottom w:val="240"/>
          <w:divBdr>
            <w:top w:val="none" w:sz="0" w:space="0" w:color="auto"/>
            <w:left w:val="none" w:sz="0" w:space="0" w:color="auto"/>
            <w:bottom w:val="none" w:sz="0" w:space="0" w:color="auto"/>
            <w:right w:val="none" w:sz="0" w:space="0" w:color="auto"/>
          </w:divBdr>
        </w:div>
        <w:div w:id="1274943395">
          <w:marLeft w:val="0"/>
          <w:marRight w:val="0"/>
          <w:marTop w:val="0"/>
          <w:marBottom w:val="240"/>
          <w:divBdr>
            <w:top w:val="none" w:sz="0" w:space="0" w:color="auto"/>
            <w:left w:val="none" w:sz="0" w:space="0" w:color="auto"/>
            <w:bottom w:val="none" w:sz="0" w:space="0" w:color="auto"/>
            <w:right w:val="none" w:sz="0" w:space="0" w:color="auto"/>
          </w:divBdr>
        </w:div>
        <w:div w:id="1315767309">
          <w:marLeft w:val="0"/>
          <w:marRight w:val="0"/>
          <w:marTop w:val="0"/>
          <w:marBottom w:val="240"/>
          <w:divBdr>
            <w:top w:val="none" w:sz="0" w:space="0" w:color="auto"/>
            <w:left w:val="none" w:sz="0" w:space="0" w:color="auto"/>
            <w:bottom w:val="none" w:sz="0" w:space="0" w:color="auto"/>
            <w:right w:val="none" w:sz="0" w:space="0" w:color="auto"/>
          </w:divBdr>
        </w:div>
        <w:div w:id="1524171685">
          <w:marLeft w:val="0"/>
          <w:marRight w:val="0"/>
          <w:marTop w:val="0"/>
          <w:marBottom w:val="240"/>
          <w:divBdr>
            <w:top w:val="none" w:sz="0" w:space="0" w:color="auto"/>
            <w:left w:val="none" w:sz="0" w:space="0" w:color="auto"/>
            <w:bottom w:val="none" w:sz="0" w:space="0" w:color="auto"/>
            <w:right w:val="none" w:sz="0" w:space="0" w:color="auto"/>
          </w:divBdr>
        </w:div>
        <w:div w:id="1558929070">
          <w:marLeft w:val="0"/>
          <w:marRight w:val="0"/>
          <w:marTop w:val="0"/>
          <w:marBottom w:val="240"/>
          <w:divBdr>
            <w:top w:val="none" w:sz="0" w:space="0" w:color="auto"/>
            <w:left w:val="none" w:sz="0" w:space="0" w:color="auto"/>
            <w:bottom w:val="none" w:sz="0" w:space="0" w:color="auto"/>
            <w:right w:val="none" w:sz="0" w:space="0" w:color="auto"/>
          </w:divBdr>
        </w:div>
        <w:div w:id="1571501898">
          <w:marLeft w:val="0"/>
          <w:marRight w:val="0"/>
          <w:marTop w:val="0"/>
          <w:marBottom w:val="240"/>
          <w:divBdr>
            <w:top w:val="none" w:sz="0" w:space="0" w:color="auto"/>
            <w:left w:val="none" w:sz="0" w:space="0" w:color="auto"/>
            <w:bottom w:val="none" w:sz="0" w:space="0" w:color="auto"/>
            <w:right w:val="none" w:sz="0" w:space="0" w:color="auto"/>
          </w:divBdr>
        </w:div>
        <w:div w:id="1611936750">
          <w:marLeft w:val="0"/>
          <w:marRight w:val="0"/>
          <w:marTop w:val="0"/>
          <w:marBottom w:val="240"/>
          <w:divBdr>
            <w:top w:val="none" w:sz="0" w:space="0" w:color="auto"/>
            <w:left w:val="none" w:sz="0" w:space="0" w:color="auto"/>
            <w:bottom w:val="none" w:sz="0" w:space="0" w:color="auto"/>
            <w:right w:val="none" w:sz="0" w:space="0" w:color="auto"/>
          </w:divBdr>
        </w:div>
        <w:div w:id="1669595778">
          <w:marLeft w:val="0"/>
          <w:marRight w:val="0"/>
          <w:marTop w:val="0"/>
          <w:marBottom w:val="240"/>
          <w:divBdr>
            <w:top w:val="none" w:sz="0" w:space="0" w:color="auto"/>
            <w:left w:val="none" w:sz="0" w:space="0" w:color="auto"/>
            <w:bottom w:val="none" w:sz="0" w:space="0" w:color="auto"/>
            <w:right w:val="none" w:sz="0" w:space="0" w:color="auto"/>
          </w:divBdr>
        </w:div>
        <w:div w:id="1747611508">
          <w:marLeft w:val="0"/>
          <w:marRight w:val="0"/>
          <w:marTop w:val="0"/>
          <w:marBottom w:val="240"/>
          <w:divBdr>
            <w:top w:val="none" w:sz="0" w:space="0" w:color="auto"/>
            <w:left w:val="none" w:sz="0" w:space="0" w:color="auto"/>
            <w:bottom w:val="none" w:sz="0" w:space="0" w:color="auto"/>
            <w:right w:val="none" w:sz="0" w:space="0" w:color="auto"/>
          </w:divBdr>
        </w:div>
        <w:div w:id="1766684796">
          <w:marLeft w:val="0"/>
          <w:marRight w:val="0"/>
          <w:marTop w:val="0"/>
          <w:marBottom w:val="240"/>
          <w:divBdr>
            <w:top w:val="none" w:sz="0" w:space="0" w:color="auto"/>
            <w:left w:val="none" w:sz="0" w:space="0" w:color="auto"/>
            <w:bottom w:val="none" w:sz="0" w:space="0" w:color="auto"/>
            <w:right w:val="none" w:sz="0" w:space="0" w:color="auto"/>
          </w:divBdr>
        </w:div>
        <w:div w:id="2096169702">
          <w:marLeft w:val="0"/>
          <w:marRight w:val="0"/>
          <w:marTop w:val="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co/2025/1099/oj" TargetMode="External"/><Relationship Id="rId1" Type="http://schemas.openxmlformats.org/officeDocument/2006/relationships/hyperlink" Target="http://data.europa.eu/eli/reg/2014/65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ED4153-C06A-43A9-BC9B-650A540457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2</TotalTime>
  <Pages>7</Pages>
  <Words>2323</Words>
  <Characters>13247</Characters>
  <Application>Microsoft Office Word</Application>
  <DocSecurity>0</DocSecurity>
  <Lines>110</Lines>
  <Paragraphs>31</Paragraphs>
  <ScaleCrop>false</ScaleCrop>
  <Manager/>
  <Company/>
  <LinksUpToDate>false</LinksUpToDate>
  <CharactersWithSpaces>15539</CharactersWithSpaces>
  <SharedDoc>false</SharedDoc>
  <HLinks>
    <vt:vector size="18" baseType="variant">
      <vt:variant>
        <vt:i4>1114154</vt:i4>
      </vt:variant>
      <vt:variant>
        <vt:i4>0</vt:i4>
      </vt:variant>
      <vt:variant>
        <vt:i4>0</vt:i4>
      </vt:variant>
      <vt:variant>
        <vt:i4>5</vt:i4>
      </vt:variant>
      <vt:variant>
        <vt:lpwstr>https://eur-lex.europa.eu/eli/reco/2025/1099/oj/eng</vt:lpwstr>
      </vt:variant>
      <vt:variant>
        <vt:lpwstr>ntr1-L_202501099EN.000601-E0001</vt:lpwstr>
      </vt:variant>
      <vt:variant>
        <vt:i4>2359333</vt:i4>
      </vt:variant>
      <vt:variant>
        <vt:i4>3</vt:i4>
      </vt:variant>
      <vt:variant>
        <vt:i4>0</vt:i4>
      </vt:variant>
      <vt:variant>
        <vt:i4>5</vt:i4>
      </vt:variant>
      <vt:variant>
        <vt:lpwstr>http://data.europa.eu/eli/reco/2025/1099/oj</vt:lpwstr>
      </vt:variant>
      <vt:variant>
        <vt:lpwstr/>
      </vt:variant>
      <vt:variant>
        <vt:i4>4259866</vt:i4>
      </vt:variant>
      <vt:variant>
        <vt:i4>0</vt:i4>
      </vt:variant>
      <vt:variant>
        <vt:i4>0</vt:i4>
      </vt:variant>
      <vt:variant>
        <vt:i4>5</vt:i4>
      </vt:variant>
      <vt:variant>
        <vt:lpwstr>http://data.europa.eu/eli/reg/2014/651/oj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8</cp:revision>
  <dcterms:created xsi:type="dcterms:W3CDTF">2026-03-18T08:18:00Z</dcterms:created>
  <dcterms:modified xsi:type="dcterms:W3CDTF">2026-03-18T10:11:00Z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2026-03-17T11:52:41Z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5dfa83d3-3216-44ee-85e6-0a753c2129a5</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COM/ANNEX</vt:lpwstr>
  </property>
  <property fmtid="{D5CDD505-2E9C-101B-9397-08002B2CF9AE}" pid="12" name="Level of sensitivity">
    <vt:lpwstr>Standard treatment</vt:lpwstr>
  </property>
  <property fmtid="{D5CDD505-2E9C-101B-9397-08002B2CF9AE}" pid="13" name="First annex">
    <vt:lpwstr>1</vt:lpwstr>
  </property>
  <property fmtid="{D5CDD505-2E9C-101B-9397-08002B2CF9AE}" pid="14" name="Last annex">
    <vt:lpwstr>1</vt:lpwstr>
  </property>
  <property fmtid="{D5CDD505-2E9C-101B-9397-08002B2CF9AE}" pid="15" name="Unique annex">
    <vt:lpwstr>1</vt:lpwstr>
  </property>
  <property fmtid="{D5CDD505-2E9C-101B-9397-08002B2CF9AE}" pid="16" name="Part">
    <vt:lpwstr>1</vt:lpwstr>
  </property>
  <property fmtid="{D5CDD505-2E9C-101B-9397-08002B2CF9AE}" pid="17" name="Total parts">
    <vt:lpwstr>1</vt:lpwstr>
  </property>
  <property fmtid="{D5CDD505-2E9C-101B-9397-08002B2CF9AE}" pid="18" name="LWTemplateID">
    <vt:lpwstr>SG-068</vt:lpwstr>
  </property>
  <property fmtid="{D5CDD505-2E9C-101B-9397-08002B2CF9AE}" pid="19" name="DQCStatus">
    <vt:lpwstr>Yellow (DQC version 03)</vt:lpwstr>
  </property>
</Properties>
</file>