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E1AC0" w14:textId="047057C8" w:rsidR="00AD3F4F" w:rsidRPr="004B087B" w:rsidRDefault="00757A1C" w:rsidP="00757A1C">
      <w:pPr>
        <w:pStyle w:val="Pagedecouverture"/>
        <w:rPr>
          <w:noProof/>
        </w:rPr>
      </w:pPr>
      <w:bookmarkStart w:id="0" w:name="LW_BM_COVERPAGE"/>
      <w:r>
        <w:rPr>
          <w:noProof/>
        </w:rPr>
        <w:pict w14:anchorId="3AB00C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37EC58B-D653-4048-8695-E73423DC6B7A" style="width:455.25pt;height:313.5pt">
            <v:imagedata r:id="rId8" o:title=""/>
          </v:shape>
        </w:pict>
      </w:r>
    </w:p>
    <w:bookmarkEnd w:id="0"/>
    <w:p w14:paraId="33639842" w14:textId="77777777" w:rsidR="00AD3F4F" w:rsidRPr="004B087B" w:rsidRDefault="00AD3F4F" w:rsidP="00AD3F4F">
      <w:pPr>
        <w:rPr>
          <w:noProof/>
        </w:rPr>
        <w:sectPr w:rsidR="00AD3F4F" w:rsidRPr="004B087B" w:rsidSect="00757A1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2E51E3C" w14:textId="765FBCB1" w:rsidR="00EE5F2C" w:rsidRPr="004B087B" w:rsidRDefault="00EE5F2C" w:rsidP="00EE5F2C">
      <w:pPr>
        <w:pStyle w:val="Heading1"/>
        <w:numPr>
          <w:ilvl w:val="0"/>
          <w:numId w:val="3"/>
        </w:numPr>
        <w:tabs>
          <w:tab w:val="clear" w:pos="480"/>
          <w:tab w:val="num" w:pos="360"/>
        </w:tabs>
        <w:rPr>
          <w:noProof/>
        </w:rPr>
      </w:pPr>
      <w:bookmarkStart w:id="1" w:name="_Hlk144385650"/>
      <w:bookmarkStart w:id="2" w:name="_Hlk144473866"/>
      <w:bookmarkStart w:id="3" w:name="_Hlk144474043"/>
      <w:bookmarkStart w:id="4" w:name="_GoBack"/>
      <w:bookmarkEnd w:id="4"/>
      <w:r>
        <w:rPr>
          <w:noProof/>
        </w:rPr>
        <w:lastRenderedPageBreak/>
        <w:t>INTRODUCTION: L’INITIATIVE CITOYENNE EUROPÉENNE</w:t>
      </w:r>
    </w:p>
    <w:p w14:paraId="2F2384EE" w14:textId="4F5F7DA7" w:rsidR="00E8560A" w:rsidRPr="004B087B" w:rsidRDefault="00A961D0" w:rsidP="00EE5F2C">
      <w:pPr>
        <w:spacing w:line="240" w:lineRule="auto"/>
        <w:jc w:val="both"/>
        <w:rPr>
          <w:rFonts w:ascii="Times New Roman" w:hAnsi="Times New Roman" w:cs="Times New Roman"/>
          <w:noProof/>
          <w:sz w:val="24"/>
          <w:szCs w:val="24"/>
        </w:rPr>
      </w:pPr>
      <w:bookmarkStart w:id="5" w:name="_Hlk129776022"/>
      <w:r>
        <w:rPr>
          <w:rFonts w:ascii="Times New Roman" w:hAnsi="Times New Roman"/>
          <w:noProof/>
          <w:sz w:val="24"/>
        </w:rPr>
        <w:t>«My Voice, My Choice: pour un avortement sans danger et accessible»</w:t>
      </w:r>
      <w:r w:rsidR="00B308A3" w:rsidRPr="004B087B">
        <w:rPr>
          <w:rFonts w:ascii="Times New Roman" w:hAnsi="Times New Roman" w:cs="Times New Roman"/>
          <w:noProof/>
          <w:sz w:val="24"/>
          <w:szCs w:val="24"/>
          <w:vertAlign w:val="superscript"/>
        </w:rPr>
        <w:footnoteReference w:id="2"/>
      </w:r>
      <w:r>
        <w:rPr>
          <w:rFonts w:ascii="Times New Roman" w:hAnsi="Times New Roman"/>
          <w:noProof/>
          <w:sz w:val="24"/>
        </w:rPr>
        <w:t xml:space="preserve"> est la 12</w:t>
      </w:r>
      <w:r>
        <w:rPr>
          <w:rFonts w:ascii="Times New Roman" w:hAnsi="Times New Roman"/>
          <w:noProof/>
          <w:sz w:val="24"/>
          <w:vertAlign w:val="superscript"/>
        </w:rPr>
        <w:t>e</w:t>
      </w:r>
      <w:r>
        <w:rPr>
          <w:rFonts w:ascii="Times New Roman" w:hAnsi="Times New Roman"/>
          <w:noProof/>
          <w:sz w:val="24"/>
        </w:rPr>
        <w:t xml:space="preserve"> initiative citoyenne européenne (ICE) soumise à la Commission pour examen après avoir atteint les seuils</w:t>
      </w:r>
      <w:r w:rsidR="0041319B" w:rsidRPr="004B087B">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requis par le traité sur l’Union européenne et le règlement (UE) 2019/788</w:t>
      </w:r>
      <w:r w:rsidR="000668F6" w:rsidRPr="004B087B">
        <w:rPr>
          <w:rFonts w:ascii="Times New Roman" w:hAnsi="Times New Roman" w:cs="Times New Roman"/>
          <w:noProof/>
          <w:sz w:val="24"/>
          <w:szCs w:val="24"/>
          <w:vertAlign w:val="superscript"/>
        </w:rPr>
        <w:footnoteReference w:id="4"/>
      </w:r>
      <w:r>
        <w:rPr>
          <w:rFonts w:ascii="Times New Roman" w:hAnsi="Times New Roman"/>
          <w:noProof/>
          <w:sz w:val="24"/>
        </w:rPr>
        <w:t xml:space="preserve"> (ci-après le «règlement ICE»). Elle a été enregistrée le 10 avril 2024 et validée le 1</w:t>
      </w:r>
      <w:r>
        <w:rPr>
          <w:rFonts w:ascii="Times New Roman" w:hAnsi="Times New Roman"/>
          <w:noProof/>
          <w:sz w:val="24"/>
          <w:vertAlign w:val="superscript"/>
        </w:rPr>
        <w:t>er</w:t>
      </w:r>
      <w:r>
        <w:rPr>
          <w:rFonts w:ascii="Times New Roman" w:hAnsi="Times New Roman"/>
          <w:noProof/>
          <w:sz w:val="24"/>
        </w:rPr>
        <w:t> septembre 2025.</w:t>
      </w:r>
    </w:p>
    <w:p w14:paraId="40E3328C" w14:textId="1D6461B6" w:rsidR="00EE5F2C" w:rsidRPr="004B087B" w:rsidRDefault="00EE5F2C" w:rsidP="00EE5F2C">
      <w:pPr>
        <w:spacing w:line="240" w:lineRule="auto"/>
        <w:jc w:val="both"/>
        <w:rPr>
          <w:rFonts w:ascii="Times New Roman" w:hAnsi="Times New Roman" w:cs="Times New Roman"/>
          <w:noProof/>
          <w:sz w:val="24"/>
          <w:szCs w:val="24"/>
        </w:rPr>
      </w:pPr>
      <w:r>
        <w:rPr>
          <w:rFonts w:ascii="Times New Roman" w:hAnsi="Times New Roman"/>
          <w:noProof/>
          <w:sz w:val="24"/>
        </w:rPr>
        <w:t>Les organisateurs décrivent leurs objectifs comme suit: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EE5F2C" w:rsidRPr="004B087B" w14:paraId="1633E5E9" w14:textId="77777777" w:rsidTr="00896CCD">
        <w:trPr>
          <w:trHeight w:val="416"/>
        </w:trPr>
        <w:tc>
          <w:tcPr>
            <w:tcW w:w="9356" w:type="dxa"/>
          </w:tcPr>
          <w:p w14:paraId="2C4543FE" w14:textId="19FF6CA3" w:rsidR="00CF5C60" w:rsidRPr="004B087B" w:rsidRDefault="00CF5C60" w:rsidP="00CF5C60">
            <w:pPr>
              <w:spacing w:after="0" w:line="240" w:lineRule="auto"/>
              <w:jc w:val="both"/>
              <w:rPr>
                <w:rFonts w:ascii="Times New Roman" w:hAnsi="Times New Roman" w:cs="Times New Roman"/>
                <w:i/>
                <w:iCs/>
                <w:noProof/>
                <w:sz w:val="24"/>
                <w:szCs w:val="24"/>
              </w:rPr>
            </w:pPr>
            <w:r>
              <w:rPr>
                <w:rFonts w:ascii="Times New Roman" w:hAnsi="Times New Roman"/>
                <w:i/>
                <w:noProof/>
                <w:sz w:val="24"/>
              </w:rPr>
              <w:t>La campagne «My Voice, My Choice» offre aux citoyens européens la possibilité de rendre la vie des femmes plus facile, plus sûre et meilleure, où qu’elles vivent dans l’Union et quelles que soient les conditions dans lesquelles elles se trouvent.</w:t>
            </w:r>
          </w:p>
          <w:p w14:paraId="5D291A86" w14:textId="77777777" w:rsidR="00CF5C60" w:rsidRPr="004B087B" w:rsidRDefault="00CF5C60" w:rsidP="00CF5C60">
            <w:pPr>
              <w:spacing w:after="0" w:line="240" w:lineRule="auto"/>
              <w:jc w:val="both"/>
              <w:rPr>
                <w:rFonts w:ascii="Times New Roman" w:hAnsi="Times New Roman" w:cs="Times New Roman"/>
                <w:i/>
                <w:iCs/>
                <w:noProof/>
                <w:sz w:val="24"/>
                <w:szCs w:val="24"/>
              </w:rPr>
            </w:pPr>
          </w:p>
          <w:p w14:paraId="784E2A08" w14:textId="557D92E2" w:rsidR="00CF5C60" w:rsidRPr="004B087B" w:rsidRDefault="00CF5C60" w:rsidP="00CF5C60">
            <w:pPr>
              <w:spacing w:after="0" w:line="240" w:lineRule="auto"/>
              <w:jc w:val="both"/>
              <w:rPr>
                <w:rFonts w:ascii="Times New Roman" w:hAnsi="Times New Roman" w:cs="Times New Roman"/>
                <w:i/>
                <w:noProof/>
                <w:sz w:val="24"/>
                <w:szCs w:val="24"/>
              </w:rPr>
            </w:pPr>
            <w:r>
              <w:rPr>
                <w:rFonts w:ascii="Times New Roman" w:hAnsi="Times New Roman"/>
                <w:i/>
                <w:noProof/>
                <w:sz w:val="24"/>
              </w:rPr>
              <w:t>Le manque d’accès à l’avortement dans de nombreuses parties de l’Europe expose non seulement les femmes à un risque de préjudice physique mais exerce également sur elles et sur leur famille une pression économique et psychologique indue, souvent au sein de communautés marginalisées qui peuvent le moins se le permettre.</w:t>
            </w:r>
          </w:p>
          <w:p w14:paraId="3FCDFE5D" w14:textId="77777777" w:rsidR="00CF5C60" w:rsidRPr="004B087B" w:rsidRDefault="00CF5C60" w:rsidP="00CF5C60">
            <w:pPr>
              <w:spacing w:after="0" w:line="240" w:lineRule="auto"/>
              <w:jc w:val="both"/>
              <w:rPr>
                <w:rFonts w:ascii="Times New Roman" w:hAnsi="Times New Roman" w:cs="Times New Roman"/>
                <w:i/>
                <w:iCs/>
                <w:noProof/>
                <w:sz w:val="24"/>
                <w:szCs w:val="24"/>
              </w:rPr>
            </w:pPr>
          </w:p>
          <w:p w14:paraId="6B094EC3" w14:textId="0856B1E0" w:rsidR="00135997" w:rsidRPr="004B087B" w:rsidRDefault="006439B3" w:rsidP="003E3183">
            <w:pPr>
              <w:rPr>
                <w:rFonts w:ascii="Times New Roman" w:hAnsi="Times New Roman" w:cs="Times New Roman"/>
                <w:i/>
                <w:iCs/>
                <w:noProof/>
                <w:sz w:val="24"/>
                <w:szCs w:val="24"/>
              </w:rPr>
            </w:pPr>
            <w:r>
              <w:rPr>
                <w:rFonts w:ascii="Times New Roman" w:hAnsi="Times New Roman"/>
                <w:i/>
                <w:noProof/>
                <w:sz w:val="24"/>
              </w:rPr>
              <w:t>Il existe un large consensus au sein des organismes scientifiques et internationaux, selon lequel le fait de considérer les soins de santé génésique comme un luxe ne réduit pas le nombre d’avortement mais pousse simplement les femmes à se tourner vers des avortements dangereux. D’innombrables vies et moyens de subsistance sont détruits, perturbés ou perdus en raison du manque d’accès à un avortement sans danger. Il faut que cela cesse. Grâce à cette initiative citoyenne européenne, nous allons mettre en place une politique plus juste qui illustre nos valeurs européennes de manière plus constructive et concrète.</w:t>
            </w:r>
          </w:p>
          <w:p w14:paraId="69AF6F0A" w14:textId="5F1F915D" w:rsidR="00CF5C60" w:rsidRPr="004B087B" w:rsidRDefault="00CF5C60" w:rsidP="00CF5C60">
            <w:pPr>
              <w:spacing w:after="0" w:line="240" w:lineRule="auto"/>
              <w:jc w:val="both"/>
              <w:rPr>
                <w:rFonts w:ascii="Times New Roman" w:hAnsi="Times New Roman" w:cs="Times New Roman"/>
                <w:i/>
                <w:noProof/>
                <w:sz w:val="24"/>
                <w:szCs w:val="24"/>
              </w:rPr>
            </w:pPr>
          </w:p>
          <w:p w14:paraId="0A43AF79" w14:textId="74B84B07" w:rsidR="00CF5C60" w:rsidRPr="004B087B" w:rsidRDefault="00CF5C60" w:rsidP="00CF5C60">
            <w:pPr>
              <w:spacing w:after="0" w:line="240" w:lineRule="auto"/>
              <w:jc w:val="both"/>
              <w:rPr>
                <w:rFonts w:ascii="Times New Roman" w:hAnsi="Times New Roman" w:cs="Times New Roman"/>
                <w:i/>
                <w:noProof/>
                <w:sz w:val="24"/>
                <w:szCs w:val="24"/>
              </w:rPr>
            </w:pPr>
            <w:r>
              <w:rPr>
                <w:rFonts w:ascii="Times New Roman" w:hAnsi="Times New Roman"/>
                <w:i/>
                <w:noProof/>
                <w:sz w:val="24"/>
              </w:rPr>
              <w:t>Pour remédier à cette situation, nous invitons la Commission européenne à présenter, dans un esprit de solidarité, une proposition de soutien financier aux États membres qui seraient en mesure de réaliser des interruptions de grossesse pour toute personne en Europe qui n’aurait toujours pas accès à un avortement sans danger et légal.</w:t>
            </w:r>
          </w:p>
          <w:p w14:paraId="1567EFD0" w14:textId="1ADD3A79" w:rsidR="00CF5C60" w:rsidRPr="004B087B" w:rsidRDefault="00CF5C60" w:rsidP="00973505">
            <w:pPr>
              <w:tabs>
                <w:tab w:val="left" w:pos="2900"/>
              </w:tabs>
              <w:spacing w:after="0" w:line="240" w:lineRule="auto"/>
              <w:jc w:val="both"/>
              <w:rPr>
                <w:rFonts w:ascii="Times New Roman" w:hAnsi="Times New Roman" w:cs="Times New Roman"/>
                <w:i/>
                <w:iCs/>
                <w:noProof/>
                <w:sz w:val="24"/>
                <w:szCs w:val="24"/>
              </w:rPr>
            </w:pPr>
          </w:p>
          <w:p w14:paraId="587EDEBD" w14:textId="5D234A06" w:rsidR="00EE5F2C" w:rsidRPr="004B087B" w:rsidRDefault="00973505" w:rsidP="00135997">
            <w:pPr>
              <w:spacing w:after="0" w:line="240" w:lineRule="auto"/>
              <w:jc w:val="both"/>
              <w:rPr>
                <w:rFonts w:ascii="Times New Roman" w:hAnsi="Times New Roman" w:cs="Times New Roman"/>
                <w:noProof/>
                <w:sz w:val="24"/>
                <w:szCs w:val="24"/>
              </w:rPr>
            </w:pPr>
            <w:r>
              <w:rPr>
                <w:rFonts w:ascii="Times New Roman" w:hAnsi="Times New Roman"/>
                <w:i/>
                <w:noProof/>
                <w:sz w:val="24"/>
              </w:rPr>
              <w:t>Cette solution pourrait prendre la forme d’un mécanisme de participation volontaire ouvert aux États membres («opt-in»). Ceux qui décideraient d’y participer bénéficieraient alors d’un soutien financier de l’UE pour compenser la charge de cet effort de solidarité.</w:t>
            </w:r>
          </w:p>
        </w:tc>
      </w:tr>
    </w:tbl>
    <w:p w14:paraId="6007C8AD" w14:textId="77777777" w:rsidR="00EE5F2C" w:rsidRPr="004B087B" w:rsidRDefault="00EE5F2C" w:rsidP="00EE5F2C">
      <w:pPr>
        <w:spacing w:after="0" w:line="240" w:lineRule="auto"/>
        <w:jc w:val="both"/>
        <w:rPr>
          <w:rFonts w:ascii="Times New Roman" w:hAnsi="Times New Roman" w:cs="Times New Roman"/>
          <w:noProof/>
          <w:sz w:val="24"/>
          <w:szCs w:val="24"/>
        </w:rPr>
      </w:pPr>
    </w:p>
    <w:p w14:paraId="64E2DB00" w14:textId="77777777" w:rsidR="00432F54" w:rsidRPr="004B087B" w:rsidRDefault="00432F54" w:rsidP="00C11B8E">
      <w:pPr>
        <w:spacing w:after="0" w:line="240" w:lineRule="auto"/>
        <w:jc w:val="both"/>
        <w:rPr>
          <w:rFonts w:ascii="Times New Roman" w:hAnsi="Times New Roman" w:cs="Times New Roman"/>
          <w:noProof/>
          <w:sz w:val="24"/>
          <w:szCs w:val="24"/>
        </w:rPr>
      </w:pPr>
    </w:p>
    <w:p w14:paraId="7DAD9299" w14:textId="3715FE67" w:rsidR="00432F54" w:rsidRPr="004B087B" w:rsidRDefault="339E7EB3" w:rsidP="0A1510B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Faisant suite à la demande des organisateurs du </w:t>
      </w:r>
      <w:r>
        <w:rPr>
          <w:rFonts w:ascii="Times New Roman" w:hAnsi="Times New Roman"/>
          <w:noProof/>
          <w:color w:val="333333"/>
          <w:sz w:val="24"/>
        </w:rPr>
        <w:t>23 février 2024</w:t>
      </w:r>
      <w:r>
        <w:rPr>
          <w:rFonts w:ascii="Times New Roman" w:hAnsi="Times New Roman"/>
          <w:noProof/>
          <w:sz w:val="24"/>
        </w:rPr>
        <w:t>, la Commission a enregistré l’initiative le 10 avril 2024</w:t>
      </w:r>
      <w:r w:rsidR="00516C6D" w:rsidRPr="004B087B">
        <w:rPr>
          <w:rFonts w:ascii="Times New Roman" w:hAnsi="Times New Roman" w:cs="Times New Roman"/>
          <w:noProof/>
          <w:sz w:val="24"/>
          <w:szCs w:val="24"/>
          <w:vertAlign w:val="superscript"/>
        </w:rPr>
        <w:footnoteReference w:id="5"/>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Dans sa décision relative à la demande d’enregistrement, la Commission a clairement indiqué ce qui suit: «le soutien financier aux efforts nationaux en faveur de la santé pourrait relever de la compétence de soutien de l’Union en vertu de l’article 168, paragraphe 5, du TFUE. Toutefois, un tel soutien devrait respecter les limites de l’article 168, paragraphe 7, du TFUE, dans la mesure où l’action de l’Union doit respecter les responsabilités des États membres en ce qui concerne la définition de leur politique en matière de santé ainsi qu’en ce qui concerne l’organisation et la fourniture de services de santé et de soins médicaux, qui incluent la gestion de services de santé et de soins médicaux, ainsi que l’allocation des ressources qui leur sont affectées. Un mécanisme de soutien financier ne saurait avoir pour objet ou pour effet de porter atteinte à la législation des États membres en matière d’ordre public ou, plus généralement, aux choix en matière de soins de santé et d’éthique effectués par les États membres dans l’exercice de leur compétence en matière de santé.»</w:t>
      </w:r>
    </w:p>
    <w:p w14:paraId="06DDF949" w14:textId="77777777" w:rsidR="00432F54" w:rsidRPr="004B087B" w:rsidRDefault="00432F54" w:rsidP="00432F54">
      <w:pPr>
        <w:spacing w:after="0" w:line="240" w:lineRule="auto"/>
        <w:jc w:val="both"/>
        <w:rPr>
          <w:rFonts w:ascii="Times New Roman" w:hAnsi="Times New Roman" w:cs="Times New Roman"/>
          <w:noProof/>
          <w:sz w:val="24"/>
          <w:szCs w:val="24"/>
        </w:rPr>
      </w:pPr>
    </w:p>
    <w:p w14:paraId="66667946" w14:textId="0ECF2053" w:rsidR="007C5F67" w:rsidRPr="004B087B" w:rsidRDefault="00432F54" w:rsidP="00432F54">
      <w:pPr>
        <w:spacing w:after="0" w:line="240" w:lineRule="auto"/>
        <w:jc w:val="both"/>
        <w:rPr>
          <w:rFonts w:ascii="Times New Roman" w:hAnsi="Times New Roman" w:cs="Times New Roman"/>
          <w:noProof/>
          <w:sz w:val="24"/>
          <w:szCs w:val="24"/>
        </w:rPr>
      </w:pPr>
      <w:r>
        <w:rPr>
          <w:rFonts w:ascii="Times New Roman" w:hAnsi="Times New Roman"/>
          <w:noProof/>
          <w:sz w:val="24"/>
        </w:rPr>
        <w:t>Les organisateurs ont recueilli les «déclarations de soutien» requises (signatures) entre le 24 avril 2024 et le 24 avril 2025. Le 1</w:t>
      </w:r>
      <w:r>
        <w:rPr>
          <w:rFonts w:ascii="Times New Roman" w:hAnsi="Times New Roman"/>
          <w:noProof/>
          <w:sz w:val="24"/>
          <w:vertAlign w:val="superscript"/>
        </w:rPr>
        <w:t>er</w:t>
      </w:r>
      <w:r>
        <w:rPr>
          <w:rFonts w:ascii="Times New Roman" w:hAnsi="Times New Roman"/>
          <w:noProof/>
          <w:sz w:val="24"/>
        </w:rPr>
        <w:t> septembre 2025, après que les autorités des États membres ont vérifié les déclarations de soutien, les organisateurs ont présenté l’initiative à la Commission. Le même jour, la Commission a publié l’avis confirmant la validité de l’initiative dans le registre ICE.</w:t>
      </w:r>
    </w:p>
    <w:p w14:paraId="03E218EA" w14:textId="77777777" w:rsidR="007C5F67" w:rsidRPr="004B087B" w:rsidRDefault="007C5F67" w:rsidP="00432F54">
      <w:pPr>
        <w:spacing w:after="0" w:line="240" w:lineRule="auto"/>
        <w:jc w:val="both"/>
        <w:rPr>
          <w:rFonts w:ascii="Times New Roman" w:hAnsi="Times New Roman" w:cs="Times New Roman"/>
          <w:noProof/>
          <w:sz w:val="24"/>
          <w:szCs w:val="24"/>
        </w:rPr>
      </w:pPr>
    </w:p>
    <w:p w14:paraId="43A5793F" w14:textId="0688A400" w:rsidR="005564C1" w:rsidRDefault="00432F54" w:rsidP="005564C1">
      <w:pPr>
        <w:spacing w:after="0" w:line="240" w:lineRule="auto"/>
        <w:jc w:val="both"/>
        <w:rPr>
          <w:rFonts w:ascii="Times New Roman" w:hAnsi="Times New Roman" w:cs="Times New Roman"/>
          <w:noProof/>
          <w:sz w:val="24"/>
          <w:szCs w:val="24"/>
        </w:rPr>
      </w:pPr>
      <w:r>
        <w:rPr>
          <w:rFonts w:ascii="Times New Roman" w:hAnsi="Times New Roman"/>
          <w:noProof/>
          <w:sz w:val="24"/>
        </w:rPr>
        <w:t>Les organisateurs ont fixé les objectifs de l’initiative lors d’une réunion avec la Commission, le 1</w:t>
      </w:r>
      <w:r>
        <w:rPr>
          <w:rFonts w:ascii="Times New Roman" w:hAnsi="Times New Roman"/>
          <w:noProof/>
          <w:sz w:val="24"/>
          <w:vertAlign w:val="superscript"/>
        </w:rPr>
        <w:t>er</w:t>
      </w:r>
      <w:r>
        <w:rPr>
          <w:rFonts w:ascii="Times New Roman" w:hAnsi="Times New Roman"/>
          <w:noProof/>
          <w:sz w:val="24"/>
        </w:rPr>
        <w:t> octobre 2025, et au cours d’une audition publique organisée par le Parlement européen, le 2 décembre 2025. En outre, le 16 décembre 2025, le Parlement a tenu un débat en plénière sur l’initiative «My Voice, My Choice» puis a adopté, le 17 décembre, une résolution en faveur de cette initiative</w:t>
      </w:r>
      <w:r w:rsidR="004617C7" w:rsidRPr="004B087B">
        <w:rPr>
          <w:rStyle w:val="FootnoteReference"/>
          <w:rFonts w:ascii="Times New Roman" w:hAnsi="Times New Roman" w:cs="Times New Roman"/>
          <w:noProof/>
          <w:sz w:val="24"/>
          <w:szCs w:val="24"/>
          <w:lang w:val="en-GB"/>
        </w:rPr>
        <w:footnoteReference w:id="6"/>
      </w:r>
      <w:r>
        <w:rPr>
          <w:rFonts w:ascii="Times New Roman" w:hAnsi="Times New Roman"/>
          <w:noProof/>
          <w:sz w:val="24"/>
        </w:rPr>
        <w:t>. D’autre part, le 21 janvier 2026, le Comité économique et social européen a adopté un avis d’initiative à l’appui de l’initiative «My Voice, My Choice»</w:t>
      </w:r>
      <w:r w:rsidR="00351E1C" w:rsidRPr="004B087B">
        <w:rPr>
          <w:rStyle w:val="FootnoteReference"/>
          <w:rFonts w:ascii="Times New Roman" w:hAnsi="Times New Roman" w:cs="Times New Roman"/>
          <w:noProof/>
          <w:sz w:val="24"/>
          <w:szCs w:val="24"/>
          <w:lang w:val="en-GB"/>
        </w:rPr>
        <w:footnoteReference w:id="7"/>
      </w:r>
      <w:r>
        <w:rPr>
          <w:rFonts w:ascii="Times New Roman" w:hAnsi="Times New Roman"/>
          <w:noProof/>
          <w:sz w:val="24"/>
        </w:rPr>
        <w:t>.</w:t>
      </w:r>
    </w:p>
    <w:p w14:paraId="546344E5" w14:textId="77777777" w:rsidR="00F660C2" w:rsidRDefault="00F660C2" w:rsidP="005564C1">
      <w:pPr>
        <w:spacing w:after="0" w:line="240" w:lineRule="auto"/>
        <w:jc w:val="both"/>
        <w:rPr>
          <w:rFonts w:ascii="Times New Roman" w:hAnsi="Times New Roman" w:cs="Times New Roman"/>
          <w:noProof/>
          <w:sz w:val="24"/>
          <w:szCs w:val="24"/>
        </w:rPr>
      </w:pPr>
    </w:p>
    <w:p w14:paraId="3B6374DB" w14:textId="6E63AE6B" w:rsidR="00F660C2" w:rsidRPr="009C0987" w:rsidRDefault="00F660C2" w:rsidP="009C0987">
      <w:pPr>
        <w:jc w:val="both"/>
        <w:rPr>
          <w:rFonts w:ascii="Times New Roman" w:hAnsi="Times New Roman" w:cs="Times New Roman"/>
          <w:noProof/>
        </w:rPr>
      </w:pPr>
      <w:r>
        <w:rPr>
          <w:rFonts w:ascii="Times New Roman" w:hAnsi="Times New Roman"/>
          <w:noProof/>
          <w:sz w:val="24"/>
        </w:rPr>
        <w:t>La Commission est déterminée à appliquer le principe consistant à assurer le meilleur état de santé possible pour les femmes et à poursuivre l’objectif visant à «protéger la santé des femmes en soutenant et en complétant, dans le plein respect de traités, l’action des États membres en ce qui concerne l’accès des femmes à la santé et aux droits sexuels et génésiques».</w:t>
      </w:r>
    </w:p>
    <w:p w14:paraId="5D0E0795" w14:textId="3E2935FC" w:rsidR="00432F54" w:rsidRPr="004B087B" w:rsidRDefault="00432F54" w:rsidP="00432F54">
      <w:pPr>
        <w:spacing w:after="0" w:line="240" w:lineRule="auto"/>
        <w:jc w:val="both"/>
        <w:rPr>
          <w:rFonts w:ascii="Times New Roman" w:hAnsi="Times New Roman" w:cs="Times New Roman"/>
          <w:noProof/>
          <w:sz w:val="24"/>
          <w:szCs w:val="24"/>
        </w:rPr>
      </w:pPr>
    </w:p>
    <w:p w14:paraId="576ACA82" w14:textId="460C0080" w:rsidR="00432F54" w:rsidRPr="004B087B" w:rsidRDefault="00432F54" w:rsidP="00432F54">
      <w:pPr>
        <w:spacing w:line="240" w:lineRule="auto"/>
        <w:jc w:val="both"/>
        <w:rPr>
          <w:rFonts w:ascii="Times New Roman" w:hAnsi="Times New Roman" w:cs="Times New Roman"/>
          <w:noProof/>
          <w:sz w:val="24"/>
          <w:szCs w:val="24"/>
        </w:rPr>
      </w:pPr>
      <w:r>
        <w:rPr>
          <w:rFonts w:ascii="Times New Roman" w:hAnsi="Times New Roman"/>
          <w:noProof/>
          <w:sz w:val="24"/>
        </w:rPr>
        <w:t>La présente communication expose les conclusions juridiques et politiques de la Commission sur l’initiative, l’action que la Commission compte entreprendre ainsi que les raisons qui motivent cette décision, conformément à l’article 15, paragraphe 2, du règlement ICE.</w:t>
      </w:r>
    </w:p>
    <w:p w14:paraId="33ABDB07" w14:textId="77777777" w:rsidR="004750C8" w:rsidRPr="004B087B" w:rsidRDefault="004750C8" w:rsidP="00432F54">
      <w:pPr>
        <w:spacing w:line="240" w:lineRule="auto"/>
        <w:jc w:val="both"/>
        <w:rPr>
          <w:rFonts w:ascii="Times New Roman" w:hAnsi="Times New Roman" w:cs="Times New Roman"/>
          <w:noProof/>
          <w:sz w:val="24"/>
          <w:szCs w:val="24"/>
        </w:rPr>
      </w:pPr>
    </w:p>
    <w:bookmarkEnd w:id="5"/>
    <w:p w14:paraId="5468FEC0" w14:textId="77777777" w:rsidR="00EE5F2C" w:rsidRPr="004B087B" w:rsidRDefault="00EE5F2C" w:rsidP="00EE5F2C">
      <w:pPr>
        <w:pStyle w:val="Heading1"/>
        <w:numPr>
          <w:ilvl w:val="0"/>
          <w:numId w:val="3"/>
        </w:numPr>
        <w:tabs>
          <w:tab w:val="clear" w:pos="480"/>
          <w:tab w:val="num" w:pos="360"/>
        </w:tabs>
        <w:rPr>
          <w:noProof/>
        </w:rPr>
      </w:pPr>
      <w:r>
        <w:rPr>
          <w:noProof/>
        </w:rPr>
        <w:t>CONTEXTE</w:t>
      </w:r>
    </w:p>
    <w:p w14:paraId="3E2E6874" w14:textId="00A5431A" w:rsidR="005D0232" w:rsidRPr="004B087B" w:rsidRDefault="005D0232" w:rsidP="005D0232">
      <w:pPr>
        <w:pStyle w:val="Heading2"/>
        <w:tabs>
          <w:tab w:val="num" w:pos="284"/>
          <w:tab w:val="num" w:pos="993"/>
        </w:tabs>
        <w:ind w:left="284" w:hanging="11"/>
        <w:rPr>
          <w:noProof/>
        </w:rPr>
      </w:pPr>
      <w:r>
        <w:rPr>
          <w:noProof/>
        </w:rPr>
        <w:t>Contexte international</w:t>
      </w:r>
    </w:p>
    <w:p w14:paraId="78994B20" w14:textId="651A63C6" w:rsidR="00D65CD5" w:rsidRPr="004B087B" w:rsidRDefault="00D65CD5" w:rsidP="00D65CD5">
      <w:pPr>
        <w:tabs>
          <w:tab w:val="num" w:pos="284"/>
          <w:tab w:val="num" w:pos="993"/>
        </w:tabs>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déclaration et le programme d’action de Beijing</w:t>
      </w:r>
      <w:r>
        <w:rPr>
          <w:rFonts w:ascii="Times New Roman" w:hAnsi="Times New Roman"/>
          <w:noProof/>
          <w:sz w:val="24"/>
        </w:rPr>
        <w:t xml:space="preserve"> soulignent la nécessité de traiter les </w:t>
      </w:r>
      <w:r>
        <w:rPr>
          <w:rFonts w:ascii="Times New Roman" w:hAnsi="Times New Roman"/>
          <w:b/>
          <w:noProof/>
          <w:sz w:val="24"/>
        </w:rPr>
        <w:t>avortements pratiqués dans de mauvaises conditions</w:t>
      </w:r>
      <w:r>
        <w:rPr>
          <w:rFonts w:ascii="Times New Roman" w:hAnsi="Times New Roman"/>
          <w:noProof/>
          <w:sz w:val="24"/>
        </w:rPr>
        <w:t xml:space="preserve"> comme un problème majeur de santé publique, qui touche en particulier </w:t>
      </w:r>
      <w:r>
        <w:rPr>
          <w:rFonts w:ascii="Times New Roman" w:hAnsi="Times New Roman"/>
          <w:b/>
          <w:noProof/>
          <w:sz w:val="24"/>
        </w:rPr>
        <w:t>les femmes les plus pauvres et les plus jeunes</w:t>
      </w:r>
      <w:r w:rsidRPr="004B087B">
        <w:rPr>
          <w:rStyle w:val="FootnoteReference"/>
          <w:rFonts w:ascii="Times New Roman" w:eastAsia="Times New Roman" w:hAnsi="Times New Roman" w:cs="Times New Roman"/>
          <w:noProof/>
          <w:sz w:val="24"/>
          <w:szCs w:val="24"/>
          <w:lang w:val="en-GB"/>
        </w:rPr>
        <w:footnoteReference w:id="8"/>
      </w:r>
      <w:r>
        <w:rPr>
          <w:rFonts w:ascii="Times New Roman" w:hAnsi="Times New Roman"/>
          <w:noProof/>
          <w:sz w:val="24"/>
        </w:rPr>
        <w:t>.</w:t>
      </w:r>
    </w:p>
    <w:p w14:paraId="44CF86E6" w14:textId="032C431D" w:rsidR="00D65CD5" w:rsidRPr="004B087B" w:rsidRDefault="00715077" w:rsidP="00D65CD5">
      <w:pPr>
        <w:tabs>
          <w:tab w:val="num" w:pos="284"/>
          <w:tab w:val="num" w:pos="993"/>
        </w:tabs>
        <w:jc w:val="both"/>
        <w:rPr>
          <w:rFonts w:ascii="Times New Roman" w:eastAsia="Times New Roman" w:hAnsi="Times New Roman" w:cs="Times New Roman"/>
          <w:noProof/>
          <w:sz w:val="24"/>
          <w:szCs w:val="24"/>
        </w:rPr>
      </w:pPr>
      <w:r>
        <w:rPr>
          <w:rFonts w:ascii="Times New Roman" w:hAnsi="Times New Roman"/>
          <w:noProof/>
          <w:sz w:val="24"/>
        </w:rPr>
        <w:t>Parmi les 17 </w:t>
      </w:r>
      <w:r>
        <w:rPr>
          <w:rFonts w:ascii="Times New Roman" w:hAnsi="Times New Roman"/>
          <w:b/>
          <w:noProof/>
          <w:sz w:val="24"/>
        </w:rPr>
        <w:t>objectifs de développement durable des Nations unies (ODD) à atteindre d’ici à 2030</w:t>
      </w:r>
      <w:r>
        <w:rPr>
          <w:rFonts w:ascii="Times New Roman" w:hAnsi="Times New Roman"/>
          <w:noProof/>
          <w:sz w:val="24"/>
        </w:rPr>
        <w:t xml:space="preserve"> figure la </w:t>
      </w:r>
      <w:r>
        <w:rPr>
          <w:rFonts w:ascii="Times New Roman" w:hAnsi="Times New Roman"/>
          <w:b/>
          <w:noProof/>
          <w:sz w:val="24"/>
        </w:rPr>
        <w:t>cible 3.7</w:t>
      </w:r>
      <w:r>
        <w:rPr>
          <w:rFonts w:ascii="Times New Roman" w:hAnsi="Times New Roman"/>
          <w:noProof/>
          <w:sz w:val="24"/>
        </w:rPr>
        <w:t>, qui vise à garantir l’accès universel aux services de soins de santé en matière de sexualité et de procréation</w:t>
      </w:r>
      <w:r w:rsidR="00D65CD5" w:rsidRPr="004B087B">
        <w:rPr>
          <w:rStyle w:val="FootnoteReference"/>
          <w:rFonts w:ascii="Times New Roman" w:eastAsia="Times New Roman" w:hAnsi="Times New Roman" w:cs="Times New Roman"/>
          <w:noProof/>
          <w:sz w:val="24"/>
          <w:szCs w:val="24"/>
          <w:lang w:val="en-GB"/>
        </w:rPr>
        <w:footnoteReference w:id="9"/>
      </w:r>
      <w:r>
        <w:rPr>
          <w:rFonts w:ascii="Times New Roman" w:hAnsi="Times New Roman"/>
          <w:noProof/>
          <w:sz w:val="24"/>
        </w:rPr>
        <w:t>.</w:t>
      </w:r>
    </w:p>
    <w:p w14:paraId="0804E305" w14:textId="496FBD99" w:rsidR="00D65CD5" w:rsidRPr="004B087B" w:rsidRDefault="00E067EB" w:rsidP="004E1449">
      <w:pPr>
        <w:tabs>
          <w:tab w:val="num" w:pos="284"/>
          <w:tab w:val="num" w:pos="993"/>
        </w:tabs>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convention des Nations unies sur l’élimination de toutes les formes de discrimination à l’égard des femmes</w:t>
      </w:r>
      <w:r>
        <w:rPr>
          <w:rFonts w:ascii="Times New Roman" w:hAnsi="Times New Roman"/>
          <w:noProof/>
          <w:sz w:val="24"/>
        </w:rPr>
        <w:t xml:space="preserve"> (CEDEF), à laquelle tous les États membres sont parties, oblige tous les États parties à prendre «toutes les mesures appropriées pour éliminer la discrimination à l’égard des femmes dans le domaine des soins de santé en vue de leur assurer, sur la base de l’égalité de l’homme et de la femme, les moyens d’accéder aux services médicaux, y compris ceux qui concernent la planification de la famille» (article 12)</w:t>
      </w:r>
      <w:r w:rsidR="00136CA4" w:rsidRPr="004B087B">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5857C5F1" w14:textId="14360623" w:rsidR="00D65CD5" w:rsidRPr="004B087B" w:rsidRDefault="007A55E9" w:rsidP="00D65CD5">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convention des Nations unies relative aux droits des personnes handicapées</w:t>
      </w:r>
      <w:r>
        <w:rPr>
          <w:rFonts w:ascii="Times New Roman" w:hAnsi="Times New Roman"/>
          <w:noProof/>
          <w:sz w:val="24"/>
        </w:rPr>
        <w:t xml:space="preserve"> (CNUDPH), à laquelle tous les États membres et l’Union sont parties, souligne le droit des personnes handicapées à jouir du meilleur état de santé possible sans discrimination, ce qui comprend l’accès à des services de santé qui prennent en compte les sexospécifités. Les personnes handicapées devraient avoir accès à des services de santé gratuits ou d’un coût abordable couvrant la même gamme et de la même qualité que ceux offerts aux autres personnes, y compris des services de santé sexuelle et génésique</w:t>
      </w:r>
      <w:r w:rsidR="00D65CD5" w:rsidRPr="004B087B">
        <w:rPr>
          <w:rStyle w:val="FootnoteReference"/>
          <w:rFonts w:ascii="Times New Roman" w:hAnsi="Times New Roman" w:cs="Times New Roman"/>
          <w:noProof/>
          <w:sz w:val="24"/>
          <w:szCs w:val="24"/>
          <w:lang w:val="en-GB"/>
        </w:rPr>
        <w:footnoteReference w:id="11"/>
      </w:r>
      <w:r>
        <w:rPr>
          <w:rFonts w:ascii="Times New Roman" w:hAnsi="Times New Roman"/>
          <w:noProof/>
          <w:sz w:val="24"/>
        </w:rPr>
        <w:t>.</w:t>
      </w:r>
    </w:p>
    <w:p w14:paraId="140C4434" w14:textId="0123D30C" w:rsidR="00D65CD5" w:rsidRPr="004B087B" w:rsidRDefault="00F70479" w:rsidP="00C2022E">
      <w:pPr>
        <w:jc w:val="both"/>
        <w:rPr>
          <w:rFonts w:ascii="Times New Roman" w:hAnsi="Times New Roman" w:cs="Times New Roman"/>
          <w:b/>
          <w:bCs/>
          <w:noProof/>
          <w:sz w:val="24"/>
          <w:szCs w:val="24"/>
        </w:rPr>
      </w:pPr>
      <w:r>
        <w:rPr>
          <w:rFonts w:ascii="Times New Roman" w:hAnsi="Times New Roman"/>
          <w:noProof/>
          <w:sz w:val="24"/>
        </w:rPr>
        <w:t>Les «lignes directrices sur les soins liés à l’avortement»</w:t>
      </w:r>
      <w:r w:rsidR="00675F46" w:rsidRPr="004B087B">
        <w:rPr>
          <w:rStyle w:val="FootnoteReference"/>
          <w:rFonts w:ascii="Times New Roman" w:hAnsi="Times New Roman" w:cs="Times New Roman"/>
          <w:noProof/>
          <w:sz w:val="24"/>
          <w:szCs w:val="24"/>
          <w:lang w:val="en-GB"/>
        </w:rPr>
        <w:footnoteReference w:id="12"/>
      </w:r>
      <w:r>
        <w:rPr>
          <w:rFonts w:ascii="Times New Roman" w:hAnsi="Times New Roman"/>
          <w:noProof/>
          <w:sz w:val="24"/>
        </w:rPr>
        <w:t xml:space="preserve"> publiées par l’</w:t>
      </w:r>
      <w:r>
        <w:rPr>
          <w:rFonts w:ascii="Times New Roman" w:hAnsi="Times New Roman"/>
          <w:b/>
          <w:noProof/>
          <w:sz w:val="24"/>
        </w:rPr>
        <w:t>Organisation mondiale de la santé</w:t>
      </w:r>
      <w:r>
        <w:rPr>
          <w:rFonts w:ascii="Times New Roman" w:hAnsi="Times New Roman"/>
          <w:noProof/>
          <w:sz w:val="24"/>
        </w:rPr>
        <w:t xml:space="preserve"> (OMS) visent à fournir un cadre de recommandations et de meilleures pratiques complet et fondé sur des données probantes. Elles soulignent que, pour être de qualité, ces soins doivent être «efficaces, efficients, accessibles, acceptables/centrés sur le patient, équitables et sûrs»</w:t>
      </w:r>
      <w:r w:rsidR="007F57C7" w:rsidRPr="004B087B">
        <w:rPr>
          <w:rStyle w:val="FootnoteReference"/>
          <w:rFonts w:ascii="Times New Roman" w:hAnsi="Times New Roman" w:cs="Times New Roman"/>
          <w:noProof/>
          <w:sz w:val="24"/>
          <w:szCs w:val="24"/>
          <w:lang w:val="en-GB"/>
        </w:rPr>
        <w:footnoteReference w:id="13"/>
      </w:r>
      <w:r>
        <w:rPr>
          <w:rFonts w:ascii="Times New Roman" w:hAnsi="Times New Roman"/>
          <w:noProof/>
          <w:sz w:val="24"/>
        </w:rPr>
        <w:t>. L’accessibilité désigne des soins administrés en temps utile, d’un coût abordable, accessibles géographiquement et fournis dans un cadre où les compétences et les ressources sont adaptées aux besoins médicaux</w:t>
      </w:r>
      <w:r w:rsidR="00D65CD5" w:rsidRPr="004B087B">
        <w:rPr>
          <w:rStyle w:val="FootnoteReference"/>
          <w:rFonts w:ascii="Times New Roman" w:hAnsi="Times New Roman" w:cs="Times New Roman"/>
          <w:noProof/>
          <w:sz w:val="24"/>
          <w:szCs w:val="24"/>
          <w:lang w:val="en-GB"/>
        </w:rPr>
        <w:footnoteReference w:id="14"/>
      </w:r>
      <w:r>
        <w:rPr>
          <w:rFonts w:ascii="Times New Roman" w:hAnsi="Times New Roman"/>
          <w:noProof/>
          <w:sz w:val="24"/>
        </w:rPr>
        <w:t>.</w:t>
      </w:r>
    </w:p>
    <w:p w14:paraId="14FFE5C6" w14:textId="36BC84B1" w:rsidR="00466157" w:rsidRPr="004B087B" w:rsidRDefault="0016584E" w:rsidP="00177045">
      <w:pPr>
        <w:pStyle w:val="Heading2"/>
        <w:tabs>
          <w:tab w:val="num" w:pos="284"/>
          <w:tab w:val="num" w:pos="993"/>
        </w:tabs>
        <w:ind w:left="284" w:hanging="11"/>
        <w:rPr>
          <w:noProof/>
        </w:rPr>
      </w:pPr>
      <w:bookmarkStart w:id="7" w:name="_Hlk218876385"/>
      <w:r>
        <w:rPr>
          <w:noProof/>
        </w:rPr>
        <w:t>Cadre juridique de l’Union</w:t>
      </w:r>
      <w:bookmarkEnd w:id="7"/>
      <w:r>
        <w:rPr>
          <w:noProof/>
        </w:rPr>
        <w:t xml:space="preserve"> et cadre d’action</w:t>
      </w:r>
    </w:p>
    <w:p w14:paraId="6740A0C2" w14:textId="765C8976" w:rsidR="003D1044" w:rsidRPr="004B087B" w:rsidRDefault="003D1044" w:rsidP="000B3153">
      <w:pPr>
        <w:jc w:val="both"/>
        <w:rPr>
          <w:rFonts w:ascii="Times New Roman" w:hAnsi="Times New Roman" w:cs="Times New Roman"/>
          <w:i/>
          <w:iCs/>
          <w:noProof/>
          <w:sz w:val="24"/>
          <w:szCs w:val="24"/>
          <w:u w:val="single"/>
        </w:rPr>
      </w:pPr>
      <w:r>
        <w:rPr>
          <w:rFonts w:ascii="Times New Roman" w:hAnsi="Times New Roman"/>
          <w:i/>
          <w:noProof/>
          <w:sz w:val="24"/>
          <w:u w:val="single"/>
        </w:rPr>
        <w:t>Cadre juridique</w:t>
      </w:r>
    </w:p>
    <w:p w14:paraId="2FF28671" w14:textId="7246CBE1" w:rsidR="000B3153" w:rsidRPr="004B087B" w:rsidRDefault="000B3153" w:rsidP="000B3153">
      <w:pPr>
        <w:jc w:val="both"/>
        <w:rPr>
          <w:rFonts w:ascii="Times New Roman" w:hAnsi="Times New Roman" w:cs="Times New Roman"/>
          <w:noProof/>
          <w:sz w:val="24"/>
          <w:szCs w:val="24"/>
        </w:rPr>
      </w:pPr>
      <w:r>
        <w:rPr>
          <w:rFonts w:ascii="Times New Roman" w:hAnsi="Times New Roman"/>
          <w:noProof/>
          <w:sz w:val="24"/>
        </w:rPr>
        <w:t>L’obligation d’assurer un niveau élevé de protection de la santé humaine lors de la définition et de la mise en œuvre de toutes les politiques et actions de l’Union est mentionnée aux articles 9 et 168 du TFUE. L’article 168 définit les compétences de l’Union dans le domaine de la santé publique. Son paragraphe 5, en particulier, confère à l’Union le pouvoir d’adopter des mesures d’encouragement visant à protéger et à améliorer la santé humaine. Toutefois, toute mesure de soutien doit respecter les limitations prévues à l’article 168, paragraphe 7, du TFUE: L’action de l’Union doit être menée dans le respect des responsabilités des États membres en ce qui concerne la définition de leur propre politique de santé ainsi que l’organisation et la fourniture de services de santé et de soins médicaux. Ces responsabilités incluent la gestion des services de santé et des soins médicaux, ainsi que l’allocation des ressources qui leur sont affectées.</w:t>
      </w:r>
    </w:p>
    <w:p w14:paraId="1BBA123C" w14:textId="59201918" w:rsidR="006D050B" w:rsidRPr="004B087B" w:rsidRDefault="009F3CA4" w:rsidP="000B3153">
      <w:pPr>
        <w:jc w:val="both"/>
        <w:rPr>
          <w:rFonts w:ascii="Times New Roman" w:hAnsi="Times New Roman" w:cs="Times New Roman"/>
          <w:noProof/>
          <w:sz w:val="24"/>
          <w:szCs w:val="24"/>
        </w:rPr>
      </w:pPr>
      <w:r>
        <w:rPr>
          <w:rFonts w:ascii="Times New Roman" w:hAnsi="Times New Roman"/>
          <w:noProof/>
          <w:sz w:val="24"/>
        </w:rPr>
        <w:t>Dans ce contexte, il y a lieu de noter que la décision d’un État membre de légaliser ou non l’avortement, ainsi que les conditions d’une telle légalisation, relèvent pleinement de la liberté de l’État membre d’organiser ses soins de santé et, partant, des domaines inclus dans les responsabilités États membres conformément à l’article 168, paragraphe 7, du TFUE. Une action de l’UE qui aurait une incidence sur la décision d’un État membre d’autoriser ou non l’avortement, ainsi que sur les conditions dans lesquelles l’avortement serait autorisé, est dès lors exclue. La compétence dont dispose l’Union en vertu de l’article 168, paragraphe 5, du TFUE, pour apporter un soutien financier aux services de soins de santé, englobe les services de soins de santé en matière de sexualité et de procréation qui sont autorisés dans un État membre, y compris les services liés à l’avortement légal. Toutefois, ce soutien financier doit également respecter la répartition des compétences prévue à l’article 168, paragraphe 7, du TFUE. Par conséquent, ce soutien ne devrait pas avoir pour objectif ou pour conséquence d’aboutir à une situation dans laquelle le financement de l’Union compromettrait directement ou indirectement les choix réglementaires et/ou bioéthiques d’un État membre en ce qui concerne l’avortement.</w:t>
      </w:r>
    </w:p>
    <w:p w14:paraId="4DA98657" w14:textId="4F7CCECB" w:rsidR="004D1CB8" w:rsidRPr="004B087B" w:rsidRDefault="009D3392" w:rsidP="000B3153">
      <w:pPr>
        <w:jc w:val="both"/>
        <w:rPr>
          <w:rFonts w:ascii="Times New Roman" w:hAnsi="Times New Roman" w:cs="Times New Roman"/>
          <w:noProof/>
          <w:sz w:val="24"/>
          <w:szCs w:val="24"/>
        </w:rPr>
      </w:pPr>
      <w:r>
        <w:rPr>
          <w:rFonts w:ascii="Times New Roman" w:hAnsi="Times New Roman"/>
          <w:noProof/>
          <w:sz w:val="24"/>
        </w:rPr>
        <w:t>L’article 153 du TFUE habilite l’Union à soutenir et à compléter l’action des États membres dans divers domaines de la politique sociale, tels que la sécurité sociale et l’intégration des groupes marginalisés. Les articles 174 et 175 du TFUE engagent l’Union à promouvoir la cohésion économique, sociale et territoriale.</w:t>
      </w:r>
    </w:p>
    <w:p w14:paraId="0B0E44FA" w14:textId="6A7EAE7B" w:rsidR="00C109A4" w:rsidRPr="004B087B" w:rsidRDefault="004D1CB8" w:rsidP="000B3153">
      <w:pPr>
        <w:jc w:val="both"/>
        <w:rPr>
          <w:rFonts w:ascii="Times New Roman" w:hAnsi="Times New Roman" w:cs="Times New Roman"/>
          <w:noProof/>
          <w:sz w:val="24"/>
          <w:szCs w:val="24"/>
        </w:rPr>
      </w:pPr>
      <w:r>
        <w:rPr>
          <w:rFonts w:ascii="Times New Roman" w:hAnsi="Times New Roman"/>
          <w:noProof/>
          <w:sz w:val="24"/>
        </w:rPr>
        <w:t xml:space="preserve">La Cour de justice de l’Union européenne (CJUE) a jugé que les dispositions du TFUE relatives à la </w:t>
      </w:r>
      <w:r>
        <w:rPr>
          <w:rFonts w:ascii="Times New Roman" w:hAnsi="Times New Roman"/>
          <w:b/>
          <w:noProof/>
          <w:sz w:val="24"/>
        </w:rPr>
        <w:t>libre prestation des services incluaient la liberté pour les bénéficiaires de soins de santé de se rendre dans un autre État membre pour y obtenir ces soins</w:t>
      </w:r>
      <w:r>
        <w:rPr>
          <w:rFonts w:ascii="Times New Roman" w:hAnsi="Times New Roman"/>
          <w:noProof/>
          <w:sz w:val="24"/>
        </w:rPr>
        <w:t>, y compris les personnes qui ont besoin de recevoir un traitement médical</w:t>
      </w:r>
      <w:r w:rsidRPr="004B087B">
        <w:rPr>
          <w:rStyle w:val="FootnoteReference"/>
          <w:rFonts w:ascii="Times New Roman" w:hAnsi="Times New Roman" w:cs="Times New Roman"/>
          <w:noProof/>
          <w:sz w:val="24"/>
          <w:szCs w:val="24"/>
          <w:lang w:val="en-GB"/>
        </w:rPr>
        <w:footnoteReference w:id="15"/>
      </w:r>
      <w:r>
        <w:rPr>
          <w:rFonts w:ascii="Times New Roman" w:hAnsi="Times New Roman"/>
          <w:noProof/>
          <w:sz w:val="24"/>
        </w:rPr>
        <w:t>.</w:t>
      </w:r>
    </w:p>
    <w:p w14:paraId="061C7386" w14:textId="739B51E1" w:rsidR="000B3153" w:rsidRPr="004B087B" w:rsidRDefault="001B25CC" w:rsidP="000B3153">
      <w:pPr>
        <w:jc w:val="both"/>
        <w:rPr>
          <w:rFonts w:ascii="Times New Roman" w:hAnsi="Times New Roman" w:cs="Times New Roman"/>
          <w:noProof/>
          <w:sz w:val="24"/>
          <w:szCs w:val="24"/>
        </w:rPr>
      </w:pPr>
      <w:r>
        <w:rPr>
          <w:rFonts w:ascii="Times New Roman" w:hAnsi="Times New Roman"/>
          <w:noProof/>
          <w:sz w:val="24"/>
        </w:rPr>
        <w:t>En ce qui concerne l’</w:t>
      </w:r>
      <w:r>
        <w:rPr>
          <w:rFonts w:ascii="Times New Roman" w:hAnsi="Times New Roman"/>
          <w:b/>
          <w:noProof/>
          <w:sz w:val="24"/>
        </w:rPr>
        <w:t>interruption médicale de grossesse</w:t>
      </w:r>
      <w:r>
        <w:rPr>
          <w:rFonts w:ascii="Times New Roman" w:hAnsi="Times New Roman"/>
          <w:noProof/>
          <w:sz w:val="24"/>
        </w:rPr>
        <w:t xml:space="preserve">, réalisée conformément au droit de l’État où elle a eu lieu, la CJUE a jugé qu’elle </w:t>
      </w:r>
      <w:r>
        <w:rPr>
          <w:rFonts w:ascii="Times New Roman" w:hAnsi="Times New Roman"/>
          <w:b/>
          <w:noProof/>
          <w:sz w:val="24"/>
        </w:rPr>
        <w:t>«est un service au sens de l’article 60 du traité CEE»</w:t>
      </w:r>
      <w:r>
        <w:rPr>
          <w:rFonts w:ascii="Times New Roman" w:hAnsi="Times New Roman"/>
          <w:noProof/>
          <w:sz w:val="24"/>
        </w:rPr>
        <w:t xml:space="preserve"> (désormais l’article 57 du TFUE)</w:t>
      </w:r>
      <w:r w:rsidR="000B3153" w:rsidRPr="004B087B">
        <w:rPr>
          <w:rStyle w:val="FootnoteReference"/>
          <w:rFonts w:ascii="Times New Roman" w:hAnsi="Times New Roman" w:cs="Times New Roman"/>
          <w:noProof/>
          <w:sz w:val="24"/>
          <w:szCs w:val="24"/>
          <w:lang w:val="en-GB"/>
        </w:rPr>
        <w:footnoteReference w:id="16"/>
      </w:r>
      <w:r>
        <w:rPr>
          <w:rFonts w:ascii="Times New Roman" w:hAnsi="Times New Roman"/>
          <w:noProof/>
          <w:sz w:val="24"/>
        </w:rPr>
        <w:t xml:space="preserve">. Cela signifie que les femmes qui se rendent dans un autre État membre pour y recevoir des soins liés à l’avortement exercent leur </w:t>
      </w:r>
      <w:r>
        <w:rPr>
          <w:rFonts w:ascii="Times New Roman" w:hAnsi="Times New Roman"/>
          <w:b/>
          <w:noProof/>
          <w:sz w:val="24"/>
        </w:rPr>
        <w:t>liberté de bénéficier de services en vertu du TFUE</w:t>
      </w:r>
      <w:r>
        <w:rPr>
          <w:rFonts w:ascii="Times New Roman" w:hAnsi="Times New Roman"/>
          <w:noProof/>
          <w:sz w:val="24"/>
        </w:rPr>
        <w:t>.</w:t>
      </w:r>
    </w:p>
    <w:p w14:paraId="6C8B9236" w14:textId="4A3DF5D9" w:rsidR="00AC1F72" w:rsidRPr="004B087B" w:rsidRDefault="00AC1F72" w:rsidP="00AC1F72">
      <w:pPr>
        <w:jc w:val="both"/>
        <w:rPr>
          <w:rFonts w:ascii="Times New Roman" w:hAnsi="Times New Roman" w:cs="Times New Roman"/>
          <w:noProof/>
          <w:sz w:val="24"/>
          <w:szCs w:val="24"/>
        </w:rPr>
      </w:pPr>
      <w:r>
        <w:rPr>
          <w:rFonts w:ascii="Times New Roman" w:hAnsi="Times New Roman"/>
          <w:noProof/>
          <w:sz w:val="24"/>
        </w:rPr>
        <w:t xml:space="preserve">L’article 35 de la </w:t>
      </w:r>
      <w:r>
        <w:rPr>
          <w:rFonts w:ascii="Times New Roman" w:hAnsi="Times New Roman"/>
          <w:b/>
          <w:noProof/>
          <w:sz w:val="24"/>
        </w:rPr>
        <w:t>charte des droits fondamentaux</w:t>
      </w:r>
      <w:r>
        <w:rPr>
          <w:rFonts w:ascii="Times New Roman" w:hAnsi="Times New Roman"/>
          <w:noProof/>
          <w:sz w:val="24"/>
        </w:rPr>
        <w:t xml:space="preserve"> dispose, entre autres, que toute personne a le droit de bénéficier de soins médicaux dans les conditions établies par les législations et pratiques nationales et qu’un </w:t>
      </w:r>
      <w:r>
        <w:rPr>
          <w:rFonts w:ascii="Times New Roman" w:hAnsi="Times New Roman"/>
          <w:b/>
          <w:noProof/>
          <w:sz w:val="24"/>
        </w:rPr>
        <w:t>niveau élevé de protection de la santé humaine</w:t>
      </w:r>
      <w:r>
        <w:rPr>
          <w:rFonts w:ascii="Times New Roman" w:hAnsi="Times New Roman"/>
          <w:noProof/>
          <w:sz w:val="24"/>
        </w:rPr>
        <w:t xml:space="preserve"> doit être assuré dans la définition et la mise en œuvre de toutes les politiques et actions de l’Union.</w:t>
      </w:r>
    </w:p>
    <w:p w14:paraId="79C5D159" w14:textId="0EA629C3" w:rsidR="00A5012A" w:rsidRPr="004B087B" w:rsidRDefault="00CF653B" w:rsidP="6286A574">
      <w:pPr>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règlement (UE) 2021/1057</w:t>
      </w:r>
      <w:r>
        <w:rPr>
          <w:rFonts w:ascii="Times New Roman" w:hAnsi="Times New Roman"/>
          <w:noProof/>
          <w:sz w:val="24"/>
        </w:rPr>
        <w:t xml:space="preserve"> institue le </w:t>
      </w:r>
      <w:r>
        <w:rPr>
          <w:rFonts w:ascii="Times New Roman" w:hAnsi="Times New Roman"/>
          <w:b/>
          <w:noProof/>
          <w:sz w:val="24"/>
        </w:rPr>
        <w:t>Fonds social européen plus (FSE+)</w:t>
      </w:r>
      <w:r w:rsidR="002F40A4" w:rsidRPr="004B087B">
        <w:rPr>
          <w:rStyle w:val="FootnoteReference"/>
          <w:rFonts w:ascii="Times New Roman" w:hAnsi="Times New Roman" w:cs="Times New Roman"/>
          <w:noProof/>
          <w:sz w:val="24"/>
          <w:szCs w:val="24"/>
          <w:lang w:val="en-GB"/>
        </w:rPr>
        <w:footnoteReference w:id="17"/>
      </w:r>
      <w:r>
        <w:rPr>
          <w:rFonts w:ascii="Times New Roman" w:hAnsi="Times New Roman"/>
          <w:noProof/>
          <w:sz w:val="24"/>
        </w:rPr>
        <w:t>, un instrument majeur de l’Union qui vise, entre autres, à améliorer la cohésion économique et sociale entre les États membres. Son objectif général est d’aider les États membres et les régions à atteindre, entre autres, des niveaux d’emploi élevés, à assurer une protection sociale équitable et à créer des sociétés inclusives et cohésives visant à mettre en œuvre les principes énoncés dans le socle européen des droits sociaux</w:t>
      </w:r>
      <w:r w:rsidR="002C2F71" w:rsidRPr="004B087B">
        <w:rPr>
          <w:rStyle w:val="FootnoteReference"/>
          <w:rFonts w:ascii="Times New Roman" w:hAnsi="Times New Roman" w:cs="Times New Roman"/>
          <w:noProof/>
          <w:sz w:val="24"/>
          <w:szCs w:val="24"/>
          <w:lang w:val="en-GB"/>
        </w:rPr>
        <w:footnoteReference w:id="18"/>
      </w:r>
      <w:r>
        <w:rPr>
          <w:rFonts w:ascii="Times New Roman" w:hAnsi="Times New Roman"/>
          <w:noProof/>
          <w:sz w:val="24"/>
        </w:rPr>
        <w:t>. Il promeut l’inclusion sociale en luttant contre la discrimination et les inégalités. Il comprend des initiatives visant à promouvoir l’égalité d’accès en temps utile à des services abordables, durables et de qualité, y compris aux soins de santé.</w:t>
      </w:r>
    </w:p>
    <w:p w14:paraId="42874E13" w14:textId="762F64CE" w:rsidR="00F85444" w:rsidRPr="004B087B" w:rsidRDefault="00C07CF8" w:rsidP="00F85444">
      <w:pPr>
        <w:jc w:val="both"/>
        <w:rPr>
          <w:rFonts w:ascii="Times New Roman" w:hAnsi="Times New Roman" w:cs="Times New Roman"/>
          <w:b/>
          <w:bCs/>
          <w:noProof/>
          <w:sz w:val="24"/>
          <w:szCs w:val="24"/>
        </w:rPr>
      </w:pPr>
      <w:bookmarkStart w:id="8" w:name="_Hlk220085903"/>
      <w:r>
        <w:rPr>
          <w:rFonts w:ascii="Times New Roman" w:hAnsi="Times New Roman"/>
          <w:noProof/>
          <w:sz w:val="24"/>
        </w:rPr>
        <w:t>Le FSE+ «devrait également être utilisé pour améliorer l’égalité d’accès en temps utile à des services abordables, durables et de qualité promouvant [...] les soins centrés sur la personne tels que les soins de santé» (comme le mentionne le considérant 18 du règlement FSE+). En outre, «compte tenu de l’importance de l’accès aux soins de santé, le FSE+ devrait assurer des synergies et des complémentarités avec le programme “L’UE pour la santé”</w:t>
      </w:r>
      <w:r w:rsidR="00F85444" w:rsidRPr="004B087B">
        <w:rPr>
          <w:rStyle w:val="FootnoteReference"/>
          <w:rFonts w:ascii="Times New Roman" w:hAnsi="Times New Roman" w:cs="Times New Roman"/>
          <w:noProof/>
          <w:sz w:val="24"/>
          <w:szCs w:val="24"/>
          <w:lang w:val="en-GB"/>
        </w:rPr>
        <w:footnoteReference w:id="19"/>
      </w:r>
      <w:r>
        <w:rPr>
          <w:rFonts w:ascii="Times New Roman" w:hAnsi="Times New Roman"/>
          <w:noProof/>
          <w:sz w:val="24"/>
        </w:rPr>
        <w:t xml:space="preserve"> [...] et le champ d’application du FSE+ devrait inclure l’accès aux soins de santé pour les personnes en situation de vulnérabilité» (comme le mentionne le considérant 21 dudit règlement).</w:t>
      </w:r>
    </w:p>
    <w:p w14:paraId="3AB9ED98" w14:textId="33D10742" w:rsidR="00311111" w:rsidRPr="004B087B" w:rsidRDefault="003F1868" w:rsidP="00311111">
      <w:pPr>
        <w:jc w:val="both"/>
        <w:rPr>
          <w:rFonts w:ascii="Times New Roman" w:hAnsi="Times New Roman" w:cs="Times New Roman"/>
          <w:noProof/>
          <w:sz w:val="24"/>
          <w:szCs w:val="24"/>
        </w:rPr>
      </w:pPr>
      <w:r>
        <w:rPr>
          <w:rFonts w:ascii="Times New Roman" w:hAnsi="Times New Roman"/>
          <w:noProof/>
          <w:sz w:val="24"/>
        </w:rPr>
        <w:t xml:space="preserve">En conséquence, l’un des objectifs spécifiques du FSE+, énoncé à l’article 4, paragraphe 1, point k), est le suivant: «améliorer l’égalité d’accès en temps utile à des services abordables, durables et de qualité, notamment [...] </w:t>
      </w:r>
      <w:r>
        <w:rPr>
          <w:rFonts w:ascii="Times New Roman" w:hAnsi="Times New Roman"/>
          <w:b/>
          <w:noProof/>
          <w:sz w:val="24"/>
        </w:rPr>
        <w:t>à des soins centrés sur la personne, y compris aux soins de santé</w:t>
      </w:r>
      <w:r>
        <w:rPr>
          <w:rFonts w:ascii="Times New Roman" w:hAnsi="Times New Roman"/>
          <w:noProof/>
          <w:sz w:val="24"/>
        </w:rPr>
        <w:t xml:space="preserve">; moderniser les systèmes de protection sociale, y compris en promouvant l’accès à la protection sociale, un accent particulier étant mis sur les enfants et les groupes défavorisés; améliorer l’accessibilité, notamment pour les personnes handicapées, </w:t>
      </w:r>
      <w:r>
        <w:rPr>
          <w:rFonts w:ascii="Times New Roman" w:hAnsi="Times New Roman"/>
          <w:b/>
          <w:noProof/>
          <w:sz w:val="24"/>
        </w:rPr>
        <w:t>l’efficacité et la résilience des systèmes de soins de santé</w:t>
      </w:r>
      <w:r>
        <w:rPr>
          <w:rFonts w:ascii="Times New Roman" w:hAnsi="Times New Roman"/>
          <w:noProof/>
          <w:sz w:val="24"/>
        </w:rPr>
        <w:t xml:space="preserve"> et des services de soins de longue durée».</w:t>
      </w:r>
    </w:p>
    <w:bookmarkEnd w:id="8"/>
    <w:p w14:paraId="3CF4A8E5" w14:textId="5FA33A59" w:rsidR="00F1757B" w:rsidRPr="004B087B" w:rsidRDefault="00202056">
      <w:pPr>
        <w:jc w:val="both"/>
        <w:rPr>
          <w:rFonts w:ascii="Times New Roman" w:hAnsi="Times New Roman" w:cs="Times New Roman"/>
          <w:noProof/>
          <w:sz w:val="24"/>
          <w:szCs w:val="24"/>
        </w:rPr>
      </w:pPr>
      <w:r>
        <w:rPr>
          <w:rFonts w:ascii="Times New Roman" w:hAnsi="Times New Roman"/>
          <w:noProof/>
          <w:sz w:val="24"/>
        </w:rPr>
        <w:t>Par conséquent, le FSE+ peut soutenir des initiatives, sélectionnées au niveau national, qui visent à garantir et à améliorer l’égalité d’accès en temps utile aux services de soins de santé, ce qui peut inclure l’accès des personnes en situation de vulnérabilité. Ces efforts s’inscrivent dans le cadre d’une stratégie plus large destinée à renforcer la cohésion sociale et à améliorer la qualité de vie globale de toutes les personnes qui vivent dans l’UE.</w:t>
      </w:r>
    </w:p>
    <w:p w14:paraId="0675F351" w14:textId="2F44F113" w:rsidR="003F3D99" w:rsidRPr="004B087B" w:rsidRDefault="003F3D99" w:rsidP="000B3153">
      <w:pPr>
        <w:jc w:val="both"/>
        <w:rPr>
          <w:rFonts w:ascii="Times New Roman" w:hAnsi="Times New Roman" w:cs="Times New Roman"/>
          <w:i/>
          <w:iCs/>
          <w:noProof/>
          <w:sz w:val="24"/>
          <w:szCs w:val="24"/>
          <w:u w:val="single"/>
        </w:rPr>
      </w:pPr>
      <w:r>
        <w:rPr>
          <w:rFonts w:ascii="Times New Roman" w:hAnsi="Times New Roman"/>
          <w:i/>
          <w:noProof/>
          <w:sz w:val="24"/>
          <w:u w:val="single"/>
        </w:rPr>
        <w:t>Cadre d’action</w:t>
      </w:r>
    </w:p>
    <w:p w14:paraId="03E6CFBE" w14:textId="58188005" w:rsidR="0067055D" w:rsidRPr="004B087B" w:rsidRDefault="0067055D" w:rsidP="0067055D">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feuille de route de la Commission pour les droits des femmes</w:t>
      </w:r>
      <w:r>
        <w:rPr>
          <w:rFonts w:ascii="Times New Roman" w:hAnsi="Times New Roman"/>
          <w:noProof/>
          <w:sz w:val="24"/>
        </w:rPr>
        <w:t xml:space="preserve">, approuvée en octobre 2025 par tous les États membres et par d’autres institutions de l’UE, comprend, dans sa </w:t>
      </w:r>
      <w:r>
        <w:rPr>
          <w:rFonts w:ascii="Times New Roman" w:hAnsi="Times New Roman"/>
          <w:i/>
          <w:noProof/>
          <w:sz w:val="24"/>
        </w:rPr>
        <w:t>Déclaration de principes pour une société égalitaire du point de vue du genre</w:t>
      </w:r>
      <w:r>
        <w:rPr>
          <w:rFonts w:ascii="Times New Roman" w:hAnsi="Times New Roman"/>
          <w:noProof/>
          <w:sz w:val="24"/>
        </w:rPr>
        <w:t>, le principe 2: «le meilleur état de santé possible Chaque femme a droit au meilleur état de santé physique et mentale possible». La défense et la promotion de ce principe consistent notamment à poursuivre l’objectif de «protéger la santé des femmes en soutenant et en complétant, dans le plein respect de traités, l’action des États membres en ce qui concerne l’accès des femmes à la santé et aux droits sexuels et génésiques». La notion de santé en matière de sexualité et de procréation est généralement perçue comme comprenant un large éventail de services couvrant: i) la santé maternelle; ii) la planification familiale, y compris la contraception; iii) l’éducation à la vie relationnelle, affective et sexuelle; iv) la prévention des infections sexuellement transmissibles; v) le cancer de l’appareil reproducteur et le VIH; vi) des soins liés à l’avortement complets; et vii) les solutions liées à l’infertilité et à la fertilité</w:t>
      </w:r>
      <w:r w:rsidRPr="004B087B">
        <w:rPr>
          <w:rStyle w:val="FootnoteReference"/>
          <w:rFonts w:ascii="Times New Roman" w:hAnsi="Times New Roman" w:cs="Times New Roman"/>
          <w:noProof/>
          <w:sz w:val="24"/>
          <w:szCs w:val="24"/>
          <w:lang w:val="en-GB"/>
        </w:rPr>
        <w:footnoteReference w:id="20"/>
      </w:r>
      <w:r>
        <w:rPr>
          <w:rFonts w:ascii="Times New Roman" w:hAnsi="Times New Roman"/>
          <w:noProof/>
          <w:sz w:val="24"/>
        </w:rPr>
        <w:t>.</w:t>
      </w:r>
    </w:p>
    <w:p w14:paraId="4B2D5766" w14:textId="60F11923" w:rsidR="00295986" w:rsidRPr="004B087B" w:rsidRDefault="00295986" w:rsidP="00295986">
      <w:pPr>
        <w:jc w:val="both"/>
        <w:rPr>
          <w:rFonts w:ascii="Times New Roman" w:hAnsi="Times New Roman" w:cs="Times New Roman"/>
          <w:noProof/>
          <w:sz w:val="24"/>
          <w:szCs w:val="24"/>
        </w:rPr>
      </w:pPr>
      <w:r>
        <w:rPr>
          <w:rFonts w:ascii="Times New Roman" w:hAnsi="Times New Roman"/>
          <w:noProof/>
          <w:sz w:val="24"/>
        </w:rPr>
        <w:t xml:space="preserve">Le 16 décembre 2025, le </w:t>
      </w:r>
      <w:r>
        <w:rPr>
          <w:rFonts w:ascii="Times New Roman" w:hAnsi="Times New Roman"/>
          <w:b/>
          <w:noProof/>
          <w:sz w:val="24"/>
        </w:rPr>
        <w:t>Parlement européen</w:t>
      </w:r>
      <w:r>
        <w:rPr>
          <w:rFonts w:ascii="Times New Roman" w:hAnsi="Times New Roman"/>
          <w:noProof/>
          <w:sz w:val="24"/>
        </w:rPr>
        <w:t xml:space="preserve"> a tenu un débat sur l’initiative « My Voice, My Choice», au cours duquel la majorité des députés ont souligné l’importance de l’objectif de l’initiative consistant à protéger l’accès des femmes aux soins de santé. La </w:t>
      </w:r>
      <w:r>
        <w:rPr>
          <w:rFonts w:ascii="Times New Roman" w:hAnsi="Times New Roman"/>
          <w:b/>
          <w:noProof/>
          <w:sz w:val="24"/>
        </w:rPr>
        <w:t>résolution</w:t>
      </w:r>
      <w:r>
        <w:rPr>
          <w:rFonts w:ascii="Times New Roman" w:hAnsi="Times New Roman"/>
          <w:noProof/>
          <w:sz w:val="24"/>
        </w:rPr>
        <w:t xml:space="preserve"> y afférente souligne elle aussi que l’initiative vise à créer une Union plus sûre, qui fournisse le même niveau de soins de santé à tous</w:t>
      </w:r>
      <w:r w:rsidR="00E97C3E" w:rsidRPr="004B087B">
        <w:rPr>
          <w:rStyle w:val="FootnoteReference"/>
          <w:rFonts w:ascii="Times New Roman" w:hAnsi="Times New Roman" w:cs="Times New Roman"/>
          <w:noProof/>
          <w:sz w:val="24"/>
          <w:szCs w:val="24"/>
        </w:rPr>
        <w:footnoteReference w:id="21"/>
      </w:r>
      <w:r>
        <w:rPr>
          <w:rFonts w:ascii="Times New Roman" w:hAnsi="Times New Roman"/>
          <w:noProof/>
          <w:sz w:val="24"/>
        </w:rPr>
        <w:t>.</w:t>
      </w:r>
    </w:p>
    <w:p w14:paraId="37FBF6D0" w14:textId="4D162CDD" w:rsidR="005340E3" w:rsidRPr="004B087B" w:rsidRDefault="00DF52BF" w:rsidP="00F82BE9">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déclaration ministérielle conjointe sur la garantie de la santé et des droits en matière de sexualité et de procréation</w:t>
      </w:r>
      <w:r>
        <w:rPr>
          <w:rFonts w:ascii="Times New Roman" w:hAnsi="Times New Roman"/>
          <w:noProof/>
          <w:sz w:val="24"/>
        </w:rPr>
        <w:t>, adoptée sous la présidence espagnole le 28 septembre 2023, invite les institutions de l’UE et les États membres, selon leurs compétences respectives et compte tenu des circonstances nationales, à garantir l’accès à un avortement sans danger et légal et aux soins après avortement, en supprimant les obstacles audit accès. Elle les invite également à adopter des mesures spécifiques pour garantir le droit des femmes et des filles à accéder aux services de santé, pour assurer la fourniture de ces services par le système de santé publique à une distance géographique raisonnable et pour que la reconnaissance de la clause de conscience d’un membre du personnel médical n’entrave pas l’exercice de ces droits par les femmes et les filles. Au moment de l’adoption, la déclaration a été signée par 16 États membres</w:t>
      </w:r>
      <w:r w:rsidR="0082055B" w:rsidRPr="004B087B">
        <w:rPr>
          <w:rStyle w:val="FootnoteReference"/>
          <w:rFonts w:ascii="Times New Roman" w:hAnsi="Times New Roman" w:cs="Times New Roman"/>
          <w:noProof/>
          <w:sz w:val="24"/>
          <w:szCs w:val="24"/>
          <w:lang w:val="en-GB"/>
        </w:rPr>
        <w:footnoteReference w:id="22"/>
      </w:r>
      <w:r>
        <w:rPr>
          <w:rFonts w:ascii="Times New Roman" w:hAnsi="Times New Roman"/>
          <w:noProof/>
          <w:sz w:val="24"/>
        </w:rPr>
        <w:t>, mais tous les États membres qui le souhaitent peuvent encore la signer.</w:t>
      </w:r>
    </w:p>
    <w:bookmarkEnd w:id="1"/>
    <w:bookmarkEnd w:id="2"/>
    <w:bookmarkEnd w:id="3"/>
    <w:p w14:paraId="7D617A58" w14:textId="77777777" w:rsidR="009C0987" w:rsidRPr="004B087B" w:rsidRDefault="009C0987" w:rsidP="009C0987">
      <w:pPr>
        <w:pStyle w:val="Heading2"/>
        <w:rPr>
          <w:bCs/>
          <w:noProof/>
          <w:szCs w:val="24"/>
        </w:rPr>
      </w:pPr>
      <w:r>
        <w:rPr>
          <w:noProof/>
        </w:rPr>
        <w:t>Exposé du problème</w:t>
      </w:r>
    </w:p>
    <w:p w14:paraId="1F9F7E47" w14:textId="77777777" w:rsidR="009C0987" w:rsidRPr="004B087B" w:rsidRDefault="009C0987" w:rsidP="009C0987">
      <w:pPr>
        <w:spacing w:line="240" w:lineRule="auto"/>
        <w:jc w:val="both"/>
        <w:rPr>
          <w:rFonts w:ascii="Times New Roman" w:hAnsi="Times New Roman" w:cs="Times New Roman"/>
          <w:noProof/>
          <w:sz w:val="24"/>
          <w:szCs w:val="24"/>
        </w:rPr>
      </w:pPr>
      <w:r>
        <w:rPr>
          <w:rFonts w:ascii="Times New Roman" w:hAnsi="Times New Roman"/>
          <w:b/>
          <w:noProof/>
          <w:sz w:val="24"/>
        </w:rPr>
        <w:t>Les avortements non sécurisés sont une question de santé publique</w:t>
      </w:r>
      <w:r>
        <w:rPr>
          <w:rFonts w:ascii="Times New Roman" w:hAnsi="Times New Roman"/>
          <w:noProof/>
          <w:sz w:val="24"/>
        </w:rPr>
        <w:t xml:space="preserve">. Ils peuvent entraîner diverses formes de </w:t>
      </w:r>
      <w:r>
        <w:rPr>
          <w:rFonts w:ascii="Times New Roman" w:hAnsi="Times New Roman"/>
          <w:b/>
          <w:noProof/>
          <w:sz w:val="24"/>
        </w:rPr>
        <w:t>dommages physiques</w:t>
      </w:r>
      <w:r>
        <w:rPr>
          <w:rFonts w:ascii="Times New Roman" w:hAnsi="Times New Roman"/>
          <w:noProof/>
          <w:sz w:val="24"/>
        </w:rPr>
        <w:t xml:space="preserve"> (y compris la mort et l’infertilité) et une </w:t>
      </w:r>
      <w:r>
        <w:rPr>
          <w:rFonts w:ascii="Times New Roman" w:hAnsi="Times New Roman"/>
          <w:b/>
          <w:noProof/>
          <w:sz w:val="24"/>
        </w:rPr>
        <w:t>pression psychologique</w:t>
      </w:r>
      <w:r>
        <w:rPr>
          <w:rFonts w:ascii="Times New Roman" w:hAnsi="Times New Roman"/>
          <w:noProof/>
          <w:sz w:val="24"/>
        </w:rPr>
        <w:t xml:space="preserve"> grave.</w:t>
      </w:r>
    </w:p>
    <w:p w14:paraId="44BC2A75"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Selon l’OMS: </w:t>
      </w:r>
    </w:p>
    <w:p w14:paraId="01B59AFB" w14:textId="77777777" w:rsidR="009C0987" w:rsidRPr="004B087B" w:rsidRDefault="009C0987" w:rsidP="009C0987">
      <w:pPr>
        <w:jc w:val="both"/>
        <w:rPr>
          <w:rFonts w:ascii="Times New Roman" w:hAnsi="Times New Roman" w:cs="Times New Roman"/>
          <w:b/>
          <w:bCs/>
          <w:i/>
          <w:iCs/>
          <w:noProof/>
          <w:sz w:val="24"/>
          <w:szCs w:val="24"/>
        </w:rPr>
      </w:pPr>
      <w:r>
        <w:rPr>
          <w:rFonts w:ascii="Times New Roman" w:hAnsi="Times New Roman"/>
          <w:i/>
          <w:noProof/>
          <w:sz w:val="24"/>
        </w:rPr>
        <w:t>les estimations mondiales montrent que 45 % de l’ensemble des avortements ne sont pas sécurisés, et que parmi ceux-ci 14,4 % appartiennent à la catégorie des avortements les «moins sûrs»</w:t>
      </w:r>
      <w:r>
        <w:rPr>
          <w:rStyle w:val="FootnoteReference"/>
          <w:rFonts w:ascii="Times New Roman" w:hAnsi="Times New Roman" w:cs="Times New Roman"/>
          <w:noProof/>
          <w:sz w:val="24"/>
          <w:szCs w:val="24"/>
          <w:lang w:val="en-GB"/>
        </w:rPr>
        <w:footnoteReference w:id="23"/>
      </w:r>
      <w:r>
        <w:rPr>
          <w:rFonts w:ascii="Times New Roman" w:hAnsi="Times New Roman"/>
          <w:i/>
          <w:noProof/>
          <w:sz w:val="24"/>
        </w:rPr>
        <w:t xml:space="preserve">. Il s’agit là d’une </w:t>
      </w:r>
      <w:r>
        <w:rPr>
          <w:rFonts w:ascii="Times New Roman" w:hAnsi="Times New Roman"/>
          <w:b/>
          <w:i/>
          <w:noProof/>
          <w:sz w:val="24"/>
        </w:rPr>
        <w:t>question cruciale de santé publique</w:t>
      </w:r>
      <w:r>
        <w:rPr>
          <w:rFonts w:ascii="Times New Roman" w:hAnsi="Times New Roman"/>
          <w:i/>
          <w:noProof/>
          <w:sz w:val="24"/>
        </w:rPr>
        <w:t xml:space="preserve"> et de droits humains. </w:t>
      </w:r>
      <w:r>
        <w:rPr>
          <w:rFonts w:ascii="Times New Roman" w:hAnsi="Times New Roman"/>
          <w:b/>
          <w:i/>
          <w:noProof/>
          <w:sz w:val="24"/>
        </w:rPr>
        <w:t>Les avortements non sécurisés sont de plus en plus concentrés</w:t>
      </w:r>
      <w:r>
        <w:rPr>
          <w:rFonts w:ascii="Times New Roman" w:hAnsi="Times New Roman"/>
          <w:i/>
          <w:noProof/>
          <w:sz w:val="24"/>
        </w:rPr>
        <w:t xml:space="preserve"> dans les pays en développement et </w:t>
      </w:r>
      <w:r>
        <w:rPr>
          <w:rFonts w:ascii="Times New Roman" w:hAnsi="Times New Roman"/>
          <w:b/>
          <w:i/>
          <w:noProof/>
          <w:sz w:val="24"/>
        </w:rPr>
        <w:t>au sein des groupes vulnérables et marginalisés</w:t>
      </w:r>
      <w:r>
        <w:rPr>
          <w:rFonts w:ascii="Times New Roman" w:hAnsi="Times New Roman"/>
          <w:i/>
          <w:noProof/>
          <w:sz w:val="24"/>
        </w:rPr>
        <w:t>.</w:t>
      </w:r>
    </w:p>
    <w:p w14:paraId="2F0745CF" w14:textId="77777777" w:rsidR="009C0987" w:rsidRPr="004B087B" w:rsidRDefault="009C0987" w:rsidP="009C0987">
      <w:pPr>
        <w:jc w:val="both"/>
        <w:rPr>
          <w:rFonts w:ascii="Times New Roman" w:hAnsi="Times New Roman"/>
          <w:noProof/>
          <w:sz w:val="24"/>
        </w:rPr>
      </w:pPr>
      <w:r>
        <w:rPr>
          <w:rFonts w:ascii="Times New Roman" w:hAnsi="Times New Roman"/>
          <w:i/>
          <w:noProof/>
          <w:sz w:val="24"/>
        </w:rPr>
        <w:t xml:space="preserve">Dans les pays où l’avortement provoqué fait l’objet d’importantes restrictions légales ou est indisponible en raison d’autres obstacles, l’avortement sécurisé est souvent devenu le privilège des plus riches, </w:t>
      </w:r>
      <w:r>
        <w:rPr>
          <w:rFonts w:ascii="Times New Roman" w:hAnsi="Times New Roman"/>
          <w:b/>
          <w:i/>
          <w:noProof/>
          <w:sz w:val="24"/>
        </w:rPr>
        <w:t>tandis que les femmes pauvres n’ont quasiment d’autre choix que de recourir aux services de prestataires non qualifiés dans des milieux peu sûrs</w:t>
      </w:r>
      <w:r>
        <w:rPr>
          <w:rFonts w:ascii="Times New Roman" w:hAnsi="Times New Roman"/>
          <w:i/>
          <w:noProof/>
          <w:sz w:val="24"/>
        </w:rPr>
        <w:t xml:space="preserve">, ou d’induire elles-mêmes l’avortement en utilisant pour la plupart des méthodes à risque, </w:t>
      </w:r>
      <w:r>
        <w:rPr>
          <w:rFonts w:ascii="Times New Roman" w:hAnsi="Times New Roman"/>
          <w:b/>
          <w:i/>
          <w:noProof/>
          <w:sz w:val="24"/>
        </w:rPr>
        <w:t>ce qui entraîne des décès et des morbidités faisant peser une charge sociale et financière supplémentaire sur le système de santé publique</w:t>
      </w:r>
      <w:r>
        <w:rPr>
          <w:rFonts w:ascii="Times New Roman" w:hAnsi="Times New Roman"/>
          <w:i/>
          <w:noProof/>
          <w:sz w:val="24"/>
        </w:rPr>
        <w:t xml:space="preserve"> et contrevient aux droits fondamentaux des femmes. Le statut juridique de l’avortement ne fait aucune différence quant à la nécessité pour une femme d’avorter, mais il affecte considérablement son accès à un avortement sécurisé</w:t>
      </w:r>
      <w:r>
        <w:rPr>
          <w:rStyle w:val="FootnoteReference"/>
          <w:rFonts w:ascii="Times New Roman" w:hAnsi="Times New Roman"/>
          <w:noProof/>
          <w:sz w:val="24"/>
          <w:lang w:val="en-GB"/>
        </w:rPr>
        <w:footnoteReference w:id="24"/>
      </w:r>
      <w:r>
        <w:rPr>
          <w:rFonts w:ascii="Times New Roman" w:hAnsi="Times New Roman"/>
          <w:noProof/>
          <w:sz w:val="24"/>
        </w:rPr>
        <w:t>.</w:t>
      </w:r>
    </w:p>
    <w:p w14:paraId="450DD9A3"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Dans l’UE, l’accès aux soins liés à l’avortement varie considérablement d’un État membre à l’autre.</w:t>
      </w:r>
    </w:p>
    <w:p w14:paraId="3F631EFA"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Les organisateurs de l’ICE estiment que 20 millions de femmes dans l’Union n’ont toujours pas accès à un avortement sans danger, et que celles qui n’ont pas les moyens de voyager pour obtenir ce service de santé dans un autre État membre — «[les femmes] et leurs familles [...], souvent au sein de communautés marginalisées qui peuvent le moins se le permettre»</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 xml:space="preserve"> — ont recours à un avortement dangereux.</w:t>
      </w:r>
    </w:p>
    <w:p w14:paraId="58A831B6" w14:textId="77777777" w:rsidR="009C0987" w:rsidRPr="004B087B" w:rsidRDefault="009C0987" w:rsidP="009C0987">
      <w:pPr>
        <w:jc w:val="both"/>
        <w:rPr>
          <w:rFonts w:ascii="Times New Roman" w:hAnsi="Times New Roman" w:cs="Times New Roman"/>
          <w:noProof/>
          <w:sz w:val="24"/>
          <w:szCs w:val="24"/>
        </w:rPr>
      </w:pPr>
    </w:p>
    <w:p w14:paraId="47880B9A" w14:textId="77777777" w:rsidR="009C0987" w:rsidRPr="004B087B" w:rsidRDefault="009C0987" w:rsidP="009C0987">
      <w:pPr>
        <w:pStyle w:val="Heading1"/>
        <w:rPr>
          <w:noProof/>
        </w:rPr>
      </w:pPr>
      <w:r>
        <w:rPr>
          <w:noProof/>
        </w:rPr>
        <w:t>RÉPONSE À L’INITIATIVE CITOYENNE EUROPÉENNE</w:t>
      </w:r>
    </w:p>
    <w:p w14:paraId="4931EFC8"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L’ICE invite la Commission à «présenter [...] une proposition de soutien financier aux États membres qui seraient en mesure de réaliser des interruptions de grossesse </w:t>
      </w:r>
      <w:r>
        <w:rPr>
          <w:rFonts w:ascii="Times New Roman" w:hAnsi="Times New Roman"/>
          <w:b/>
          <w:noProof/>
          <w:sz w:val="24"/>
        </w:rPr>
        <w:t>pour toute personne en Europe qui n’aurait toujours pas accès à un avortement sans danger et légal</w:t>
      </w:r>
      <w:r>
        <w:rPr>
          <w:rFonts w:ascii="Times New Roman" w:hAnsi="Times New Roman"/>
          <w:noProof/>
          <w:sz w:val="24"/>
        </w:rPr>
        <w:t>». Cet appel doit être lu dans le contexte plus large des considérations exposées dans l’initiative</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en particulier celles qui invoquent la situation des «</w:t>
      </w:r>
      <w:r>
        <w:rPr>
          <w:rFonts w:ascii="Times New Roman" w:hAnsi="Times New Roman"/>
          <w:b/>
          <w:noProof/>
          <w:sz w:val="24"/>
        </w:rPr>
        <w:t>[femmes] et leurs familles [...], souvent au sein de communautés marginalisées qui peuvent le moins se le permettre</w:t>
      </w:r>
      <w:r>
        <w:rPr>
          <w:rFonts w:ascii="Times New Roman" w:hAnsi="Times New Roman"/>
          <w:noProof/>
          <w:sz w:val="24"/>
        </w:rPr>
        <w:t>».</w:t>
      </w:r>
    </w:p>
    <w:p w14:paraId="1BC8A785"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La Commission comprend l’initiative comme une invitation à présenter une proposition d’acte juridique en vue d’apporter un soutien financier aux États membres qui, sur cette base, donneraient accès à des soins sûrs en matière d’avortement, dans le respect de leur droit national, aux femmes qui ne pourraient pas accéder à de tels services dans leur propre État membre. Le texte de la demande indique qu’elle </w:t>
      </w:r>
      <w:r>
        <w:rPr>
          <w:rFonts w:ascii="Times New Roman" w:hAnsi="Times New Roman"/>
          <w:b/>
          <w:noProof/>
          <w:sz w:val="24"/>
        </w:rPr>
        <w:t>ne vise pas à interférer avec les dispositions législatives et réglementaires nationales des États membres</w:t>
      </w:r>
      <w:r>
        <w:rPr>
          <w:rFonts w:ascii="Times New Roman" w:hAnsi="Times New Roman"/>
          <w:noProof/>
          <w:sz w:val="24"/>
        </w:rPr>
        <w:t>, mais à fournir un soutien financier qui complète et respecte les cadres juridiques existants.</w:t>
      </w:r>
    </w:p>
    <w:p w14:paraId="7BCF6750"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La demande tient compte de la répartition fondamentale des compétences au sein de l’UE: i) les décisions réglementaires et les choix bioéthiques en matière de santé génésique et d’avortement relèvent de la compétence des États membres (article 168, paragraphe 7, du TFUE); et ii) l’Union ne dispose que d’une compétence de soutien (article 168, paragraphe 5, du TFUE), qui lui permet de financer les actions des États membres en faveur de la santé.</w:t>
      </w:r>
    </w:p>
    <w:p w14:paraId="5EBB6BA3"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Un soutien financier serait accordé aux États membres qui choisiraient, à titre volontaire, de donner </w:t>
      </w:r>
      <w:r>
        <w:rPr>
          <w:rFonts w:ascii="Times New Roman" w:hAnsi="Times New Roman"/>
          <w:b/>
          <w:noProof/>
          <w:sz w:val="24"/>
        </w:rPr>
        <w:t>accès à des services d’avortement sans risque</w:t>
      </w:r>
      <w:r>
        <w:rPr>
          <w:rFonts w:ascii="Times New Roman" w:hAnsi="Times New Roman"/>
          <w:noProof/>
          <w:sz w:val="24"/>
        </w:rPr>
        <w:t xml:space="preserve"> aux femmes d’autres États membres </w:t>
      </w:r>
      <w:r>
        <w:rPr>
          <w:rFonts w:ascii="Times New Roman" w:hAnsi="Times New Roman"/>
          <w:b/>
          <w:noProof/>
          <w:sz w:val="24"/>
        </w:rPr>
        <w:t>qui, autrement, ne pourraient pas y accéder</w:t>
      </w:r>
      <w:r>
        <w:rPr>
          <w:rFonts w:ascii="Times New Roman" w:hAnsi="Times New Roman"/>
          <w:noProof/>
          <w:sz w:val="24"/>
        </w:rPr>
        <w:t>.</w:t>
      </w:r>
    </w:p>
    <w:p w14:paraId="571D248E"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En réponse à cette initiative, la Commission souligne que: </w:t>
      </w:r>
    </w:p>
    <w:p w14:paraId="14103B59" w14:textId="77777777" w:rsidR="009C0987" w:rsidRPr="004B087B" w:rsidRDefault="009C0987" w:rsidP="009C0987">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s’ils le souhaitent, les États membres peuvent recourir au FSE+ pour améliorer l’égalité d’accès à des services de soins de santé légalement disponibles et abordables, dont des services d’avortement sans risque;</w:t>
      </w:r>
    </w:p>
    <w:p w14:paraId="4DC17E0D" w14:textId="77777777" w:rsidR="009C0987" w:rsidRPr="004B087B" w:rsidRDefault="009C0987" w:rsidP="009C0987">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dès lors, la Commission ne juge pas nécessaire, pour les raisons exposées ci-après, de présenter au Parlement européen et au Conseil une proposition d’acte juridique créant un nouveau programme de financement, ainsi qu’il est demandé.</w:t>
      </w:r>
    </w:p>
    <w:p w14:paraId="130DA5D2" w14:textId="77777777" w:rsidR="009C0987" w:rsidRPr="004B087B" w:rsidRDefault="009C0987" w:rsidP="009C0987">
      <w:pPr>
        <w:pStyle w:val="Heading2"/>
        <w:numPr>
          <w:ilvl w:val="0"/>
          <w:numId w:val="25"/>
        </w:numPr>
        <w:rPr>
          <w:i/>
          <w:iCs/>
          <w:noProof/>
        </w:rPr>
      </w:pPr>
      <w:r>
        <w:rPr>
          <w:i/>
          <w:noProof/>
        </w:rPr>
        <w:t>Recourir au FSE+ pour réaliser l’objectif de l’ICE</w:t>
      </w:r>
    </w:p>
    <w:p w14:paraId="0D9F2EC0"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La Commission estime que l’action visant à réaliser l’objectif de l’ICE peut être menée en recourant aux programmes nationaux ou régionaux existants cofinancés par le FSE+.</w:t>
      </w:r>
    </w:p>
    <w:p w14:paraId="2ED13DD7"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Dans sa décision relative à l’enregistrement, la Commission rappelle que tout soutien financier à l’action des États membres en faveur de la santé doit respecter les limites fixées à l’article 168, paragraphe 7, du TFUE. La Commission indique également que la mise en place concrète du soutien financier pourrait entraîner une ingérence dans les compétences des États membres</w:t>
      </w:r>
      <w:r>
        <w:rPr>
          <w:rStyle w:val="FootnoteReference"/>
          <w:rFonts w:ascii="Times New Roman" w:hAnsi="Times New Roman" w:cs="Times New Roman"/>
          <w:noProof/>
          <w:sz w:val="24"/>
          <w:szCs w:val="24"/>
          <w:lang w:val="en-GB"/>
        </w:rPr>
        <w:footnoteReference w:id="27"/>
      </w:r>
      <w:r>
        <w:rPr>
          <w:rFonts w:ascii="Times New Roman" w:hAnsi="Times New Roman"/>
          <w:noProof/>
          <w:sz w:val="24"/>
        </w:rPr>
        <w:t>.</w:t>
      </w:r>
    </w:p>
    <w:p w14:paraId="2C3E1C86" w14:textId="77777777" w:rsidR="009C0987" w:rsidRPr="004B087B" w:rsidRDefault="009C0987" w:rsidP="009C0987">
      <w:pPr>
        <w:jc w:val="both"/>
        <w:rPr>
          <w:rFonts w:ascii="Times New Roman" w:eastAsia="Times New Roman" w:hAnsi="Times New Roman" w:cs="Times New Roman"/>
          <w:noProof/>
          <w:sz w:val="24"/>
          <w:szCs w:val="24"/>
        </w:rPr>
      </w:pPr>
      <w:r>
        <w:rPr>
          <w:rFonts w:ascii="Times New Roman" w:hAnsi="Times New Roman"/>
          <w:noProof/>
          <w:sz w:val="24"/>
        </w:rPr>
        <w:t>L’accent mis par le FSE+ sur l’amélioration de l’accessibilité et du caractère abordable des services, dont les soins de santé, permet aux programmes nationaux cofinancés par ce fonds de contribuer à la réalisation de l’objectif de l’ICE.</w:t>
      </w:r>
    </w:p>
    <w:p w14:paraId="65D91C17"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Le volet du FSE+ est mis en œuvre par la Commission et les États membres (en «gestion partagée»). En outre, le règlement portant dispositions communes</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et le règlement FSE+</w:t>
      </w:r>
      <w:r>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fixent les objectifs généraux et les alignent sur les politiques plus larges de l’UE. En revanche, le cadre législatif du FSE+ laisse aux autorités nationales et régionales des États membres le soin de déterminer les objectifs spécifiques qui seront soutenus par leurs différents programmes nationaux et régionaux (en accord avec la Commission) et de gérer la mise en œuvre quotidienne. Les États membres sont notamment responsables de la sélection des projets, du versement des fonds aux bénéficiaires et de la mise en place des systèmes de gestion et de contrôle des programmes. Cela crée un partenariat dans le cadre duquel l’UE fournit des financements, tandis que les États membres mettent les programmes en œuvre sur le terrain, en veillant à ce que les fonds parviennent aux bénéficiaires prévus.</w:t>
      </w:r>
    </w:p>
    <w:p w14:paraId="55178F45"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En ce qui concerne l’ICE, cela signifie que les États membres souhaitant utiliser leurs ressources FSE+ (cofinancement UE et national) pour contribuer à l’objectif de cette initiative devraient veiller à ce que cette dernière soit cohérente avec la stratégie et avec les objectifs spécifiques de leurs programmes FSE+ respectifs et qu’elle y contribue. Pour assurer le respect de l’article 168, paragraphe 7, du TFUE, toute action des États membres devrait demeurer totalement neutre en ce qui concerne le lieu d’origine des patients et ne pourrait donc pas être destinée ou limitée aux patients d’autres États membres.</w:t>
      </w:r>
    </w:p>
    <w:p w14:paraId="03E04002"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Pour introduire ce type d’action, un État membre peut avoir besoin de modifier le programme FSE+ correspondant afin que l’accès aux soins de santé liés à l’avortement puisse être donné conformément à sa législation nationale.</w:t>
      </w:r>
    </w:p>
    <w:p w14:paraId="4D043C75" w14:textId="77777777" w:rsidR="009C0987" w:rsidRPr="004B087B" w:rsidRDefault="009C0987" w:rsidP="009C0987">
      <w:pPr>
        <w:pStyle w:val="Heading2"/>
        <w:numPr>
          <w:ilvl w:val="0"/>
          <w:numId w:val="30"/>
        </w:numPr>
        <w:rPr>
          <w:noProof/>
          <w:szCs w:val="24"/>
        </w:rPr>
      </w:pPr>
      <w:r>
        <w:rPr>
          <w:i/>
          <w:noProof/>
        </w:rPr>
        <w:t>Justification de la non-présentation d’une nouvelle proposition d’acte juridique</w:t>
      </w:r>
    </w:p>
    <w:p w14:paraId="36902308"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La Commission estime qu’il n’est pas nécessaire de présenter une nouvelle proposition d’acte juridique pour réaliser l’objectif de l’ICE, pour les raisons décrites ci-après.</w:t>
      </w:r>
    </w:p>
    <w:p w14:paraId="529CAB2B"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Les programmes existants permettent déjà d’adopter des mesures destinées à améliorer l’accès aux services de santé liés à l’avortement, pour autant que ces mesures n’empiètent pas sur les compétences des États membres prévues à l’article 168, paragraphe 7, du TFUE. C’est le cas du FSE+ qui, ainsi qu’il est expliqué à la section 2.2, vise, entre autres, à réduire les disparités en matière de soins de santé et à assurer l’accès des personnes vulnérables aux services de santé essentiels.</w:t>
      </w:r>
    </w:p>
    <w:p w14:paraId="5F5F727A"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Cependant, la Commission doit respecter les limites de la compétence de l’Union fixées à l’article 168, paragraphe 7, du TFUE.</w:t>
      </w:r>
    </w:p>
    <w:p w14:paraId="6BB794B3"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Ainsi qu’il est expliqué à la section 2.2, il relève de la compétence d’un État membre de décider d’accorder un accès légal à l’avortement, de réglementer les conditions dans lesquelles celui-ci est autorisé et de déterminer les conséquences qui en découlent pour l’ordre public. Le soutien financier relève certes de la compétence de l’Union, mais, compte tenu des limites fixées à l’article 168, paragraphe 7, du TFUE, uniquement pour les actions qui sont conformes à la législation de l’État membre dans lequel elles sont menées et pour autant que ce financement ne porte pas atteinte (directement ou indirectement) à la compétence des États membres pour organiser les soins de santé, y compris leurs choix bioéthiques.</w:t>
      </w:r>
    </w:p>
    <w:p w14:paraId="7CD083D2" w14:textId="77777777" w:rsidR="009C0987" w:rsidRPr="00DF5D9F" w:rsidRDefault="009C0987" w:rsidP="009C0987">
      <w:pPr>
        <w:jc w:val="both"/>
        <w:rPr>
          <w:rFonts w:ascii="Times New Roman" w:hAnsi="Times New Roman" w:cs="Times New Roman"/>
          <w:b/>
          <w:noProof/>
          <w:sz w:val="24"/>
          <w:szCs w:val="24"/>
        </w:rPr>
      </w:pPr>
      <w:r>
        <w:rPr>
          <w:rFonts w:ascii="Times New Roman" w:hAnsi="Times New Roman"/>
          <w:b/>
          <w:noProof/>
          <w:sz w:val="24"/>
        </w:rPr>
        <w:t>Cela signifie que tout mécanisme de financement de l’UE doit demeurer totalement neutre en ce qui concerne le lieu d’origine/de résidence des patients et ne peut pas cibler spécifiquement les femmes des États membres dans lesquels l’avortement en question ne serait pas autorisé par la loi</w:t>
      </w:r>
      <w:r>
        <w:rPr>
          <w:rFonts w:ascii="Times New Roman" w:hAnsi="Times New Roman"/>
          <w:noProof/>
          <w:sz w:val="24"/>
        </w:rPr>
        <w:t>.</w:t>
      </w:r>
    </w:p>
    <w:p w14:paraId="665E0599" w14:textId="77777777" w:rsidR="009C0987" w:rsidRPr="004B087B" w:rsidRDefault="009C0987" w:rsidP="009C0987">
      <w:pPr>
        <w:pStyle w:val="Heading1"/>
        <w:rPr>
          <w:noProof/>
        </w:rPr>
      </w:pPr>
      <w:r>
        <w:rPr>
          <w:noProof/>
        </w:rPr>
        <w:t>CONCLUSION</w:t>
      </w:r>
    </w:p>
    <w:p w14:paraId="4009B797" w14:textId="77777777" w:rsidR="009C0987" w:rsidRDefault="009C0987" w:rsidP="009C0987">
      <w:pPr>
        <w:jc w:val="both"/>
        <w:rPr>
          <w:rFonts w:ascii="Times New Roman" w:hAnsi="Times New Roman" w:cs="Times New Roman"/>
          <w:noProof/>
          <w:sz w:val="24"/>
          <w:szCs w:val="24"/>
        </w:rPr>
      </w:pPr>
      <w:r>
        <w:rPr>
          <w:rFonts w:ascii="Times New Roman" w:hAnsi="Times New Roman"/>
          <w:noProof/>
          <w:sz w:val="24"/>
        </w:rPr>
        <w:t>Comme elle l’indique à la section 3, la Commission conclut qu’il est possible de contribuer à la réalisation de l’objectif de l’initiative en recourant au FSE+. La Commission considère que, pour atteindre l’objectif du traité consistant à assurer un niveau élevé de protection de la santé humaine, les États membres peuvent utiliser les fonds de l’UE pour donner accès à un avortement sans risque, à titre volontaire et conformément à leur législation nationale, aux femmes en situation de vulnérabilité qui, autrement, ne pourraient se le permettre.</w:t>
      </w:r>
    </w:p>
    <w:p w14:paraId="4FD5031B"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En conséquence, la Commission ne juge pas nécessaire de présenter une nouvelle proposition d’acte juridique de l’UE pour réaliser l’objectif de l’ICE.</w:t>
      </w:r>
    </w:p>
    <w:p w14:paraId="39E50830"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Les États membres ont la possibilité de modifier leurs programmes nationaux ou régionaux FSE+ afin d’y inclure, s’ils le souhaitent, une action visant à donner accès à des services d’avortement légalement disponibles, sans danger et abordables. La procédure de modification des programmes nationaux ou régionaux du FSE+ est définie à l’article 24 du règlement portant dispositions communes</w:t>
      </w:r>
      <w:r>
        <w:rPr>
          <w:noProof/>
        </w:rPr>
        <w:t>.</w:t>
      </w:r>
    </w:p>
    <w:p w14:paraId="2277EA10"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Les États membres peuvent ensuite soumettre leur programme modifié du FSE+ à la Commission européenne pour approbation. La Commission vérifiera alors la conformité de la modification du programme avec la législation de l’Union et les principes du traité applicables. Cela signifie que l’action devrait être ouverte aux femmes indépendamment de leur nationalité ou de leur lieu de résidence, et ne pas cibler les femmes d’autres États membres. </w:t>
      </w:r>
    </w:p>
    <w:p w14:paraId="6D5B2C5F" w14:textId="77777777" w:rsidR="009C0987" w:rsidRPr="004B087B" w:rsidRDefault="009C0987" w:rsidP="009C0987">
      <w:pPr>
        <w:jc w:val="both"/>
        <w:rPr>
          <w:rFonts w:ascii="Times New Roman" w:hAnsi="Times New Roman" w:cs="Times New Roman"/>
          <w:noProof/>
          <w:sz w:val="24"/>
          <w:szCs w:val="24"/>
        </w:rPr>
      </w:pPr>
      <w:r>
        <w:rPr>
          <w:rFonts w:ascii="Times New Roman" w:hAnsi="Times New Roman"/>
          <w:noProof/>
          <w:sz w:val="24"/>
        </w:rPr>
        <w:t xml:space="preserve">La mesure contribuera ainsi à atteindre des normes élevées en matière de santé physique et mentale pour chaque femme, conformément au principe 2 de la </w:t>
      </w:r>
      <w:r>
        <w:rPr>
          <w:rFonts w:ascii="Times New Roman" w:hAnsi="Times New Roman"/>
          <w:i/>
          <w:noProof/>
          <w:sz w:val="24"/>
        </w:rPr>
        <w:t>déclaration de principes pour une société égalitaire du point de vue du genre</w:t>
      </w:r>
      <w:r>
        <w:rPr>
          <w:rFonts w:ascii="Times New Roman" w:hAnsi="Times New Roman"/>
          <w:noProof/>
          <w:sz w:val="24"/>
        </w:rPr>
        <w:t>.</w:t>
      </w:r>
    </w:p>
    <w:p w14:paraId="5DC21A11" w14:textId="77777777" w:rsidR="009C0987" w:rsidRDefault="009C0987" w:rsidP="009C0987">
      <w:pPr>
        <w:jc w:val="both"/>
        <w:rPr>
          <w:rFonts w:ascii="Times New Roman" w:hAnsi="Times New Roman" w:cs="Times New Roman"/>
          <w:noProof/>
          <w:sz w:val="24"/>
          <w:szCs w:val="24"/>
        </w:rPr>
      </w:pPr>
      <w:r>
        <w:rPr>
          <w:rFonts w:ascii="Times New Roman" w:hAnsi="Times New Roman"/>
          <w:noProof/>
          <w:sz w:val="24"/>
        </w:rPr>
        <w:t xml:space="preserve">Si la Commission conclut que les modifications proposées sont conformes aux règles applicables, elle les approuvera. </w:t>
      </w:r>
    </w:p>
    <w:p w14:paraId="11BB30A9" w14:textId="6C5D8E54" w:rsidR="00253B40" w:rsidRPr="009C0987" w:rsidRDefault="00253B40" w:rsidP="00F660C2">
      <w:pPr>
        <w:jc w:val="both"/>
        <w:rPr>
          <w:noProof/>
        </w:rPr>
      </w:pPr>
    </w:p>
    <w:sectPr w:rsidR="00253B40" w:rsidRPr="009C098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7410B" w14:textId="77777777" w:rsidR="00AF1F13" w:rsidRPr="00D77827" w:rsidRDefault="00AF1F13" w:rsidP="00CA159E">
      <w:pPr>
        <w:spacing w:after="0" w:line="240" w:lineRule="auto"/>
      </w:pPr>
      <w:r w:rsidRPr="00D77827">
        <w:separator/>
      </w:r>
    </w:p>
  </w:endnote>
  <w:endnote w:type="continuationSeparator" w:id="0">
    <w:p w14:paraId="398AED37" w14:textId="77777777" w:rsidR="00AF1F13" w:rsidRPr="00D77827" w:rsidRDefault="00AF1F13" w:rsidP="00CA159E">
      <w:pPr>
        <w:spacing w:after="0" w:line="240" w:lineRule="auto"/>
      </w:pPr>
      <w:r w:rsidRPr="00D77827">
        <w:continuationSeparator/>
      </w:r>
    </w:p>
  </w:endnote>
  <w:endnote w:type="continuationNotice" w:id="1">
    <w:p w14:paraId="263B4F3B" w14:textId="77777777" w:rsidR="00AF1F13" w:rsidRPr="00D77827" w:rsidRDefault="00AF1F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D23D1" w14:textId="281E495C" w:rsidR="00757A1C" w:rsidRPr="00757A1C" w:rsidRDefault="00757A1C" w:rsidP="00757A1C">
    <w:pPr>
      <w:pStyle w:val="FooterCoverPage"/>
      <w:rPr>
        <w:rFonts w:ascii="Arial" w:hAnsi="Arial" w:cs="Arial"/>
        <w:b/>
        <w:sz w:val="48"/>
      </w:rPr>
    </w:pPr>
    <w:r w:rsidRPr="00757A1C">
      <w:rPr>
        <w:rFonts w:ascii="Arial" w:hAnsi="Arial" w:cs="Arial"/>
        <w:b/>
        <w:sz w:val="48"/>
      </w:rPr>
      <w:t>FR</w:t>
    </w:r>
    <w:r w:rsidRPr="00757A1C">
      <w:rPr>
        <w:rFonts w:ascii="Arial" w:hAnsi="Arial" w:cs="Arial"/>
        <w:b/>
        <w:sz w:val="48"/>
      </w:rPr>
      <w:tab/>
    </w:r>
    <w:r w:rsidRPr="00757A1C">
      <w:rPr>
        <w:rFonts w:ascii="Arial" w:hAnsi="Arial" w:cs="Arial"/>
        <w:b/>
        <w:sz w:val="48"/>
      </w:rPr>
      <w:tab/>
    </w:r>
    <w:r w:rsidRPr="00757A1C">
      <w:tab/>
    </w:r>
    <w:r w:rsidRPr="00757A1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9C560" w14:textId="7C5522B1" w:rsidR="00757A1C" w:rsidRPr="00757A1C" w:rsidRDefault="00757A1C" w:rsidP="00757A1C">
    <w:pPr>
      <w:pStyle w:val="FooterCoverPage"/>
      <w:rPr>
        <w:rFonts w:ascii="Arial" w:hAnsi="Arial" w:cs="Arial"/>
        <w:b/>
        <w:sz w:val="48"/>
      </w:rPr>
    </w:pPr>
    <w:r w:rsidRPr="00757A1C">
      <w:rPr>
        <w:rFonts w:ascii="Arial" w:hAnsi="Arial" w:cs="Arial"/>
        <w:b/>
        <w:sz w:val="48"/>
      </w:rPr>
      <w:t>FR</w:t>
    </w:r>
    <w:r w:rsidRPr="00757A1C">
      <w:rPr>
        <w:rFonts w:ascii="Arial" w:hAnsi="Arial" w:cs="Arial"/>
        <w:b/>
        <w:sz w:val="48"/>
      </w:rPr>
      <w:tab/>
    </w:r>
    <w:r w:rsidRPr="00757A1C">
      <w:rPr>
        <w:rFonts w:ascii="Arial" w:hAnsi="Arial" w:cs="Arial"/>
        <w:b/>
        <w:sz w:val="48"/>
      </w:rPr>
      <w:tab/>
    </w:r>
    <w:r w:rsidRPr="00757A1C">
      <w:tab/>
    </w:r>
    <w:r w:rsidRPr="00757A1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E477E" w14:textId="77777777" w:rsidR="00757A1C" w:rsidRPr="00757A1C" w:rsidRDefault="00757A1C" w:rsidP="00757A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97854" w14:textId="77777777" w:rsidR="00E8560A" w:rsidRPr="00D77827" w:rsidRDefault="00E856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064719"/>
      <w:docPartObj>
        <w:docPartGallery w:val="Page Numbers (Bottom of Page)"/>
        <w:docPartUnique/>
      </w:docPartObj>
    </w:sdtPr>
    <w:sdtEndPr/>
    <w:sdtContent>
      <w:p w14:paraId="600DCCA3" w14:textId="72513A45" w:rsidR="00E8560A" w:rsidRPr="00D77827" w:rsidRDefault="00EE5F2C">
        <w:pPr>
          <w:pStyle w:val="Footer"/>
          <w:jc w:val="right"/>
        </w:pPr>
        <w:r w:rsidRPr="00D77827">
          <w:fldChar w:fldCharType="begin"/>
        </w:r>
        <w:r w:rsidRPr="00D77827">
          <w:instrText xml:space="preserve"> PAGE   \* MERGEFORMAT </w:instrText>
        </w:r>
        <w:r w:rsidRPr="00D77827">
          <w:fldChar w:fldCharType="separate"/>
        </w:r>
        <w:r w:rsidR="00757A1C">
          <w:rPr>
            <w:noProof/>
          </w:rPr>
          <w:t>1</w:t>
        </w:r>
        <w:r w:rsidRPr="00D77827">
          <w:fldChar w:fldCharType="end"/>
        </w:r>
      </w:p>
    </w:sdtContent>
  </w:sdt>
  <w:p w14:paraId="0C706AC6" w14:textId="77777777" w:rsidR="00E8560A" w:rsidRPr="00D77827" w:rsidRDefault="00E856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7622" w14:textId="77777777" w:rsidR="00E8560A" w:rsidRPr="00D77827" w:rsidRDefault="00E85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1F0C3" w14:textId="77777777" w:rsidR="00AF1F13" w:rsidRPr="00D77827" w:rsidRDefault="00AF1F13" w:rsidP="00CA159E">
      <w:pPr>
        <w:spacing w:after="0" w:line="240" w:lineRule="auto"/>
      </w:pPr>
      <w:r w:rsidRPr="00D77827">
        <w:separator/>
      </w:r>
    </w:p>
  </w:footnote>
  <w:footnote w:type="continuationSeparator" w:id="0">
    <w:p w14:paraId="06BC89E1" w14:textId="77777777" w:rsidR="00AF1F13" w:rsidRPr="00D77827" w:rsidRDefault="00AF1F13" w:rsidP="00CA159E">
      <w:pPr>
        <w:spacing w:after="0" w:line="240" w:lineRule="auto"/>
      </w:pPr>
      <w:r w:rsidRPr="00D77827">
        <w:continuationSeparator/>
      </w:r>
    </w:p>
  </w:footnote>
  <w:footnote w:type="continuationNotice" w:id="1">
    <w:p w14:paraId="11AFD7C4" w14:textId="77777777" w:rsidR="00AF1F13" w:rsidRPr="00D77827" w:rsidRDefault="00AF1F13">
      <w:pPr>
        <w:spacing w:after="0" w:line="240" w:lineRule="auto"/>
      </w:pPr>
    </w:p>
  </w:footnote>
  <w:footnote w:id="2">
    <w:p w14:paraId="100A12A4" w14:textId="135C3ADD" w:rsidR="00B308A3" w:rsidRPr="00626A87" w:rsidRDefault="00B308A3" w:rsidP="00AE5843">
      <w:pPr>
        <w:pStyle w:val="FootnoteText"/>
        <w:tabs>
          <w:tab w:val="left" w:pos="284"/>
        </w:tabs>
        <w:spacing w:line="240" w:lineRule="auto"/>
        <w:ind w:left="284" w:hanging="284"/>
        <w:jc w:val="left"/>
        <w:rPr>
          <w:sz w:val="16"/>
          <w:szCs w:val="16"/>
        </w:rPr>
      </w:pPr>
      <w:r>
        <w:rPr>
          <w:rStyle w:val="FootnoteReference"/>
          <w:rFonts w:eastAsiaTheme="minorHAnsi"/>
          <w:sz w:val="16"/>
          <w:szCs w:val="16"/>
          <w:lang w:val="en-GB"/>
        </w:rPr>
        <w:footnoteRef/>
      </w:r>
      <w:r>
        <w:rPr>
          <w:rStyle w:val="FootnoteReference"/>
          <w:sz w:val="16"/>
        </w:rPr>
        <w:t xml:space="preserve"> </w:t>
      </w:r>
      <w:r>
        <w:rPr>
          <w:sz w:val="16"/>
        </w:rPr>
        <w:tab/>
      </w:r>
      <w:hyperlink r:id="rId1" w:history="1">
        <w:r>
          <w:rPr>
            <w:rStyle w:val="Hyperlink"/>
            <w:sz w:val="16"/>
          </w:rPr>
          <w:t>https://citizens-initiative.europa.eu/initiatives/details/2024/000004_fr</w:t>
        </w:r>
      </w:hyperlink>
      <w:r>
        <w:t>.</w:t>
      </w:r>
      <w:r>
        <w:rPr>
          <w:sz w:val="16"/>
        </w:rPr>
        <w:t xml:space="preserve"> </w:t>
      </w:r>
    </w:p>
  </w:footnote>
  <w:footnote w:id="3">
    <w:p w14:paraId="085282B0" w14:textId="3A5E78A9" w:rsidR="0041319B" w:rsidRPr="00626A87" w:rsidRDefault="0041319B" w:rsidP="00C61030">
      <w:pPr>
        <w:pStyle w:val="FootnoteText"/>
        <w:rPr>
          <w:sz w:val="16"/>
          <w:szCs w:val="16"/>
        </w:rPr>
      </w:pPr>
      <w:r>
        <w:rPr>
          <w:rStyle w:val="FootnoteReference"/>
          <w:sz w:val="16"/>
          <w:szCs w:val="16"/>
          <w:lang w:val="en-GB"/>
        </w:rPr>
        <w:footnoteRef/>
      </w:r>
      <w:r>
        <w:rPr>
          <w:sz w:val="16"/>
        </w:rPr>
        <w:t xml:space="preserve">     Aux termes de l’article 3 du règlement ICE, «[u]ne initiative est valable si: a) elle a recueilli le soutien d’au moins un million de citoyens de l’Union conformément à l’article 2, paragraphe 1 (ci-après dénommés «signataires»), d’au moins un quart des États membres; et b) dans au moins un quart des États membres, le nombre des signataires est au moins égal au nombre minimal indiqué à l’annexe I, qui correspond au nombre de députés au Parlement européen élus dans chaque État membre, multiplié par le nombre total de députés au Parlement européen, au moment de l’enregistrement de l’initiative.»</w:t>
      </w:r>
    </w:p>
  </w:footnote>
  <w:footnote w:id="4">
    <w:p w14:paraId="288746FC" w14:textId="723E695D" w:rsidR="002C5A2D" w:rsidRPr="00626A87" w:rsidRDefault="003D1044" w:rsidP="00D170C9">
      <w:pPr>
        <w:pStyle w:val="FootnoteText"/>
        <w:tabs>
          <w:tab w:val="left" w:pos="284"/>
        </w:tabs>
        <w:spacing w:line="240" w:lineRule="auto"/>
        <w:ind w:left="284" w:hanging="284"/>
        <w:jc w:val="left"/>
        <w:rPr>
          <w:sz w:val="16"/>
          <w:szCs w:val="16"/>
        </w:rPr>
      </w:pPr>
      <w:r>
        <w:rPr>
          <w:sz w:val="16"/>
          <w:vertAlign w:val="superscript"/>
        </w:rPr>
        <w:t>3</w:t>
      </w:r>
      <w:r>
        <w:rPr>
          <w:sz w:val="16"/>
        </w:rPr>
        <w:tab/>
        <w:t>Règlement (UE) 2019/788 du Parlement européen et du Conseil du 17 avril 2019 relatif à l’initiative citoyenne européenne (JO L 130 du 17.5.2019, p. 55).</w:t>
      </w:r>
    </w:p>
  </w:footnote>
  <w:footnote w:id="5">
    <w:p w14:paraId="6ACFDC42" w14:textId="5F5D1463" w:rsidR="00516C6D" w:rsidRPr="00626A87" w:rsidRDefault="00516C6D" w:rsidP="00D170C9">
      <w:pPr>
        <w:pStyle w:val="FootnoteText"/>
        <w:spacing w:line="240" w:lineRule="auto"/>
        <w:ind w:left="284" w:hanging="284"/>
        <w:rPr>
          <w:rStyle w:val="FootnoteReference"/>
          <w:rFonts w:eastAsiaTheme="minorHAnsi"/>
          <w:sz w:val="16"/>
          <w:szCs w:val="16"/>
        </w:rPr>
      </w:pPr>
      <w:r>
        <w:rPr>
          <w:rStyle w:val="FootnoteReference"/>
          <w:rFonts w:eastAsiaTheme="minorHAnsi"/>
          <w:sz w:val="16"/>
          <w:szCs w:val="16"/>
          <w:lang w:val="en-GB"/>
        </w:rPr>
        <w:footnoteRef/>
      </w:r>
      <w:r>
        <w:rPr>
          <w:rStyle w:val="FootnoteReference"/>
          <w:sz w:val="16"/>
        </w:rPr>
        <w:t xml:space="preserve"> </w:t>
      </w:r>
      <w:r>
        <w:rPr>
          <w:sz w:val="16"/>
        </w:rPr>
        <w:tab/>
        <w:t xml:space="preserve">Décision d’exécution (UE) 2024/1158 de la Commission du 10 avril 2024 relative à la demande d’enregistrement, en application du règlement (UE) 2019/788 du Parlement européen et du Conseil, de l’initiative citoyenne européenne intitulée «My Voice, My Choice: pour un avortement sans danger et accessible», ELI: </w:t>
      </w:r>
      <w:hyperlink r:id="rId2" w:tooltip="Permet d’accéder à ce document par l’intermédiaire de son URI ELI." w:history="1">
        <w:r>
          <w:rPr>
            <w:rStyle w:val="Hyperlink"/>
            <w:sz w:val="16"/>
          </w:rPr>
          <w:t>http://data.europa.eu/eli/dec_impl/2024/1158/oj</w:t>
        </w:r>
      </w:hyperlink>
      <w:r>
        <w:rPr>
          <w:sz w:val="16"/>
        </w:rPr>
        <w:t>.</w:t>
      </w:r>
    </w:p>
  </w:footnote>
  <w:footnote w:id="6">
    <w:p w14:paraId="02B0C29B" w14:textId="6E254419" w:rsidR="004617C7" w:rsidRPr="00626A87" w:rsidRDefault="004617C7" w:rsidP="00AE5843">
      <w:pPr>
        <w:pStyle w:val="FootnoteText"/>
        <w:ind w:left="426" w:hanging="426"/>
        <w:rPr>
          <w:sz w:val="16"/>
          <w:szCs w:val="16"/>
        </w:rPr>
      </w:pPr>
      <w:r>
        <w:rPr>
          <w:rStyle w:val="FootnoteReference"/>
          <w:sz w:val="16"/>
          <w:szCs w:val="16"/>
          <w:lang w:val="en-GB"/>
        </w:rPr>
        <w:footnoteRef/>
      </w:r>
      <w:r>
        <w:rPr>
          <w:sz w:val="16"/>
        </w:rPr>
        <w:t xml:space="preserve"> </w:t>
      </w:r>
      <w:r>
        <w:rPr>
          <w:sz w:val="16"/>
        </w:rPr>
        <w:tab/>
      </w:r>
      <w:bookmarkStart w:id="6" w:name="_Hlk222398162"/>
      <w:r>
        <w:rPr>
          <w:sz w:val="16"/>
        </w:rPr>
        <w:t>Résolution du Parlement européen du 17 décembre 2025 sur l’initiative citoyenne européenne «My Voice, My Choice: pour un avortement sans danger et accessible»</w:t>
      </w:r>
      <w:r>
        <w:t xml:space="preserve"> </w:t>
      </w:r>
      <w:hyperlink r:id="rId3" w:history="1">
        <w:r>
          <w:rPr>
            <w:rStyle w:val="Hyperlink"/>
            <w:sz w:val="16"/>
          </w:rPr>
          <w:t>https://www.europarl.europa.eu/doceo/document/TA-10-2025-0338_FR.html</w:t>
        </w:r>
      </w:hyperlink>
      <w:bookmarkEnd w:id="6"/>
      <w:r>
        <w:rPr>
          <w:sz w:val="16"/>
        </w:rPr>
        <w:t>.</w:t>
      </w:r>
    </w:p>
  </w:footnote>
  <w:footnote w:id="7">
    <w:p w14:paraId="5653A7A4" w14:textId="15ADAEA3" w:rsidR="00351E1C" w:rsidRPr="00626A87" w:rsidRDefault="00351E1C" w:rsidP="00AE5843">
      <w:pPr>
        <w:pStyle w:val="FootnoteText"/>
        <w:ind w:left="426" w:hanging="426"/>
        <w:rPr>
          <w:sz w:val="16"/>
          <w:szCs w:val="16"/>
        </w:rPr>
      </w:pPr>
      <w:r>
        <w:rPr>
          <w:rStyle w:val="FootnoteReference"/>
          <w:sz w:val="16"/>
          <w:szCs w:val="16"/>
          <w:lang w:val="en-GB"/>
        </w:rPr>
        <w:footnoteRef/>
      </w:r>
      <w:r>
        <w:rPr>
          <w:sz w:val="16"/>
        </w:rPr>
        <w:t xml:space="preserve"> </w:t>
      </w:r>
      <w:r>
        <w:rPr>
          <w:sz w:val="16"/>
        </w:rPr>
        <w:tab/>
      </w:r>
      <w:hyperlink r:id="rId4" w:history="1">
        <w:r>
          <w:rPr>
            <w:rStyle w:val="Hyperlink"/>
            <w:sz w:val="16"/>
          </w:rPr>
          <w:t>My Voice, My Choice:</w:t>
        </w:r>
      </w:hyperlink>
      <w:hyperlink r:id="rId5" w:history="1">
        <w:r>
          <w:rPr>
            <w:rStyle w:val="Hyperlink"/>
            <w:sz w:val="16"/>
          </w:rPr>
          <w:t>pour un avortement sans danger et accessible |</w:t>
        </w:r>
      </w:hyperlink>
      <w:hyperlink r:id="rId6" w:history="1">
        <w:r>
          <w:rPr>
            <w:rStyle w:val="Hyperlink"/>
            <w:sz w:val="16"/>
          </w:rPr>
          <w:t xml:space="preserve"> CESE</w:t>
        </w:r>
      </w:hyperlink>
      <w:r>
        <w:rPr>
          <w:sz w:val="16"/>
        </w:rPr>
        <w:t xml:space="preserve">. </w:t>
      </w:r>
    </w:p>
  </w:footnote>
  <w:footnote w:id="8">
    <w:p w14:paraId="1B0580FF" w14:textId="1329D181" w:rsidR="00D65CD5" w:rsidRPr="00626A87" w:rsidRDefault="00D65CD5" w:rsidP="00330B07">
      <w:pPr>
        <w:pStyle w:val="FootnoteText"/>
        <w:ind w:left="426" w:hanging="426"/>
        <w:rPr>
          <w:sz w:val="16"/>
          <w:szCs w:val="16"/>
        </w:rPr>
      </w:pPr>
      <w:r>
        <w:rPr>
          <w:rStyle w:val="FootnoteReference"/>
          <w:sz w:val="16"/>
          <w:szCs w:val="16"/>
          <w:lang w:val="en-GB"/>
        </w:rPr>
        <w:footnoteRef/>
      </w:r>
      <w:r>
        <w:rPr>
          <w:sz w:val="16"/>
        </w:rPr>
        <w:t xml:space="preserve"> </w:t>
      </w:r>
      <w:r>
        <w:rPr>
          <w:sz w:val="16"/>
        </w:rPr>
        <w:tab/>
      </w:r>
      <w:hyperlink r:id="rId7" w:history="1">
        <w:r>
          <w:rPr>
            <w:rStyle w:val="Hyperlink"/>
            <w:sz w:val="16"/>
          </w:rPr>
          <w:t>Déclaration et programme d’action de Beijing (1995)</w:t>
        </w:r>
      </w:hyperlink>
      <w:r>
        <w:rPr>
          <w:sz w:val="16"/>
        </w:rPr>
        <w:t>, paragraphes 97 et 106.</w:t>
      </w:r>
    </w:p>
  </w:footnote>
  <w:footnote w:id="9">
    <w:p w14:paraId="3D326C36" w14:textId="36FDF521" w:rsidR="00D65CD5" w:rsidRPr="00626A87" w:rsidRDefault="00D65CD5" w:rsidP="00CA0EB2">
      <w:pPr>
        <w:pStyle w:val="FootnoteText"/>
        <w:ind w:left="426" w:hanging="426"/>
        <w:rPr>
          <w:sz w:val="16"/>
          <w:szCs w:val="16"/>
        </w:rPr>
      </w:pPr>
      <w:r>
        <w:rPr>
          <w:rStyle w:val="FootnoteReference"/>
          <w:sz w:val="16"/>
          <w:szCs w:val="16"/>
          <w:lang w:val="en-GB"/>
        </w:rPr>
        <w:footnoteRef/>
      </w:r>
      <w:r>
        <w:rPr>
          <w:sz w:val="16"/>
        </w:rPr>
        <w:t xml:space="preserve"> </w:t>
      </w:r>
      <w:r>
        <w:rPr>
          <w:sz w:val="16"/>
        </w:rPr>
        <w:tab/>
      </w:r>
      <w:hyperlink r:id="rId8" w:history="1">
        <w:r>
          <w:rPr>
            <w:rStyle w:val="Hyperlink"/>
            <w:sz w:val="16"/>
          </w:rPr>
          <w:t>LES 17 OBJECTIFS |</w:t>
        </w:r>
      </w:hyperlink>
      <w:hyperlink r:id="rId9" w:history="1">
        <w:r>
          <w:rPr>
            <w:rStyle w:val="Hyperlink"/>
            <w:sz w:val="16"/>
          </w:rPr>
          <w:t>Développement durable</w:t>
        </w:r>
      </w:hyperlink>
      <w:r>
        <w:rPr>
          <w:sz w:val="16"/>
        </w:rPr>
        <w:t xml:space="preserve">, </w:t>
      </w:r>
      <w:hyperlink r:id="rId10" w:history="1">
        <w:r>
          <w:rPr>
            <w:rStyle w:val="Hyperlink"/>
            <w:sz w:val="16"/>
          </w:rPr>
          <w:t>Transformer notre monde:</w:t>
        </w:r>
      </w:hyperlink>
      <w:hyperlink r:id="rId11" w:history="1">
        <w:r>
          <w:rPr>
            <w:rStyle w:val="Hyperlink"/>
            <w:sz w:val="16"/>
          </w:rPr>
          <w:t>le Programme de développement durable à l’horizon 2030 |</w:t>
        </w:r>
      </w:hyperlink>
      <w:hyperlink r:id="rId12" w:history="1">
        <w:r>
          <w:rPr>
            <w:rStyle w:val="Hyperlink"/>
            <w:sz w:val="16"/>
          </w:rPr>
          <w:t>Département des affaires économiques et sociales</w:t>
        </w:r>
      </w:hyperlink>
      <w:r>
        <w:rPr>
          <w:sz w:val="16"/>
        </w:rPr>
        <w:t>.</w:t>
      </w:r>
    </w:p>
  </w:footnote>
  <w:footnote w:id="10">
    <w:p w14:paraId="5DF5D779" w14:textId="755BF4BD" w:rsidR="00136CA4" w:rsidRPr="00626A87" w:rsidRDefault="00136CA4">
      <w:pPr>
        <w:pStyle w:val="FootnoteText"/>
        <w:rPr>
          <w:sz w:val="16"/>
          <w:szCs w:val="16"/>
        </w:rPr>
      </w:pPr>
      <w:r>
        <w:rPr>
          <w:rStyle w:val="FootnoteReference"/>
          <w:sz w:val="16"/>
          <w:szCs w:val="16"/>
        </w:rPr>
        <w:footnoteRef/>
      </w:r>
      <w:r>
        <w:rPr>
          <w:sz w:val="16"/>
        </w:rPr>
        <w:tab/>
        <w:t>Convention sur l’élimination de toutes les formes de discrimination à l’égard des femmes, 18 décembre 1979, article 12.</w:t>
      </w:r>
    </w:p>
  </w:footnote>
  <w:footnote w:id="11">
    <w:p w14:paraId="26050BE3" w14:textId="4656EF58" w:rsidR="00D65CD5" w:rsidRPr="00626A87" w:rsidRDefault="00D65CD5" w:rsidP="00D65CD5">
      <w:pPr>
        <w:pStyle w:val="FootnoteText"/>
        <w:rPr>
          <w:sz w:val="16"/>
          <w:szCs w:val="16"/>
        </w:rPr>
      </w:pPr>
      <w:r>
        <w:rPr>
          <w:rStyle w:val="FootnoteReference"/>
          <w:sz w:val="16"/>
          <w:szCs w:val="16"/>
          <w:lang w:val="en-GB"/>
        </w:rPr>
        <w:footnoteRef/>
      </w:r>
      <w:r>
        <w:rPr>
          <w:sz w:val="16"/>
        </w:rPr>
        <w:t xml:space="preserve"> </w:t>
      </w:r>
      <w:r>
        <w:rPr>
          <w:sz w:val="16"/>
        </w:rPr>
        <w:tab/>
      </w:r>
      <w:hyperlink r:id="rId13" w:history="1">
        <w:r>
          <w:rPr>
            <w:rStyle w:val="Hyperlink"/>
            <w:sz w:val="16"/>
          </w:rPr>
          <w:t>Convention relative aux droits des personnes handicapées</w:t>
        </w:r>
      </w:hyperlink>
      <w:r>
        <w:rPr>
          <w:sz w:val="16"/>
        </w:rPr>
        <w:t xml:space="preserve"> (2006), voir l’article 25.</w:t>
      </w:r>
    </w:p>
  </w:footnote>
  <w:footnote w:id="12">
    <w:p w14:paraId="034B2D22" w14:textId="0C2451EF" w:rsidR="00675F46" w:rsidRPr="00626A87" w:rsidRDefault="00675F46" w:rsidP="00675F46">
      <w:pPr>
        <w:pStyle w:val="FootnoteText"/>
        <w:rPr>
          <w:sz w:val="16"/>
          <w:szCs w:val="16"/>
        </w:rPr>
      </w:pPr>
      <w:r>
        <w:rPr>
          <w:rStyle w:val="FootnoteReference"/>
          <w:sz w:val="16"/>
          <w:szCs w:val="16"/>
          <w:lang w:val="en-GB"/>
        </w:rPr>
        <w:footnoteRef/>
      </w:r>
      <w:r>
        <w:rPr>
          <w:sz w:val="16"/>
        </w:rPr>
        <w:t xml:space="preserve"> </w:t>
      </w:r>
      <w:r>
        <w:rPr>
          <w:sz w:val="16"/>
        </w:rPr>
        <w:tab/>
      </w:r>
      <w:hyperlink r:id="rId14" w:history="1">
        <w:r>
          <w:rPr>
            <w:rStyle w:val="Hyperlink"/>
            <w:sz w:val="16"/>
          </w:rPr>
          <w:t>Lignes directrices sur les soins liés à l’avortement</w:t>
        </w:r>
      </w:hyperlink>
      <w:r>
        <w:t>, Genève:</w:t>
      </w:r>
      <w:r>
        <w:rPr>
          <w:sz w:val="16"/>
        </w:rPr>
        <w:t xml:space="preserve"> Organisation mondiale de la santé; 2022.</w:t>
      </w:r>
    </w:p>
  </w:footnote>
  <w:footnote w:id="13">
    <w:p w14:paraId="6659D9E6" w14:textId="5F111898" w:rsidR="007F57C7" w:rsidRPr="00C11B12" w:rsidRDefault="007F57C7">
      <w:pPr>
        <w:pStyle w:val="FootnoteText"/>
        <w:rPr>
          <w:sz w:val="16"/>
          <w:szCs w:val="16"/>
        </w:rPr>
      </w:pPr>
      <w:r>
        <w:rPr>
          <w:rStyle w:val="FootnoteReference"/>
          <w:sz w:val="16"/>
          <w:szCs w:val="16"/>
          <w:lang w:val="en-GB"/>
        </w:rPr>
        <w:footnoteRef/>
      </w:r>
      <w:r>
        <w:tab/>
      </w:r>
      <w:r>
        <w:rPr>
          <w:sz w:val="16"/>
        </w:rPr>
        <w:t>Voir note 10, p. xix.</w:t>
      </w:r>
    </w:p>
  </w:footnote>
  <w:footnote w:id="14">
    <w:p w14:paraId="354DABDC" w14:textId="76254E34" w:rsidR="00D65CD5" w:rsidRPr="00C11B12" w:rsidRDefault="00D65CD5" w:rsidP="00D65CD5">
      <w:pPr>
        <w:pStyle w:val="FootnoteText"/>
        <w:rPr>
          <w:sz w:val="16"/>
          <w:szCs w:val="16"/>
        </w:rPr>
      </w:pPr>
      <w:r>
        <w:rPr>
          <w:rStyle w:val="FootnoteReference"/>
          <w:sz w:val="16"/>
          <w:szCs w:val="16"/>
          <w:lang w:val="en-GB"/>
        </w:rPr>
        <w:footnoteRef/>
      </w:r>
      <w:r>
        <w:tab/>
      </w:r>
      <w:r>
        <w:rPr>
          <w:sz w:val="16"/>
        </w:rPr>
        <w:t>Voir note 10, p. 1.</w:t>
      </w:r>
    </w:p>
  </w:footnote>
  <w:footnote w:id="15">
    <w:p w14:paraId="2D180F6E" w14:textId="1A67DC70" w:rsidR="005B14A4" w:rsidRPr="00626A87" w:rsidRDefault="005B14A4">
      <w:pPr>
        <w:pStyle w:val="FootnoteText"/>
        <w:rPr>
          <w:sz w:val="16"/>
          <w:szCs w:val="16"/>
        </w:rPr>
      </w:pPr>
      <w:r>
        <w:rPr>
          <w:rStyle w:val="FootnoteReference"/>
          <w:sz w:val="16"/>
          <w:szCs w:val="16"/>
          <w:lang w:val="en-GB"/>
        </w:rPr>
        <w:footnoteRef/>
      </w:r>
      <w:r>
        <w:rPr>
          <w:sz w:val="16"/>
        </w:rPr>
        <w:tab/>
        <w:t>Voir le considérant 26 de la directive sur les droits des patients, ainsi que l’arrêt du 31 janvier 1984 dans les affaires jointes 286/82 et 26/83, Graziana Luisi and Giuseppe Carbone/Ministero del Tesoro, ECLI:EU:C:1984:35; l’arrêt Kohll, C-158/96, point 29 et la jurisprudence ultérieure.</w:t>
      </w:r>
    </w:p>
  </w:footnote>
  <w:footnote w:id="16">
    <w:p w14:paraId="7D8F289F" w14:textId="6B0D5EC4" w:rsidR="000B3153" w:rsidRPr="00626A87" w:rsidRDefault="000B3153" w:rsidP="000B3153">
      <w:pPr>
        <w:pStyle w:val="FootnoteText"/>
        <w:rPr>
          <w:sz w:val="16"/>
          <w:szCs w:val="16"/>
        </w:rPr>
      </w:pPr>
      <w:r>
        <w:rPr>
          <w:rStyle w:val="FootnoteReference"/>
          <w:sz w:val="16"/>
          <w:szCs w:val="16"/>
          <w:lang w:val="en-GB"/>
        </w:rPr>
        <w:footnoteRef/>
      </w:r>
      <w:r>
        <w:rPr>
          <w:rStyle w:val="FootnoteReference"/>
          <w:sz w:val="16"/>
        </w:rPr>
        <w:tab/>
      </w:r>
      <w:r>
        <w:rPr>
          <w:sz w:val="16"/>
        </w:rPr>
        <w:t>Voir l’affaire Grogan (C-159/90), dans laquelle la CJUE a confirmé que les soins liés à l’avortement sont un service en vertu de la législation relative au marché intérieur, ce qui signifie que les citoyens peuvent partir à l’étranger pour y faire pratiquer ces services médicaux.</w:t>
      </w:r>
    </w:p>
  </w:footnote>
  <w:footnote w:id="17">
    <w:p w14:paraId="1D8F1B44" w14:textId="27C666B2" w:rsidR="002F40A4" w:rsidRPr="00626A87" w:rsidRDefault="002F40A4" w:rsidP="00CC5568">
      <w:pPr>
        <w:pStyle w:val="FootnoteText"/>
        <w:rPr>
          <w:sz w:val="16"/>
          <w:szCs w:val="16"/>
        </w:rPr>
      </w:pPr>
      <w:r>
        <w:rPr>
          <w:rStyle w:val="FootnoteReference"/>
          <w:sz w:val="16"/>
          <w:szCs w:val="16"/>
          <w:lang w:val="en-GB"/>
        </w:rPr>
        <w:footnoteRef/>
      </w:r>
      <w:r>
        <w:rPr>
          <w:sz w:val="16"/>
        </w:rPr>
        <w:tab/>
        <w:t>Règlement (UE) 2021/1057 du Parlement européen et du Conseil du 24 juin 2021 instituant le Fonds social européen plus (FSE+) et abrogeant le règlement (UE) nº 1296/2013, JO L 231 du 30.6.2021, p. 21.(ci-après le «règlement FSE+»).</w:t>
      </w:r>
    </w:p>
  </w:footnote>
  <w:footnote w:id="18">
    <w:p w14:paraId="25121E07" w14:textId="20C7F4D4" w:rsidR="002C2F71" w:rsidRPr="00626A87" w:rsidRDefault="002C2F71">
      <w:pPr>
        <w:pStyle w:val="FootnoteText"/>
        <w:rPr>
          <w:sz w:val="16"/>
          <w:szCs w:val="16"/>
        </w:rPr>
      </w:pPr>
      <w:r>
        <w:rPr>
          <w:rStyle w:val="FootnoteReference"/>
          <w:sz w:val="16"/>
          <w:szCs w:val="16"/>
          <w:lang w:val="en-GB"/>
        </w:rPr>
        <w:footnoteRef/>
      </w:r>
      <w:r>
        <w:rPr>
          <w:sz w:val="16"/>
        </w:rPr>
        <w:tab/>
        <w:t>Voir l’article 3 du règlement ESF+.</w:t>
      </w:r>
    </w:p>
  </w:footnote>
  <w:footnote w:id="19">
    <w:p w14:paraId="6A0AA1CF" w14:textId="3F319580" w:rsidR="00F85444" w:rsidRPr="00626A87" w:rsidRDefault="00F85444" w:rsidP="002446FC">
      <w:pPr>
        <w:pStyle w:val="FootnoteText"/>
        <w:rPr>
          <w:sz w:val="16"/>
          <w:szCs w:val="16"/>
        </w:rPr>
      </w:pPr>
      <w:r>
        <w:rPr>
          <w:rStyle w:val="FootnoteReference"/>
          <w:sz w:val="16"/>
          <w:szCs w:val="16"/>
          <w:lang w:val="en-GB"/>
        </w:rPr>
        <w:footnoteRef/>
      </w:r>
      <w:r>
        <w:rPr>
          <w:sz w:val="16"/>
        </w:rPr>
        <w:tab/>
        <w:t>Règlement (UE) 2021/522 du Parlement européen et du Conseil du 24 mars 2021 établissant un programme d’action de l’Union dans le domaine de la santé (programme «L’UE pour la santé») pour la période 2021-2027, et abrogeant le règlement (UE) nº 282/2014 (JO L 107 du 26.3.2021, p. 1).</w:t>
      </w:r>
    </w:p>
  </w:footnote>
  <w:footnote w:id="20">
    <w:p w14:paraId="48BC60EC" w14:textId="0EFF8A6A" w:rsidR="0067055D" w:rsidRPr="00626A87" w:rsidRDefault="0067055D" w:rsidP="0067055D">
      <w:pPr>
        <w:pStyle w:val="FootnoteText"/>
        <w:rPr>
          <w:sz w:val="16"/>
          <w:szCs w:val="16"/>
        </w:rPr>
      </w:pPr>
      <w:r>
        <w:rPr>
          <w:rStyle w:val="FootnoteReference"/>
          <w:sz w:val="16"/>
          <w:szCs w:val="16"/>
          <w:lang w:val="en-GB"/>
        </w:rPr>
        <w:footnoteRef/>
      </w:r>
      <w:r>
        <w:tab/>
      </w:r>
      <w:r>
        <w:rPr>
          <w:sz w:val="16"/>
        </w:rPr>
        <w:t>Voir</w:t>
      </w:r>
      <w:hyperlink r:id="rId15" w:tgtFrame="_blank" w:history="1">
        <w:r>
          <w:rPr>
            <w:rStyle w:val="Hyperlink"/>
            <w:sz w:val="16"/>
          </w:rPr>
          <w:t xml:space="preserve"> Santé et les droits en matière de sexualité et de procréation |</w:t>
        </w:r>
      </w:hyperlink>
      <w:hyperlink r:id="rId16" w:tgtFrame="_blank" w:history="1">
        <w:r>
          <w:rPr>
            <w:rStyle w:val="Hyperlink"/>
            <w:sz w:val="16"/>
          </w:rPr>
          <w:t xml:space="preserve"> HCDH</w:t>
        </w:r>
      </w:hyperlink>
      <w:r>
        <w:rPr>
          <w:sz w:val="16"/>
        </w:rPr>
        <w:t>.</w:t>
      </w:r>
    </w:p>
  </w:footnote>
  <w:footnote w:id="21">
    <w:p w14:paraId="06824B4F" w14:textId="50F06F7E" w:rsidR="00E97C3E" w:rsidRPr="00E97C3E" w:rsidRDefault="00E97C3E">
      <w:pPr>
        <w:pStyle w:val="FootnoteText"/>
        <w:rPr>
          <w:sz w:val="16"/>
          <w:szCs w:val="16"/>
        </w:rPr>
      </w:pPr>
      <w:r>
        <w:rPr>
          <w:rStyle w:val="FootnoteReference"/>
          <w:sz w:val="16"/>
          <w:szCs w:val="16"/>
        </w:rPr>
        <w:footnoteRef/>
      </w:r>
      <w:r>
        <w:rPr>
          <w:sz w:val="16"/>
        </w:rPr>
        <w:tab/>
        <w:t>Résolution du Parlement européen du 17 décembre 2025 sur l’initiative citoyenne européenne «My Voice, My Choice: pour un avortement sans danger et accessible»</w:t>
      </w:r>
      <w:r>
        <w:t xml:space="preserve"> </w:t>
      </w:r>
      <w:hyperlink r:id="rId17" w:history="1">
        <w:r>
          <w:rPr>
            <w:rStyle w:val="Hyperlink"/>
            <w:sz w:val="16"/>
          </w:rPr>
          <w:t>https://www.europarl.europa.eu/doceo/document/TA-10-2025-0338_FR.html</w:t>
        </w:r>
      </w:hyperlink>
      <w:r>
        <w:t>.</w:t>
      </w:r>
    </w:p>
  </w:footnote>
  <w:footnote w:id="22">
    <w:p w14:paraId="3E669A8A" w14:textId="68E6C5E4" w:rsidR="0082055B" w:rsidRPr="00626A87" w:rsidRDefault="0082055B">
      <w:pPr>
        <w:pStyle w:val="FootnoteText"/>
        <w:rPr>
          <w:sz w:val="16"/>
          <w:szCs w:val="16"/>
        </w:rPr>
      </w:pPr>
      <w:r>
        <w:rPr>
          <w:rStyle w:val="FootnoteReference"/>
          <w:sz w:val="16"/>
          <w:szCs w:val="16"/>
          <w:lang w:val="en-GB"/>
        </w:rPr>
        <w:footnoteRef/>
      </w:r>
      <w:r>
        <w:rPr>
          <w:sz w:val="16"/>
        </w:rPr>
        <w:tab/>
        <w:t xml:space="preserve">Espagne, Belgique, Tchéquie, Danemark, Allemagne, Estonie, Grèce, France, Italie, Luxembourg, Pays-Bas, Portugal, Slovénie, Finlande, Suède, Irlande. </w:t>
      </w:r>
    </w:p>
  </w:footnote>
  <w:footnote w:id="23">
    <w:p w14:paraId="7A6EEB31"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 xml:space="preserve">Ganatra B, Gerdts C, Rossier C, Johnson BR, Tunçalp Ö, Assifi A, et al. </w:t>
      </w:r>
      <w:r w:rsidRPr="00F51D8F">
        <w:rPr>
          <w:sz w:val="16"/>
          <w:lang w:val="en-GB"/>
        </w:rPr>
        <w:t xml:space="preserve">Global, regional, and subregional classification of abortions by safety, 2010-14: estimates from a Bayesian hierarchical model. </w:t>
      </w:r>
      <w:r>
        <w:rPr>
          <w:sz w:val="16"/>
        </w:rPr>
        <w:t>Lancet. 2017;390(10110):2372-81.</w:t>
      </w:r>
    </w:p>
  </w:footnote>
  <w:footnote w:id="24">
    <w:p w14:paraId="0C41C205"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Lignes directrices sur les soins liés à l’avortement. OMS, 2022: https://www.who.int/fr/publications/i/item/9789240039483.</w:t>
      </w:r>
    </w:p>
  </w:footnote>
  <w:footnote w:id="25">
    <w:p w14:paraId="51BD002C"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Voir l’ICE, sous «Objectifs de l’initiative».</w:t>
      </w:r>
    </w:p>
  </w:footnote>
  <w:footnote w:id="26">
    <w:p w14:paraId="5ABC8754"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Comme il a été expliqué plus en détail à la Commission, le 1</w:t>
      </w:r>
      <w:r>
        <w:rPr>
          <w:sz w:val="16"/>
          <w:vertAlign w:val="superscript"/>
        </w:rPr>
        <w:t>er</w:t>
      </w:r>
      <w:r>
        <w:rPr>
          <w:sz w:val="16"/>
        </w:rPr>
        <w:t> octobre 2025, et au Parlement européen, le 2 décembre 2025.</w:t>
      </w:r>
    </w:p>
  </w:footnote>
  <w:footnote w:id="27">
    <w:p w14:paraId="0DA07836" w14:textId="77777777" w:rsidR="009C0987" w:rsidRPr="00783018" w:rsidRDefault="009C0987" w:rsidP="009C0987">
      <w:pPr>
        <w:pStyle w:val="FootnoteText"/>
        <w:spacing w:line="240" w:lineRule="auto"/>
        <w:ind w:left="284" w:hanging="284"/>
        <w:rPr>
          <w:rFonts w:eastAsiaTheme="minorHAnsi"/>
          <w:sz w:val="16"/>
          <w:szCs w:val="16"/>
          <w:vertAlign w:val="superscript"/>
        </w:rPr>
      </w:pPr>
      <w:r>
        <w:rPr>
          <w:rStyle w:val="FootnoteReference"/>
          <w:sz w:val="16"/>
          <w:szCs w:val="16"/>
          <w:lang w:val="en-GB"/>
        </w:rPr>
        <w:footnoteRef/>
      </w:r>
      <w:r>
        <w:rPr>
          <w:sz w:val="16"/>
        </w:rPr>
        <w:t xml:space="preserve"> </w:t>
      </w:r>
      <w:r>
        <w:tab/>
      </w:r>
      <w:r>
        <w:rPr>
          <w:sz w:val="16"/>
        </w:rPr>
        <w:t xml:space="preserve">Décision d’exécution (UE) 2024/1158 de la Commission du 10 avril 2024 relative à la demande d’enregistrement, en application du règlement (UE) 2019/788 du Parlement européen et du Conseil, de l’initiative citoyenne européenne intitulée «My Voice, My Choice: pour un avortement sans danger et accessible», ELI: </w:t>
      </w:r>
      <w:hyperlink r:id="rId18" w:tooltip="Permet d’accéder à ce document par l’intermédiaire de son URI ELI." w:history="1">
        <w:r>
          <w:rPr>
            <w:rStyle w:val="Hyperlink"/>
            <w:sz w:val="16"/>
          </w:rPr>
          <w:t>http://data.europa.eu/eli/reg_impl/2024/1158/oj</w:t>
        </w:r>
      </w:hyperlink>
      <w:r>
        <w:t xml:space="preserve"> (considérant 8 in fine).</w:t>
      </w:r>
    </w:p>
  </w:footnote>
  <w:footnote w:id="28">
    <w:p w14:paraId="60306929"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(le «règlement portant dispositions communes»).</w:t>
      </w:r>
    </w:p>
  </w:footnote>
  <w:footnote w:id="29">
    <w:p w14:paraId="3C3F36EA" w14:textId="77777777" w:rsidR="009C0987" w:rsidRPr="00626A87" w:rsidRDefault="009C0987" w:rsidP="009C0987">
      <w:pPr>
        <w:pStyle w:val="FootnoteText"/>
        <w:rPr>
          <w:sz w:val="16"/>
          <w:szCs w:val="16"/>
        </w:rPr>
      </w:pPr>
      <w:r>
        <w:rPr>
          <w:rStyle w:val="FootnoteReference"/>
          <w:sz w:val="16"/>
          <w:szCs w:val="16"/>
          <w:lang w:val="en-GB"/>
        </w:rPr>
        <w:footnoteRef/>
      </w:r>
      <w:r>
        <w:rPr>
          <w:sz w:val="16"/>
        </w:rPr>
        <w:t xml:space="preserve"> </w:t>
      </w:r>
      <w:r>
        <w:tab/>
      </w:r>
      <w:r>
        <w:rPr>
          <w:sz w:val="16"/>
        </w:rPr>
        <w:t>Précité à la note 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05CF8" w14:textId="77777777" w:rsidR="00757A1C" w:rsidRPr="00757A1C" w:rsidRDefault="00757A1C" w:rsidP="00757A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D74FB" w14:textId="77777777" w:rsidR="00757A1C" w:rsidRPr="00757A1C" w:rsidRDefault="00757A1C" w:rsidP="00757A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CC069" w14:textId="77777777" w:rsidR="00757A1C" w:rsidRPr="00757A1C" w:rsidRDefault="00757A1C" w:rsidP="00757A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B4FA7" w14:textId="77777777" w:rsidR="00E8560A" w:rsidRPr="00D77827" w:rsidRDefault="00E85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BE89B" w14:textId="77777777" w:rsidR="00E8560A" w:rsidRPr="00D77827" w:rsidRDefault="00E856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A439B" w14:textId="77777777" w:rsidR="00E8560A" w:rsidRPr="00D77827" w:rsidRDefault="00E85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207B9"/>
    <w:multiLevelType w:val="hybridMultilevel"/>
    <w:tmpl w:val="AB9637E2"/>
    <w:lvl w:ilvl="0" w:tplc="D4B001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F734306"/>
    <w:multiLevelType w:val="multilevel"/>
    <w:tmpl w:val="E4DA2AFA"/>
    <w:lvl w:ilvl="0">
      <w:start w:val="1"/>
      <w:numFmt w:val="decimal"/>
      <w:pStyle w:val="Heading1"/>
      <w:lvlText w:val="%1."/>
      <w:lvlJc w:val="left"/>
      <w:pPr>
        <w:tabs>
          <w:tab w:val="num" w:pos="480"/>
        </w:tabs>
        <w:ind w:left="480" w:hanging="480"/>
      </w:pPr>
      <w:rPr>
        <w:rFonts w:hint="default"/>
        <w:color w:val="auto"/>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68F7EEE"/>
    <w:multiLevelType w:val="hybridMultilevel"/>
    <w:tmpl w:val="6E368FDC"/>
    <w:lvl w:ilvl="0" w:tplc="7A7093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2B07D9"/>
    <w:multiLevelType w:val="hybridMultilevel"/>
    <w:tmpl w:val="88CA340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47D27"/>
    <w:multiLevelType w:val="hybridMultilevel"/>
    <w:tmpl w:val="4CC820A8"/>
    <w:lvl w:ilvl="0" w:tplc="833E62DC">
      <w:start w:val="2"/>
      <w:numFmt w:val="lowerLetter"/>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826E63"/>
    <w:multiLevelType w:val="hybridMultilevel"/>
    <w:tmpl w:val="B3508B60"/>
    <w:lvl w:ilvl="0" w:tplc="20863676">
      <w:numFmt w:val="bullet"/>
      <w:lvlText w:val="-"/>
      <w:lvlJc w:val="left"/>
      <w:pPr>
        <w:ind w:left="720" w:hanging="360"/>
      </w:pPr>
      <w:rPr>
        <w:rFonts w:ascii="Times New Roman" w:eastAsiaTheme="minorHAnsi" w:hAnsi="Times New Roman" w:cs="Times New Roman" w:hint="default"/>
        <w:i/>
        <w:color w:val="FF0000"/>
        <w:sz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2B76E64"/>
    <w:multiLevelType w:val="hybridMultilevel"/>
    <w:tmpl w:val="5FEC78EA"/>
    <w:lvl w:ilvl="0" w:tplc="38E2B4EE">
      <w:start w:val="1"/>
      <w:numFmt w:val="bullet"/>
      <w:lvlText w:val=""/>
      <w:lvlJc w:val="left"/>
      <w:pPr>
        <w:ind w:left="720" w:hanging="360"/>
      </w:pPr>
      <w:rPr>
        <w:rFonts w:ascii="Symbol" w:hAnsi="Symbol"/>
      </w:rPr>
    </w:lvl>
    <w:lvl w:ilvl="1" w:tplc="C62C3B30">
      <w:start w:val="1"/>
      <w:numFmt w:val="bullet"/>
      <w:lvlText w:val=""/>
      <w:lvlJc w:val="left"/>
      <w:pPr>
        <w:ind w:left="720" w:hanging="360"/>
      </w:pPr>
      <w:rPr>
        <w:rFonts w:ascii="Symbol" w:hAnsi="Symbol"/>
      </w:rPr>
    </w:lvl>
    <w:lvl w:ilvl="2" w:tplc="F2A2EE32">
      <w:start w:val="1"/>
      <w:numFmt w:val="bullet"/>
      <w:lvlText w:val=""/>
      <w:lvlJc w:val="left"/>
      <w:pPr>
        <w:ind w:left="720" w:hanging="360"/>
      </w:pPr>
      <w:rPr>
        <w:rFonts w:ascii="Symbol" w:hAnsi="Symbol"/>
      </w:rPr>
    </w:lvl>
    <w:lvl w:ilvl="3" w:tplc="9E96667E">
      <w:start w:val="1"/>
      <w:numFmt w:val="bullet"/>
      <w:lvlText w:val=""/>
      <w:lvlJc w:val="left"/>
      <w:pPr>
        <w:ind w:left="720" w:hanging="360"/>
      </w:pPr>
      <w:rPr>
        <w:rFonts w:ascii="Symbol" w:hAnsi="Symbol"/>
      </w:rPr>
    </w:lvl>
    <w:lvl w:ilvl="4" w:tplc="5D38CC0E">
      <w:start w:val="1"/>
      <w:numFmt w:val="bullet"/>
      <w:lvlText w:val=""/>
      <w:lvlJc w:val="left"/>
      <w:pPr>
        <w:ind w:left="720" w:hanging="360"/>
      </w:pPr>
      <w:rPr>
        <w:rFonts w:ascii="Symbol" w:hAnsi="Symbol"/>
      </w:rPr>
    </w:lvl>
    <w:lvl w:ilvl="5" w:tplc="EC5AC57A">
      <w:start w:val="1"/>
      <w:numFmt w:val="bullet"/>
      <w:lvlText w:val=""/>
      <w:lvlJc w:val="left"/>
      <w:pPr>
        <w:ind w:left="720" w:hanging="360"/>
      </w:pPr>
      <w:rPr>
        <w:rFonts w:ascii="Symbol" w:hAnsi="Symbol"/>
      </w:rPr>
    </w:lvl>
    <w:lvl w:ilvl="6" w:tplc="55086718">
      <w:start w:val="1"/>
      <w:numFmt w:val="bullet"/>
      <w:lvlText w:val=""/>
      <w:lvlJc w:val="left"/>
      <w:pPr>
        <w:ind w:left="720" w:hanging="360"/>
      </w:pPr>
      <w:rPr>
        <w:rFonts w:ascii="Symbol" w:hAnsi="Symbol"/>
      </w:rPr>
    </w:lvl>
    <w:lvl w:ilvl="7" w:tplc="8D742F4A">
      <w:start w:val="1"/>
      <w:numFmt w:val="bullet"/>
      <w:lvlText w:val=""/>
      <w:lvlJc w:val="left"/>
      <w:pPr>
        <w:ind w:left="720" w:hanging="360"/>
      </w:pPr>
      <w:rPr>
        <w:rFonts w:ascii="Symbol" w:hAnsi="Symbol"/>
      </w:rPr>
    </w:lvl>
    <w:lvl w:ilvl="8" w:tplc="70A852E4">
      <w:start w:val="1"/>
      <w:numFmt w:val="bullet"/>
      <w:lvlText w:val=""/>
      <w:lvlJc w:val="left"/>
      <w:pPr>
        <w:ind w:left="720" w:hanging="360"/>
      </w:pPr>
      <w:rPr>
        <w:rFonts w:ascii="Symbol" w:hAnsi="Symbol"/>
      </w:rPr>
    </w:lvl>
  </w:abstractNum>
  <w:abstractNum w:abstractNumId="8" w15:restartNumberingAfterBreak="0">
    <w:nsid w:val="52D6138D"/>
    <w:multiLevelType w:val="hybridMultilevel"/>
    <w:tmpl w:val="629C705E"/>
    <w:lvl w:ilvl="0" w:tplc="5504CE66">
      <w:start w:val="1"/>
      <w:numFmt w:val="bullet"/>
      <w:lvlText w:val=""/>
      <w:lvlJc w:val="left"/>
      <w:pPr>
        <w:ind w:left="1440" w:hanging="360"/>
      </w:pPr>
      <w:rPr>
        <w:rFonts w:ascii="Symbol" w:hAnsi="Symbol"/>
      </w:rPr>
    </w:lvl>
    <w:lvl w:ilvl="1" w:tplc="D63C676C">
      <w:start w:val="1"/>
      <w:numFmt w:val="bullet"/>
      <w:lvlText w:val=""/>
      <w:lvlJc w:val="left"/>
      <w:pPr>
        <w:ind w:left="1440" w:hanging="360"/>
      </w:pPr>
      <w:rPr>
        <w:rFonts w:ascii="Symbol" w:hAnsi="Symbol"/>
      </w:rPr>
    </w:lvl>
    <w:lvl w:ilvl="2" w:tplc="35F0BF32">
      <w:start w:val="1"/>
      <w:numFmt w:val="bullet"/>
      <w:lvlText w:val=""/>
      <w:lvlJc w:val="left"/>
      <w:pPr>
        <w:ind w:left="1440" w:hanging="360"/>
      </w:pPr>
      <w:rPr>
        <w:rFonts w:ascii="Symbol" w:hAnsi="Symbol"/>
      </w:rPr>
    </w:lvl>
    <w:lvl w:ilvl="3" w:tplc="7524534E">
      <w:start w:val="1"/>
      <w:numFmt w:val="bullet"/>
      <w:lvlText w:val=""/>
      <w:lvlJc w:val="left"/>
      <w:pPr>
        <w:ind w:left="1440" w:hanging="360"/>
      </w:pPr>
      <w:rPr>
        <w:rFonts w:ascii="Symbol" w:hAnsi="Symbol"/>
      </w:rPr>
    </w:lvl>
    <w:lvl w:ilvl="4" w:tplc="38A2F31C">
      <w:start w:val="1"/>
      <w:numFmt w:val="bullet"/>
      <w:lvlText w:val=""/>
      <w:lvlJc w:val="left"/>
      <w:pPr>
        <w:ind w:left="1440" w:hanging="360"/>
      </w:pPr>
      <w:rPr>
        <w:rFonts w:ascii="Symbol" w:hAnsi="Symbol"/>
      </w:rPr>
    </w:lvl>
    <w:lvl w:ilvl="5" w:tplc="1B284DF8">
      <w:start w:val="1"/>
      <w:numFmt w:val="bullet"/>
      <w:lvlText w:val=""/>
      <w:lvlJc w:val="left"/>
      <w:pPr>
        <w:ind w:left="1440" w:hanging="360"/>
      </w:pPr>
      <w:rPr>
        <w:rFonts w:ascii="Symbol" w:hAnsi="Symbol"/>
      </w:rPr>
    </w:lvl>
    <w:lvl w:ilvl="6" w:tplc="9FE46B0C">
      <w:start w:val="1"/>
      <w:numFmt w:val="bullet"/>
      <w:lvlText w:val=""/>
      <w:lvlJc w:val="left"/>
      <w:pPr>
        <w:ind w:left="1440" w:hanging="360"/>
      </w:pPr>
      <w:rPr>
        <w:rFonts w:ascii="Symbol" w:hAnsi="Symbol"/>
      </w:rPr>
    </w:lvl>
    <w:lvl w:ilvl="7" w:tplc="232830A6">
      <w:start w:val="1"/>
      <w:numFmt w:val="bullet"/>
      <w:lvlText w:val=""/>
      <w:lvlJc w:val="left"/>
      <w:pPr>
        <w:ind w:left="1440" w:hanging="360"/>
      </w:pPr>
      <w:rPr>
        <w:rFonts w:ascii="Symbol" w:hAnsi="Symbol"/>
      </w:rPr>
    </w:lvl>
    <w:lvl w:ilvl="8" w:tplc="9CB421F6">
      <w:start w:val="1"/>
      <w:numFmt w:val="bullet"/>
      <w:lvlText w:val=""/>
      <w:lvlJc w:val="left"/>
      <w:pPr>
        <w:ind w:left="1440" w:hanging="360"/>
      </w:pPr>
      <w:rPr>
        <w:rFonts w:ascii="Symbol" w:hAnsi="Symbol"/>
      </w:rPr>
    </w:lvl>
  </w:abstractNum>
  <w:abstractNum w:abstractNumId="9" w15:restartNumberingAfterBreak="0">
    <w:nsid w:val="57C13F26"/>
    <w:multiLevelType w:val="hybridMultilevel"/>
    <w:tmpl w:val="2CA633E6"/>
    <w:lvl w:ilvl="0" w:tplc="BD96B5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420EF5"/>
    <w:multiLevelType w:val="hybridMultilevel"/>
    <w:tmpl w:val="E9F062EC"/>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AE9579F"/>
    <w:multiLevelType w:val="hybridMultilevel"/>
    <w:tmpl w:val="1CBA7D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FA51CA"/>
    <w:multiLevelType w:val="hybridMultilevel"/>
    <w:tmpl w:val="C324B8D6"/>
    <w:lvl w:ilvl="0" w:tplc="6BA058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2D5722"/>
    <w:multiLevelType w:val="hybridMultilevel"/>
    <w:tmpl w:val="AB9637E2"/>
    <w:lvl w:ilvl="0" w:tplc="FFFFFFFF">
      <w:start w:val="1"/>
      <w:numFmt w:val="lowerLetter"/>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560FB6"/>
    <w:multiLevelType w:val="hybridMultilevel"/>
    <w:tmpl w:val="B826FD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5EBEE57"/>
    <w:multiLevelType w:val="hybridMultilevel"/>
    <w:tmpl w:val="3BCE966C"/>
    <w:lvl w:ilvl="0" w:tplc="1592FD66">
      <w:start w:val="1"/>
      <w:numFmt w:val="bullet"/>
      <w:lvlText w:val="-"/>
      <w:lvlJc w:val="left"/>
      <w:pPr>
        <w:ind w:left="720" w:hanging="360"/>
      </w:pPr>
      <w:rPr>
        <w:rFonts w:ascii="Aptos" w:hAnsi="Aptos" w:hint="default"/>
      </w:rPr>
    </w:lvl>
    <w:lvl w:ilvl="1" w:tplc="C0C0327A">
      <w:start w:val="1"/>
      <w:numFmt w:val="bullet"/>
      <w:lvlText w:val="o"/>
      <w:lvlJc w:val="left"/>
      <w:pPr>
        <w:ind w:left="1440" w:hanging="360"/>
      </w:pPr>
      <w:rPr>
        <w:rFonts w:ascii="Courier New" w:hAnsi="Courier New" w:hint="default"/>
      </w:rPr>
    </w:lvl>
    <w:lvl w:ilvl="2" w:tplc="013CBF14">
      <w:start w:val="1"/>
      <w:numFmt w:val="bullet"/>
      <w:lvlText w:val=""/>
      <w:lvlJc w:val="left"/>
      <w:pPr>
        <w:ind w:left="2160" w:hanging="360"/>
      </w:pPr>
      <w:rPr>
        <w:rFonts w:ascii="Wingdings" w:hAnsi="Wingdings" w:hint="default"/>
      </w:rPr>
    </w:lvl>
    <w:lvl w:ilvl="3" w:tplc="11E615C6">
      <w:start w:val="1"/>
      <w:numFmt w:val="bullet"/>
      <w:lvlText w:val=""/>
      <w:lvlJc w:val="left"/>
      <w:pPr>
        <w:ind w:left="2880" w:hanging="360"/>
      </w:pPr>
      <w:rPr>
        <w:rFonts w:ascii="Symbol" w:hAnsi="Symbol" w:hint="default"/>
      </w:rPr>
    </w:lvl>
    <w:lvl w:ilvl="4" w:tplc="B290B2B4">
      <w:start w:val="1"/>
      <w:numFmt w:val="bullet"/>
      <w:lvlText w:val="o"/>
      <w:lvlJc w:val="left"/>
      <w:pPr>
        <w:ind w:left="3600" w:hanging="360"/>
      </w:pPr>
      <w:rPr>
        <w:rFonts w:ascii="Courier New" w:hAnsi="Courier New" w:hint="default"/>
      </w:rPr>
    </w:lvl>
    <w:lvl w:ilvl="5" w:tplc="39DACCB8">
      <w:start w:val="1"/>
      <w:numFmt w:val="bullet"/>
      <w:lvlText w:val=""/>
      <w:lvlJc w:val="left"/>
      <w:pPr>
        <w:ind w:left="4320" w:hanging="360"/>
      </w:pPr>
      <w:rPr>
        <w:rFonts w:ascii="Wingdings" w:hAnsi="Wingdings" w:hint="default"/>
      </w:rPr>
    </w:lvl>
    <w:lvl w:ilvl="6" w:tplc="684EE7EE">
      <w:start w:val="1"/>
      <w:numFmt w:val="bullet"/>
      <w:lvlText w:val=""/>
      <w:lvlJc w:val="left"/>
      <w:pPr>
        <w:ind w:left="5040" w:hanging="360"/>
      </w:pPr>
      <w:rPr>
        <w:rFonts w:ascii="Symbol" w:hAnsi="Symbol" w:hint="default"/>
      </w:rPr>
    </w:lvl>
    <w:lvl w:ilvl="7" w:tplc="133C4340">
      <w:start w:val="1"/>
      <w:numFmt w:val="bullet"/>
      <w:lvlText w:val="o"/>
      <w:lvlJc w:val="left"/>
      <w:pPr>
        <w:ind w:left="5760" w:hanging="360"/>
      </w:pPr>
      <w:rPr>
        <w:rFonts w:ascii="Courier New" w:hAnsi="Courier New" w:hint="default"/>
      </w:rPr>
    </w:lvl>
    <w:lvl w:ilvl="8" w:tplc="58169B54">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4"/>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 w:numId="16">
    <w:abstractNumId w:val="7"/>
  </w:num>
  <w:num w:numId="17">
    <w:abstractNumId w:val="2"/>
  </w:num>
  <w:num w:numId="18">
    <w:abstractNumId w:val="2"/>
  </w:num>
  <w:num w:numId="19">
    <w:abstractNumId w:val="3"/>
  </w:num>
  <w:num w:numId="20">
    <w:abstractNumId w:val="12"/>
  </w:num>
  <w:num w:numId="21">
    <w:abstractNumId w:val="9"/>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
  </w:num>
  <w:num w:numId="25">
    <w:abstractNumId w:val="0"/>
  </w:num>
  <w:num w:numId="26">
    <w:abstractNumId w:val="2"/>
  </w:num>
  <w:num w:numId="27">
    <w:abstractNumId w:val="14"/>
  </w:num>
  <w:num w:numId="28">
    <w:abstractNumId w:val="10"/>
  </w:num>
  <w:num w:numId="29">
    <w:abstractNumId w:val="13"/>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Move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37EC58B-D653-4048-8695-E73423DC6B7A"/>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xelles, le "/>
    <w:docVar w:name="LW_EMISSION_SUFFIX" w:val=" "/>
    <w:docVar w:name="LW_ID_DOCTYPE_NONLW" w:val="CP-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3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initiative citoyenne européenne (ICE) «My Voice, My Choice: pour un avortement sans danger et accessible»_x000d__x000d__x000d__x000d__x000d__x000d__x000d__x000d__x000d__x000b__x000d__x000d__x000d__x000d__x000d__x000d__x000d__x000d__x000d__x000b_"/>
    <w:docVar w:name="LW_TYPE.DOC.CP" w:val="COMMUNICATION DE LA COMMISSION"/>
    <w:docVar w:name="LW_TYPE.DOC.CP.USERTEXT" w:val="&lt;EMPTY&gt;"/>
    <w:docVar w:name="LwApiVersions" w:val="LW4CoDe 1.24.5.0; LW 9.2, Build 20251112"/>
  </w:docVars>
  <w:rsids>
    <w:rsidRoot w:val="00CA159E"/>
    <w:rsid w:val="000005E3"/>
    <w:rsid w:val="00000C2A"/>
    <w:rsid w:val="00000CE5"/>
    <w:rsid w:val="00000DB2"/>
    <w:rsid w:val="00000F37"/>
    <w:rsid w:val="000012DC"/>
    <w:rsid w:val="000015B5"/>
    <w:rsid w:val="0000179E"/>
    <w:rsid w:val="000019F5"/>
    <w:rsid w:val="00001C65"/>
    <w:rsid w:val="00001D56"/>
    <w:rsid w:val="00001D89"/>
    <w:rsid w:val="000020DD"/>
    <w:rsid w:val="0000259A"/>
    <w:rsid w:val="00002AB8"/>
    <w:rsid w:val="00002C9F"/>
    <w:rsid w:val="00002DB2"/>
    <w:rsid w:val="00003D3A"/>
    <w:rsid w:val="00004055"/>
    <w:rsid w:val="000049FF"/>
    <w:rsid w:val="000059BB"/>
    <w:rsid w:val="00005DF4"/>
    <w:rsid w:val="00006277"/>
    <w:rsid w:val="000074C3"/>
    <w:rsid w:val="00007AC2"/>
    <w:rsid w:val="00007BE7"/>
    <w:rsid w:val="00007EA4"/>
    <w:rsid w:val="00010B51"/>
    <w:rsid w:val="00010C88"/>
    <w:rsid w:val="00010D5A"/>
    <w:rsid w:val="000110CA"/>
    <w:rsid w:val="00011C00"/>
    <w:rsid w:val="00012141"/>
    <w:rsid w:val="000125C8"/>
    <w:rsid w:val="0001267E"/>
    <w:rsid w:val="00012704"/>
    <w:rsid w:val="0001273D"/>
    <w:rsid w:val="00012770"/>
    <w:rsid w:val="00013675"/>
    <w:rsid w:val="00014470"/>
    <w:rsid w:val="00014725"/>
    <w:rsid w:val="000147FD"/>
    <w:rsid w:val="00015400"/>
    <w:rsid w:val="0001541A"/>
    <w:rsid w:val="00015565"/>
    <w:rsid w:val="000157E0"/>
    <w:rsid w:val="00016051"/>
    <w:rsid w:val="000164E9"/>
    <w:rsid w:val="000171CE"/>
    <w:rsid w:val="000172F5"/>
    <w:rsid w:val="000179D2"/>
    <w:rsid w:val="00020749"/>
    <w:rsid w:val="00020A69"/>
    <w:rsid w:val="00021327"/>
    <w:rsid w:val="00022339"/>
    <w:rsid w:val="0002234B"/>
    <w:rsid w:val="00022393"/>
    <w:rsid w:val="00022403"/>
    <w:rsid w:val="0002242E"/>
    <w:rsid w:val="00022884"/>
    <w:rsid w:val="00022A72"/>
    <w:rsid w:val="00022B5E"/>
    <w:rsid w:val="00022BF5"/>
    <w:rsid w:val="00023432"/>
    <w:rsid w:val="00023E64"/>
    <w:rsid w:val="00023F67"/>
    <w:rsid w:val="00024092"/>
    <w:rsid w:val="00024BC5"/>
    <w:rsid w:val="0002525D"/>
    <w:rsid w:val="00025425"/>
    <w:rsid w:val="00025EB5"/>
    <w:rsid w:val="00025EBF"/>
    <w:rsid w:val="00026567"/>
    <w:rsid w:val="00026E0A"/>
    <w:rsid w:val="00026FFF"/>
    <w:rsid w:val="0002725D"/>
    <w:rsid w:val="00027E00"/>
    <w:rsid w:val="000307E4"/>
    <w:rsid w:val="00030C03"/>
    <w:rsid w:val="00030F4F"/>
    <w:rsid w:val="00031458"/>
    <w:rsid w:val="000314A5"/>
    <w:rsid w:val="00031FF3"/>
    <w:rsid w:val="0003246F"/>
    <w:rsid w:val="000325AC"/>
    <w:rsid w:val="00032B01"/>
    <w:rsid w:val="000332E3"/>
    <w:rsid w:val="000339A0"/>
    <w:rsid w:val="00033CB0"/>
    <w:rsid w:val="0003422A"/>
    <w:rsid w:val="00034884"/>
    <w:rsid w:val="00034EC7"/>
    <w:rsid w:val="00035595"/>
    <w:rsid w:val="00035DAC"/>
    <w:rsid w:val="00036007"/>
    <w:rsid w:val="000365B0"/>
    <w:rsid w:val="0003680A"/>
    <w:rsid w:val="00037D28"/>
    <w:rsid w:val="00037F06"/>
    <w:rsid w:val="000403BE"/>
    <w:rsid w:val="00040D1E"/>
    <w:rsid w:val="00040DCF"/>
    <w:rsid w:val="000416B3"/>
    <w:rsid w:val="00041773"/>
    <w:rsid w:val="000417E3"/>
    <w:rsid w:val="00041849"/>
    <w:rsid w:val="000419D2"/>
    <w:rsid w:val="00041A88"/>
    <w:rsid w:val="00041DF2"/>
    <w:rsid w:val="0004253F"/>
    <w:rsid w:val="00042EA7"/>
    <w:rsid w:val="0004309C"/>
    <w:rsid w:val="0004334C"/>
    <w:rsid w:val="00043D90"/>
    <w:rsid w:val="00043EAC"/>
    <w:rsid w:val="000442E9"/>
    <w:rsid w:val="0004459E"/>
    <w:rsid w:val="0004468C"/>
    <w:rsid w:val="00045017"/>
    <w:rsid w:val="00045877"/>
    <w:rsid w:val="00045F5F"/>
    <w:rsid w:val="000464AB"/>
    <w:rsid w:val="00046CBC"/>
    <w:rsid w:val="000470B2"/>
    <w:rsid w:val="0004751D"/>
    <w:rsid w:val="0004798C"/>
    <w:rsid w:val="00047FE2"/>
    <w:rsid w:val="000503E5"/>
    <w:rsid w:val="00050855"/>
    <w:rsid w:val="00050A02"/>
    <w:rsid w:val="00050CDA"/>
    <w:rsid w:val="00050E11"/>
    <w:rsid w:val="00050FBF"/>
    <w:rsid w:val="00051855"/>
    <w:rsid w:val="000523E6"/>
    <w:rsid w:val="00052D7D"/>
    <w:rsid w:val="00052E47"/>
    <w:rsid w:val="00053538"/>
    <w:rsid w:val="0005359C"/>
    <w:rsid w:val="00054057"/>
    <w:rsid w:val="00054147"/>
    <w:rsid w:val="00054195"/>
    <w:rsid w:val="000542A5"/>
    <w:rsid w:val="000544AE"/>
    <w:rsid w:val="00054885"/>
    <w:rsid w:val="00054C68"/>
    <w:rsid w:val="00054CBF"/>
    <w:rsid w:val="000551F5"/>
    <w:rsid w:val="000555DD"/>
    <w:rsid w:val="00055D81"/>
    <w:rsid w:val="00056E19"/>
    <w:rsid w:val="000571A2"/>
    <w:rsid w:val="000576FB"/>
    <w:rsid w:val="0005783E"/>
    <w:rsid w:val="00057B99"/>
    <w:rsid w:val="00057B9C"/>
    <w:rsid w:val="00057D9D"/>
    <w:rsid w:val="00057FEF"/>
    <w:rsid w:val="0006071D"/>
    <w:rsid w:val="00060811"/>
    <w:rsid w:val="000618A8"/>
    <w:rsid w:val="00061A40"/>
    <w:rsid w:val="00061E81"/>
    <w:rsid w:val="00062337"/>
    <w:rsid w:val="000628D8"/>
    <w:rsid w:val="00062A34"/>
    <w:rsid w:val="00062A8B"/>
    <w:rsid w:val="00062EE4"/>
    <w:rsid w:val="00063602"/>
    <w:rsid w:val="0006366C"/>
    <w:rsid w:val="00063CBE"/>
    <w:rsid w:val="00063DC4"/>
    <w:rsid w:val="000644CB"/>
    <w:rsid w:val="00065020"/>
    <w:rsid w:val="00065F18"/>
    <w:rsid w:val="000662C0"/>
    <w:rsid w:val="000668F6"/>
    <w:rsid w:val="00066A14"/>
    <w:rsid w:val="00066EFA"/>
    <w:rsid w:val="00067012"/>
    <w:rsid w:val="00067EFC"/>
    <w:rsid w:val="00067FD7"/>
    <w:rsid w:val="0007054A"/>
    <w:rsid w:val="00070A1F"/>
    <w:rsid w:val="000714DB"/>
    <w:rsid w:val="00071B7D"/>
    <w:rsid w:val="00071D30"/>
    <w:rsid w:val="000727F9"/>
    <w:rsid w:val="00073419"/>
    <w:rsid w:val="00073A66"/>
    <w:rsid w:val="00073BAE"/>
    <w:rsid w:val="00073D9B"/>
    <w:rsid w:val="000740A1"/>
    <w:rsid w:val="00074556"/>
    <w:rsid w:val="00074736"/>
    <w:rsid w:val="00074ABD"/>
    <w:rsid w:val="00074DE0"/>
    <w:rsid w:val="0007658A"/>
    <w:rsid w:val="000765FB"/>
    <w:rsid w:val="000768EB"/>
    <w:rsid w:val="00077216"/>
    <w:rsid w:val="00077693"/>
    <w:rsid w:val="00077C1B"/>
    <w:rsid w:val="00077FEE"/>
    <w:rsid w:val="0008050C"/>
    <w:rsid w:val="00080665"/>
    <w:rsid w:val="000806E0"/>
    <w:rsid w:val="0008083F"/>
    <w:rsid w:val="00080A3B"/>
    <w:rsid w:val="000813F5"/>
    <w:rsid w:val="00081A02"/>
    <w:rsid w:val="0008276A"/>
    <w:rsid w:val="00082981"/>
    <w:rsid w:val="00082BC1"/>
    <w:rsid w:val="0008340D"/>
    <w:rsid w:val="0008349E"/>
    <w:rsid w:val="00083C98"/>
    <w:rsid w:val="00083C9A"/>
    <w:rsid w:val="00084374"/>
    <w:rsid w:val="000851E1"/>
    <w:rsid w:val="00085204"/>
    <w:rsid w:val="000857AB"/>
    <w:rsid w:val="00085E25"/>
    <w:rsid w:val="00085F7E"/>
    <w:rsid w:val="000862C6"/>
    <w:rsid w:val="00086481"/>
    <w:rsid w:val="00086725"/>
    <w:rsid w:val="00086C03"/>
    <w:rsid w:val="000875FF"/>
    <w:rsid w:val="000876F6"/>
    <w:rsid w:val="000878DB"/>
    <w:rsid w:val="00087C72"/>
    <w:rsid w:val="00087E70"/>
    <w:rsid w:val="000903CA"/>
    <w:rsid w:val="00090A9E"/>
    <w:rsid w:val="000911F8"/>
    <w:rsid w:val="0009124F"/>
    <w:rsid w:val="000914B1"/>
    <w:rsid w:val="000925FD"/>
    <w:rsid w:val="0009297B"/>
    <w:rsid w:val="00092D20"/>
    <w:rsid w:val="00092D54"/>
    <w:rsid w:val="0009312F"/>
    <w:rsid w:val="000937F7"/>
    <w:rsid w:val="000946CA"/>
    <w:rsid w:val="00094AF0"/>
    <w:rsid w:val="00095560"/>
    <w:rsid w:val="0009560C"/>
    <w:rsid w:val="00095AC5"/>
    <w:rsid w:val="00095AD9"/>
    <w:rsid w:val="00095E99"/>
    <w:rsid w:val="0009612B"/>
    <w:rsid w:val="00096320"/>
    <w:rsid w:val="00096C38"/>
    <w:rsid w:val="00097110"/>
    <w:rsid w:val="00097707"/>
    <w:rsid w:val="00097C0C"/>
    <w:rsid w:val="00097CBF"/>
    <w:rsid w:val="00097FD6"/>
    <w:rsid w:val="000A02D7"/>
    <w:rsid w:val="000A03AD"/>
    <w:rsid w:val="000A0A90"/>
    <w:rsid w:val="000A0CFA"/>
    <w:rsid w:val="000A1093"/>
    <w:rsid w:val="000A1223"/>
    <w:rsid w:val="000A1766"/>
    <w:rsid w:val="000A205E"/>
    <w:rsid w:val="000A2096"/>
    <w:rsid w:val="000A2357"/>
    <w:rsid w:val="000A2386"/>
    <w:rsid w:val="000A247B"/>
    <w:rsid w:val="000A263D"/>
    <w:rsid w:val="000A2A9A"/>
    <w:rsid w:val="000A2B1B"/>
    <w:rsid w:val="000A2B56"/>
    <w:rsid w:val="000A2E53"/>
    <w:rsid w:val="000A34A5"/>
    <w:rsid w:val="000A3F73"/>
    <w:rsid w:val="000A435F"/>
    <w:rsid w:val="000A4935"/>
    <w:rsid w:val="000A4D80"/>
    <w:rsid w:val="000A4E02"/>
    <w:rsid w:val="000A4E74"/>
    <w:rsid w:val="000A50BC"/>
    <w:rsid w:val="000A5469"/>
    <w:rsid w:val="000A555B"/>
    <w:rsid w:val="000A5B6D"/>
    <w:rsid w:val="000A618B"/>
    <w:rsid w:val="000A6DB2"/>
    <w:rsid w:val="000A6F90"/>
    <w:rsid w:val="000A745A"/>
    <w:rsid w:val="000A76B8"/>
    <w:rsid w:val="000A7BE4"/>
    <w:rsid w:val="000B01E3"/>
    <w:rsid w:val="000B01F6"/>
    <w:rsid w:val="000B02B8"/>
    <w:rsid w:val="000B0EF9"/>
    <w:rsid w:val="000B11E5"/>
    <w:rsid w:val="000B1481"/>
    <w:rsid w:val="000B187B"/>
    <w:rsid w:val="000B18C5"/>
    <w:rsid w:val="000B1959"/>
    <w:rsid w:val="000B1F92"/>
    <w:rsid w:val="000B2230"/>
    <w:rsid w:val="000B23C2"/>
    <w:rsid w:val="000B3153"/>
    <w:rsid w:val="000B3727"/>
    <w:rsid w:val="000B3B4A"/>
    <w:rsid w:val="000B43F5"/>
    <w:rsid w:val="000B4506"/>
    <w:rsid w:val="000B468B"/>
    <w:rsid w:val="000B4C2E"/>
    <w:rsid w:val="000B553B"/>
    <w:rsid w:val="000B5759"/>
    <w:rsid w:val="000B60A1"/>
    <w:rsid w:val="000B6986"/>
    <w:rsid w:val="000B6A85"/>
    <w:rsid w:val="000B7A79"/>
    <w:rsid w:val="000B7B02"/>
    <w:rsid w:val="000C0026"/>
    <w:rsid w:val="000C01F8"/>
    <w:rsid w:val="000C0570"/>
    <w:rsid w:val="000C089A"/>
    <w:rsid w:val="000C0CDA"/>
    <w:rsid w:val="000C1EA5"/>
    <w:rsid w:val="000C1FF3"/>
    <w:rsid w:val="000C237A"/>
    <w:rsid w:val="000C2722"/>
    <w:rsid w:val="000C2AE0"/>
    <w:rsid w:val="000C2CE6"/>
    <w:rsid w:val="000C34A6"/>
    <w:rsid w:val="000C3CEF"/>
    <w:rsid w:val="000C40B7"/>
    <w:rsid w:val="000C413F"/>
    <w:rsid w:val="000C4564"/>
    <w:rsid w:val="000C45B5"/>
    <w:rsid w:val="000C4E56"/>
    <w:rsid w:val="000C4EF6"/>
    <w:rsid w:val="000C54B9"/>
    <w:rsid w:val="000C57CF"/>
    <w:rsid w:val="000C5B40"/>
    <w:rsid w:val="000C5DA9"/>
    <w:rsid w:val="000C630E"/>
    <w:rsid w:val="000C69E4"/>
    <w:rsid w:val="000C6D3E"/>
    <w:rsid w:val="000C6EBB"/>
    <w:rsid w:val="000C725C"/>
    <w:rsid w:val="000C7625"/>
    <w:rsid w:val="000C7B7F"/>
    <w:rsid w:val="000D031A"/>
    <w:rsid w:val="000D0DE5"/>
    <w:rsid w:val="000D188E"/>
    <w:rsid w:val="000D258E"/>
    <w:rsid w:val="000D278C"/>
    <w:rsid w:val="000D2DE6"/>
    <w:rsid w:val="000D2E63"/>
    <w:rsid w:val="000D32A3"/>
    <w:rsid w:val="000D336E"/>
    <w:rsid w:val="000D3580"/>
    <w:rsid w:val="000D38A6"/>
    <w:rsid w:val="000D3D09"/>
    <w:rsid w:val="000D3D9C"/>
    <w:rsid w:val="000D4BB8"/>
    <w:rsid w:val="000D4BD0"/>
    <w:rsid w:val="000D508A"/>
    <w:rsid w:val="000D55EF"/>
    <w:rsid w:val="000D582A"/>
    <w:rsid w:val="000D5B9F"/>
    <w:rsid w:val="000D6953"/>
    <w:rsid w:val="000D69A3"/>
    <w:rsid w:val="000D6EA1"/>
    <w:rsid w:val="000D774B"/>
    <w:rsid w:val="000D7983"/>
    <w:rsid w:val="000D7EC3"/>
    <w:rsid w:val="000E00F8"/>
    <w:rsid w:val="000E0407"/>
    <w:rsid w:val="000E05E5"/>
    <w:rsid w:val="000E0B48"/>
    <w:rsid w:val="000E105A"/>
    <w:rsid w:val="000E1A66"/>
    <w:rsid w:val="000E3373"/>
    <w:rsid w:val="000E36DF"/>
    <w:rsid w:val="000E3C56"/>
    <w:rsid w:val="000E3CA7"/>
    <w:rsid w:val="000E3DEA"/>
    <w:rsid w:val="000E44B9"/>
    <w:rsid w:val="000E4B7C"/>
    <w:rsid w:val="000E4FCD"/>
    <w:rsid w:val="000E4FDA"/>
    <w:rsid w:val="000E5784"/>
    <w:rsid w:val="000E6A3B"/>
    <w:rsid w:val="000E716D"/>
    <w:rsid w:val="000E7DA1"/>
    <w:rsid w:val="000E7EAD"/>
    <w:rsid w:val="000F0E6B"/>
    <w:rsid w:val="000F0E7C"/>
    <w:rsid w:val="000F11DB"/>
    <w:rsid w:val="000F179F"/>
    <w:rsid w:val="000F18A1"/>
    <w:rsid w:val="000F27A9"/>
    <w:rsid w:val="000F27B7"/>
    <w:rsid w:val="000F2A71"/>
    <w:rsid w:val="000F2E3A"/>
    <w:rsid w:val="000F2E77"/>
    <w:rsid w:val="000F30C6"/>
    <w:rsid w:val="000F3568"/>
    <w:rsid w:val="000F3734"/>
    <w:rsid w:val="000F3F67"/>
    <w:rsid w:val="000F41E4"/>
    <w:rsid w:val="000F4E81"/>
    <w:rsid w:val="000F4F8C"/>
    <w:rsid w:val="000F5233"/>
    <w:rsid w:val="000F5756"/>
    <w:rsid w:val="000F57F6"/>
    <w:rsid w:val="000F64AC"/>
    <w:rsid w:val="000F6800"/>
    <w:rsid w:val="000F6905"/>
    <w:rsid w:val="000F6D3A"/>
    <w:rsid w:val="000F6EED"/>
    <w:rsid w:val="000F70D6"/>
    <w:rsid w:val="000F7290"/>
    <w:rsid w:val="000F7658"/>
    <w:rsid w:val="0010028D"/>
    <w:rsid w:val="001002DB"/>
    <w:rsid w:val="00100378"/>
    <w:rsid w:val="00100823"/>
    <w:rsid w:val="00100B4C"/>
    <w:rsid w:val="00101698"/>
    <w:rsid w:val="00101D85"/>
    <w:rsid w:val="0010229C"/>
    <w:rsid w:val="0010258E"/>
    <w:rsid w:val="001035DA"/>
    <w:rsid w:val="001038BB"/>
    <w:rsid w:val="00103AD5"/>
    <w:rsid w:val="00103C5E"/>
    <w:rsid w:val="00104162"/>
    <w:rsid w:val="00104F41"/>
    <w:rsid w:val="0010531D"/>
    <w:rsid w:val="00105335"/>
    <w:rsid w:val="0010538A"/>
    <w:rsid w:val="001056AC"/>
    <w:rsid w:val="00105AC1"/>
    <w:rsid w:val="00105C11"/>
    <w:rsid w:val="00105D94"/>
    <w:rsid w:val="0010654E"/>
    <w:rsid w:val="00106932"/>
    <w:rsid w:val="001069E3"/>
    <w:rsid w:val="0010729D"/>
    <w:rsid w:val="001073B0"/>
    <w:rsid w:val="00107851"/>
    <w:rsid w:val="00107A6F"/>
    <w:rsid w:val="00107D9D"/>
    <w:rsid w:val="00110D8F"/>
    <w:rsid w:val="00110E2A"/>
    <w:rsid w:val="001112A9"/>
    <w:rsid w:val="00111D81"/>
    <w:rsid w:val="001120A2"/>
    <w:rsid w:val="001129DD"/>
    <w:rsid w:val="00112DFC"/>
    <w:rsid w:val="00113148"/>
    <w:rsid w:val="0011329F"/>
    <w:rsid w:val="00114471"/>
    <w:rsid w:val="00114543"/>
    <w:rsid w:val="00114B46"/>
    <w:rsid w:val="00115A11"/>
    <w:rsid w:val="00115F2F"/>
    <w:rsid w:val="00115F66"/>
    <w:rsid w:val="00115FAE"/>
    <w:rsid w:val="001162B7"/>
    <w:rsid w:val="001166A3"/>
    <w:rsid w:val="00116DE2"/>
    <w:rsid w:val="00117751"/>
    <w:rsid w:val="001178CF"/>
    <w:rsid w:val="00117F6E"/>
    <w:rsid w:val="0012034C"/>
    <w:rsid w:val="00120657"/>
    <w:rsid w:val="00121236"/>
    <w:rsid w:val="0012177C"/>
    <w:rsid w:val="0012279A"/>
    <w:rsid w:val="00122BDB"/>
    <w:rsid w:val="00122D2C"/>
    <w:rsid w:val="001230F7"/>
    <w:rsid w:val="0012324B"/>
    <w:rsid w:val="001235A7"/>
    <w:rsid w:val="00123681"/>
    <w:rsid w:val="001242F4"/>
    <w:rsid w:val="00124B5E"/>
    <w:rsid w:val="00124CDE"/>
    <w:rsid w:val="00125013"/>
    <w:rsid w:val="001250C2"/>
    <w:rsid w:val="0012568E"/>
    <w:rsid w:val="00125A97"/>
    <w:rsid w:val="001261B8"/>
    <w:rsid w:val="00126583"/>
    <w:rsid w:val="00126726"/>
    <w:rsid w:val="001268A7"/>
    <w:rsid w:val="00126DB9"/>
    <w:rsid w:val="00126FA5"/>
    <w:rsid w:val="001273BC"/>
    <w:rsid w:val="0012783F"/>
    <w:rsid w:val="00127BD5"/>
    <w:rsid w:val="00130145"/>
    <w:rsid w:val="00130B67"/>
    <w:rsid w:val="00130D9C"/>
    <w:rsid w:val="00131B81"/>
    <w:rsid w:val="001324B0"/>
    <w:rsid w:val="00132716"/>
    <w:rsid w:val="001328B8"/>
    <w:rsid w:val="00132F1D"/>
    <w:rsid w:val="0013354F"/>
    <w:rsid w:val="00133BA1"/>
    <w:rsid w:val="00133E15"/>
    <w:rsid w:val="00134401"/>
    <w:rsid w:val="00134BF6"/>
    <w:rsid w:val="00134C3B"/>
    <w:rsid w:val="00134C5F"/>
    <w:rsid w:val="00134FA3"/>
    <w:rsid w:val="001351D7"/>
    <w:rsid w:val="001354E3"/>
    <w:rsid w:val="00135997"/>
    <w:rsid w:val="00136041"/>
    <w:rsid w:val="00136CA4"/>
    <w:rsid w:val="00136EB5"/>
    <w:rsid w:val="00137344"/>
    <w:rsid w:val="001379FE"/>
    <w:rsid w:val="00137B89"/>
    <w:rsid w:val="00140024"/>
    <w:rsid w:val="001400F8"/>
    <w:rsid w:val="001403F7"/>
    <w:rsid w:val="0014047A"/>
    <w:rsid w:val="00140629"/>
    <w:rsid w:val="00140E02"/>
    <w:rsid w:val="001422F8"/>
    <w:rsid w:val="0014232A"/>
    <w:rsid w:val="00142333"/>
    <w:rsid w:val="00142EDB"/>
    <w:rsid w:val="0014308C"/>
    <w:rsid w:val="00143A8D"/>
    <w:rsid w:val="00143AB2"/>
    <w:rsid w:val="00143D85"/>
    <w:rsid w:val="00144366"/>
    <w:rsid w:val="00144773"/>
    <w:rsid w:val="0014487E"/>
    <w:rsid w:val="00144B58"/>
    <w:rsid w:val="00144E5E"/>
    <w:rsid w:val="00145463"/>
    <w:rsid w:val="001457A8"/>
    <w:rsid w:val="00145B68"/>
    <w:rsid w:val="00145B84"/>
    <w:rsid w:val="00145BBD"/>
    <w:rsid w:val="00145DCF"/>
    <w:rsid w:val="0014645A"/>
    <w:rsid w:val="00146806"/>
    <w:rsid w:val="00146BEB"/>
    <w:rsid w:val="00146EC5"/>
    <w:rsid w:val="0014744E"/>
    <w:rsid w:val="001479DA"/>
    <w:rsid w:val="0015025F"/>
    <w:rsid w:val="00150F88"/>
    <w:rsid w:val="00151146"/>
    <w:rsid w:val="001517F6"/>
    <w:rsid w:val="00151E35"/>
    <w:rsid w:val="00151FB8"/>
    <w:rsid w:val="001521BC"/>
    <w:rsid w:val="00152821"/>
    <w:rsid w:val="0015287A"/>
    <w:rsid w:val="00152E4B"/>
    <w:rsid w:val="00152F30"/>
    <w:rsid w:val="001531E8"/>
    <w:rsid w:val="00153423"/>
    <w:rsid w:val="00153637"/>
    <w:rsid w:val="001538B2"/>
    <w:rsid w:val="00153C66"/>
    <w:rsid w:val="00154A64"/>
    <w:rsid w:val="00154A7F"/>
    <w:rsid w:val="00155042"/>
    <w:rsid w:val="00155069"/>
    <w:rsid w:val="0015515A"/>
    <w:rsid w:val="00155709"/>
    <w:rsid w:val="00156651"/>
    <w:rsid w:val="0015694A"/>
    <w:rsid w:val="00157354"/>
    <w:rsid w:val="001579D8"/>
    <w:rsid w:val="00157A6E"/>
    <w:rsid w:val="00157AA2"/>
    <w:rsid w:val="001600ED"/>
    <w:rsid w:val="001603C1"/>
    <w:rsid w:val="0016041F"/>
    <w:rsid w:val="00160D51"/>
    <w:rsid w:val="00160DD8"/>
    <w:rsid w:val="0016147F"/>
    <w:rsid w:val="00161E1C"/>
    <w:rsid w:val="00161FC8"/>
    <w:rsid w:val="00162098"/>
    <w:rsid w:val="00162477"/>
    <w:rsid w:val="00162700"/>
    <w:rsid w:val="00163097"/>
    <w:rsid w:val="00164406"/>
    <w:rsid w:val="001644F2"/>
    <w:rsid w:val="00164DAD"/>
    <w:rsid w:val="00165033"/>
    <w:rsid w:val="0016584E"/>
    <w:rsid w:val="00165D78"/>
    <w:rsid w:val="00165DBF"/>
    <w:rsid w:val="00165DF6"/>
    <w:rsid w:val="001660B3"/>
    <w:rsid w:val="001667F0"/>
    <w:rsid w:val="00166BB5"/>
    <w:rsid w:val="00166C5D"/>
    <w:rsid w:val="001674E2"/>
    <w:rsid w:val="00167624"/>
    <w:rsid w:val="00167A6D"/>
    <w:rsid w:val="00167E9A"/>
    <w:rsid w:val="00170357"/>
    <w:rsid w:val="0017039A"/>
    <w:rsid w:val="001704EB"/>
    <w:rsid w:val="0017058D"/>
    <w:rsid w:val="00170BA6"/>
    <w:rsid w:val="0017120C"/>
    <w:rsid w:val="001715E6"/>
    <w:rsid w:val="00171B54"/>
    <w:rsid w:val="00171F53"/>
    <w:rsid w:val="001724C4"/>
    <w:rsid w:val="0017281D"/>
    <w:rsid w:val="00172F16"/>
    <w:rsid w:val="001735BC"/>
    <w:rsid w:val="0017434C"/>
    <w:rsid w:val="00174424"/>
    <w:rsid w:val="001748CC"/>
    <w:rsid w:val="00175E51"/>
    <w:rsid w:val="0017659C"/>
    <w:rsid w:val="00176B8D"/>
    <w:rsid w:val="00177045"/>
    <w:rsid w:val="00177379"/>
    <w:rsid w:val="001777FF"/>
    <w:rsid w:val="00177844"/>
    <w:rsid w:val="001778D8"/>
    <w:rsid w:val="001778FC"/>
    <w:rsid w:val="0018098A"/>
    <w:rsid w:val="00181041"/>
    <w:rsid w:val="00181570"/>
    <w:rsid w:val="001820D9"/>
    <w:rsid w:val="00182841"/>
    <w:rsid w:val="00182B4F"/>
    <w:rsid w:val="00182C2D"/>
    <w:rsid w:val="00182F44"/>
    <w:rsid w:val="00182F88"/>
    <w:rsid w:val="0018395F"/>
    <w:rsid w:val="00183C88"/>
    <w:rsid w:val="00183D32"/>
    <w:rsid w:val="001844EE"/>
    <w:rsid w:val="00184A59"/>
    <w:rsid w:val="00184C57"/>
    <w:rsid w:val="001854CC"/>
    <w:rsid w:val="00185D0C"/>
    <w:rsid w:val="00185D6A"/>
    <w:rsid w:val="001860B2"/>
    <w:rsid w:val="001860CB"/>
    <w:rsid w:val="001861E7"/>
    <w:rsid w:val="0018672C"/>
    <w:rsid w:val="00186B1C"/>
    <w:rsid w:val="00187C73"/>
    <w:rsid w:val="00187DE1"/>
    <w:rsid w:val="00190247"/>
    <w:rsid w:val="001903BD"/>
    <w:rsid w:val="00190810"/>
    <w:rsid w:val="00190B29"/>
    <w:rsid w:val="00191B3E"/>
    <w:rsid w:val="00191CBC"/>
    <w:rsid w:val="00191E80"/>
    <w:rsid w:val="00191EB8"/>
    <w:rsid w:val="00192AB9"/>
    <w:rsid w:val="00192C42"/>
    <w:rsid w:val="00192E67"/>
    <w:rsid w:val="00192E6E"/>
    <w:rsid w:val="00192F45"/>
    <w:rsid w:val="0019340D"/>
    <w:rsid w:val="00193732"/>
    <w:rsid w:val="001937B2"/>
    <w:rsid w:val="00193C8E"/>
    <w:rsid w:val="00193DE0"/>
    <w:rsid w:val="00194832"/>
    <w:rsid w:val="0019491A"/>
    <w:rsid w:val="00194B4B"/>
    <w:rsid w:val="00194EFF"/>
    <w:rsid w:val="00195239"/>
    <w:rsid w:val="0019569F"/>
    <w:rsid w:val="00195AB0"/>
    <w:rsid w:val="00195E76"/>
    <w:rsid w:val="00196300"/>
    <w:rsid w:val="00196594"/>
    <w:rsid w:val="00196F68"/>
    <w:rsid w:val="00197554"/>
    <w:rsid w:val="001A0183"/>
    <w:rsid w:val="001A176D"/>
    <w:rsid w:val="001A1A11"/>
    <w:rsid w:val="001A1C4E"/>
    <w:rsid w:val="001A1C79"/>
    <w:rsid w:val="001A2B1E"/>
    <w:rsid w:val="001A2C7C"/>
    <w:rsid w:val="001A2DED"/>
    <w:rsid w:val="001A2F2D"/>
    <w:rsid w:val="001A331F"/>
    <w:rsid w:val="001A3A91"/>
    <w:rsid w:val="001A4A85"/>
    <w:rsid w:val="001A53C0"/>
    <w:rsid w:val="001A565A"/>
    <w:rsid w:val="001A5BA3"/>
    <w:rsid w:val="001A5EB9"/>
    <w:rsid w:val="001A5EFD"/>
    <w:rsid w:val="001A66C0"/>
    <w:rsid w:val="001A6703"/>
    <w:rsid w:val="001A6BF6"/>
    <w:rsid w:val="001A6F4C"/>
    <w:rsid w:val="001A6FF9"/>
    <w:rsid w:val="001A74BE"/>
    <w:rsid w:val="001B0326"/>
    <w:rsid w:val="001B03BD"/>
    <w:rsid w:val="001B08D5"/>
    <w:rsid w:val="001B1037"/>
    <w:rsid w:val="001B1219"/>
    <w:rsid w:val="001B1773"/>
    <w:rsid w:val="001B25CC"/>
    <w:rsid w:val="001B2DD3"/>
    <w:rsid w:val="001B314B"/>
    <w:rsid w:val="001B3A00"/>
    <w:rsid w:val="001B3A0F"/>
    <w:rsid w:val="001B410A"/>
    <w:rsid w:val="001B4A83"/>
    <w:rsid w:val="001B535C"/>
    <w:rsid w:val="001B544C"/>
    <w:rsid w:val="001B5554"/>
    <w:rsid w:val="001B5EC3"/>
    <w:rsid w:val="001B5ECF"/>
    <w:rsid w:val="001B667D"/>
    <w:rsid w:val="001B66B4"/>
    <w:rsid w:val="001B731A"/>
    <w:rsid w:val="001B7548"/>
    <w:rsid w:val="001B7778"/>
    <w:rsid w:val="001B7AE8"/>
    <w:rsid w:val="001C00D8"/>
    <w:rsid w:val="001C01D0"/>
    <w:rsid w:val="001C0320"/>
    <w:rsid w:val="001C076A"/>
    <w:rsid w:val="001C0C03"/>
    <w:rsid w:val="001C0EE5"/>
    <w:rsid w:val="001C179D"/>
    <w:rsid w:val="001C17C9"/>
    <w:rsid w:val="001C1981"/>
    <w:rsid w:val="001C19D5"/>
    <w:rsid w:val="001C1B67"/>
    <w:rsid w:val="001C28A9"/>
    <w:rsid w:val="001C2E2C"/>
    <w:rsid w:val="001C3181"/>
    <w:rsid w:val="001C40D4"/>
    <w:rsid w:val="001C4232"/>
    <w:rsid w:val="001C46FB"/>
    <w:rsid w:val="001C4AD5"/>
    <w:rsid w:val="001C51DD"/>
    <w:rsid w:val="001C5878"/>
    <w:rsid w:val="001C65AF"/>
    <w:rsid w:val="001C66D9"/>
    <w:rsid w:val="001C6E87"/>
    <w:rsid w:val="001C72DC"/>
    <w:rsid w:val="001C74BB"/>
    <w:rsid w:val="001C7A23"/>
    <w:rsid w:val="001C7E6B"/>
    <w:rsid w:val="001D012B"/>
    <w:rsid w:val="001D045A"/>
    <w:rsid w:val="001D190C"/>
    <w:rsid w:val="001D2059"/>
    <w:rsid w:val="001D2C87"/>
    <w:rsid w:val="001D3477"/>
    <w:rsid w:val="001D3E6A"/>
    <w:rsid w:val="001D43AF"/>
    <w:rsid w:val="001D4489"/>
    <w:rsid w:val="001D4584"/>
    <w:rsid w:val="001D45FC"/>
    <w:rsid w:val="001D5AFC"/>
    <w:rsid w:val="001D5F43"/>
    <w:rsid w:val="001D6FBB"/>
    <w:rsid w:val="001D7180"/>
    <w:rsid w:val="001D71A5"/>
    <w:rsid w:val="001D71CE"/>
    <w:rsid w:val="001D728E"/>
    <w:rsid w:val="001D768C"/>
    <w:rsid w:val="001D7DF7"/>
    <w:rsid w:val="001E04BB"/>
    <w:rsid w:val="001E0A2B"/>
    <w:rsid w:val="001E12BF"/>
    <w:rsid w:val="001E1A75"/>
    <w:rsid w:val="001E21E3"/>
    <w:rsid w:val="001E2974"/>
    <w:rsid w:val="001E2A2F"/>
    <w:rsid w:val="001E2BE2"/>
    <w:rsid w:val="001E38B1"/>
    <w:rsid w:val="001E3FF4"/>
    <w:rsid w:val="001E4726"/>
    <w:rsid w:val="001E4DD1"/>
    <w:rsid w:val="001E52DE"/>
    <w:rsid w:val="001E5351"/>
    <w:rsid w:val="001E56A9"/>
    <w:rsid w:val="001E5CD9"/>
    <w:rsid w:val="001E639C"/>
    <w:rsid w:val="001E698F"/>
    <w:rsid w:val="001E6E61"/>
    <w:rsid w:val="001E70C9"/>
    <w:rsid w:val="001E7A33"/>
    <w:rsid w:val="001E7F5D"/>
    <w:rsid w:val="001F0BC9"/>
    <w:rsid w:val="001F0D5E"/>
    <w:rsid w:val="001F1763"/>
    <w:rsid w:val="001F1EDB"/>
    <w:rsid w:val="001F249B"/>
    <w:rsid w:val="001F26BC"/>
    <w:rsid w:val="001F2A6F"/>
    <w:rsid w:val="001F2BA4"/>
    <w:rsid w:val="001F356C"/>
    <w:rsid w:val="001F36F1"/>
    <w:rsid w:val="001F3E30"/>
    <w:rsid w:val="001F40BB"/>
    <w:rsid w:val="001F4233"/>
    <w:rsid w:val="001F50C3"/>
    <w:rsid w:val="001F52F6"/>
    <w:rsid w:val="001F58EB"/>
    <w:rsid w:val="001F5B9C"/>
    <w:rsid w:val="001F5DF3"/>
    <w:rsid w:val="001F6385"/>
    <w:rsid w:val="001F6B76"/>
    <w:rsid w:val="001F6EA0"/>
    <w:rsid w:val="001F7049"/>
    <w:rsid w:val="001F7F3C"/>
    <w:rsid w:val="00200A4A"/>
    <w:rsid w:val="00201724"/>
    <w:rsid w:val="00201BEB"/>
    <w:rsid w:val="00202056"/>
    <w:rsid w:val="002030BF"/>
    <w:rsid w:val="00203E05"/>
    <w:rsid w:val="00203E53"/>
    <w:rsid w:val="0020476D"/>
    <w:rsid w:val="00204A04"/>
    <w:rsid w:val="00204B45"/>
    <w:rsid w:val="002051FA"/>
    <w:rsid w:val="002056A0"/>
    <w:rsid w:val="00205987"/>
    <w:rsid w:val="00206240"/>
    <w:rsid w:val="0020632C"/>
    <w:rsid w:val="00206A1C"/>
    <w:rsid w:val="002072D9"/>
    <w:rsid w:val="00207576"/>
    <w:rsid w:val="00207672"/>
    <w:rsid w:val="002076CE"/>
    <w:rsid w:val="00207EF4"/>
    <w:rsid w:val="002106B3"/>
    <w:rsid w:val="00210781"/>
    <w:rsid w:val="00210969"/>
    <w:rsid w:val="00210E20"/>
    <w:rsid w:val="002111DC"/>
    <w:rsid w:val="00211B18"/>
    <w:rsid w:val="00211E50"/>
    <w:rsid w:val="00212129"/>
    <w:rsid w:val="0021221F"/>
    <w:rsid w:val="002126F7"/>
    <w:rsid w:val="00212B0F"/>
    <w:rsid w:val="00212E88"/>
    <w:rsid w:val="00213CE1"/>
    <w:rsid w:val="00213DF1"/>
    <w:rsid w:val="00214457"/>
    <w:rsid w:val="00214F27"/>
    <w:rsid w:val="002151B2"/>
    <w:rsid w:val="002157C8"/>
    <w:rsid w:val="00215B0D"/>
    <w:rsid w:val="00215D03"/>
    <w:rsid w:val="00215F0E"/>
    <w:rsid w:val="00216BF1"/>
    <w:rsid w:val="00216D4B"/>
    <w:rsid w:val="00217330"/>
    <w:rsid w:val="00217489"/>
    <w:rsid w:val="0021770A"/>
    <w:rsid w:val="00217CF3"/>
    <w:rsid w:val="00217F87"/>
    <w:rsid w:val="002202DF"/>
    <w:rsid w:val="0022038E"/>
    <w:rsid w:val="0022044F"/>
    <w:rsid w:val="0022058F"/>
    <w:rsid w:val="002207A0"/>
    <w:rsid w:val="00220DED"/>
    <w:rsid w:val="00220F24"/>
    <w:rsid w:val="0022207F"/>
    <w:rsid w:val="002221F9"/>
    <w:rsid w:val="002222E8"/>
    <w:rsid w:val="00222F4B"/>
    <w:rsid w:val="00223783"/>
    <w:rsid w:val="00223848"/>
    <w:rsid w:val="002254CC"/>
    <w:rsid w:val="00225816"/>
    <w:rsid w:val="00225933"/>
    <w:rsid w:val="00225A20"/>
    <w:rsid w:val="00225C35"/>
    <w:rsid w:val="00226641"/>
    <w:rsid w:val="00226CF9"/>
    <w:rsid w:val="00226E03"/>
    <w:rsid w:val="0022713C"/>
    <w:rsid w:val="00227318"/>
    <w:rsid w:val="002275FB"/>
    <w:rsid w:val="00227F76"/>
    <w:rsid w:val="002309DA"/>
    <w:rsid w:val="00230A70"/>
    <w:rsid w:val="00231649"/>
    <w:rsid w:val="002316E1"/>
    <w:rsid w:val="00231C7B"/>
    <w:rsid w:val="002330E9"/>
    <w:rsid w:val="00233A0F"/>
    <w:rsid w:val="00233EA8"/>
    <w:rsid w:val="00235458"/>
    <w:rsid w:val="00235485"/>
    <w:rsid w:val="00235A3F"/>
    <w:rsid w:val="00235EFB"/>
    <w:rsid w:val="0023611F"/>
    <w:rsid w:val="00236325"/>
    <w:rsid w:val="00236B2C"/>
    <w:rsid w:val="00237558"/>
    <w:rsid w:val="0024108C"/>
    <w:rsid w:val="002412A5"/>
    <w:rsid w:val="0024145D"/>
    <w:rsid w:val="0024247F"/>
    <w:rsid w:val="00242BE1"/>
    <w:rsid w:val="00242FE0"/>
    <w:rsid w:val="00243582"/>
    <w:rsid w:val="002435F8"/>
    <w:rsid w:val="0024387C"/>
    <w:rsid w:val="00243A87"/>
    <w:rsid w:val="00243A93"/>
    <w:rsid w:val="00243E76"/>
    <w:rsid w:val="00244273"/>
    <w:rsid w:val="002446FC"/>
    <w:rsid w:val="002450A8"/>
    <w:rsid w:val="00245440"/>
    <w:rsid w:val="00245CD4"/>
    <w:rsid w:val="00245F57"/>
    <w:rsid w:val="002460E2"/>
    <w:rsid w:val="002466D9"/>
    <w:rsid w:val="00246807"/>
    <w:rsid w:val="0024695F"/>
    <w:rsid w:val="00246FEE"/>
    <w:rsid w:val="002475E1"/>
    <w:rsid w:val="002478E2"/>
    <w:rsid w:val="00247E6D"/>
    <w:rsid w:val="002500DF"/>
    <w:rsid w:val="002501A6"/>
    <w:rsid w:val="00250592"/>
    <w:rsid w:val="002509E3"/>
    <w:rsid w:val="002513ED"/>
    <w:rsid w:val="00251D0C"/>
    <w:rsid w:val="00252E4F"/>
    <w:rsid w:val="00252ECA"/>
    <w:rsid w:val="00253B40"/>
    <w:rsid w:val="00254157"/>
    <w:rsid w:val="002541DD"/>
    <w:rsid w:val="00254C8F"/>
    <w:rsid w:val="00254F45"/>
    <w:rsid w:val="00254F99"/>
    <w:rsid w:val="002552BD"/>
    <w:rsid w:val="002557CC"/>
    <w:rsid w:val="00255F1F"/>
    <w:rsid w:val="0025622C"/>
    <w:rsid w:val="00256909"/>
    <w:rsid w:val="002574F3"/>
    <w:rsid w:val="00257831"/>
    <w:rsid w:val="002579D4"/>
    <w:rsid w:val="002579E2"/>
    <w:rsid w:val="00261B32"/>
    <w:rsid w:val="00261F38"/>
    <w:rsid w:val="0026286C"/>
    <w:rsid w:val="0026309E"/>
    <w:rsid w:val="00263152"/>
    <w:rsid w:val="002632EB"/>
    <w:rsid w:val="0026336B"/>
    <w:rsid w:val="00263413"/>
    <w:rsid w:val="0026342C"/>
    <w:rsid w:val="002635CE"/>
    <w:rsid w:val="00263BEE"/>
    <w:rsid w:val="00263CA2"/>
    <w:rsid w:val="0026403E"/>
    <w:rsid w:val="002640F8"/>
    <w:rsid w:val="0026429C"/>
    <w:rsid w:val="00264566"/>
    <w:rsid w:val="00264853"/>
    <w:rsid w:val="002655BB"/>
    <w:rsid w:val="0026583F"/>
    <w:rsid w:val="00266028"/>
    <w:rsid w:val="0026608E"/>
    <w:rsid w:val="002664D7"/>
    <w:rsid w:val="00266593"/>
    <w:rsid w:val="00266879"/>
    <w:rsid w:val="0026690F"/>
    <w:rsid w:val="00266983"/>
    <w:rsid w:val="00266AED"/>
    <w:rsid w:val="00266F11"/>
    <w:rsid w:val="002672DB"/>
    <w:rsid w:val="002679EB"/>
    <w:rsid w:val="002700E6"/>
    <w:rsid w:val="00270398"/>
    <w:rsid w:val="002703CE"/>
    <w:rsid w:val="00270A6C"/>
    <w:rsid w:val="0027123D"/>
    <w:rsid w:val="002715C0"/>
    <w:rsid w:val="00271664"/>
    <w:rsid w:val="0027168D"/>
    <w:rsid w:val="00271C89"/>
    <w:rsid w:val="00271D9F"/>
    <w:rsid w:val="0027242F"/>
    <w:rsid w:val="00273011"/>
    <w:rsid w:val="002734CD"/>
    <w:rsid w:val="0027389D"/>
    <w:rsid w:val="00274D43"/>
    <w:rsid w:val="00274FBD"/>
    <w:rsid w:val="00275FE4"/>
    <w:rsid w:val="00276091"/>
    <w:rsid w:val="0027644B"/>
    <w:rsid w:val="00276DB5"/>
    <w:rsid w:val="0027739C"/>
    <w:rsid w:val="002776E1"/>
    <w:rsid w:val="00277F6E"/>
    <w:rsid w:val="002802F4"/>
    <w:rsid w:val="00280774"/>
    <w:rsid w:val="0028080E"/>
    <w:rsid w:val="00280866"/>
    <w:rsid w:val="0028086F"/>
    <w:rsid w:val="00280F46"/>
    <w:rsid w:val="00280F54"/>
    <w:rsid w:val="00281417"/>
    <w:rsid w:val="00281592"/>
    <w:rsid w:val="00281CF6"/>
    <w:rsid w:val="00282321"/>
    <w:rsid w:val="00282991"/>
    <w:rsid w:val="002836AD"/>
    <w:rsid w:val="002837B2"/>
    <w:rsid w:val="002837E7"/>
    <w:rsid w:val="00283E19"/>
    <w:rsid w:val="00283FF4"/>
    <w:rsid w:val="002848FE"/>
    <w:rsid w:val="00284A2F"/>
    <w:rsid w:val="00284C59"/>
    <w:rsid w:val="002855CC"/>
    <w:rsid w:val="00285BE5"/>
    <w:rsid w:val="00286020"/>
    <w:rsid w:val="00286226"/>
    <w:rsid w:val="00286C1F"/>
    <w:rsid w:val="00286EEE"/>
    <w:rsid w:val="002872EE"/>
    <w:rsid w:val="00287797"/>
    <w:rsid w:val="00287D7F"/>
    <w:rsid w:val="00291473"/>
    <w:rsid w:val="0029148C"/>
    <w:rsid w:val="00291B94"/>
    <w:rsid w:val="00291BF7"/>
    <w:rsid w:val="00291E26"/>
    <w:rsid w:val="0029257D"/>
    <w:rsid w:val="00292E6E"/>
    <w:rsid w:val="00292EB7"/>
    <w:rsid w:val="002930F9"/>
    <w:rsid w:val="0029353E"/>
    <w:rsid w:val="00293F4E"/>
    <w:rsid w:val="00293FCF"/>
    <w:rsid w:val="00294039"/>
    <w:rsid w:val="00294665"/>
    <w:rsid w:val="00294D34"/>
    <w:rsid w:val="00294E58"/>
    <w:rsid w:val="00294F66"/>
    <w:rsid w:val="00295986"/>
    <w:rsid w:val="00295C17"/>
    <w:rsid w:val="002963FA"/>
    <w:rsid w:val="00296416"/>
    <w:rsid w:val="0029649C"/>
    <w:rsid w:val="0029654D"/>
    <w:rsid w:val="00296667"/>
    <w:rsid w:val="002968E8"/>
    <w:rsid w:val="00297880"/>
    <w:rsid w:val="00297A7A"/>
    <w:rsid w:val="00297C35"/>
    <w:rsid w:val="00297D83"/>
    <w:rsid w:val="002A0EA3"/>
    <w:rsid w:val="002A0F3E"/>
    <w:rsid w:val="002A153E"/>
    <w:rsid w:val="002A15CD"/>
    <w:rsid w:val="002A162E"/>
    <w:rsid w:val="002A17B8"/>
    <w:rsid w:val="002A1AE2"/>
    <w:rsid w:val="002A1CE4"/>
    <w:rsid w:val="002A1F5B"/>
    <w:rsid w:val="002A2157"/>
    <w:rsid w:val="002A27CE"/>
    <w:rsid w:val="002A3534"/>
    <w:rsid w:val="002A3A99"/>
    <w:rsid w:val="002A3E4D"/>
    <w:rsid w:val="002A45C6"/>
    <w:rsid w:val="002A4894"/>
    <w:rsid w:val="002A4AE6"/>
    <w:rsid w:val="002A4D81"/>
    <w:rsid w:val="002A4EBE"/>
    <w:rsid w:val="002A5ABA"/>
    <w:rsid w:val="002A5E29"/>
    <w:rsid w:val="002A64D6"/>
    <w:rsid w:val="002A6CD7"/>
    <w:rsid w:val="002A6E10"/>
    <w:rsid w:val="002A71B4"/>
    <w:rsid w:val="002A73CB"/>
    <w:rsid w:val="002A7B10"/>
    <w:rsid w:val="002B17A9"/>
    <w:rsid w:val="002B1BCC"/>
    <w:rsid w:val="002B2039"/>
    <w:rsid w:val="002B2725"/>
    <w:rsid w:val="002B29A7"/>
    <w:rsid w:val="002B2B65"/>
    <w:rsid w:val="002B2C81"/>
    <w:rsid w:val="002B4589"/>
    <w:rsid w:val="002B45EC"/>
    <w:rsid w:val="002B51EC"/>
    <w:rsid w:val="002B5B80"/>
    <w:rsid w:val="002B5EF1"/>
    <w:rsid w:val="002B5F95"/>
    <w:rsid w:val="002B60CC"/>
    <w:rsid w:val="002B622B"/>
    <w:rsid w:val="002B63EA"/>
    <w:rsid w:val="002B684F"/>
    <w:rsid w:val="002B780C"/>
    <w:rsid w:val="002B7B71"/>
    <w:rsid w:val="002B7DA6"/>
    <w:rsid w:val="002B7F31"/>
    <w:rsid w:val="002C01DC"/>
    <w:rsid w:val="002C088C"/>
    <w:rsid w:val="002C0AD1"/>
    <w:rsid w:val="002C0DCB"/>
    <w:rsid w:val="002C17E3"/>
    <w:rsid w:val="002C2350"/>
    <w:rsid w:val="002C23C0"/>
    <w:rsid w:val="002C2EA2"/>
    <w:rsid w:val="002C2F71"/>
    <w:rsid w:val="002C31FC"/>
    <w:rsid w:val="002C417E"/>
    <w:rsid w:val="002C46B8"/>
    <w:rsid w:val="002C5098"/>
    <w:rsid w:val="002C526B"/>
    <w:rsid w:val="002C5A2D"/>
    <w:rsid w:val="002C68E5"/>
    <w:rsid w:val="002C6A7A"/>
    <w:rsid w:val="002C6F61"/>
    <w:rsid w:val="002C777B"/>
    <w:rsid w:val="002C7825"/>
    <w:rsid w:val="002C79BB"/>
    <w:rsid w:val="002C7D5A"/>
    <w:rsid w:val="002C7F6E"/>
    <w:rsid w:val="002D02EF"/>
    <w:rsid w:val="002D04E7"/>
    <w:rsid w:val="002D05EB"/>
    <w:rsid w:val="002D1220"/>
    <w:rsid w:val="002D18FE"/>
    <w:rsid w:val="002D19D3"/>
    <w:rsid w:val="002D1A35"/>
    <w:rsid w:val="002D1CDD"/>
    <w:rsid w:val="002D2230"/>
    <w:rsid w:val="002D30E2"/>
    <w:rsid w:val="002D329F"/>
    <w:rsid w:val="002D3490"/>
    <w:rsid w:val="002D387B"/>
    <w:rsid w:val="002D3AA9"/>
    <w:rsid w:val="002D3CC0"/>
    <w:rsid w:val="002D3FBD"/>
    <w:rsid w:val="002D42F7"/>
    <w:rsid w:val="002D52EA"/>
    <w:rsid w:val="002D55BC"/>
    <w:rsid w:val="002D60EC"/>
    <w:rsid w:val="002D65FF"/>
    <w:rsid w:val="002D69AD"/>
    <w:rsid w:val="002D6BED"/>
    <w:rsid w:val="002D6EBC"/>
    <w:rsid w:val="002D6F61"/>
    <w:rsid w:val="002D773B"/>
    <w:rsid w:val="002D7808"/>
    <w:rsid w:val="002D7D9B"/>
    <w:rsid w:val="002D7F67"/>
    <w:rsid w:val="002E06D1"/>
    <w:rsid w:val="002E0F9F"/>
    <w:rsid w:val="002E1AB7"/>
    <w:rsid w:val="002E1F5A"/>
    <w:rsid w:val="002E23F6"/>
    <w:rsid w:val="002E28BD"/>
    <w:rsid w:val="002E2BF7"/>
    <w:rsid w:val="002E2E57"/>
    <w:rsid w:val="002E4291"/>
    <w:rsid w:val="002E44ED"/>
    <w:rsid w:val="002E4BDB"/>
    <w:rsid w:val="002E51C6"/>
    <w:rsid w:val="002E537B"/>
    <w:rsid w:val="002E6123"/>
    <w:rsid w:val="002E64C5"/>
    <w:rsid w:val="002E6AD3"/>
    <w:rsid w:val="002E6B65"/>
    <w:rsid w:val="002E7280"/>
    <w:rsid w:val="002F04CE"/>
    <w:rsid w:val="002F074B"/>
    <w:rsid w:val="002F0BB2"/>
    <w:rsid w:val="002F0C95"/>
    <w:rsid w:val="002F0E7A"/>
    <w:rsid w:val="002F1347"/>
    <w:rsid w:val="002F1433"/>
    <w:rsid w:val="002F1A6B"/>
    <w:rsid w:val="002F1DDE"/>
    <w:rsid w:val="002F2179"/>
    <w:rsid w:val="002F275B"/>
    <w:rsid w:val="002F28F7"/>
    <w:rsid w:val="002F2D68"/>
    <w:rsid w:val="002F2F26"/>
    <w:rsid w:val="002F3890"/>
    <w:rsid w:val="002F3AE0"/>
    <w:rsid w:val="002F3C7F"/>
    <w:rsid w:val="002F3CD1"/>
    <w:rsid w:val="002F40A4"/>
    <w:rsid w:val="002F452D"/>
    <w:rsid w:val="002F4DEB"/>
    <w:rsid w:val="002F54B5"/>
    <w:rsid w:val="002F5CB8"/>
    <w:rsid w:val="002F6307"/>
    <w:rsid w:val="002F63A2"/>
    <w:rsid w:val="002F65CA"/>
    <w:rsid w:val="002F6A61"/>
    <w:rsid w:val="002F6F78"/>
    <w:rsid w:val="002F6F86"/>
    <w:rsid w:val="0030041A"/>
    <w:rsid w:val="00300632"/>
    <w:rsid w:val="003009B8"/>
    <w:rsid w:val="0030190E"/>
    <w:rsid w:val="00301FF3"/>
    <w:rsid w:val="00302B9F"/>
    <w:rsid w:val="00302BC1"/>
    <w:rsid w:val="00302CD1"/>
    <w:rsid w:val="00302EED"/>
    <w:rsid w:val="003030FF"/>
    <w:rsid w:val="0030369F"/>
    <w:rsid w:val="003036AC"/>
    <w:rsid w:val="00303E9C"/>
    <w:rsid w:val="0030418B"/>
    <w:rsid w:val="00304251"/>
    <w:rsid w:val="00304369"/>
    <w:rsid w:val="00304624"/>
    <w:rsid w:val="00304776"/>
    <w:rsid w:val="003047AA"/>
    <w:rsid w:val="00304882"/>
    <w:rsid w:val="003052EC"/>
    <w:rsid w:val="00305AA2"/>
    <w:rsid w:val="0030657F"/>
    <w:rsid w:val="003065BD"/>
    <w:rsid w:val="00306849"/>
    <w:rsid w:val="00310281"/>
    <w:rsid w:val="00310352"/>
    <w:rsid w:val="00310591"/>
    <w:rsid w:val="003110A5"/>
    <w:rsid w:val="00311111"/>
    <w:rsid w:val="00311134"/>
    <w:rsid w:val="003112CF"/>
    <w:rsid w:val="00311666"/>
    <w:rsid w:val="00311783"/>
    <w:rsid w:val="00311E8D"/>
    <w:rsid w:val="003120A9"/>
    <w:rsid w:val="00312758"/>
    <w:rsid w:val="00312C82"/>
    <w:rsid w:val="0031319C"/>
    <w:rsid w:val="00313237"/>
    <w:rsid w:val="003132B1"/>
    <w:rsid w:val="00313337"/>
    <w:rsid w:val="00313409"/>
    <w:rsid w:val="003135A2"/>
    <w:rsid w:val="00314254"/>
    <w:rsid w:val="0031441F"/>
    <w:rsid w:val="00314442"/>
    <w:rsid w:val="003145C0"/>
    <w:rsid w:val="003157D6"/>
    <w:rsid w:val="003159F3"/>
    <w:rsid w:val="00315B02"/>
    <w:rsid w:val="003161E8"/>
    <w:rsid w:val="00316985"/>
    <w:rsid w:val="00316A8D"/>
    <w:rsid w:val="00317044"/>
    <w:rsid w:val="00317AE7"/>
    <w:rsid w:val="00317E81"/>
    <w:rsid w:val="00320388"/>
    <w:rsid w:val="0032079B"/>
    <w:rsid w:val="00320BC1"/>
    <w:rsid w:val="003213A0"/>
    <w:rsid w:val="00321645"/>
    <w:rsid w:val="0032239F"/>
    <w:rsid w:val="00322652"/>
    <w:rsid w:val="00322BF5"/>
    <w:rsid w:val="0032344D"/>
    <w:rsid w:val="00323FF1"/>
    <w:rsid w:val="003246E4"/>
    <w:rsid w:val="00325271"/>
    <w:rsid w:val="00325E6F"/>
    <w:rsid w:val="00325F55"/>
    <w:rsid w:val="0032668B"/>
    <w:rsid w:val="00326986"/>
    <w:rsid w:val="00326A39"/>
    <w:rsid w:val="00326C10"/>
    <w:rsid w:val="003279EA"/>
    <w:rsid w:val="00327A64"/>
    <w:rsid w:val="00327C15"/>
    <w:rsid w:val="00327DFE"/>
    <w:rsid w:val="003305E1"/>
    <w:rsid w:val="00330727"/>
    <w:rsid w:val="00330B07"/>
    <w:rsid w:val="00331071"/>
    <w:rsid w:val="0033185B"/>
    <w:rsid w:val="003320B7"/>
    <w:rsid w:val="00332A73"/>
    <w:rsid w:val="00332B87"/>
    <w:rsid w:val="00332CB7"/>
    <w:rsid w:val="00332F09"/>
    <w:rsid w:val="003334F4"/>
    <w:rsid w:val="0033350A"/>
    <w:rsid w:val="00333B7D"/>
    <w:rsid w:val="00333E4F"/>
    <w:rsid w:val="00333F57"/>
    <w:rsid w:val="00334079"/>
    <w:rsid w:val="00334208"/>
    <w:rsid w:val="0033495D"/>
    <w:rsid w:val="00334B19"/>
    <w:rsid w:val="00334BD3"/>
    <w:rsid w:val="00334F84"/>
    <w:rsid w:val="003352D7"/>
    <w:rsid w:val="00335502"/>
    <w:rsid w:val="003356EA"/>
    <w:rsid w:val="00335C53"/>
    <w:rsid w:val="00335F72"/>
    <w:rsid w:val="003366EA"/>
    <w:rsid w:val="00336B39"/>
    <w:rsid w:val="00337089"/>
    <w:rsid w:val="0034015B"/>
    <w:rsid w:val="0034058A"/>
    <w:rsid w:val="003405B4"/>
    <w:rsid w:val="00340C80"/>
    <w:rsid w:val="00340FC5"/>
    <w:rsid w:val="00341849"/>
    <w:rsid w:val="003418BD"/>
    <w:rsid w:val="00341FF7"/>
    <w:rsid w:val="00343028"/>
    <w:rsid w:val="00343270"/>
    <w:rsid w:val="00343580"/>
    <w:rsid w:val="00343CF9"/>
    <w:rsid w:val="00343D8C"/>
    <w:rsid w:val="00344007"/>
    <w:rsid w:val="0034470F"/>
    <w:rsid w:val="00344813"/>
    <w:rsid w:val="0034616B"/>
    <w:rsid w:val="00346510"/>
    <w:rsid w:val="0034672C"/>
    <w:rsid w:val="0034699E"/>
    <w:rsid w:val="00346DD6"/>
    <w:rsid w:val="003470D8"/>
    <w:rsid w:val="00347405"/>
    <w:rsid w:val="00347CEB"/>
    <w:rsid w:val="00347DA2"/>
    <w:rsid w:val="00347E21"/>
    <w:rsid w:val="00347FBB"/>
    <w:rsid w:val="0035065A"/>
    <w:rsid w:val="00350B7C"/>
    <w:rsid w:val="00350F96"/>
    <w:rsid w:val="003515AC"/>
    <w:rsid w:val="003519E1"/>
    <w:rsid w:val="00351C09"/>
    <w:rsid w:val="00351C24"/>
    <w:rsid w:val="00351E1C"/>
    <w:rsid w:val="00351E40"/>
    <w:rsid w:val="00351EAD"/>
    <w:rsid w:val="00352005"/>
    <w:rsid w:val="00352351"/>
    <w:rsid w:val="00352472"/>
    <w:rsid w:val="003527FD"/>
    <w:rsid w:val="00352AEC"/>
    <w:rsid w:val="00352B3C"/>
    <w:rsid w:val="00352D09"/>
    <w:rsid w:val="0035335C"/>
    <w:rsid w:val="00353538"/>
    <w:rsid w:val="00354392"/>
    <w:rsid w:val="003545BA"/>
    <w:rsid w:val="003545EA"/>
    <w:rsid w:val="003552D6"/>
    <w:rsid w:val="003553B6"/>
    <w:rsid w:val="003556B7"/>
    <w:rsid w:val="0035699E"/>
    <w:rsid w:val="00356B4D"/>
    <w:rsid w:val="00357A55"/>
    <w:rsid w:val="0036057F"/>
    <w:rsid w:val="00360E1D"/>
    <w:rsid w:val="00361C75"/>
    <w:rsid w:val="00361DF4"/>
    <w:rsid w:val="00361E13"/>
    <w:rsid w:val="003629E7"/>
    <w:rsid w:val="00362E71"/>
    <w:rsid w:val="00363603"/>
    <w:rsid w:val="003639DC"/>
    <w:rsid w:val="00363D22"/>
    <w:rsid w:val="00363FB9"/>
    <w:rsid w:val="003640ED"/>
    <w:rsid w:val="0036422E"/>
    <w:rsid w:val="00364499"/>
    <w:rsid w:val="0036496B"/>
    <w:rsid w:val="00364CF3"/>
    <w:rsid w:val="00365406"/>
    <w:rsid w:val="003654AF"/>
    <w:rsid w:val="00365515"/>
    <w:rsid w:val="00365B3D"/>
    <w:rsid w:val="003665A9"/>
    <w:rsid w:val="00366C77"/>
    <w:rsid w:val="00367218"/>
    <w:rsid w:val="0037063C"/>
    <w:rsid w:val="00370880"/>
    <w:rsid w:val="00370B91"/>
    <w:rsid w:val="003718C8"/>
    <w:rsid w:val="00371A26"/>
    <w:rsid w:val="00372511"/>
    <w:rsid w:val="0037285C"/>
    <w:rsid w:val="0037313F"/>
    <w:rsid w:val="003731AE"/>
    <w:rsid w:val="003733C4"/>
    <w:rsid w:val="00373536"/>
    <w:rsid w:val="003738C9"/>
    <w:rsid w:val="003739A0"/>
    <w:rsid w:val="00374DEB"/>
    <w:rsid w:val="00375C39"/>
    <w:rsid w:val="00376555"/>
    <w:rsid w:val="003766B1"/>
    <w:rsid w:val="003769CB"/>
    <w:rsid w:val="003769F4"/>
    <w:rsid w:val="00376C38"/>
    <w:rsid w:val="00377712"/>
    <w:rsid w:val="003779A8"/>
    <w:rsid w:val="00377A30"/>
    <w:rsid w:val="00377C39"/>
    <w:rsid w:val="00377EFB"/>
    <w:rsid w:val="00380677"/>
    <w:rsid w:val="0038073C"/>
    <w:rsid w:val="003807EA"/>
    <w:rsid w:val="00380A2A"/>
    <w:rsid w:val="00380D06"/>
    <w:rsid w:val="00380E2E"/>
    <w:rsid w:val="00381AA1"/>
    <w:rsid w:val="00382222"/>
    <w:rsid w:val="003824B0"/>
    <w:rsid w:val="003828D3"/>
    <w:rsid w:val="00382E8D"/>
    <w:rsid w:val="00382FD5"/>
    <w:rsid w:val="0038326E"/>
    <w:rsid w:val="00383D58"/>
    <w:rsid w:val="00383D79"/>
    <w:rsid w:val="00383FD9"/>
    <w:rsid w:val="003841D6"/>
    <w:rsid w:val="00384833"/>
    <w:rsid w:val="00384955"/>
    <w:rsid w:val="00384B49"/>
    <w:rsid w:val="00385038"/>
    <w:rsid w:val="0038506B"/>
    <w:rsid w:val="003855BD"/>
    <w:rsid w:val="00385D6A"/>
    <w:rsid w:val="003861AB"/>
    <w:rsid w:val="003862EF"/>
    <w:rsid w:val="00386517"/>
    <w:rsid w:val="003869F0"/>
    <w:rsid w:val="00386A95"/>
    <w:rsid w:val="00386C0F"/>
    <w:rsid w:val="003875B1"/>
    <w:rsid w:val="00387883"/>
    <w:rsid w:val="00387F61"/>
    <w:rsid w:val="003901B9"/>
    <w:rsid w:val="003906F6"/>
    <w:rsid w:val="00390D8A"/>
    <w:rsid w:val="00390DD6"/>
    <w:rsid w:val="00391AE8"/>
    <w:rsid w:val="00391C20"/>
    <w:rsid w:val="00391FAA"/>
    <w:rsid w:val="00391FAD"/>
    <w:rsid w:val="00392C0A"/>
    <w:rsid w:val="00393656"/>
    <w:rsid w:val="00393F39"/>
    <w:rsid w:val="00394179"/>
    <w:rsid w:val="003944C9"/>
    <w:rsid w:val="00394548"/>
    <w:rsid w:val="003949A1"/>
    <w:rsid w:val="00395F47"/>
    <w:rsid w:val="00395F79"/>
    <w:rsid w:val="0039601E"/>
    <w:rsid w:val="0039605C"/>
    <w:rsid w:val="00396626"/>
    <w:rsid w:val="00396EE9"/>
    <w:rsid w:val="00397689"/>
    <w:rsid w:val="00397B85"/>
    <w:rsid w:val="00397CE3"/>
    <w:rsid w:val="00397DBB"/>
    <w:rsid w:val="003A09A8"/>
    <w:rsid w:val="003A09AF"/>
    <w:rsid w:val="003A13D8"/>
    <w:rsid w:val="003A1522"/>
    <w:rsid w:val="003A1715"/>
    <w:rsid w:val="003A2175"/>
    <w:rsid w:val="003A22A2"/>
    <w:rsid w:val="003A2ABF"/>
    <w:rsid w:val="003A2E9F"/>
    <w:rsid w:val="003A30CF"/>
    <w:rsid w:val="003A3C2E"/>
    <w:rsid w:val="003A411A"/>
    <w:rsid w:val="003A49F2"/>
    <w:rsid w:val="003A4E87"/>
    <w:rsid w:val="003A59A1"/>
    <w:rsid w:val="003A5D92"/>
    <w:rsid w:val="003A5DAC"/>
    <w:rsid w:val="003A5F15"/>
    <w:rsid w:val="003A6330"/>
    <w:rsid w:val="003A6760"/>
    <w:rsid w:val="003A6785"/>
    <w:rsid w:val="003A756E"/>
    <w:rsid w:val="003A7BA4"/>
    <w:rsid w:val="003B0055"/>
    <w:rsid w:val="003B096D"/>
    <w:rsid w:val="003B0C19"/>
    <w:rsid w:val="003B0D7B"/>
    <w:rsid w:val="003B22F0"/>
    <w:rsid w:val="003B2448"/>
    <w:rsid w:val="003B252E"/>
    <w:rsid w:val="003B29FA"/>
    <w:rsid w:val="003B2F54"/>
    <w:rsid w:val="003B33A1"/>
    <w:rsid w:val="003B40B4"/>
    <w:rsid w:val="003B4428"/>
    <w:rsid w:val="003B4B16"/>
    <w:rsid w:val="003B4DED"/>
    <w:rsid w:val="003B5054"/>
    <w:rsid w:val="003B542A"/>
    <w:rsid w:val="003B54C1"/>
    <w:rsid w:val="003B5644"/>
    <w:rsid w:val="003B56BF"/>
    <w:rsid w:val="003B66B2"/>
    <w:rsid w:val="003B68D2"/>
    <w:rsid w:val="003B6AA1"/>
    <w:rsid w:val="003B6CF6"/>
    <w:rsid w:val="003B6D25"/>
    <w:rsid w:val="003B6E6E"/>
    <w:rsid w:val="003B7CE3"/>
    <w:rsid w:val="003B7F80"/>
    <w:rsid w:val="003C0173"/>
    <w:rsid w:val="003C08FC"/>
    <w:rsid w:val="003C0996"/>
    <w:rsid w:val="003C17A0"/>
    <w:rsid w:val="003C195F"/>
    <w:rsid w:val="003C2932"/>
    <w:rsid w:val="003C29DD"/>
    <w:rsid w:val="003C2AF2"/>
    <w:rsid w:val="003C3E33"/>
    <w:rsid w:val="003C46D6"/>
    <w:rsid w:val="003C46E5"/>
    <w:rsid w:val="003C4AA1"/>
    <w:rsid w:val="003C4BA2"/>
    <w:rsid w:val="003C4F9C"/>
    <w:rsid w:val="003C70B5"/>
    <w:rsid w:val="003C7C4B"/>
    <w:rsid w:val="003D01F3"/>
    <w:rsid w:val="003D0C1A"/>
    <w:rsid w:val="003D0F9C"/>
    <w:rsid w:val="003D1044"/>
    <w:rsid w:val="003D13AA"/>
    <w:rsid w:val="003D15AC"/>
    <w:rsid w:val="003D1CDA"/>
    <w:rsid w:val="003D1FEE"/>
    <w:rsid w:val="003D2AF1"/>
    <w:rsid w:val="003D2B02"/>
    <w:rsid w:val="003D3648"/>
    <w:rsid w:val="003D426D"/>
    <w:rsid w:val="003D450F"/>
    <w:rsid w:val="003D46B2"/>
    <w:rsid w:val="003D4760"/>
    <w:rsid w:val="003D47E8"/>
    <w:rsid w:val="003D4DFF"/>
    <w:rsid w:val="003D4F48"/>
    <w:rsid w:val="003D5440"/>
    <w:rsid w:val="003D5C8C"/>
    <w:rsid w:val="003D5EAF"/>
    <w:rsid w:val="003D6608"/>
    <w:rsid w:val="003D6933"/>
    <w:rsid w:val="003D7057"/>
    <w:rsid w:val="003D73A0"/>
    <w:rsid w:val="003D748D"/>
    <w:rsid w:val="003D7667"/>
    <w:rsid w:val="003D7E1E"/>
    <w:rsid w:val="003D7E58"/>
    <w:rsid w:val="003E074B"/>
    <w:rsid w:val="003E0937"/>
    <w:rsid w:val="003E0BF8"/>
    <w:rsid w:val="003E1A11"/>
    <w:rsid w:val="003E25E9"/>
    <w:rsid w:val="003E2918"/>
    <w:rsid w:val="003E2941"/>
    <w:rsid w:val="003E29DC"/>
    <w:rsid w:val="003E2DF7"/>
    <w:rsid w:val="003E2FE0"/>
    <w:rsid w:val="003E3183"/>
    <w:rsid w:val="003E3280"/>
    <w:rsid w:val="003E347B"/>
    <w:rsid w:val="003E3F1A"/>
    <w:rsid w:val="003E414F"/>
    <w:rsid w:val="003E4247"/>
    <w:rsid w:val="003E438E"/>
    <w:rsid w:val="003E4A35"/>
    <w:rsid w:val="003E4F76"/>
    <w:rsid w:val="003E57DC"/>
    <w:rsid w:val="003E5ADB"/>
    <w:rsid w:val="003E652A"/>
    <w:rsid w:val="003E6881"/>
    <w:rsid w:val="003E6E90"/>
    <w:rsid w:val="003E7662"/>
    <w:rsid w:val="003E76AC"/>
    <w:rsid w:val="003E7CA1"/>
    <w:rsid w:val="003E7D29"/>
    <w:rsid w:val="003E7FFC"/>
    <w:rsid w:val="003F00E3"/>
    <w:rsid w:val="003F0539"/>
    <w:rsid w:val="003F057D"/>
    <w:rsid w:val="003F094B"/>
    <w:rsid w:val="003F10BA"/>
    <w:rsid w:val="003F1868"/>
    <w:rsid w:val="003F18AD"/>
    <w:rsid w:val="003F19D2"/>
    <w:rsid w:val="003F1D18"/>
    <w:rsid w:val="003F2544"/>
    <w:rsid w:val="003F287E"/>
    <w:rsid w:val="003F30BD"/>
    <w:rsid w:val="003F311B"/>
    <w:rsid w:val="003F3434"/>
    <w:rsid w:val="003F392F"/>
    <w:rsid w:val="003F3D99"/>
    <w:rsid w:val="003F466D"/>
    <w:rsid w:val="003F571E"/>
    <w:rsid w:val="003F5A6F"/>
    <w:rsid w:val="003F5F04"/>
    <w:rsid w:val="003F5FF0"/>
    <w:rsid w:val="003F6135"/>
    <w:rsid w:val="003F61A7"/>
    <w:rsid w:val="003F6331"/>
    <w:rsid w:val="003F6742"/>
    <w:rsid w:val="003F6B32"/>
    <w:rsid w:val="003F6BC4"/>
    <w:rsid w:val="003F76CC"/>
    <w:rsid w:val="003F7E1F"/>
    <w:rsid w:val="00400DDC"/>
    <w:rsid w:val="00400E04"/>
    <w:rsid w:val="00401A32"/>
    <w:rsid w:val="00401C7F"/>
    <w:rsid w:val="00401D11"/>
    <w:rsid w:val="0040225F"/>
    <w:rsid w:val="004025BF"/>
    <w:rsid w:val="004026A3"/>
    <w:rsid w:val="00403379"/>
    <w:rsid w:val="00403761"/>
    <w:rsid w:val="00403D7A"/>
    <w:rsid w:val="004051C5"/>
    <w:rsid w:val="00405494"/>
    <w:rsid w:val="004054AE"/>
    <w:rsid w:val="00405AD6"/>
    <w:rsid w:val="00405B7F"/>
    <w:rsid w:val="00405BB3"/>
    <w:rsid w:val="00405CF9"/>
    <w:rsid w:val="00405F0A"/>
    <w:rsid w:val="004067E9"/>
    <w:rsid w:val="00406992"/>
    <w:rsid w:val="00406F40"/>
    <w:rsid w:val="00407281"/>
    <w:rsid w:val="00407445"/>
    <w:rsid w:val="0040780F"/>
    <w:rsid w:val="00410474"/>
    <w:rsid w:val="004113BD"/>
    <w:rsid w:val="004115B5"/>
    <w:rsid w:val="00411631"/>
    <w:rsid w:val="00411718"/>
    <w:rsid w:val="004118DF"/>
    <w:rsid w:val="00411DA9"/>
    <w:rsid w:val="00412C30"/>
    <w:rsid w:val="00412C80"/>
    <w:rsid w:val="00412E29"/>
    <w:rsid w:val="0041319B"/>
    <w:rsid w:val="00413AE6"/>
    <w:rsid w:val="0041412F"/>
    <w:rsid w:val="00414230"/>
    <w:rsid w:val="004143AA"/>
    <w:rsid w:val="00414881"/>
    <w:rsid w:val="00414AA4"/>
    <w:rsid w:val="0041510D"/>
    <w:rsid w:val="00415678"/>
    <w:rsid w:val="004164C8"/>
    <w:rsid w:val="0041696D"/>
    <w:rsid w:val="0041791F"/>
    <w:rsid w:val="0042095A"/>
    <w:rsid w:val="00421084"/>
    <w:rsid w:val="00421152"/>
    <w:rsid w:val="00421C40"/>
    <w:rsid w:val="0042212D"/>
    <w:rsid w:val="0042222C"/>
    <w:rsid w:val="00422D74"/>
    <w:rsid w:val="00422EBE"/>
    <w:rsid w:val="00422F99"/>
    <w:rsid w:val="00423277"/>
    <w:rsid w:val="00423CB8"/>
    <w:rsid w:val="00423F46"/>
    <w:rsid w:val="00424114"/>
    <w:rsid w:val="0042440F"/>
    <w:rsid w:val="00424F30"/>
    <w:rsid w:val="00425707"/>
    <w:rsid w:val="00425B85"/>
    <w:rsid w:val="00426152"/>
    <w:rsid w:val="004267D2"/>
    <w:rsid w:val="0042687D"/>
    <w:rsid w:val="004276A1"/>
    <w:rsid w:val="004277DA"/>
    <w:rsid w:val="00427BFB"/>
    <w:rsid w:val="004302FA"/>
    <w:rsid w:val="004305AB"/>
    <w:rsid w:val="00430D17"/>
    <w:rsid w:val="004311B5"/>
    <w:rsid w:val="00431616"/>
    <w:rsid w:val="0043199C"/>
    <w:rsid w:val="00431FCD"/>
    <w:rsid w:val="00432F1B"/>
    <w:rsid w:val="00432F54"/>
    <w:rsid w:val="00433CE5"/>
    <w:rsid w:val="00434508"/>
    <w:rsid w:val="004345DF"/>
    <w:rsid w:val="004346F8"/>
    <w:rsid w:val="00434919"/>
    <w:rsid w:val="00434A8F"/>
    <w:rsid w:val="00434BD1"/>
    <w:rsid w:val="00434FF5"/>
    <w:rsid w:val="004351D9"/>
    <w:rsid w:val="00435B30"/>
    <w:rsid w:val="00436041"/>
    <w:rsid w:val="0043610C"/>
    <w:rsid w:val="004365CD"/>
    <w:rsid w:val="004366CE"/>
    <w:rsid w:val="00436A1C"/>
    <w:rsid w:val="00436CB8"/>
    <w:rsid w:val="00436D3C"/>
    <w:rsid w:val="004376CC"/>
    <w:rsid w:val="00437E0E"/>
    <w:rsid w:val="004402F5"/>
    <w:rsid w:val="00440A7D"/>
    <w:rsid w:val="0044106F"/>
    <w:rsid w:val="004414DF"/>
    <w:rsid w:val="00441E77"/>
    <w:rsid w:val="004422B8"/>
    <w:rsid w:val="004427B0"/>
    <w:rsid w:val="00442860"/>
    <w:rsid w:val="00443057"/>
    <w:rsid w:val="00444623"/>
    <w:rsid w:val="00444CA4"/>
    <w:rsid w:val="00445103"/>
    <w:rsid w:val="004453EE"/>
    <w:rsid w:val="0044591F"/>
    <w:rsid w:val="00445CEF"/>
    <w:rsid w:val="00445F63"/>
    <w:rsid w:val="00446239"/>
    <w:rsid w:val="0044666A"/>
    <w:rsid w:val="004469E6"/>
    <w:rsid w:val="00446E85"/>
    <w:rsid w:val="00447AF6"/>
    <w:rsid w:val="00447DAC"/>
    <w:rsid w:val="00447F6C"/>
    <w:rsid w:val="004503DD"/>
    <w:rsid w:val="004507F5"/>
    <w:rsid w:val="00450965"/>
    <w:rsid w:val="00450976"/>
    <w:rsid w:val="00450D07"/>
    <w:rsid w:val="0045113B"/>
    <w:rsid w:val="004511CB"/>
    <w:rsid w:val="004511E6"/>
    <w:rsid w:val="00451276"/>
    <w:rsid w:val="0045130F"/>
    <w:rsid w:val="00451897"/>
    <w:rsid w:val="004524AC"/>
    <w:rsid w:val="00452634"/>
    <w:rsid w:val="00453FF2"/>
    <w:rsid w:val="00454B7F"/>
    <w:rsid w:val="00454D9C"/>
    <w:rsid w:val="004552D5"/>
    <w:rsid w:val="004558C0"/>
    <w:rsid w:val="004558EC"/>
    <w:rsid w:val="00456219"/>
    <w:rsid w:val="004562E6"/>
    <w:rsid w:val="004566B6"/>
    <w:rsid w:val="00456AA0"/>
    <w:rsid w:val="00456FB4"/>
    <w:rsid w:val="004572E8"/>
    <w:rsid w:val="00457665"/>
    <w:rsid w:val="00457B27"/>
    <w:rsid w:val="00457F24"/>
    <w:rsid w:val="004600A7"/>
    <w:rsid w:val="004605B1"/>
    <w:rsid w:val="004606A4"/>
    <w:rsid w:val="00460805"/>
    <w:rsid w:val="004609F1"/>
    <w:rsid w:val="00460B34"/>
    <w:rsid w:val="0046147B"/>
    <w:rsid w:val="004617C7"/>
    <w:rsid w:val="004618C4"/>
    <w:rsid w:val="0046211C"/>
    <w:rsid w:val="00462A32"/>
    <w:rsid w:val="00462DA9"/>
    <w:rsid w:val="004630A6"/>
    <w:rsid w:val="00463329"/>
    <w:rsid w:val="004637F6"/>
    <w:rsid w:val="00463E20"/>
    <w:rsid w:val="00464133"/>
    <w:rsid w:val="004641ED"/>
    <w:rsid w:val="0046428C"/>
    <w:rsid w:val="00464645"/>
    <w:rsid w:val="004648D6"/>
    <w:rsid w:val="00464CA7"/>
    <w:rsid w:val="0046589C"/>
    <w:rsid w:val="004659DA"/>
    <w:rsid w:val="00465BA9"/>
    <w:rsid w:val="00466157"/>
    <w:rsid w:val="00466598"/>
    <w:rsid w:val="00466629"/>
    <w:rsid w:val="00466C6E"/>
    <w:rsid w:val="00467260"/>
    <w:rsid w:val="0046799E"/>
    <w:rsid w:val="00467CD3"/>
    <w:rsid w:val="00467CE0"/>
    <w:rsid w:val="004702C0"/>
    <w:rsid w:val="00470344"/>
    <w:rsid w:val="004709E6"/>
    <w:rsid w:val="00470F07"/>
    <w:rsid w:val="00471BEA"/>
    <w:rsid w:val="00472191"/>
    <w:rsid w:val="004729E1"/>
    <w:rsid w:val="00472A76"/>
    <w:rsid w:val="00472F3F"/>
    <w:rsid w:val="00473086"/>
    <w:rsid w:val="004731EC"/>
    <w:rsid w:val="004743E0"/>
    <w:rsid w:val="00474493"/>
    <w:rsid w:val="00474AF0"/>
    <w:rsid w:val="004750C8"/>
    <w:rsid w:val="004758FF"/>
    <w:rsid w:val="00475C76"/>
    <w:rsid w:val="00475EC9"/>
    <w:rsid w:val="0047651C"/>
    <w:rsid w:val="00476CEF"/>
    <w:rsid w:val="004777A6"/>
    <w:rsid w:val="004779A3"/>
    <w:rsid w:val="00477B42"/>
    <w:rsid w:val="00477C18"/>
    <w:rsid w:val="00480995"/>
    <w:rsid w:val="00480BD3"/>
    <w:rsid w:val="00481431"/>
    <w:rsid w:val="00481901"/>
    <w:rsid w:val="00481E23"/>
    <w:rsid w:val="00482072"/>
    <w:rsid w:val="004824CA"/>
    <w:rsid w:val="00482844"/>
    <w:rsid w:val="00482AEA"/>
    <w:rsid w:val="00483133"/>
    <w:rsid w:val="0048341E"/>
    <w:rsid w:val="004835EC"/>
    <w:rsid w:val="0048398C"/>
    <w:rsid w:val="004839EB"/>
    <w:rsid w:val="00483E4C"/>
    <w:rsid w:val="00485282"/>
    <w:rsid w:val="004858CD"/>
    <w:rsid w:val="00485A1F"/>
    <w:rsid w:val="00485CB1"/>
    <w:rsid w:val="00485EB9"/>
    <w:rsid w:val="0048627F"/>
    <w:rsid w:val="004864BF"/>
    <w:rsid w:val="004874AF"/>
    <w:rsid w:val="00487FE3"/>
    <w:rsid w:val="004911E6"/>
    <w:rsid w:val="0049169D"/>
    <w:rsid w:val="004917BB"/>
    <w:rsid w:val="00491A0B"/>
    <w:rsid w:val="00491F6D"/>
    <w:rsid w:val="0049249D"/>
    <w:rsid w:val="00492D8F"/>
    <w:rsid w:val="004931D6"/>
    <w:rsid w:val="0049352E"/>
    <w:rsid w:val="0049374C"/>
    <w:rsid w:val="004938E2"/>
    <w:rsid w:val="004940CD"/>
    <w:rsid w:val="0049497D"/>
    <w:rsid w:val="004953D6"/>
    <w:rsid w:val="004959DE"/>
    <w:rsid w:val="00495EE1"/>
    <w:rsid w:val="0049641B"/>
    <w:rsid w:val="0049673F"/>
    <w:rsid w:val="00496F47"/>
    <w:rsid w:val="00497D17"/>
    <w:rsid w:val="004A0812"/>
    <w:rsid w:val="004A0E4F"/>
    <w:rsid w:val="004A102B"/>
    <w:rsid w:val="004A127F"/>
    <w:rsid w:val="004A1399"/>
    <w:rsid w:val="004A185B"/>
    <w:rsid w:val="004A1EA1"/>
    <w:rsid w:val="004A28F2"/>
    <w:rsid w:val="004A2CF1"/>
    <w:rsid w:val="004A3F19"/>
    <w:rsid w:val="004A3FB5"/>
    <w:rsid w:val="004A4259"/>
    <w:rsid w:val="004A4755"/>
    <w:rsid w:val="004A48FB"/>
    <w:rsid w:val="004A5741"/>
    <w:rsid w:val="004A63A8"/>
    <w:rsid w:val="004A65A3"/>
    <w:rsid w:val="004A67B6"/>
    <w:rsid w:val="004A6FA3"/>
    <w:rsid w:val="004A702D"/>
    <w:rsid w:val="004A714D"/>
    <w:rsid w:val="004A750B"/>
    <w:rsid w:val="004A7DFA"/>
    <w:rsid w:val="004A7E68"/>
    <w:rsid w:val="004B087B"/>
    <w:rsid w:val="004B0AC3"/>
    <w:rsid w:val="004B110B"/>
    <w:rsid w:val="004B1A6F"/>
    <w:rsid w:val="004B1A77"/>
    <w:rsid w:val="004B1B37"/>
    <w:rsid w:val="004B2358"/>
    <w:rsid w:val="004B2632"/>
    <w:rsid w:val="004B29B8"/>
    <w:rsid w:val="004B2B18"/>
    <w:rsid w:val="004B3311"/>
    <w:rsid w:val="004B34F9"/>
    <w:rsid w:val="004B3A9D"/>
    <w:rsid w:val="004B3C19"/>
    <w:rsid w:val="004B3D65"/>
    <w:rsid w:val="004B46B0"/>
    <w:rsid w:val="004B4F59"/>
    <w:rsid w:val="004B509B"/>
    <w:rsid w:val="004B5378"/>
    <w:rsid w:val="004B5B11"/>
    <w:rsid w:val="004B5B2B"/>
    <w:rsid w:val="004B616C"/>
    <w:rsid w:val="004B6175"/>
    <w:rsid w:val="004B631C"/>
    <w:rsid w:val="004B69DF"/>
    <w:rsid w:val="004B71DA"/>
    <w:rsid w:val="004B75A7"/>
    <w:rsid w:val="004B76FB"/>
    <w:rsid w:val="004B7C98"/>
    <w:rsid w:val="004C103B"/>
    <w:rsid w:val="004C14A6"/>
    <w:rsid w:val="004C1809"/>
    <w:rsid w:val="004C1EBE"/>
    <w:rsid w:val="004C2113"/>
    <w:rsid w:val="004C234E"/>
    <w:rsid w:val="004C2846"/>
    <w:rsid w:val="004C2D4C"/>
    <w:rsid w:val="004C2E8D"/>
    <w:rsid w:val="004C317E"/>
    <w:rsid w:val="004C330A"/>
    <w:rsid w:val="004C34E5"/>
    <w:rsid w:val="004C36D9"/>
    <w:rsid w:val="004C3C24"/>
    <w:rsid w:val="004C43D6"/>
    <w:rsid w:val="004C44C0"/>
    <w:rsid w:val="004C4771"/>
    <w:rsid w:val="004C4A5B"/>
    <w:rsid w:val="004C5073"/>
    <w:rsid w:val="004C591D"/>
    <w:rsid w:val="004C5B58"/>
    <w:rsid w:val="004C5E38"/>
    <w:rsid w:val="004C5F0A"/>
    <w:rsid w:val="004C62AA"/>
    <w:rsid w:val="004C657B"/>
    <w:rsid w:val="004C68D6"/>
    <w:rsid w:val="004C69B5"/>
    <w:rsid w:val="004C6A8E"/>
    <w:rsid w:val="004C706F"/>
    <w:rsid w:val="004C71A1"/>
    <w:rsid w:val="004C72EC"/>
    <w:rsid w:val="004C7EE3"/>
    <w:rsid w:val="004D01D6"/>
    <w:rsid w:val="004D0305"/>
    <w:rsid w:val="004D0340"/>
    <w:rsid w:val="004D04AE"/>
    <w:rsid w:val="004D0806"/>
    <w:rsid w:val="004D11A3"/>
    <w:rsid w:val="004D1CB8"/>
    <w:rsid w:val="004D1D3C"/>
    <w:rsid w:val="004D1E22"/>
    <w:rsid w:val="004D217A"/>
    <w:rsid w:val="004D28BB"/>
    <w:rsid w:val="004D2BEE"/>
    <w:rsid w:val="004D2CC2"/>
    <w:rsid w:val="004D332C"/>
    <w:rsid w:val="004D369A"/>
    <w:rsid w:val="004D39A1"/>
    <w:rsid w:val="004D4BBE"/>
    <w:rsid w:val="004D4D90"/>
    <w:rsid w:val="004D4DF4"/>
    <w:rsid w:val="004D6301"/>
    <w:rsid w:val="004D65FE"/>
    <w:rsid w:val="004D66B3"/>
    <w:rsid w:val="004D6D86"/>
    <w:rsid w:val="004D6EB3"/>
    <w:rsid w:val="004D6FB6"/>
    <w:rsid w:val="004D793F"/>
    <w:rsid w:val="004D7AA8"/>
    <w:rsid w:val="004D7D23"/>
    <w:rsid w:val="004E0858"/>
    <w:rsid w:val="004E1449"/>
    <w:rsid w:val="004E15C9"/>
    <w:rsid w:val="004E16C5"/>
    <w:rsid w:val="004E1C79"/>
    <w:rsid w:val="004E2554"/>
    <w:rsid w:val="004E269A"/>
    <w:rsid w:val="004E2B6B"/>
    <w:rsid w:val="004E2E96"/>
    <w:rsid w:val="004E3CF2"/>
    <w:rsid w:val="004E42F5"/>
    <w:rsid w:val="004E4496"/>
    <w:rsid w:val="004E4F95"/>
    <w:rsid w:val="004E5484"/>
    <w:rsid w:val="004E5603"/>
    <w:rsid w:val="004E594B"/>
    <w:rsid w:val="004E5989"/>
    <w:rsid w:val="004E6022"/>
    <w:rsid w:val="004E6D92"/>
    <w:rsid w:val="004E724E"/>
    <w:rsid w:val="004E7816"/>
    <w:rsid w:val="004E7CAE"/>
    <w:rsid w:val="004F0223"/>
    <w:rsid w:val="004F053D"/>
    <w:rsid w:val="004F07AB"/>
    <w:rsid w:val="004F0B2B"/>
    <w:rsid w:val="004F1149"/>
    <w:rsid w:val="004F1B57"/>
    <w:rsid w:val="004F1CB3"/>
    <w:rsid w:val="004F1FF3"/>
    <w:rsid w:val="004F204A"/>
    <w:rsid w:val="004F2160"/>
    <w:rsid w:val="004F2449"/>
    <w:rsid w:val="004F3041"/>
    <w:rsid w:val="004F356F"/>
    <w:rsid w:val="004F368F"/>
    <w:rsid w:val="004F4814"/>
    <w:rsid w:val="004F569D"/>
    <w:rsid w:val="004F58CE"/>
    <w:rsid w:val="004F5F12"/>
    <w:rsid w:val="004F6894"/>
    <w:rsid w:val="004F69EA"/>
    <w:rsid w:val="004F6A1E"/>
    <w:rsid w:val="004F6BE2"/>
    <w:rsid w:val="004F700A"/>
    <w:rsid w:val="004F7282"/>
    <w:rsid w:val="004F73EF"/>
    <w:rsid w:val="004F7530"/>
    <w:rsid w:val="004F7C6A"/>
    <w:rsid w:val="005000CF"/>
    <w:rsid w:val="00500498"/>
    <w:rsid w:val="005007C6"/>
    <w:rsid w:val="00500E61"/>
    <w:rsid w:val="005011A5"/>
    <w:rsid w:val="00501C56"/>
    <w:rsid w:val="00501E7D"/>
    <w:rsid w:val="00502002"/>
    <w:rsid w:val="0050282E"/>
    <w:rsid w:val="00502EBE"/>
    <w:rsid w:val="0050328D"/>
    <w:rsid w:val="0050335A"/>
    <w:rsid w:val="005033A1"/>
    <w:rsid w:val="005036A4"/>
    <w:rsid w:val="005036A7"/>
    <w:rsid w:val="005039F6"/>
    <w:rsid w:val="00503D91"/>
    <w:rsid w:val="00504838"/>
    <w:rsid w:val="00504942"/>
    <w:rsid w:val="005049DC"/>
    <w:rsid w:val="005059CD"/>
    <w:rsid w:val="00505DA0"/>
    <w:rsid w:val="0050604B"/>
    <w:rsid w:val="00506206"/>
    <w:rsid w:val="005063CB"/>
    <w:rsid w:val="0050648A"/>
    <w:rsid w:val="00507E25"/>
    <w:rsid w:val="00510D2F"/>
    <w:rsid w:val="00511212"/>
    <w:rsid w:val="0051136E"/>
    <w:rsid w:val="00511755"/>
    <w:rsid w:val="00511B66"/>
    <w:rsid w:val="0051277F"/>
    <w:rsid w:val="00512B53"/>
    <w:rsid w:val="00512E71"/>
    <w:rsid w:val="0051343F"/>
    <w:rsid w:val="005134DB"/>
    <w:rsid w:val="005135B8"/>
    <w:rsid w:val="00513F03"/>
    <w:rsid w:val="0051464F"/>
    <w:rsid w:val="00515273"/>
    <w:rsid w:val="0051560C"/>
    <w:rsid w:val="0051569C"/>
    <w:rsid w:val="00515809"/>
    <w:rsid w:val="00515BA9"/>
    <w:rsid w:val="00515C1D"/>
    <w:rsid w:val="00515C8C"/>
    <w:rsid w:val="005160D9"/>
    <w:rsid w:val="005168B8"/>
    <w:rsid w:val="00516AAA"/>
    <w:rsid w:val="00516BAE"/>
    <w:rsid w:val="00516C6D"/>
    <w:rsid w:val="005171BB"/>
    <w:rsid w:val="005174BA"/>
    <w:rsid w:val="005175C5"/>
    <w:rsid w:val="005175DF"/>
    <w:rsid w:val="00517B3E"/>
    <w:rsid w:val="00520B65"/>
    <w:rsid w:val="00520CAA"/>
    <w:rsid w:val="00520E00"/>
    <w:rsid w:val="00521716"/>
    <w:rsid w:val="00521BE5"/>
    <w:rsid w:val="00521BE7"/>
    <w:rsid w:val="00521E44"/>
    <w:rsid w:val="005222D7"/>
    <w:rsid w:val="00522CA9"/>
    <w:rsid w:val="00522E47"/>
    <w:rsid w:val="00522EA3"/>
    <w:rsid w:val="00522F08"/>
    <w:rsid w:val="0052373A"/>
    <w:rsid w:val="00523F50"/>
    <w:rsid w:val="00523FDC"/>
    <w:rsid w:val="0052425E"/>
    <w:rsid w:val="00524D0A"/>
    <w:rsid w:val="00524DAA"/>
    <w:rsid w:val="00524E3F"/>
    <w:rsid w:val="00524F36"/>
    <w:rsid w:val="00525180"/>
    <w:rsid w:val="0052542E"/>
    <w:rsid w:val="00525A3E"/>
    <w:rsid w:val="00525DAD"/>
    <w:rsid w:val="00527691"/>
    <w:rsid w:val="00527697"/>
    <w:rsid w:val="005278A4"/>
    <w:rsid w:val="00527B24"/>
    <w:rsid w:val="00527E68"/>
    <w:rsid w:val="00527FDA"/>
    <w:rsid w:val="0053069C"/>
    <w:rsid w:val="00530A60"/>
    <w:rsid w:val="005310F0"/>
    <w:rsid w:val="005315D3"/>
    <w:rsid w:val="005316AA"/>
    <w:rsid w:val="005318E1"/>
    <w:rsid w:val="00531AAE"/>
    <w:rsid w:val="00531AB6"/>
    <w:rsid w:val="00531D4D"/>
    <w:rsid w:val="00531D75"/>
    <w:rsid w:val="00531E9F"/>
    <w:rsid w:val="00531F78"/>
    <w:rsid w:val="0053218F"/>
    <w:rsid w:val="00532406"/>
    <w:rsid w:val="00532443"/>
    <w:rsid w:val="005324FB"/>
    <w:rsid w:val="00532F6E"/>
    <w:rsid w:val="0053305A"/>
    <w:rsid w:val="005333B2"/>
    <w:rsid w:val="0053340B"/>
    <w:rsid w:val="005340E3"/>
    <w:rsid w:val="0053433F"/>
    <w:rsid w:val="0053448C"/>
    <w:rsid w:val="00534D3A"/>
    <w:rsid w:val="00534F74"/>
    <w:rsid w:val="0053503A"/>
    <w:rsid w:val="005357CA"/>
    <w:rsid w:val="00536504"/>
    <w:rsid w:val="00536F99"/>
    <w:rsid w:val="0053725F"/>
    <w:rsid w:val="005379E9"/>
    <w:rsid w:val="00537F26"/>
    <w:rsid w:val="00540418"/>
    <w:rsid w:val="00540C9D"/>
    <w:rsid w:val="005410A1"/>
    <w:rsid w:val="00541677"/>
    <w:rsid w:val="0054176B"/>
    <w:rsid w:val="0054180F"/>
    <w:rsid w:val="00541B7C"/>
    <w:rsid w:val="00542080"/>
    <w:rsid w:val="005421B1"/>
    <w:rsid w:val="005422C7"/>
    <w:rsid w:val="005427EA"/>
    <w:rsid w:val="00542968"/>
    <w:rsid w:val="005430AA"/>
    <w:rsid w:val="00543613"/>
    <w:rsid w:val="00544899"/>
    <w:rsid w:val="005448D2"/>
    <w:rsid w:val="00544AC2"/>
    <w:rsid w:val="00544E5D"/>
    <w:rsid w:val="00545244"/>
    <w:rsid w:val="005458BA"/>
    <w:rsid w:val="005464AA"/>
    <w:rsid w:val="00546508"/>
    <w:rsid w:val="0054668E"/>
    <w:rsid w:val="00546AFF"/>
    <w:rsid w:val="00546DDC"/>
    <w:rsid w:val="00546F01"/>
    <w:rsid w:val="00547370"/>
    <w:rsid w:val="0054791C"/>
    <w:rsid w:val="00547956"/>
    <w:rsid w:val="0054796E"/>
    <w:rsid w:val="00547C1F"/>
    <w:rsid w:val="00547DF4"/>
    <w:rsid w:val="00547E4C"/>
    <w:rsid w:val="0055012B"/>
    <w:rsid w:val="005508DD"/>
    <w:rsid w:val="00550F06"/>
    <w:rsid w:val="00551805"/>
    <w:rsid w:val="00551CEC"/>
    <w:rsid w:val="00551FD7"/>
    <w:rsid w:val="005529AB"/>
    <w:rsid w:val="00552BF7"/>
    <w:rsid w:val="005533D0"/>
    <w:rsid w:val="00553808"/>
    <w:rsid w:val="00553AF0"/>
    <w:rsid w:val="00553B2E"/>
    <w:rsid w:val="0055426A"/>
    <w:rsid w:val="00554586"/>
    <w:rsid w:val="005549F9"/>
    <w:rsid w:val="00554A9C"/>
    <w:rsid w:val="005552CF"/>
    <w:rsid w:val="00555BB7"/>
    <w:rsid w:val="00555C6F"/>
    <w:rsid w:val="005564C1"/>
    <w:rsid w:val="00557E4E"/>
    <w:rsid w:val="00557F25"/>
    <w:rsid w:val="00557FAB"/>
    <w:rsid w:val="0056002F"/>
    <w:rsid w:val="005601D7"/>
    <w:rsid w:val="0056037E"/>
    <w:rsid w:val="00560637"/>
    <w:rsid w:val="005607C9"/>
    <w:rsid w:val="00560807"/>
    <w:rsid w:val="00560882"/>
    <w:rsid w:val="0056113B"/>
    <w:rsid w:val="0056115C"/>
    <w:rsid w:val="00562272"/>
    <w:rsid w:val="00562B42"/>
    <w:rsid w:val="005631A1"/>
    <w:rsid w:val="0056366D"/>
    <w:rsid w:val="00563835"/>
    <w:rsid w:val="005639E8"/>
    <w:rsid w:val="00563D99"/>
    <w:rsid w:val="00564047"/>
    <w:rsid w:val="00564A35"/>
    <w:rsid w:val="00565320"/>
    <w:rsid w:val="005659BB"/>
    <w:rsid w:val="00565E5E"/>
    <w:rsid w:val="00565FFA"/>
    <w:rsid w:val="00566053"/>
    <w:rsid w:val="0056663F"/>
    <w:rsid w:val="00566AF4"/>
    <w:rsid w:val="00566C05"/>
    <w:rsid w:val="00567355"/>
    <w:rsid w:val="00567E20"/>
    <w:rsid w:val="00567EC1"/>
    <w:rsid w:val="00567FF8"/>
    <w:rsid w:val="0057045B"/>
    <w:rsid w:val="00570708"/>
    <w:rsid w:val="00570774"/>
    <w:rsid w:val="0057081F"/>
    <w:rsid w:val="00570BBB"/>
    <w:rsid w:val="005713CD"/>
    <w:rsid w:val="0057184B"/>
    <w:rsid w:val="00571CCF"/>
    <w:rsid w:val="0057252F"/>
    <w:rsid w:val="00572EC5"/>
    <w:rsid w:val="0057313B"/>
    <w:rsid w:val="005733A6"/>
    <w:rsid w:val="00574288"/>
    <w:rsid w:val="00574439"/>
    <w:rsid w:val="005747DE"/>
    <w:rsid w:val="005756CC"/>
    <w:rsid w:val="005758D2"/>
    <w:rsid w:val="00575A33"/>
    <w:rsid w:val="005762A4"/>
    <w:rsid w:val="00576AFC"/>
    <w:rsid w:val="00576CB0"/>
    <w:rsid w:val="00576F68"/>
    <w:rsid w:val="005770CE"/>
    <w:rsid w:val="00577A27"/>
    <w:rsid w:val="00577CCC"/>
    <w:rsid w:val="00577DA7"/>
    <w:rsid w:val="0058004F"/>
    <w:rsid w:val="00580699"/>
    <w:rsid w:val="0058094C"/>
    <w:rsid w:val="00580A1B"/>
    <w:rsid w:val="00580FD4"/>
    <w:rsid w:val="005810A6"/>
    <w:rsid w:val="005812DE"/>
    <w:rsid w:val="005815E7"/>
    <w:rsid w:val="0058166A"/>
    <w:rsid w:val="00581A30"/>
    <w:rsid w:val="005825A4"/>
    <w:rsid w:val="00582CA7"/>
    <w:rsid w:val="00582D85"/>
    <w:rsid w:val="00582D8F"/>
    <w:rsid w:val="0058335E"/>
    <w:rsid w:val="00583852"/>
    <w:rsid w:val="00583B7D"/>
    <w:rsid w:val="0058421F"/>
    <w:rsid w:val="005843B6"/>
    <w:rsid w:val="00584643"/>
    <w:rsid w:val="00584B74"/>
    <w:rsid w:val="00584C85"/>
    <w:rsid w:val="00585061"/>
    <w:rsid w:val="005851F0"/>
    <w:rsid w:val="00585363"/>
    <w:rsid w:val="00585636"/>
    <w:rsid w:val="00585A9F"/>
    <w:rsid w:val="00586061"/>
    <w:rsid w:val="0058655B"/>
    <w:rsid w:val="005867EC"/>
    <w:rsid w:val="0058687F"/>
    <w:rsid w:val="005868DC"/>
    <w:rsid w:val="00586CE4"/>
    <w:rsid w:val="005877C0"/>
    <w:rsid w:val="005907CA"/>
    <w:rsid w:val="00591626"/>
    <w:rsid w:val="005923CC"/>
    <w:rsid w:val="00592558"/>
    <w:rsid w:val="005926C5"/>
    <w:rsid w:val="00592811"/>
    <w:rsid w:val="005932A9"/>
    <w:rsid w:val="00593B40"/>
    <w:rsid w:val="005943AE"/>
    <w:rsid w:val="00594767"/>
    <w:rsid w:val="00594895"/>
    <w:rsid w:val="00594923"/>
    <w:rsid w:val="00594C4E"/>
    <w:rsid w:val="00594F90"/>
    <w:rsid w:val="00595B87"/>
    <w:rsid w:val="0059694F"/>
    <w:rsid w:val="00596BD6"/>
    <w:rsid w:val="00596BE9"/>
    <w:rsid w:val="00596E6A"/>
    <w:rsid w:val="00597193"/>
    <w:rsid w:val="0059742A"/>
    <w:rsid w:val="0059745C"/>
    <w:rsid w:val="005A0130"/>
    <w:rsid w:val="005A0399"/>
    <w:rsid w:val="005A0D74"/>
    <w:rsid w:val="005A12D6"/>
    <w:rsid w:val="005A14A0"/>
    <w:rsid w:val="005A1963"/>
    <w:rsid w:val="005A1AEF"/>
    <w:rsid w:val="005A23CB"/>
    <w:rsid w:val="005A252C"/>
    <w:rsid w:val="005A2620"/>
    <w:rsid w:val="005A3081"/>
    <w:rsid w:val="005A3855"/>
    <w:rsid w:val="005A3D83"/>
    <w:rsid w:val="005A3E8D"/>
    <w:rsid w:val="005A42CF"/>
    <w:rsid w:val="005A43EB"/>
    <w:rsid w:val="005A4C5B"/>
    <w:rsid w:val="005A5205"/>
    <w:rsid w:val="005A52F8"/>
    <w:rsid w:val="005A581A"/>
    <w:rsid w:val="005A5C56"/>
    <w:rsid w:val="005A5ED6"/>
    <w:rsid w:val="005A6A1E"/>
    <w:rsid w:val="005A7103"/>
    <w:rsid w:val="005A78D0"/>
    <w:rsid w:val="005A7BDA"/>
    <w:rsid w:val="005A7EB5"/>
    <w:rsid w:val="005B0A9B"/>
    <w:rsid w:val="005B14A4"/>
    <w:rsid w:val="005B172A"/>
    <w:rsid w:val="005B1A4E"/>
    <w:rsid w:val="005B1C94"/>
    <w:rsid w:val="005B1F71"/>
    <w:rsid w:val="005B2624"/>
    <w:rsid w:val="005B2975"/>
    <w:rsid w:val="005B2B4E"/>
    <w:rsid w:val="005B2BB2"/>
    <w:rsid w:val="005B2DCC"/>
    <w:rsid w:val="005B383E"/>
    <w:rsid w:val="005B3931"/>
    <w:rsid w:val="005B39CE"/>
    <w:rsid w:val="005B3A25"/>
    <w:rsid w:val="005B3A3D"/>
    <w:rsid w:val="005B3C6F"/>
    <w:rsid w:val="005B3FE7"/>
    <w:rsid w:val="005B408E"/>
    <w:rsid w:val="005B459A"/>
    <w:rsid w:val="005B4605"/>
    <w:rsid w:val="005B49F6"/>
    <w:rsid w:val="005B4D21"/>
    <w:rsid w:val="005B53D1"/>
    <w:rsid w:val="005B5582"/>
    <w:rsid w:val="005B5E1A"/>
    <w:rsid w:val="005B5E8B"/>
    <w:rsid w:val="005B6109"/>
    <w:rsid w:val="005B659E"/>
    <w:rsid w:val="005B66E2"/>
    <w:rsid w:val="005B6BB7"/>
    <w:rsid w:val="005B7E9D"/>
    <w:rsid w:val="005C0091"/>
    <w:rsid w:val="005C0D97"/>
    <w:rsid w:val="005C1053"/>
    <w:rsid w:val="005C14E2"/>
    <w:rsid w:val="005C1A0B"/>
    <w:rsid w:val="005C1A7A"/>
    <w:rsid w:val="005C26D0"/>
    <w:rsid w:val="005C360A"/>
    <w:rsid w:val="005C3745"/>
    <w:rsid w:val="005C3989"/>
    <w:rsid w:val="005C3FA1"/>
    <w:rsid w:val="005C400E"/>
    <w:rsid w:val="005C415B"/>
    <w:rsid w:val="005C4556"/>
    <w:rsid w:val="005C4C10"/>
    <w:rsid w:val="005C4D8E"/>
    <w:rsid w:val="005C4E72"/>
    <w:rsid w:val="005C58D2"/>
    <w:rsid w:val="005C58F8"/>
    <w:rsid w:val="005C64C8"/>
    <w:rsid w:val="005C6C84"/>
    <w:rsid w:val="005C7019"/>
    <w:rsid w:val="005C71D9"/>
    <w:rsid w:val="005C74B6"/>
    <w:rsid w:val="005C75C5"/>
    <w:rsid w:val="005C767F"/>
    <w:rsid w:val="005D0035"/>
    <w:rsid w:val="005D0232"/>
    <w:rsid w:val="005D03DD"/>
    <w:rsid w:val="005D0B8B"/>
    <w:rsid w:val="005D0D69"/>
    <w:rsid w:val="005D0F15"/>
    <w:rsid w:val="005D0FBA"/>
    <w:rsid w:val="005D1573"/>
    <w:rsid w:val="005D1B57"/>
    <w:rsid w:val="005D1BAC"/>
    <w:rsid w:val="005D1E6D"/>
    <w:rsid w:val="005D203D"/>
    <w:rsid w:val="005D2214"/>
    <w:rsid w:val="005D2380"/>
    <w:rsid w:val="005D28A8"/>
    <w:rsid w:val="005D2D6D"/>
    <w:rsid w:val="005D2F92"/>
    <w:rsid w:val="005D3F82"/>
    <w:rsid w:val="005D4AD5"/>
    <w:rsid w:val="005D6139"/>
    <w:rsid w:val="005D626F"/>
    <w:rsid w:val="005D6823"/>
    <w:rsid w:val="005D6E10"/>
    <w:rsid w:val="005D7599"/>
    <w:rsid w:val="005D7950"/>
    <w:rsid w:val="005D7B4A"/>
    <w:rsid w:val="005D7B4E"/>
    <w:rsid w:val="005D7BDB"/>
    <w:rsid w:val="005D7E90"/>
    <w:rsid w:val="005D7EFE"/>
    <w:rsid w:val="005E0243"/>
    <w:rsid w:val="005E0BAF"/>
    <w:rsid w:val="005E0E8A"/>
    <w:rsid w:val="005E11D9"/>
    <w:rsid w:val="005E22C1"/>
    <w:rsid w:val="005E241A"/>
    <w:rsid w:val="005E24A2"/>
    <w:rsid w:val="005E257B"/>
    <w:rsid w:val="005E2639"/>
    <w:rsid w:val="005E271C"/>
    <w:rsid w:val="005E2840"/>
    <w:rsid w:val="005E2DCD"/>
    <w:rsid w:val="005E302E"/>
    <w:rsid w:val="005E3852"/>
    <w:rsid w:val="005E3F37"/>
    <w:rsid w:val="005E41A4"/>
    <w:rsid w:val="005E460A"/>
    <w:rsid w:val="005E4735"/>
    <w:rsid w:val="005E4972"/>
    <w:rsid w:val="005E4F09"/>
    <w:rsid w:val="005E5542"/>
    <w:rsid w:val="005E5657"/>
    <w:rsid w:val="005E5D34"/>
    <w:rsid w:val="005E616C"/>
    <w:rsid w:val="005E66D4"/>
    <w:rsid w:val="005E723F"/>
    <w:rsid w:val="005E74A9"/>
    <w:rsid w:val="005E7AE7"/>
    <w:rsid w:val="005E7EE8"/>
    <w:rsid w:val="005F02F9"/>
    <w:rsid w:val="005F076A"/>
    <w:rsid w:val="005F0D27"/>
    <w:rsid w:val="005F1939"/>
    <w:rsid w:val="005F25A4"/>
    <w:rsid w:val="005F34D1"/>
    <w:rsid w:val="005F40D5"/>
    <w:rsid w:val="005F4443"/>
    <w:rsid w:val="005F46ED"/>
    <w:rsid w:val="005F485E"/>
    <w:rsid w:val="005F4F5A"/>
    <w:rsid w:val="005F564C"/>
    <w:rsid w:val="005F56CA"/>
    <w:rsid w:val="005F5E32"/>
    <w:rsid w:val="005F668E"/>
    <w:rsid w:val="005F6F3F"/>
    <w:rsid w:val="005F719A"/>
    <w:rsid w:val="005F761C"/>
    <w:rsid w:val="005F7838"/>
    <w:rsid w:val="005F7988"/>
    <w:rsid w:val="005F7D0C"/>
    <w:rsid w:val="00600BD8"/>
    <w:rsid w:val="00600CD3"/>
    <w:rsid w:val="00600EF2"/>
    <w:rsid w:val="00600F5A"/>
    <w:rsid w:val="0060171E"/>
    <w:rsid w:val="00601B1E"/>
    <w:rsid w:val="00602183"/>
    <w:rsid w:val="00602583"/>
    <w:rsid w:val="00602C92"/>
    <w:rsid w:val="00602E9A"/>
    <w:rsid w:val="006031B5"/>
    <w:rsid w:val="0060351D"/>
    <w:rsid w:val="00603F42"/>
    <w:rsid w:val="00603FE1"/>
    <w:rsid w:val="006040E3"/>
    <w:rsid w:val="0060415E"/>
    <w:rsid w:val="006044AA"/>
    <w:rsid w:val="006047DF"/>
    <w:rsid w:val="006053B2"/>
    <w:rsid w:val="006053D4"/>
    <w:rsid w:val="00605A03"/>
    <w:rsid w:val="0060636F"/>
    <w:rsid w:val="00606E77"/>
    <w:rsid w:val="0060771C"/>
    <w:rsid w:val="00607AC3"/>
    <w:rsid w:val="006106FD"/>
    <w:rsid w:val="00610E83"/>
    <w:rsid w:val="006112B7"/>
    <w:rsid w:val="00611DCF"/>
    <w:rsid w:val="00612625"/>
    <w:rsid w:val="00612774"/>
    <w:rsid w:val="00612B2E"/>
    <w:rsid w:val="00612F26"/>
    <w:rsid w:val="00614415"/>
    <w:rsid w:val="00614923"/>
    <w:rsid w:val="00614F1D"/>
    <w:rsid w:val="00614F64"/>
    <w:rsid w:val="00615192"/>
    <w:rsid w:val="00615E67"/>
    <w:rsid w:val="00616406"/>
    <w:rsid w:val="00616509"/>
    <w:rsid w:val="00616AA4"/>
    <w:rsid w:val="00616AAA"/>
    <w:rsid w:val="00616B11"/>
    <w:rsid w:val="00616B80"/>
    <w:rsid w:val="00617190"/>
    <w:rsid w:val="006171A3"/>
    <w:rsid w:val="006174EE"/>
    <w:rsid w:val="00617B6C"/>
    <w:rsid w:val="00617F2E"/>
    <w:rsid w:val="006200E5"/>
    <w:rsid w:val="00620C04"/>
    <w:rsid w:val="00620DB8"/>
    <w:rsid w:val="00621177"/>
    <w:rsid w:val="006213F2"/>
    <w:rsid w:val="00621CD7"/>
    <w:rsid w:val="00621FF1"/>
    <w:rsid w:val="0062230B"/>
    <w:rsid w:val="0062242F"/>
    <w:rsid w:val="006224E8"/>
    <w:rsid w:val="00622557"/>
    <w:rsid w:val="0062255A"/>
    <w:rsid w:val="006228B8"/>
    <w:rsid w:val="00622A71"/>
    <w:rsid w:val="006238BA"/>
    <w:rsid w:val="00623BDF"/>
    <w:rsid w:val="00623D62"/>
    <w:rsid w:val="0062441C"/>
    <w:rsid w:val="00624873"/>
    <w:rsid w:val="00624B32"/>
    <w:rsid w:val="00624CBC"/>
    <w:rsid w:val="00624F02"/>
    <w:rsid w:val="00625106"/>
    <w:rsid w:val="006257EB"/>
    <w:rsid w:val="00625B00"/>
    <w:rsid w:val="00625D97"/>
    <w:rsid w:val="00626A87"/>
    <w:rsid w:val="00626AD2"/>
    <w:rsid w:val="00627110"/>
    <w:rsid w:val="006273DF"/>
    <w:rsid w:val="00627446"/>
    <w:rsid w:val="0062779E"/>
    <w:rsid w:val="00627D30"/>
    <w:rsid w:val="006302F8"/>
    <w:rsid w:val="00630803"/>
    <w:rsid w:val="00630A14"/>
    <w:rsid w:val="00630CAA"/>
    <w:rsid w:val="00630E71"/>
    <w:rsid w:val="006314ED"/>
    <w:rsid w:val="006319F6"/>
    <w:rsid w:val="00631E9D"/>
    <w:rsid w:val="00632100"/>
    <w:rsid w:val="00632211"/>
    <w:rsid w:val="0063265A"/>
    <w:rsid w:val="00632A73"/>
    <w:rsid w:val="00632E97"/>
    <w:rsid w:val="00633084"/>
    <w:rsid w:val="006332CE"/>
    <w:rsid w:val="00633BD6"/>
    <w:rsid w:val="0063403A"/>
    <w:rsid w:val="0063416B"/>
    <w:rsid w:val="00634591"/>
    <w:rsid w:val="006349DE"/>
    <w:rsid w:val="00635412"/>
    <w:rsid w:val="00635A42"/>
    <w:rsid w:val="00635DE7"/>
    <w:rsid w:val="0063634E"/>
    <w:rsid w:val="00636BC8"/>
    <w:rsid w:val="00637726"/>
    <w:rsid w:val="00637898"/>
    <w:rsid w:val="0064014E"/>
    <w:rsid w:val="00640763"/>
    <w:rsid w:val="00640AE4"/>
    <w:rsid w:val="00641835"/>
    <w:rsid w:val="00641895"/>
    <w:rsid w:val="0064296F"/>
    <w:rsid w:val="00642A4A"/>
    <w:rsid w:val="00642AAC"/>
    <w:rsid w:val="006430AE"/>
    <w:rsid w:val="006436CA"/>
    <w:rsid w:val="006439B3"/>
    <w:rsid w:val="00643DE1"/>
    <w:rsid w:val="006442C1"/>
    <w:rsid w:val="006454D4"/>
    <w:rsid w:val="00645E2F"/>
    <w:rsid w:val="00645E92"/>
    <w:rsid w:val="00646EA3"/>
    <w:rsid w:val="00647340"/>
    <w:rsid w:val="006473BB"/>
    <w:rsid w:val="006473F7"/>
    <w:rsid w:val="006476E4"/>
    <w:rsid w:val="00647D5F"/>
    <w:rsid w:val="00647FF8"/>
    <w:rsid w:val="0065026B"/>
    <w:rsid w:val="00650A92"/>
    <w:rsid w:val="006511EB"/>
    <w:rsid w:val="006513E1"/>
    <w:rsid w:val="00651648"/>
    <w:rsid w:val="00652590"/>
    <w:rsid w:val="00652704"/>
    <w:rsid w:val="00653028"/>
    <w:rsid w:val="0065307A"/>
    <w:rsid w:val="00653190"/>
    <w:rsid w:val="00653A20"/>
    <w:rsid w:val="00653DC8"/>
    <w:rsid w:val="00653E31"/>
    <w:rsid w:val="00653FF8"/>
    <w:rsid w:val="0065434A"/>
    <w:rsid w:val="0065459A"/>
    <w:rsid w:val="00654F82"/>
    <w:rsid w:val="00654F96"/>
    <w:rsid w:val="00655B1C"/>
    <w:rsid w:val="00655B9C"/>
    <w:rsid w:val="006567B9"/>
    <w:rsid w:val="00656BDA"/>
    <w:rsid w:val="00656D56"/>
    <w:rsid w:val="00656D57"/>
    <w:rsid w:val="006570DC"/>
    <w:rsid w:val="0065724D"/>
    <w:rsid w:val="0065753C"/>
    <w:rsid w:val="00657C61"/>
    <w:rsid w:val="00660101"/>
    <w:rsid w:val="00660167"/>
    <w:rsid w:val="00660DA5"/>
    <w:rsid w:val="00660EDF"/>
    <w:rsid w:val="006617D4"/>
    <w:rsid w:val="0066192D"/>
    <w:rsid w:val="00661F3C"/>
    <w:rsid w:val="0066224C"/>
    <w:rsid w:val="00662BDD"/>
    <w:rsid w:val="00662F7A"/>
    <w:rsid w:val="00663025"/>
    <w:rsid w:val="00663A01"/>
    <w:rsid w:val="00663D8A"/>
    <w:rsid w:val="0066423D"/>
    <w:rsid w:val="006646C0"/>
    <w:rsid w:val="00664A3E"/>
    <w:rsid w:val="00664FE9"/>
    <w:rsid w:val="006652A5"/>
    <w:rsid w:val="00665681"/>
    <w:rsid w:val="00665C46"/>
    <w:rsid w:val="00665E35"/>
    <w:rsid w:val="006662D9"/>
    <w:rsid w:val="00666FF5"/>
    <w:rsid w:val="00667060"/>
    <w:rsid w:val="006673AA"/>
    <w:rsid w:val="0066766B"/>
    <w:rsid w:val="006676B9"/>
    <w:rsid w:val="006679EA"/>
    <w:rsid w:val="00667C27"/>
    <w:rsid w:val="006700AF"/>
    <w:rsid w:val="006701C6"/>
    <w:rsid w:val="0067033F"/>
    <w:rsid w:val="0067055D"/>
    <w:rsid w:val="006706D4"/>
    <w:rsid w:val="00670BD9"/>
    <w:rsid w:val="00670EC5"/>
    <w:rsid w:val="0067115B"/>
    <w:rsid w:val="006718DF"/>
    <w:rsid w:val="00671C03"/>
    <w:rsid w:val="006720E5"/>
    <w:rsid w:val="0067277E"/>
    <w:rsid w:val="00672B40"/>
    <w:rsid w:val="00672B6A"/>
    <w:rsid w:val="0067416D"/>
    <w:rsid w:val="006745BA"/>
    <w:rsid w:val="006749E8"/>
    <w:rsid w:val="00674BE8"/>
    <w:rsid w:val="00674ECE"/>
    <w:rsid w:val="00675F46"/>
    <w:rsid w:val="006761A2"/>
    <w:rsid w:val="00676B47"/>
    <w:rsid w:val="00676E5F"/>
    <w:rsid w:val="006776D5"/>
    <w:rsid w:val="006779DE"/>
    <w:rsid w:val="0068066B"/>
    <w:rsid w:val="006807C0"/>
    <w:rsid w:val="00680CDF"/>
    <w:rsid w:val="00681132"/>
    <w:rsid w:val="00681271"/>
    <w:rsid w:val="00681856"/>
    <w:rsid w:val="00681A0F"/>
    <w:rsid w:val="00681BA7"/>
    <w:rsid w:val="00681E22"/>
    <w:rsid w:val="00681F64"/>
    <w:rsid w:val="006827C4"/>
    <w:rsid w:val="0068281D"/>
    <w:rsid w:val="00682829"/>
    <w:rsid w:val="0068310B"/>
    <w:rsid w:val="006831D4"/>
    <w:rsid w:val="006838D8"/>
    <w:rsid w:val="006839DC"/>
    <w:rsid w:val="00684BCA"/>
    <w:rsid w:val="00684D0F"/>
    <w:rsid w:val="00685889"/>
    <w:rsid w:val="00685CB5"/>
    <w:rsid w:val="00686034"/>
    <w:rsid w:val="00686A21"/>
    <w:rsid w:val="00686C66"/>
    <w:rsid w:val="00686CDA"/>
    <w:rsid w:val="00686DB6"/>
    <w:rsid w:val="00686E6D"/>
    <w:rsid w:val="00687506"/>
    <w:rsid w:val="00687584"/>
    <w:rsid w:val="006903A2"/>
    <w:rsid w:val="006905AD"/>
    <w:rsid w:val="00690792"/>
    <w:rsid w:val="006914D5"/>
    <w:rsid w:val="006918FA"/>
    <w:rsid w:val="006920F2"/>
    <w:rsid w:val="00692845"/>
    <w:rsid w:val="00692CA5"/>
    <w:rsid w:val="00692D83"/>
    <w:rsid w:val="00692DD2"/>
    <w:rsid w:val="0069317F"/>
    <w:rsid w:val="00694180"/>
    <w:rsid w:val="006941E4"/>
    <w:rsid w:val="00694703"/>
    <w:rsid w:val="00695497"/>
    <w:rsid w:val="0069563A"/>
    <w:rsid w:val="006957E3"/>
    <w:rsid w:val="00695E1A"/>
    <w:rsid w:val="00695F9E"/>
    <w:rsid w:val="006964C7"/>
    <w:rsid w:val="00696705"/>
    <w:rsid w:val="00696AE8"/>
    <w:rsid w:val="00696C9F"/>
    <w:rsid w:val="00696E55"/>
    <w:rsid w:val="00697D0C"/>
    <w:rsid w:val="006A0039"/>
    <w:rsid w:val="006A0939"/>
    <w:rsid w:val="006A093B"/>
    <w:rsid w:val="006A0A16"/>
    <w:rsid w:val="006A0A18"/>
    <w:rsid w:val="006A0B87"/>
    <w:rsid w:val="006A0FB2"/>
    <w:rsid w:val="006A10DE"/>
    <w:rsid w:val="006A192A"/>
    <w:rsid w:val="006A204D"/>
    <w:rsid w:val="006A22C2"/>
    <w:rsid w:val="006A269C"/>
    <w:rsid w:val="006A2DD1"/>
    <w:rsid w:val="006A335A"/>
    <w:rsid w:val="006A34FA"/>
    <w:rsid w:val="006A3A5C"/>
    <w:rsid w:val="006A46C7"/>
    <w:rsid w:val="006A482A"/>
    <w:rsid w:val="006A4EB0"/>
    <w:rsid w:val="006A4F43"/>
    <w:rsid w:val="006A5338"/>
    <w:rsid w:val="006A555D"/>
    <w:rsid w:val="006A5B26"/>
    <w:rsid w:val="006A5B33"/>
    <w:rsid w:val="006A5CDA"/>
    <w:rsid w:val="006A60FA"/>
    <w:rsid w:val="006A671A"/>
    <w:rsid w:val="006A6CC8"/>
    <w:rsid w:val="006A6D8D"/>
    <w:rsid w:val="006A6E2F"/>
    <w:rsid w:val="006A70EE"/>
    <w:rsid w:val="006B000B"/>
    <w:rsid w:val="006B0068"/>
    <w:rsid w:val="006B00F5"/>
    <w:rsid w:val="006B01D2"/>
    <w:rsid w:val="006B077B"/>
    <w:rsid w:val="006B07DC"/>
    <w:rsid w:val="006B0F7F"/>
    <w:rsid w:val="006B14E0"/>
    <w:rsid w:val="006B1533"/>
    <w:rsid w:val="006B1861"/>
    <w:rsid w:val="006B1935"/>
    <w:rsid w:val="006B1F07"/>
    <w:rsid w:val="006B208B"/>
    <w:rsid w:val="006B280D"/>
    <w:rsid w:val="006B2B88"/>
    <w:rsid w:val="006B2EC3"/>
    <w:rsid w:val="006B2FB9"/>
    <w:rsid w:val="006B3341"/>
    <w:rsid w:val="006B3AF3"/>
    <w:rsid w:val="006B4976"/>
    <w:rsid w:val="006B4FAA"/>
    <w:rsid w:val="006B51D9"/>
    <w:rsid w:val="006B5972"/>
    <w:rsid w:val="006B5D5F"/>
    <w:rsid w:val="006B6554"/>
    <w:rsid w:val="006B67AF"/>
    <w:rsid w:val="006B67DF"/>
    <w:rsid w:val="006B6D7C"/>
    <w:rsid w:val="006B6F31"/>
    <w:rsid w:val="006B784E"/>
    <w:rsid w:val="006B7DCF"/>
    <w:rsid w:val="006C051F"/>
    <w:rsid w:val="006C0583"/>
    <w:rsid w:val="006C05AF"/>
    <w:rsid w:val="006C1CDA"/>
    <w:rsid w:val="006C22BD"/>
    <w:rsid w:val="006C2512"/>
    <w:rsid w:val="006C281F"/>
    <w:rsid w:val="006C2A5E"/>
    <w:rsid w:val="006C2D36"/>
    <w:rsid w:val="006C3853"/>
    <w:rsid w:val="006C3900"/>
    <w:rsid w:val="006C5119"/>
    <w:rsid w:val="006C5334"/>
    <w:rsid w:val="006C58B8"/>
    <w:rsid w:val="006C6535"/>
    <w:rsid w:val="006C668C"/>
    <w:rsid w:val="006C696E"/>
    <w:rsid w:val="006C6B98"/>
    <w:rsid w:val="006C6C14"/>
    <w:rsid w:val="006C71BD"/>
    <w:rsid w:val="006C741E"/>
    <w:rsid w:val="006C7BBC"/>
    <w:rsid w:val="006D050B"/>
    <w:rsid w:val="006D10E3"/>
    <w:rsid w:val="006D1136"/>
    <w:rsid w:val="006D1235"/>
    <w:rsid w:val="006D137E"/>
    <w:rsid w:val="006D1A06"/>
    <w:rsid w:val="006D2263"/>
    <w:rsid w:val="006D229C"/>
    <w:rsid w:val="006D3F2A"/>
    <w:rsid w:val="006D3F55"/>
    <w:rsid w:val="006D3F8F"/>
    <w:rsid w:val="006D4002"/>
    <w:rsid w:val="006D4309"/>
    <w:rsid w:val="006D4783"/>
    <w:rsid w:val="006D4A46"/>
    <w:rsid w:val="006D4CD8"/>
    <w:rsid w:val="006D4EAF"/>
    <w:rsid w:val="006D4F8F"/>
    <w:rsid w:val="006D5014"/>
    <w:rsid w:val="006D5FC3"/>
    <w:rsid w:val="006D6211"/>
    <w:rsid w:val="006D6404"/>
    <w:rsid w:val="006D6780"/>
    <w:rsid w:val="006D68FB"/>
    <w:rsid w:val="006D6FA8"/>
    <w:rsid w:val="006D7455"/>
    <w:rsid w:val="006D75C5"/>
    <w:rsid w:val="006D7ABD"/>
    <w:rsid w:val="006D7B55"/>
    <w:rsid w:val="006E00B6"/>
    <w:rsid w:val="006E073C"/>
    <w:rsid w:val="006E0971"/>
    <w:rsid w:val="006E0CE3"/>
    <w:rsid w:val="006E1B0A"/>
    <w:rsid w:val="006E1F2E"/>
    <w:rsid w:val="006E239A"/>
    <w:rsid w:val="006E2A72"/>
    <w:rsid w:val="006E2CB5"/>
    <w:rsid w:val="006E3CC6"/>
    <w:rsid w:val="006E3D79"/>
    <w:rsid w:val="006E3E57"/>
    <w:rsid w:val="006E42B0"/>
    <w:rsid w:val="006E435E"/>
    <w:rsid w:val="006E4457"/>
    <w:rsid w:val="006E4D56"/>
    <w:rsid w:val="006E5253"/>
    <w:rsid w:val="006E580D"/>
    <w:rsid w:val="006E6031"/>
    <w:rsid w:val="006E6759"/>
    <w:rsid w:val="006E7C68"/>
    <w:rsid w:val="006E815E"/>
    <w:rsid w:val="006F01D7"/>
    <w:rsid w:val="006F0371"/>
    <w:rsid w:val="006F0486"/>
    <w:rsid w:val="006F0845"/>
    <w:rsid w:val="006F0998"/>
    <w:rsid w:val="006F0E0A"/>
    <w:rsid w:val="006F1060"/>
    <w:rsid w:val="006F1555"/>
    <w:rsid w:val="006F1E27"/>
    <w:rsid w:val="006F1E91"/>
    <w:rsid w:val="006F2026"/>
    <w:rsid w:val="006F25C9"/>
    <w:rsid w:val="006F2D95"/>
    <w:rsid w:val="006F30C8"/>
    <w:rsid w:val="006F35EE"/>
    <w:rsid w:val="006F3A12"/>
    <w:rsid w:val="006F3CD8"/>
    <w:rsid w:val="006F3EE8"/>
    <w:rsid w:val="006F4020"/>
    <w:rsid w:val="006F45DF"/>
    <w:rsid w:val="006F47D6"/>
    <w:rsid w:val="006F47F3"/>
    <w:rsid w:val="006F4AF1"/>
    <w:rsid w:val="006F4CD4"/>
    <w:rsid w:val="006F520C"/>
    <w:rsid w:val="006F562E"/>
    <w:rsid w:val="006F59D4"/>
    <w:rsid w:val="006F60B9"/>
    <w:rsid w:val="006F6562"/>
    <w:rsid w:val="006F68D8"/>
    <w:rsid w:val="006F6926"/>
    <w:rsid w:val="006F6974"/>
    <w:rsid w:val="006F6ABC"/>
    <w:rsid w:val="006F7823"/>
    <w:rsid w:val="007002A2"/>
    <w:rsid w:val="007015AD"/>
    <w:rsid w:val="007015B6"/>
    <w:rsid w:val="00701E5E"/>
    <w:rsid w:val="00702320"/>
    <w:rsid w:val="007023AB"/>
    <w:rsid w:val="007023F8"/>
    <w:rsid w:val="00702747"/>
    <w:rsid w:val="0070317D"/>
    <w:rsid w:val="0070333A"/>
    <w:rsid w:val="00703826"/>
    <w:rsid w:val="00703EDE"/>
    <w:rsid w:val="0070487D"/>
    <w:rsid w:val="00704F56"/>
    <w:rsid w:val="0070590B"/>
    <w:rsid w:val="00705E73"/>
    <w:rsid w:val="0070618C"/>
    <w:rsid w:val="0070681A"/>
    <w:rsid w:val="00706BF0"/>
    <w:rsid w:val="00707207"/>
    <w:rsid w:val="007075DC"/>
    <w:rsid w:val="00707882"/>
    <w:rsid w:val="00707E1A"/>
    <w:rsid w:val="007103A1"/>
    <w:rsid w:val="00710655"/>
    <w:rsid w:val="00710676"/>
    <w:rsid w:val="0071099C"/>
    <w:rsid w:val="00710D8F"/>
    <w:rsid w:val="00711737"/>
    <w:rsid w:val="00711B14"/>
    <w:rsid w:val="00711DDD"/>
    <w:rsid w:val="007129C2"/>
    <w:rsid w:val="00712B07"/>
    <w:rsid w:val="00712FAD"/>
    <w:rsid w:val="0071389D"/>
    <w:rsid w:val="00713C5D"/>
    <w:rsid w:val="007142C6"/>
    <w:rsid w:val="00714569"/>
    <w:rsid w:val="00714748"/>
    <w:rsid w:val="00714DA6"/>
    <w:rsid w:val="00714FC2"/>
    <w:rsid w:val="0071506C"/>
    <w:rsid w:val="00715077"/>
    <w:rsid w:val="00715420"/>
    <w:rsid w:val="00715619"/>
    <w:rsid w:val="00715E05"/>
    <w:rsid w:val="007174B7"/>
    <w:rsid w:val="0071778A"/>
    <w:rsid w:val="00720161"/>
    <w:rsid w:val="0072019B"/>
    <w:rsid w:val="00720A13"/>
    <w:rsid w:val="00720AAE"/>
    <w:rsid w:val="00720EAB"/>
    <w:rsid w:val="00721F6C"/>
    <w:rsid w:val="00722137"/>
    <w:rsid w:val="007223AF"/>
    <w:rsid w:val="007223C4"/>
    <w:rsid w:val="00722A77"/>
    <w:rsid w:val="00722AFF"/>
    <w:rsid w:val="00722BF5"/>
    <w:rsid w:val="00722EC7"/>
    <w:rsid w:val="0072316C"/>
    <w:rsid w:val="0072485F"/>
    <w:rsid w:val="00724EB8"/>
    <w:rsid w:val="00725319"/>
    <w:rsid w:val="0072545C"/>
    <w:rsid w:val="007257C8"/>
    <w:rsid w:val="00725DBB"/>
    <w:rsid w:val="00725E7C"/>
    <w:rsid w:val="0072603F"/>
    <w:rsid w:val="007264F4"/>
    <w:rsid w:val="00726F4E"/>
    <w:rsid w:val="00727330"/>
    <w:rsid w:val="0072771D"/>
    <w:rsid w:val="00727847"/>
    <w:rsid w:val="00727FC4"/>
    <w:rsid w:val="007301B0"/>
    <w:rsid w:val="00730C5C"/>
    <w:rsid w:val="00730F8E"/>
    <w:rsid w:val="00731151"/>
    <w:rsid w:val="007315D4"/>
    <w:rsid w:val="007317E4"/>
    <w:rsid w:val="00731FF4"/>
    <w:rsid w:val="0073201C"/>
    <w:rsid w:val="00732268"/>
    <w:rsid w:val="00733126"/>
    <w:rsid w:val="0073318E"/>
    <w:rsid w:val="00733528"/>
    <w:rsid w:val="00733692"/>
    <w:rsid w:val="00733DA6"/>
    <w:rsid w:val="007346B9"/>
    <w:rsid w:val="00734DE4"/>
    <w:rsid w:val="007352E4"/>
    <w:rsid w:val="007356FC"/>
    <w:rsid w:val="007361B1"/>
    <w:rsid w:val="00736982"/>
    <w:rsid w:val="007379AE"/>
    <w:rsid w:val="00737B1A"/>
    <w:rsid w:val="00737FFC"/>
    <w:rsid w:val="0074006C"/>
    <w:rsid w:val="00740094"/>
    <w:rsid w:val="007400C3"/>
    <w:rsid w:val="007400D0"/>
    <w:rsid w:val="007406E0"/>
    <w:rsid w:val="0074093A"/>
    <w:rsid w:val="00740A7A"/>
    <w:rsid w:val="00740D5A"/>
    <w:rsid w:val="00740DA8"/>
    <w:rsid w:val="00741C62"/>
    <w:rsid w:val="00741F8D"/>
    <w:rsid w:val="00742291"/>
    <w:rsid w:val="00742888"/>
    <w:rsid w:val="00742CFF"/>
    <w:rsid w:val="007431E8"/>
    <w:rsid w:val="0074343A"/>
    <w:rsid w:val="00743A5F"/>
    <w:rsid w:val="00744BA6"/>
    <w:rsid w:val="007461A1"/>
    <w:rsid w:val="00746674"/>
    <w:rsid w:val="00746905"/>
    <w:rsid w:val="007469D0"/>
    <w:rsid w:val="00746FC1"/>
    <w:rsid w:val="007475D6"/>
    <w:rsid w:val="00747894"/>
    <w:rsid w:val="00747B0B"/>
    <w:rsid w:val="00747DF6"/>
    <w:rsid w:val="00751206"/>
    <w:rsid w:val="00751AF6"/>
    <w:rsid w:val="00751B99"/>
    <w:rsid w:val="00751C69"/>
    <w:rsid w:val="00751CFC"/>
    <w:rsid w:val="00751ED7"/>
    <w:rsid w:val="00752805"/>
    <w:rsid w:val="00753124"/>
    <w:rsid w:val="00753211"/>
    <w:rsid w:val="0075340E"/>
    <w:rsid w:val="00753873"/>
    <w:rsid w:val="00753AA7"/>
    <w:rsid w:val="00754EE2"/>
    <w:rsid w:val="007556DA"/>
    <w:rsid w:val="00755B17"/>
    <w:rsid w:val="00755C6F"/>
    <w:rsid w:val="007572C0"/>
    <w:rsid w:val="00757700"/>
    <w:rsid w:val="0075787D"/>
    <w:rsid w:val="00757A1C"/>
    <w:rsid w:val="0076006A"/>
    <w:rsid w:val="00760B96"/>
    <w:rsid w:val="00760DC4"/>
    <w:rsid w:val="00761691"/>
    <w:rsid w:val="00761717"/>
    <w:rsid w:val="00761AA9"/>
    <w:rsid w:val="00761EB8"/>
    <w:rsid w:val="007621EA"/>
    <w:rsid w:val="00762226"/>
    <w:rsid w:val="007623A4"/>
    <w:rsid w:val="00762670"/>
    <w:rsid w:val="00762BFC"/>
    <w:rsid w:val="007633B1"/>
    <w:rsid w:val="00763513"/>
    <w:rsid w:val="00763CE1"/>
    <w:rsid w:val="00763D71"/>
    <w:rsid w:val="00764295"/>
    <w:rsid w:val="00764B66"/>
    <w:rsid w:val="00765CC7"/>
    <w:rsid w:val="007662DA"/>
    <w:rsid w:val="00766333"/>
    <w:rsid w:val="007668E0"/>
    <w:rsid w:val="00766A51"/>
    <w:rsid w:val="00767478"/>
    <w:rsid w:val="00767A25"/>
    <w:rsid w:val="00770003"/>
    <w:rsid w:val="00770345"/>
    <w:rsid w:val="007703D5"/>
    <w:rsid w:val="00770C1C"/>
    <w:rsid w:val="007717B7"/>
    <w:rsid w:val="007719BF"/>
    <w:rsid w:val="00771D9E"/>
    <w:rsid w:val="00771F00"/>
    <w:rsid w:val="00772262"/>
    <w:rsid w:val="00772E16"/>
    <w:rsid w:val="00772E32"/>
    <w:rsid w:val="00773419"/>
    <w:rsid w:val="00773643"/>
    <w:rsid w:val="007737DD"/>
    <w:rsid w:val="00773D9E"/>
    <w:rsid w:val="00773F28"/>
    <w:rsid w:val="00774145"/>
    <w:rsid w:val="007748C6"/>
    <w:rsid w:val="00775074"/>
    <w:rsid w:val="00775AC2"/>
    <w:rsid w:val="00776181"/>
    <w:rsid w:val="00776504"/>
    <w:rsid w:val="0077663A"/>
    <w:rsid w:val="00776714"/>
    <w:rsid w:val="00776EA8"/>
    <w:rsid w:val="007770D2"/>
    <w:rsid w:val="0077760C"/>
    <w:rsid w:val="007777B7"/>
    <w:rsid w:val="00777B67"/>
    <w:rsid w:val="00777D07"/>
    <w:rsid w:val="0078013F"/>
    <w:rsid w:val="00780354"/>
    <w:rsid w:val="00780C2A"/>
    <w:rsid w:val="00780CF1"/>
    <w:rsid w:val="00780D91"/>
    <w:rsid w:val="007812F4"/>
    <w:rsid w:val="00781372"/>
    <w:rsid w:val="00781F86"/>
    <w:rsid w:val="00782108"/>
    <w:rsid w:val="00782951"/>
    <w:rsid w:val="00782AB8"/>
    <w:rsid w:val="00782E09"/>
    <w:rsid w:val="00783018"/>
    <w:rsid w:val="0078345C"/>
    <w:rsid w:val="00783C0F"/>
    <w:rsid w:val="0078475E"/>
    <w:rsid w:val="0078486B"/>
    <w:rsid w:val="00784BEE"/>
    <w:rsid w:val="007856B1"/>
    <w:rsid w:val="00785F11"/>
    <w:rsid w:val="00786145"/>
    <w:rsid w:val="00786665"/>
    <w:rsid w:val="0078689D"/>
    <w:rsid w:val="00786A0C"/>
    <w:rsid w:val="00786BC2"/>
    <w:rsid w:val="00786CF7"/>
    <w:rsid w:val="0078749A"/>
    <w:rsid w:val="00787B38"/>
    <w:rsid w:val="00787B81"/>
    <w:rsid w:val="00787E97"/>
    <w:rsid w:val="00787F96"/>
    <w:rsid w:val="0079002D"/>
    <w:rsid w:val="0079059B"/>
    <w:rsid w:val="00790EA1"/>
    <w:rsid w:val="0079169E"/>
    <w:rsid w:val="0079180C"/>
    <w:rsid w:val="00791977"/>
    <w:rsid w:val="00791B95"/>
    <w:rsid w:val="00791DA8"/>
    <w:rsid w:val="00792010"/>
    <w:rsid w:val="00792310"/>
    <w:rsid w:val="007923CF"/>
    <w:rsid w:val="00792501"/>
    <w:rsid w:val="00792A59"/>
    <w:rsid w:val="00793107"/>
    <w:rsid w:val="007946DB"/>
    <w:rsid w:val="0079475C"/>
    <w:rsid w:val="00795306"/>
    <w:rsid w:val="007957EB"/>
    <w:rsid w:val="007958F8"/>
    <w:rsid w:val="00795960"/>
    <w:rsid w:val="007959BE"/>
    <w:rsid w:val="00795ABC"/>
    <w:rsid w:val="00795B42"/>
    <w:rsid w:val="00795BB3"/>
    <w:rsid w:val="00795FB4"/>
    <w:rsid w:val="00795FC8"/>
    <w:rsid w:val="00796042"/>
    <w:rsid w:val="0079631A"/>
    <w:rsid w:val="00796451"/>
    <w:rsid w:val="007965DA"/>
    <w:rsid w:val="00796A2D"/>
    <w:rsid w:val="00797141"/>
    <w:rsid w:val="00797B8A"/>
    <w:rsid w:val="00797BA6"/>
    <w:rsid w:val="007A0F99"/>
    <w:rsid w:val="007A1075"/>
    <w:rsid w:val="007A1460"/>
    <w:rsid w:val="007A1B22"/>
    <w:rsid w:val="007A3263"/>
    <w:rsid w:val="007A33D6"/>
    <w:rsid w:val="007A352B"/>
    <w:rsid w:val="007A3B28"/>
    <w:rsid w:val="007A45D9"/>
    <w:rsid w:val="007A5135"/>
    <w:rsid w:val="007A55E9"/>
    <w:rsid w:val="007A5854"/>
    <w:rsid w:val="007A66C8"/>
    <w:rsid w:val="007A7516"/>
    <w:rsid w:val="007A758E"/>
    <w:rsid w:val="007A782D"/>
    <w:rsid w:val="007A784B"/>
    <w:rsid w:val="007A7DAB"/>
    <w:rsid w:val="007A7F24"/>
    <w:rsid w:val="007B0283"/>
    <w:rsid w:val="007B09C3"/>
    <w:rsid w:val="007B0A10"/>
    <w:rsid w:val="007B0F65"/>
    <w:rsid w:val="007B14A2"/>
    <w:rsid w:val="007B15BF"/>
    <w:rsid w:val="007B1816"/>
    <w:rsid w:val="007B1B91"/>
    <w:rsid w:val="007B2452"/>
    <w:rsid w:val="007B2FAE"/>
    <w:rsid w:val="007B2FE6"/>
    <w:rsid w:val="007B3B90"/>
    <w:rsid w:val="007B47A6"/>
    <w:rsid w:val="007B4BD3"/>
    <w:rsid w:val="007B4C1B"/>
    <w:rsid w:val="007B4E58"/>
    <w:rsid w:val="007B5B7E"/>
    <w:rsid w:val="007B67C2"/>
    <w:rsid w:val="007B6EA2"/>
    <w:rsid w:val="007B7014"/>
    <w:rsid w:val="007B7211"/>
    <w:rsid w:val="007B734A"/>
    <w:rsid w:val="007B7414"/>
    <w:rsid w:val="007B751F"/>
    <w:rsid w:val="007B781F"/>
    <w:rsid w:val="007B7B7E"/>
    <w:rsid w:val="007C11A1"/>
    <w:rsid w:val="007C12BB"/>
    <w:rsid w:val="007C1823"/>
    <w:rsid w:val="007C1C8C"/>
    <w:rsid w:val="007C2614"/>
    <w:rsid w:val="007C2C03"/>
    <w:rsid w:val="007C2D65"/>
    <w:rsid w:val="007C30E4"/>
    <w:rsid w:val="007C3618"/>
    <w:rsid w:val="007C395E"/>
    <w:rsid w:val="007C39B8"/>
    <w:rsid w:val="007C3BA3"/>
    <w:rsid w:val="007C3C6C"/>
    <w:rsid w:val="007C3D58"/>
    <w:rsid w:val="007C3DC8"/>
    <w:rsid w:val="007C3EED"/>
    <w:rsid w:val="007C433A"/>
    <w:rsid w:val="007C43A8"/>
    <w:rsid w:val="007C441E"/>
    <w:rsid w:val="007C44BA"/>
    <w:rsid w:val="007C4A46"/>
    <w:rsid w:val="007C56C1"/>
    <w:rsid w:val="007C5F67"/>
    <w:rsid w:val="007C626A"/>
    <w:rsid w:val="007C6F0F"/>
    <w:rsid w:val="007C775F"/>
    <w:rsid w:val="007D0704"/>
    <w:rsid w:val="007D135C"/>
    <w:rsid w:val="007D13E1"/>
    <w:rsid w:val="007D1B44"/>
    <w:rsid w:val="007D214D"/>
    <w:rsid w:val="007D2259"/>
    <w:rsid w:val="007D23B0"/>
    <w:rsid w:val="007D2F75"/>
    <w:rsid w:val="007D315E"/>
    <w:rsid w:val="007D4010"/>
    <w:rsid w:val="007D4DB0"/>
    <w:rsid w:val="007D4DDA"/>
    <w:rsid w:val="007D5FC9"/>
    <w:rsid w:val="007D67DA"/>
    <w:rsid w:val="007D72D2"/>
    <w:rsid w:val="007D7AAC"/>
    <w:rsid w:val="007D7E6F"/>
    <w:rsid w:val="007E0AFF"/>
    <w:rsid w:val="007E0D6B"/>
    <w:rsid w:val="007E0D8E"/>
    <w:rsid w:val="007E0EF2"/>
    <w:rsid w:val="007E104E"/>
    <w:rsid w:val="007E1077"/>
    <w:rsid w:val="007E18DC"/>
    <w:rsid w:val="007E18F9"/>
    <w:rsid w:val="007E1956"/>
    <w:rsid w:val="007E19C2"/>
    <w:rsid w:val="007E20BB"/>
    <w:rsid w:val="007E221B"/>
    <w:rsid w:val="007E260C"/>
    <w:rsid w:val="007E27DB"/>
    <w:rsid w:val="007E3409"/>
    <w:rsid w:val="007E3613"/>
    <w:rsid w:val="007E367D"/>
    <w:rsid w:val="007E43B2"/>
    <w:rsid w:val="007E46A5"/>
    <w:rsid w:val="007E46C9"/>
    <w:rsid w:val="007E4ACB"/>
    <w:rsid w:val="007E4C6F"/>
    <w:rsid w:val="007E57B0"/>
    <w:rsid w:val="007E65BF"/>
    <w:rsid w:val="007E68BC"/>
    <w:rsid w:val="007E6CA7"/>
    <w:rsid w:val="007E79CF"/>
    <w:rsid w:val="007E7E6C"/>
    <w:rsid w:val="007F0A33"/>
    <w:rsid w:val="007F0E06"/>
    <w:rsid w:val="007F0F47"/>
    <w:rsid w:val="007F0FF9"/>
    <w:rsid w:val="007F1414"/>
    <w:rsid w:val="007F14AE"/>
    <w:rsid w:val="007F17FD"/>
    <w:rsid w:val="007F18DE"/>
    <w:rsid w:val="007F1E52"/>
    <w:rsid w:val="007F1EF8"/>
    <w:rsid w:val="007F2327"/>
    <w:rsid w:val="007F2976"/>
    <w:rsid w:val="007F30B6"/>
    <w:rsid w:val="007F35E8"/>
    <w:rsid w:val="007F3B0F"/>
    <w:rsid w:val="007F413F"/>
    <w:rsid w:val="007F47EE"/>
    <w:rsid w:val="007F4CD7"/>
    <w:rsid w:val="007F57C7"/>
    <w:rsid w:val="007F6350"/>
    <w:rsid w:val="007F6582"/>
    <w:rsid w:val="007F66B5"/>
    <w:rsid w:val="007F6BA5"/>
    <w:rsid w:val="007F70B7"/>
    <w:rsid w:val="007F74BA"/>
    <w:rsid w:val="007F76FE"/>
    <w:rsid w:val="007F7DF6"/>
    <w:rsid w:val="00800A07"/>
    <w:rsid w:val="00800F45"/>
    <w:rsid w:val="00801119"/>
    <w:rsid w:val="008014B1"/>
    <w:rsid w:val="00801581"/>
    <w:rsid w:val="00801E21"/>
    <w:rsid w:val="0080201A"/>
    <w:rsid w:val="008024AD"/>
    <w:rsid w:val="008029F3"/>
    <w:rsid w:val="00802B08"/>
    <w:rsid w:val="00802EDE"/>
    <w:rsid w:val="008030A1"/>
    <w:rsid w:val="00803334"/>
    <w:rsid w:val="0080359E"/>
    <w:rsid w:val="00803ACC"/>
    <w:rsid w:val="00803C34"/>
    <w:rsid w:val="00804AC6"/>
    <w:rsid w:val="008052BF"/>
    <w:rsid w:val="008052DD"/>
    <w:rsid w:val="00805C45"/>
    <w:rsid w:val="00806247"/>
    <w:rsid w:val="00806BE4"/>
    <w:rsid w:val="00807852"/>
    <w:rsid w:val="0081057D"/>
    <w:rsid w:val="008110C0"/>
    <w:rsid w:val="0081148F"/>
    <w:rsid w:val="00812219"/>
    <w:rsid w:val="008122B7"/>
    <w:rsid w:val="00812977"/>
    <w:rsid w:val="00812CB0"/>
    <w:rsid w:val="0081343B"/>
    <w:rsid w:val="00813FA2"/>
    <w:rsid w:val="008144BB"/>
    <w:rsid w:val="0081469F"/>
    <w:rsid w:val="008149E8"/>
    <w:rsid w:val="00814B51"/>
    <w:rsid w:val="00814F78"/>
    <w:rsid w:val="0081506B"/>
    <w:rsid w:val="00815499"/>
    <w:rsid w:val="0081597D"/>
    <w:rsid w:val="00816462"/>
    <w:rsid w:val="00816B43"/>
    <w:rsid w:val="0081787D"/>
    <w:rsid w:val="00817CBD"/>
    <w:rsid w:val="00817CD2"/>
    <w:rsid w:val="00820197"/>
    <w:rsid w:val="008202DE"/>
    <w:rsid w:val="0082055B"/>
    <w:rsid w:val="00820A11"/>
    <w:rsid w:val="008216EE"/>
    <w:rsid w:val="00822638"/>
    <w:rsid w:val="00822E0D"/>
    <w:rsid w:val="00822EE9"/>
    <w:rsid w:val="008231C5"/>
    <w:rsid w:val="00823CA1"/>
    <w:rsid w:val="00824B4A"/>
    <w:rsid w:val="00824C04"/>
    <w:rsid w:val="00824C1A"/>
    <w:rsid w:val="00824C34"/>
    <w:rsid w:val="0082501C"/>
    <w:rsid w:val="00826045"/>
    <w:rsid w:val="00826071"/>
    <w:rsid w:val="008261CB"/>
    <w:rsid w:val="008261EA"/>
    <w:rsid w:val="00827565"/>
    <w:rsid w:val="00827AAD"/>
    <w:rsid w:val="00827C70"/>
    <w:rsid w:val="00830048"/>
    <w:rsid w:val="00830E0F"/>
    <w:rsid w:val="00830EAF"/>
    <w:rsid w:val="00831462"/>
    <w:rsid w:val="0083180A"/>
    <w:rsid w:val="00831F7B"/>
    <w:rsid w:val="0083266F"/>
    <w:rsid w:val="00832A20"/>
    <w:rsid w:val="00832CC3"/>
    <w:rsid w:val="00832D32"/>
    <w:rsid w:val="00832EF6"/>
    <w:rsid w:val="0083306F"/>
    <w:rsid w:val="00833D5F"/>
    <w:rsid w:val="00833F73"/>
    <w:rsid w:val="00834599"/>
    <w:rsid w:val="00834806"/>
    <w:rsid w:val="00834D15"/>
    <w:rsid w:val="00835102"/>
    <w:rsid w:val="00835211"/>
    <w:rsid w:val="00835E10"/>
    <w:rsid w:val="00835EF5"/>
    <w:rsid w:val="0083612B"/>
    <w:rsid w:val="008369E1"/>
    <w:rsid w:val="00836E44"/>
    <w:rsid w:val="008379E1"/>
    <w:rsid w:val="00837D06"/>
    <w:rsid w:val="008406DA"/>
    <w:rsid w:val="008406E3"/>
    <w:rsid w:val="0084206A"/>
    <w:rsid w:val="00842355"/>
    <w:rsid w:val="00842CD8"/>
    <w:rsid w:val="00843343"/>
    <w:rsid w:val="0084340B"/>
    <w:rsid w:val="008436AA"/>
    <w:rsid w:val="00843C38"/>
    <w:rsid w:val="00843CD2"/>
    <w:rsid w:val="008440DC"/>
    <w:rsid w:val="008444C7"/>
    <w:rsid w:val="00844DB3"/>
    <w:rsid w:val="00844F0C"/>
    <w:rsid w:val="00845B05"/>
    <w:rsid w:val="00845C29"/>
    <w:rsid w:val="00846497"/>
    <w:rsid w:val="008464DF"/>
    <w:rsid w:val="00846DF6"/>
    <w:rsid w:val="00846E7A"/>
    <w:rsid w:val="00847286"/>
    <w:rsid w:val="00847A26"/>
    <w:rsid w:val="008502D8"/>
    <w:rsid w:val="008502F8"/>
    <w:rsid w:val="00850613"/>
    <w:rsid w:val="00850E08"/>
    <w:rsid w:val="008513B9"/>
    <w:rsid w:val="008517E1"/>
    <w:rsid w:val="00851981"/>
    <w:rsid w:val="00851A75"/>
    <w:rsid w:val="0085227A"/>
    <w:rsid w:val="008526C3"/>
    <w:rsid w:val="00852F91"/>
    <w:rsid w:val="00853269"/>
    <w:rsid w:val="008538E6"/>
    <w:rsid w:val="00853B33"/>
    <w:rsid w:val="00853D6E"/>
    <w:rsid w:val="00855309"/>
    <w:rsid w:val="00855B1E"/>
    <w:rsid w:val="00855C73"/>
    <w:rsid w:val="00856232"/>
    <w:rsid w:val="0085625F"/>
    <w:rsid w:val="008562D1"/>
    <w:rsid w:val="00856852"/>
    <w:rsid w:val="00856AA2"/>
    <w:rsid w:val="00856B41"/>
    <w:rsid w:val="00857307"/>
    <w:rsid w:val="00857549"/>
    <w:rsid w:val="00857627"/>
    <w:rsid w:val="008604C3"/>
    <w:rsid w:val="008606C0"/>
    <w:rsid w:val="0086092A"/>
    <w:rsid w:val="00860AC4"/>
    <w:rsid w:val="0086140D"/>
    <w:rsid w:val="008619D2"/>
    <w:rsid w:val="00862256"/>
    <w:rsid w:val="00862A88"/>
    <w:rsid w:val="00862B2F"/>
    <w:rsid w:val="00862F6E"/>
    <w:rsid w:val="00863081"/>
    <w:rsid w:val="00863DC7"/>
    <w:rsid w:val="00863ED2"/>
    <w:rsid w:val="0086477F"/>
    <w:rsid w:val="0086488B"/>
    <w:rsid w:val="008651B0"/>
    <w:rsid w:val="008652A5"/>
    <w:rsid w:val="0086532B"/>
    <w:rsid w:val="00865464"/>
    <w:rsid w:val="008655C4"/>
    <w:rsid w:val="0086570F"/>
    <w:rsid w:val="0086575F"/>
    <w:rsid w:val="00865CA5"/>
    <w:rsid w:val="008664AF"/>
    <w:rsid w:val="00866BF3"/>
    <w:rsid w:val="0086710A"/>
    <w:rsid w:val="00867233"/>
    <w:rsid w:val="008705AA"/>
    <w:rsid w:val="00870A12"/>
    <w:rsid w:val="00871338"/>
    <w:rsid w:val="008716BE"/>
    <w:rsid w:val="008717C3"/>
    <w:rsid w:val="00871FB5"/>
    <w:rsid w:val="0087250C"/>
    <w:rsid w:val="008726E1"/>
    <w:rsid w:val="008729DB"/>
    <w:rsid w:val="008738D3"/>
    <w:rsid w:val="00873BCA"/>
    <w:rsid w:val="008743D8"/>
    <w:rsid w:val="00874791"/>
    <w:rsid w:val="00874829"/>
    <w:rsid w:val="00874B4C"/>
    <w:rsid w:val="008763DE"/>
    <w:rsid w:val="00876BDF"/>
    <w:rsid w:val="00877930"/>
    <w:rsid w:val="008779F3"/>
    <w:rsid w:val="00877BCE"/>
    <w:rsid w:val="00877CA7"/>
    <w:rsid w:val="00880B34"/>
    <w:rsid w:val="008812B8"/>
    <w:rsid w:val="0088196C"/>
    <w:rsid w:val="00881A59"/>
    <w:rsid w:val="00881C81"/>
    <w:rsid w:val="00882537"/>
    <w:rsid w:val="0088288E"/>
    <w:rsid w:val="00882EB1"/>
    <w:rsid w:val="008830B1"/>
    <w:rsid w:val="00883A60"/>
    <w:rsid w:val="00883D7D"/>
    <w:rsid w:val="008841D7"/>
    <w:rsid w:val="00884282"/>
    <w:rsid w:val="00884362"/>
    <w:rsid w:val="008844F3"/>
    <w:rsid w:val="008848AF"/>
    <w:rsid w:val="008848F4"/>
    <w:rsid w:val="00884983"/>
    <w:rsid w:val="00884C8E"/>
    <w:rsid w:val="008850D2"/>
    <w:rsid w:val="008853FA"/>
    <w:rsid w:val="00885483"/>
    <w:rsid w:val="00886351"/>
    <w:rsid w:val="00886608"/>
    <w:rsid w:val="008868AD"/>
    <w:rsid w:val="00886D25"/>
    <w:rsid w:val="0088707D"/>
    <w:rsid w:val="008872B2"/>
    <w:rsid w:val="00887FE6"/>
    <w:rsid w:val="00890434"/>
    <w:rsid w:val="0089089C"/>
    <w:rsid w:val="00890BDE"/>
    <w:rsid w:val="00890E61"/>
    <w:rsid w:val="00892FB2"/>
    <w:rsid w:val="00893138"/>
    <w:rsid w:val="008934B3"/>
    <w:rsid w:val="0089372E"/>
    <w:rsid w:val="00893891"/>
    <w:rsid w:val="00893E03"/>
    <w:rsid w:val="00894CC9"/>
    <w:rsid w:val="00894D50"/>
    <w:rsid w:val="00894FCE"/>
    <w:rsid w:val="00895348"/>
    <w:rsid w:val="00895B3C"/>
    <w:rsid w:val="00895C78"/>
    <w:rsid w:val="00895DCC"/>
    <w:rsid w:val="00895ED2"/>
    <w:rsid w:val="00895FA0"/>
    <w:rsid w:val="0089623B"/>
    <w:rsid w:val="008964A8"/>
    <w:rsid w:val="008968F7"/>
    <w:rsid w:val="00896CCD"/>
    <w:rsid w:val="0089749E"/>
    <w:rsid w:val="0089760E"/>
    <w:rsid w:val="008A0024"/>
    <w:rsid w:val="008A0DA0"/>
    <w:rsid w:val="008A0EAD"/>
    <w:rsid w:val="008A10EA"/>
    <w:rsid w:val="008A195F"/>
    <w:rsid w:val="008A1986"/>
    <w:rsid w:val="008A1D42"/>
    <w:rsid w:val="008A28A7"/>
    <w:rsid w:val="008A28FA"/>
    <w:rsid w:val="008A2F0A"/>
    <w:rsid w:val="008A41FE"/>
    <w:rsid w:val="008A489E"/>
    <w:rsid w:val="008A526F"/>
    <w:rsid w:val="008A54BF"/>
    <w:rsid w:val="008A56B9"/>
    <w:rsid w:val="008A60F7"/>
    <w:rsid w:val="008A62FB"/>
    <w:rsid w:val="008A6624"/>
    <w:rsid w:val="008A6813"/>
    <w:rsid w:val="008A6A52"/>
    <w:rsid w:val="008A6E4E"/>
    <w:rsid w:val="008A6EAB"/>
    <w:rsid w:val="008A7252"/>
    <w:rsid w:val="008A75FC"/>
    <w:rsid w:val="008A79ED"/>
    <w:rsid w:val="008A7BB5"/>
    <w:rsid w:val="008A7C17"/>
    <w:rsid w:val="008B0553"/>
    <w:rsid w:val="008B0707"/>
    <w:rsid w:val="008B0EDE"/>
    <w:rsid w:val="008B0F38"/>
    <w:rsid w:val="008B107E"/>
    <w:rsid w:val="008B1515"/>
    <w:rsid w:val="008B17A9"/>
    <w:rsid w:val="008B1853"/>
    <w:rsid w:val="008B1E84"/>
    <w:rsid w:val="008B2A8D"/>
    <w:rsid w:val="008B2C49"/>
    <w:rsid w:val="008B3636"/>
    <w:rsid w:val="008B3C8E"/>
    <w:rsid w:val="008B4783"/>
    <w:rsid w:val="008B4A20"/>
    <w:rsid w:val="008B4CF4"/>
    <w:rsid w:val="008B5168"/>
    <w:rsid w:val="008B519E"/>
    <w:rsid w:val="008B5255"/>
    <w:rsid w:val="008B549D"/>
    <w:rsid w:val="008B5F41"/>
    <w:rsid w:val="008B64F4"/>
    <w:rsid w:val="008B6D0F"/>
    <w:rsid w:val="008B738D"/>
    <w:rsid w:val="008B781F"/>
    <w:rsid w:val="008B7A4B"/>
    <w:rsid w:val="008B7E1C"/>
    <w:rsid w:val="008C0426"/>
    <w:rsid w:val="008C04F7"/>
    <w:rsid w:val="008C0953"/>
    <w:rsid w:val="008C0D07"/>
    <w:rsid w:val="008C14FF"/>
    <w:rsid w:val="008C16AB"/>
    <w:rsid w:val="008C1842"/>
    <w:rsid w:val="008C2408"/>
    <w:rsid w:val="008C2469"/>
    <w:rsid w:val="008C2750"/>
    <w:rsid w:val="008C2974"/>
    <w:rsid w:val="008C2AF0"/>
    <w:rsid w:val="008C2B67"/>
    <w:rsid w:val="008C2DA7"/>
    <w:rsid w:val="008C2F93"/>
    <w:rsid w:val="008C308F"/>
    <w:rsid w:val="008C3A57"/>
    <w:rsid w:val="008C4447"/>
    <w:rsid w:val="008C4547"/>
    <w:rsid w:val="008C4753"/>
    <w:rsid w:val="008C4A9A"/>
    <w:rsid w:val="008C4EBA"/>
    <w:rsid w:val="008C5A07"/>
    <w:rsid w:val="008C5B76"/>
    <w:rsid w:val="008C5E04"/>
    <w:rsid w:val="008C600F"/>
    <w:rsid w:val="008C6681"/>
    <w:rsid w:val="008C67A2"/>
    <w:rsid w:val="008C6A82"/>
    <w:rsid w:val="008C6FFC"/>
    <w:rsid w:val="008C7207"/>
    <w:rsid w:val="008C7B2E"/>
    <w:rsid w:val="008C7FE5"/>
    <w:rsid w:val="008D07AB"/>
    <w:rsid w:val="008D1179"/>
    <w:rsid w:val="008D198D"/>
    <w:rsid w:val="008D19E4"/>
    <w:rsid w:val="008D24B7"/>
    <w:rsid w:val="008D25E0"/>
    <w:rsid w:val="008D2821"/>
    <w:rsid w:val="008D3380"/>
    <w:rsid w:val="008D3739"/>
    <w:rsid w:val="008D37C3"/>
    <w:rsid w:val="008D38A3"/>
    <w:rsid w:val="008D3FA5"/>
    <w:rsid w:val="008D4382"/>
    <w:rsid w:val="008D447D"/>
    <w:rsid w:val="008D4621"/>
    <w:rsid w:val="008D48D4"/>
    <w:rsid w:val="008D5842"/>
    <w:rsid w:val="008D59EB"/>
    <w:rsid w:val="008D5B78"/>
    <w:rsid w:val="008D5C18"/>
    <w:rsid w:val="008D5D95"/>
    <w:rsid w:val="008D6009"/>
    <w:rsid w:val="008D6023"/>
    <w:rsid w:val="008D6CFB"/>
    <w:rsid w:val="008D722F"/>
    <w:rsid w:val="008D73A0"/>
    <w:rsid w:val="008D74F6"/>
    <w:rsid w:val="008D7A0C"/>
    <w:rsid w:val="008D7BA8"/>
    <w:rsid w:val="008D7EF4"/>
    <w:rsid w:val="008E01A1"/>
    <w:rsid w:val="008E0950"/>
    <w:rsid w:val="008E1A6E"/>
    <w:rsid w:val="008E1ABA"/>
    <w:rsid w:val="008E1C69"/>
    <w:rsid w:val="008E1E67"/>
    <w:rsid w:val="008E1F34"/>
    <w:rsid w:val="008E2E04"/>
    <w:rsid w:val="008E381D"/>
    <w:rsid w:val="008E38A0"/>
    <w:rsid w:val="008E4D5B"/>
    <w:rsid w:val="008E59AF"/>
    <w:rsid w:val="008E5F12"/>
    <w:rsid w:val="008E68DF"/>
    <w:rsid w:val="008E6D6B"/>
    <w:rsid w:val="008E6DA4"/>
    <w:rsid w:val="008E732E"/>
    <w:rsid w:val="008E79DC"/>
    <w:rsid w:val="008E7E21"/>
    <w:rsid w:val="008F052A"/>
    <w:rsid w:val="008F0D32"/>
    <w:rsid w:val="008F116D"/>
    <w:rsid w:val="008F12B7"/>
    <w:rsid w:val="008F161C"/>
    <w:rsid w:val="008F1EF6"/>
    <w:rsid w:val="008F2E09"/>
    <w:rsid w:val="008F300D"/>
    <w:rsid w:val="008F3435"/>
    <w:rsid w:val="008F4195"/>
    <w:rsid w:val="008F43D4"/>
    <w:rsid w:val="008F4E89"/>
    <w:rsid w:val="008F50C5"/>
    <w:rsid w:val="008F52EE"/>
    <w:rsid w:val="008F5ADD"/>
    <w:rsid w:val="008F60D2"/>
    <w:rsid w:val="008F6974"/>
    <w:rsid w:val="008F7455"/>
    <w:rsid w:val="008F756E"/>
    <w:rsid w:val="008F7863"/>
    <w:rsid w:val="008F7F65"/>
    <w:rsid w:val="009007FE"/>
    <w:rsid w:val="00900AC1"/>
    <w:rsid w:val="00900F0B"/>
    <w:rsid w:val="009012A5"/>
    <w:rsid w:val="009015D8"/>
    <w:rsid w:val="009030E3"/>
    <w:rsid w:val="0090318D"/>
    <w:rsid w:val="00903418"/>
    <w:rsid w:val="00903F0A"/>
    <w:rsid w:val="009042A5"/>
    <w:rsid w:val="0090431B"/>
    <w:rsid w:val="00905255"/>
    <w:rsid w:val="00905A80"/>
    <w:rsid w:val="00906BB1"/>
    <w:rsid w:val="00907925"/>
    <w:rsid w:val="00907EB3"/>
    <w:rsid w:val="0091068E"/>
    <w:rsid w:val="00910807"/>
    <w:rsid w:val="0091091D"/>
    <w:rsid w:val="00910C5E"/>
    <w:rsid w:val="009111B6"/>
    <w:rsid w:val="009117DF"/>
    <w:rsid w:val="00911897"/>
    <w:rsid w:val="00911B58"/>
    <w:rsid w:val="00911C7C"/>
    <w:rsid w:val="00911DB0"/>
    <w:rsid w:val="009138B2"/>
    <w:rsid w:val="009139D1"/>
    <w:rsid w:val="009140CC"/>
    <w:rsid w:val="00914145"/>
    <w:rsid w:val="009141FF"/>
    <w:rsid w:val="009142AF"/>
    <w:rsid w:val="00914C0D"/>
    <w:rsid w:val="0091551D"/>
    <w:rsid w:val="00915D07"/>
    <w:rsid w:val="00915EE2"/>
    <w:rsid w:val="009162D0"/>
    <w:rsid w:val="009163A5"/>
    <w:rsid w:val="00916B16"/>
    <w:rsid w:val="00916E33"/>
    <w:rsid w:val="009175F8"/>
    <w:rsid w:val="009200C2"/>
    <w:rsid w:val="00920566"/>
    <w:rsid w:val="00920A64"/>
    <w:rsid w:val="00920D1A"/>
    <w:rsid w:val="009218D7"/>
    <w:rsid w:val="00921B1C"/>
    <w:rsid w:val="00921DFF"/>
    <w:rsid w:val="00921FEE"/>
    <w:rsid w:val="0092202F"/>
    <w:rsid w:val="009223D7"/>
    <w:rsid w:val="00922677"/>
    <w:rsid w:val="00922690"/>
    <w:rsid w:val="00922C4E"/>
    <w:rsid w:val="00922FF4"/>
    <w:rsid w:val="00923165"/>
    <w:rsid w:val="009235ED"/>
    <w:rsid w:val="0092368A"/>
    <w:rsid w:val="0092424D"/>
    <w:rsid w:val="0092480F"/>
    <w:rsid w:val="0092495E"/>
    <w:rsid w:val="00924F87"/>
    <w:rsid w:val="009258C2"/>
    <w:rsid w:val="00925A08"/>
    <w:rsid w:val="00925DE6"/>
    <w:rsid w:val="00926123"/>
    <w:rsid w:val="00926D8A"/>
    <w:rsid w:val="00926DC9"/>
    <w:rsid w:val="00927198"/>
    <w:rsid w:val="009275B1"/>
    <w:rsid w:val="00927E3D"/>
    <w:rsid w:val="00927E77"/>
    <w:rsid w:val="00930365"/>
    <w:rsid w:val="009306ED"/>
    <w:rsid w:val="00930E53"/>
    <w:rsid w:val="00930FCD"/>
    <w:rsid w:val="009325C3"/>
    <w:rsid w:val="00932A7A"/>
    <w:rsid w:val="00933954"/>
    <w:rsid w:val="009339C3"/>
    <w:rsid w:val="00933DAA"/>
    <w:rsid w:val="00933F5F"/>
    <w:rsid w:val="00934A3B"/>
    <w:rsid w:val="00934AC3"/>
    <w:rsid w:val="00934BB5"/>
    <w:rsid w:val="00934F3E"/>
    <w:rsid w:val="00935240"/>
    <w:rsid w:val="009358A9"/>
    <w:rsid w:val="009359C6"/>
    <w:rsid w:val="00935AD4"/>
    <w:rsid w:val="00935F1F"/>
    <w:rsid w:val="009361A0"/>
    <w:rsid w:val="0093682B"/>
    <w:rsid w:val="00936D3B"/>
    <w:rsid w:val="009372D3"/>
    <w:rsid w:val="009376D2"/>
    <w:rsid w:val="009402B5"/>
    <w:rsid w:val="00940448"/>
    <w:rsid w:val="009405E1"/>
    <w:rsid w:val="00940AB6"/>
    <w:rsid w:val="00940EFA"/>
    <w:rsid w:val="00941A3A"/>
    <w:rsid w:val="0094233E"/>
    <w:rsid w:val="00942C55"/>
    <w:rsid w:val="00943306"/>
    <w:rsid w:val="0094354C"/>
    <w:rsid w:val="009436AF"/>
    <w:rsid w:val="009436F0"/>
    <w:rsid w:val="0094391F"/>
    <w:rsid w:val="00943B14"/>
    <w:rsid w:val="00943B8A"/>
    <w:rsid w:val="00944A1F"/>
    <w:rsid w:val="0094516D"/>
    <w:rsid w:val="0094550D"/>
    <w:rsid w:val="009457BC"/>
    <w:rsid w:val="009460E9"/>
    <w:rsid w:val="009461EC"/>
    <w:rsid w:val="00946761"/>
    <w:rsid w:val="00946C3B"/>
    <w:rsid w:val="00946D61"/>
    <w:rsid w:val="009479B3"/>
    <w:rsid w:val="009479D9"/>
    <w:rsid w:val="009479DA"/>
    <w:rsid w:val="0095012E"/>
    <w:rsid w:val="0095067E"/>
    <w:rsid w:val="009507BE"/>
    <w:rsid w:val="00950B4E"/>
    <w:rsid w:val="009512BF"/>
    <w:rsid w:val="00951B15"/>
    <w:rsid w:val="0095222D"/>
    <w:rsid w:val="009526C1"/>
    <w:rsid w:val="00952900"/>
    <w:rsid w:val="00952DD8"/>
    <w:rsid w:val="00953284"/>
    <w:rsid w:val="009538E1"/>
    <w:rsid w:val="00953C4C"/>
    <w:rsid w:val="00953EE6"/>
    <w:rsid w:val="009540A2"/>
    <w:rsid w:val="00954559"/>
    <w:rsid w:val="009547A7"/>
    <w:rsid w:val="00954906"/>
    <w:rsid w:val="00954FDB"/>
    <w:rsid w:val="009551F6"/>
    <w:rsid w:val="00955509"/>
    <w:rsid w:val="009556EB"/>
    <w:rsid w:val="00955B79"/>
    <w:rsid w:val="00955E28"/>
    <w:rsid w:val="0095634B"/>
    <w:rsid w:val="00956444"/>
    <w:rsid w:val="0095693D"/>
    <w:rsid w:val="00956D01"/>
    <w:rsid w:val="0095743E"/>
    <w:rsid w:val="0095755E"/>
    <w:rsid w:val="009577D2"/>
    <w:rsid w:val="00957D8E"/>
    <w:rsid w:val="00960DF7"/>
    <w:rsid w:val="009615F3"/>
    <w:rsid w:val="0096287E"/>
    <w:rsid w:val="009630BC"/>
    <w:rsid w:val="0096337C"/>
    <w:rsid w:val="0096341C"/>
    <w:rsid w:val="009634D6"/>
    <w:rsid w:val="009636DD"/>
    <w:rsid w:val="00963D8C"/>
    <w:rsid w:val="00964008"/>
    <w:rsid w:val="009641C4"/>
    <w:rsid w:val="0096438E"/>
    <w:rsid w:val="0096442E"/>
    <w:rsid w:val="00964469"/>
    <w:rsid w:val="00964523"/>
    <w:rsid w:val="00964E43"/>
    <w:rsid w:val="00964EB3"/>
    <w:rsid w:val="0096599E"/>
    <w:rsid w:val="00966465"/>
    <w:rsid w:val="009664A1"/>
    <w:rsid w:val="009665AA"/>
    <w:rsid w:val="009677F4"/>
    <w:rsid w:val="00967A2D"/>
    <w:rsid w:val="00967AAC"/>
    <w:rsid w:val="00967CFC"/>
    <w:rsid w:val="00967F74"/>
    <w:rsid w:val="009704AE"/>
    <w:rsid w:val="00970817"/>
    <w:rsid w:val="0097087A"/>
    <w:rsid w:val="00970D42"/>
    <w:rsid w:val="00970E70"/>
    <w:rsid w:val="009711FD"/>
    <w:rsid w:val="009716A8"/>
    <w:rsid w:val="009716AC"/>
    <w:rsid w:val="0097172E"/>
    <w:rsid w:val="00971899"/>
    <w:rsid w:val="00971F05"/>
    <w:rsid w:val="00972097"/>
    <w:rsid w:val="00972AC0"/>
    <w:rsid w:val="00973505"/>
    <w:rsid w:val="00974ADA"/>
    <w:rsid w:val="00974E47"/>
    <w:rsid w:val="00974F6D"/>
    <w:rsid w:val="00975387"/>
    <w:rsid w:val="00975988"/>
    <w:rsid w:val="00977350"/>
    <w:rsid w:val="00977EC7"/>
    <w:rsid w:val="00977F4D"/>
    <w:rsid w:val="00980333"/>
    <w:rsid w:val="00980BD8"/>
    <w:rsid w:val="00980CBA"/>
    <w:rsid w:val="00981378"/>
    <w:rsid w:val="009814A2"/>
    <w:rsid w:val="00981B0B"/>
    <w:rsid w:val="00981DF1"/>
    <w:rsid w:val="00982637"/>
    <w:rsid w:val="00982FDB"/>
    <w:rsid w:val="0098308B"/>
    <w:rsid w:val="00983183"/>
    <w:rsid w:val="00983371"/>
    <w:rsid w:val="009835BC"/>
    <w:rsid w:val="00983666"/>
    <w:rsid w:val="00983A02"/>
    <w:rsid w:val="00984288"/>
    <w:rsid w:val="009845E1"/>
    <w:rsid w:val="009849FB"/>
    <w:rsid w:val="00984A6E"/>
    <w:rsid w:val="00984B2F"/>
    <w:rsid w:val="00984E94"/>
    <w:rsid w:val="0098517E"/>
    <w:rsid w:val="00985A33"/>
    <w:rsid w:val="00985ED5"/>
    <w:rsid w:val="00986322"/>
    <w:rsid w:val="0098639A"/>
    <w:rsid w:val="00986457"/>
    <w:rsid w:val="0098662A"/>
    <w:rsid w:val="00986683"/>
    <w:rsid w:val="00986B4F"/>
    <w:rsid w:val="009872CD"/>
    <w:rsid w:val="0098765D"/>
    <w:rsid w:val="00987C79"/>
    <w:rsid w:val="00990C03"/>
    <w:rsid w:val="00991202"/>
    <w:rsid w:val="00991869"/>
    <w:rsid w:val="009926D7"/>
    <w:rsid w:val="00992A28"/>
    <w:rsid w:val="00992E8B"/>
    <w:rsid w:val="009934B5"/>
    <w:rsid w:val="00993D86"/>
    <w:rsid w:val="00994995"/>
    <w:rsid w:val="00994C3C"/>
    <w:rsid w:val="00994D56"/>
    <w:rsid w:val="009952EC"/>
    <w:rsid w:val="00995466"/>
    <w:rsid w:val="00995506"/>
    <w:rsid w:val="00995530"/>
    <w:rsid w:val="009959C8"/>
    <w:rsid w:val="00996392"/>
    <w:rsid w:val="009963D3"/>
    <w:rsid w:val="009963E7"/>
    <w:rsid w:val="00996616"/>
    <w:rsid w:val="009969B5"/>
    <w:rsid w:val="00996DD9"/>
    <w:rsid w:val="00997C46"/>
    <w:rsid w:val="009A02B3"/>
    <w:rsid w:val="009A0B31"/>
    <w:rsid w:val="009A0D16"/>
    <w:rsid w:val="009A0E0C"/>
    <w:rsid w:val="009A1307"/>
    <w:rsid w:val="009A18C5"/>
    <w:rsid w:val="009A1D79"/>
    <w:rsid w:val="009A1DA9"/>
    <w:rsid w:val="009A1F76"/>
    <w:rsid w:val="009A1FE9"/>
    <w:rsid w:val="009A23C0"/>
    <w:rsid w:val="009A2547"/>
    <w:rsid w:val="009A2DE9"/>
    <w:rsid w:val="009A307D"/>
    <w:rsid w:val="009A30CC"/>
    <w:rsid w:val="009A3826"/>
    <w:rsid w:val="009A3C70"/>
    <w:rsid w:val="009A40FE"/>
    <w:rsid w:val="009A412A"/>
    <w:rsid w:val="009A4341"/>
    <w:rsid w:val="009A458A"/>
    <w:rsid w:val="009A5524"/>
    <w:rsid w:val="009A5578"/>
    <w:rsid w:val="009A571F"/>
    <w:rsid w:val="009A5792"/>
    <w:rsid w:val="009A6221"/>
    <w:rsid w:val="009A6A34"/>
    <w:rsid w:val="009A725F"/>
    <w:rsid w:val="009A790E"/>
    <w:rsid w:val="009A7B0C"/>
    <w:rsid w:val="009A7F6E"/>
    <w:rsid w:val="009A7F8C"/>
    <w:rsid w:val="009B03BE"/>
    <w:rsid w:val="009B0965"/>
    <w:rsid w:val="009B098C"/>
    <w:rsid w:val="009B0C98"/>
    <w:rsid w:val="009B0F66"/>
    <w:rsid w:val="009B1174"/>
    <w:rsid w:val="009B143F"/>
    <w:rsid w:val="009B1AF3"/>
    <w:rsid w:val="009B1BE5"/>
    <w:rsid w:val="009B21E0"/>
    <w:rsid w:val="009B23F8"/>
    <w:rsid w:val="009B240E"/>
    <w:rsid w:val="009B2BF9"/>
    <w:rsid w:val="009B2D2D"/>
    <w:rsid w:val="009B2F9B"/>
    <w:rsid w:val="009B31EE"/>
    <w:rsid w:val="009B3888"/>
    <w:rsid w:val="009B3CFA"/>
    <w:rsid w:val="009B3DCE"/>
    <w:rsid w:val="009B3F91"/>
    <w:rsid w:val="009B4068"/>
    <w:rsid w:val="009B42A8"/>
    <w:rsid w:val="009B4BF1"/>
    <w:rsid w:val="009B5259"/>
    <w:rsid w:val="009B566A"/>
    <w:rsid w:val="009B5A26"/>
    <w:rsid w:val="009B5BD5"/>
    <w:rsid w:val="009B5C1D"/>
    <w:rsid w:val="009B6373"/>
    <w:rsid w:val="009B67E1"/>
    <w:rsid w:val="009B6AAE"/>
    <w:rsid w:val="009B6B4F"/>
    <w:rsid w:val="009B70BB"/>
    <w:rsid w:val="009B7614"/>
    <w:rsid w:val="009B785C"/>
    <w:rsid w:val="009C00F7"/>
    <w:rsid w:val="009C03B5"/>
    <w:rsid w:val="009C07A9"/>
    <w:rsid w:val="009C0846"/>
    <w:rsid w:val="009C08BA"/>
    <w:rsid w:val="009C0987"/>
    <w:rsid w:val="009C0A60"/>
    <w:rsid w:val="009C0DAD"/>
    <w:rsid w:val="009C1A17"/>
    <w:rsid w:val="009C1B61"/>
    <w:rsid w:val="009C1C84"/>
    <w:rsid w:val="009C200E"/>
    <w:rsid w:val="009C247B"/>
    <w:rsid w:val="009C2965"/>
    <w:rsid w:val="009C2A54"/>
    <w:rsid w:val="009C2AC8"/>
    <w:rsid w:val="009C2C7E"/>
    <w:rsid w:val="009C4A04"/>
    <w:rsid w:val="009C4B55"/>
    <w:rsid w:val="009C4C8F"/>
    <w:rsid w:val="009C58AE"/>
    <w:rsid w:val="009C698E"/>
    <w:rsid w:val="009C6B89"/>
    <w:rsid w:val="009C79C3"/>
    <w:rsid w:val="009C7CDF"/>
    <w:rsid w:val="009C7EE1"/>
    <w:rsid w:val="009D04D3"/>
    <w:rsid w:val="009D082E"/>
    <w:rsid w:val="009D0C68"/>
    <w:rsid w:val="009D0C70"/>
    <w:rsid w:val="009D0CAA"/>
    <w:rsid w:val="009D125A"/>
    <w:rsid w:val="009D12F2"/>
    <w:rsid w:val="009D13F2"/>
    <w:rsid w:val="009D1983"/>
    <w:rsid w:val="009D2449"/>
    <w:rsid w:val="009D2969"/>
    <w:rsid w:val="009D2BA0"/>
    <w:rsid w:val="009D2DD8"/>
    <w:rsid w:val="009D2E6D"/>
    <w:rsid w:val="009D324E"/>
    <w:rsid w:val="009D3278"/>
    <w:rsid w:val="009D3392"/>
    <w:rsid w:val="009D4191"/>
    <w:rsid w:val="009D4694"/>
    <w:rsid w:val="009D476A"/>
    <w:rsid w:val="009D48AF"/>
    <w:rsid w:val="009D608E"/>
    <w:rsid w:val="009D61B9"/>
    <w:rsid w:val="009D636E"/>
    <w:rsid w:val="009D640D"/>
    <w:rsid w:val="009D6693"/>
    <w:rsid w:val="009D68C4"/>
    <w:rsid w:val="009D7478"/>
    <w:rsid w:val="009E04E5"/>
    <w:rsid w:val="009E0A41"/>
    <w:rsid w:val="009E1394"/>
    <w:rsid w:val="009E19F5"/>
    <w:rsid w:val="009E1B93"/>
    <w:rsid w:val="009E2B2D"/>
    <w:rsid w:val="009E2B68"/>
    <w:rsid w:val="009E33D6"/>
    <w:rsid w:val="009E3497"/>
    <w:rsid w:val="009E3610"/>
    <w:rsid w:val="009E3615"/>
    <w:rsid w:val="009E45A2"/>
    <w:rsid w:val="009E4E8A"/>
    <w:rsid w:val="009E4EE4"/>
    <w:rsid w:val="009E5430"/>
    <w:rsid w:val="009E5DEB"/>
    <w:rsid w:val="009E60A3"/>
    <w:rsid w:val="009E6D0C"/>
    <w:rsid w:val="009E6E5F"/>
    <w:rsid w:val="009E79C6"/>
    <w:rsid w:val="009F0499"/>
    <w:rsid w:val="009F05D9"/>
    <w:rsid w:val="009F0ADE"/>
    <w:rsid w:val="009F0FB0"/>
    <w:rsid w:val="009F1017"/>
    <w:rsid w:val="009F118A"/>
    <w:rsid w:val="009F11B8"/>
    <w:rsid w:val="009F11D0"/>
    <w:rsid w:val="009F1753"/>
    <w:rsid w:val="009F216C"/>
    <w:rsid w:val="009F2401"/>
    <w:rsid w:val="009F2587"/>
    <w:rsid w:val="009F271C"/>
    <w:rsid w:val="009F29DB"/>
    <w:rsid w:val="009F2F6E"/>
    <w:rsid w:val="009F306B"/>
    <w:rsid w:val="009F35D3"/>
    <w:rsid w:val="009F3651"/>
    <w:rsid w:val="009F38A2"/>
    <w:rsid w:val="009F3A06"/>
    <w:rsid w:val="009F3CA4"/>
    <w:rsid w:val="009F3F34"/>
    <w:rsid w:val="009F436B"/>
    <w:rsid w:val="009F4865"/>
    <w:rsid w:val="009F4C01"/>
    <w:rsid w:val="009F4C75"/>
    <w:rsid w:val="009F4F75"/>
    <w:rsid w:val="009F5342"/>
    <w:rsid w:val="009F5E62"/>
    <w:rsid w:val="009F5EAC"/>
    <w:rsid w:val="009F693C"/>
    <w:rsid w:val="009F6AC8"/>
    <w:rsid w:val="009F6B39"/>
    <w:rsid w:val="009F738A"/>
    <w:rsid w:val="009F771D"/>
    <w:rsid w:val="009F79E3"/>
    <w:rsid w:val="00A0047F"/>
    <w:rsid w:val="00A007F7"/>
    <w:rsid w:val="00A0086D"/>
    <w:rsid w:val="00A00D60"/>
    <w:rsid w:val="00A01064"/>
    <w:rsid w:val="00A01097"/>
    <w:rsid w:val="00A02377"/>
    <w:rsid w:val="00A0269B"/>
    <w:rsid w:val="00A02A17"/>
    <w:rsid w:val="00A02B42"/>
    <w:rsid w:val="00A02E18"/>
    <w:rsid w:val="00A03AAA"/>
    <w:rsid w:val="00A03BE6"/>
    <w:rsid w:val="00A040CB"/>
    <w:rsid w:val="00A04335"/>
    <w:rsid w:val="00A0483F"/>
    <w:rsid w:val="00A05371"/>
    <w:rsid w:val="00A0637F"/>
    <w:rsid w:val="00A06494"/>
    <w:rsid w:val="00A06C6F"/>
    <w:rsid w:val="00A07384"/>
    <w:rsid w:val="00A07F1F"/>
    <w:rsid w:val="00A10A21"/>
    <w:rsid w:val="00A11265"/>
    <w:rsid w:val="00A117BE"/>
    <w:rsid w:val="00A1192F"/>
    <w:rsid w:val="00A11A4E"/>
    <w:rsid w:val="00A11BA6"/>
    <w:rsid w:val="00A11DD8"/>
    <w:rsid w:val="00A12600"/>
    <w:rsid w:val="00A12C64"/>
    <w:rsid w:val="00A1335C"/>
    <w:rsid w:val="00A134CC"/>
    <w:rsid w:val="00A13A6A"/>
    <w:rsid w:val="00A13C73"/>
    <w:rsid w:val="00A13D2E"/>
    <w:rsid w:val="00A13F6A"/>
    <w:rsid w:val="00A142C2"/>
    <w:rsid w:val="00A143C2"/>
    <w:rsid w:val="00A14BF6"/>
    <w:rsid w:val="00A14C86"/>
    <w:rsid w:val="00A14E3F"/>
    <w:rsid w:val="00A15458"/>
    <w:rsid w:val="00A15481"/>
    <w:rsid w:val="00A154C8"/>
    <w:rsid w:val="00A171CC"/>
    <w:rsid w:val="00A17FB3"/>
    <w:rsid w:val="00A200E0"/>
    <w:rsid w:val="00A201D8"/>
    <w:rsid w:val="00A206D0"/>
    <w:rsid w:val="00A2084F"/>
    <w:rsid w:val="00A210F4"/>
    <w:rsid w:val="00A211F9"/>
    <w:rsid w:val="00A21530"/>
    <w:rsid w:val="00A219CF"/>
    <w:rsid w:val="00A21FD7"/>
    <w:rsid w:val="00A220EE"/>
    <w:rsid w:val="00A22A3F"/>
    <w:rsid w:val="00A22E8B"/>
    <w:rsid w:val="00A22ED2"/>
    <w:rsid w:val="00A23125"/>
    <w:rsid w:val="00A2359E"/>
    <w:rsid w:val="00A23CE2"/>
    <w:rsid w:val="00A24155"/>
    <w:rsid w:val="00A24297"/>
    <w:rsid w:val="00A246B9"/>
    <w:rsid w:val="00A2481B"/>
    <w:rsid w:val="00A25A58"/>
    <w:rsid w:val="00A25F0D"/>
    <w:rsid w:val="00A2605F"/>
    <w:rsid w:val="00A26358"/>
    <w:rsid w:val="00A2643E"/>
    <w:rsid w:val="00A2647D"/>
    <w:rsid w:val="00A26A2F"/>
    <w:rsid w:val="00A26A83"/>
    <w:rsid w:val="00A26D37"/>
    <w:rsid w:val="00A2728D"/>
    <w:rsid w:val="00A2765D"/>
    <w:rsid w:val="00A27F8E"/>
    <w:rsid w:val="00A30439"/>
    <w:rsid w:val="00A31403"/>
    <w:rsid w:val="00A31BDE"/>
    <w:rsid w:val="00A3247C"/>
    <w:rsid w:val="00A3297C"/>
    <w:rsid w:val="00A32B1E"/>
    <w:rsid w:val="00A33104"/>
    <w:rsid w:val="00A334A9"/>
    <w:rsid w:val="00A3398F"/>
    <w:rsid w:val="00A33C68"/>
    <w:rsid w:val="00A3409A"/>
    <w:rsid w:val="00A34275"/>
    <w:rsid w:val="00A34594"/>
    <w:rsid w:val="00A34BF6"/>
    <w:rsid w:val="00A35815"/>
    <w:rsid w:val="00A35ED6"/>
    <w:rsid w:val="00A35FB9"/>
    <w:rsid w:val="00A36980"/>
    <w:rsid w:val="00A36CCA"/>
    <w:rsid w:val="00A37DBB"/>
    <w:rsid w:val="00A37FD3"/>
    <w:rsid w:val="00A4000E"/>
    <w:rsid w:val="00A400C8"/>
    <w:rsid w:val="00A409DA"/>
    <w:rsid w:val="00A41807"/>
    <w:rsid w:val="00A418F9"/>
    <w:rsid w:val="00A4196C"/>
    <w:rsid w:val="00A41ECE"/>
    <w:rsid w:val="00A4204A"/>
    <w:rsid w:val="00A43567"/>
    <w:rsid w:val="00A43C36"/>
    <w:rsid w:val="00A440B8"/>
    <w:rsid w:val="00A449B9"/>
    <w:rsid w:val="00A45131"/>
    <w:rsid w:val="00A4552C"/>
    <w:rsid w:val="00A45715"/>
    <w:rsid w:val="00A4578F"/>
    <w:rsid w:val="00A46453"/>
    <w:rsid w:val="00A4689A"/>
    <w:rsid w:val="00A468A6"/>
    <w:rsid w:val="00A46A20"/>
    <w:rsid w:val="00A46EEA"/>
    <w:rsid w:val="00A46FA9"/>
    <w:rsid w:val="00A473E6"/>
    <w:rsid w:val="00A4765F"/>
    <w:rsid w:val="00A4766C"/>
    <w:rsid w:val="00A47A23"/>
    <w:rsid w:val="00A47AE8"/>
    <w:rsid w:val="00A5012A"/>
    <w:rsid w:val="00A504B5"/>
    <w:rsid w:val="00A51759"/>
    <w:rsid w:val="00A51D42"/>
    <w:rsid w:val="00A52969"/>
    <w:rsid w:val="00A52F65"/>
    <w:rsid w:val="00A536B9"/>
    <w:rsid w:val="00A53D16"/>
    <w:rsid w:val="00A53D62"/>
    <w:rsid w:val="00A53E33"/>
    <w:rsid w:val="00A54282"/>
    <w:rsid w:val="00A54377"/>
    <w:rsid w:val="00A54616"/>
    <w:rsid w:val="00A54742"/>
    <w:rsid w:val="00A54953"/>
    <w:rsid w:val="00A54B9F"/>
    <w:rsid w:val="00A55587"/>
    <w:rsid w:val="00A556F7"/>
    <w:rsid w:val="00A5575F"/>
    <w:rsid w:val="00A55B3D"/>
    <w:rsid w:val="00A55CBE"/>
    <w:rsid w:val="00A564A2"/>
    <w:rsid w:val="00A56726"/>
    <w:rsid w:val="00A571AB"/>
    <w:rsid w:val="00A571DE"/>
    <w:rsid w:val="00A57245"/>
    <w:rsid w:val="00A575CC"/>
    <w:rsid w:val="00A600AB"/>
    <w:rsid w:val="00A60438"/>
    <w:rsid w:val="00A60462"/>
    <w:rsid w:val="00A606BE"/>
    <w:rsid w:val="00A60E79"/>
    <w:rsid w:val="00A610A8"/>
    <w:rsid w:val="00A614A1"/>
    <w:rsid w:val="00A6158B"/>
    <w:rsid w:val="00A61AD1"/>
    <w:rsid w:val="00A61C0C"/>
    <w:rsid w:val="00A63FB0"/>
    <w:rsid w:val="00A64CC8"/>
    <w:rsid w:val="00A65420"/>
    <w:rsid w:val="00A6543E"/>
    <w:rsid w:val="00A65EBA"/>
    <w:rsid w:val="00A66893"/>
    <w:rsid w:val="00A66F3E"/>
    <w:rsid w:val="00A67580"/>
    <w:rsid w:val="00A675A5"/>
    <w:rsid w:val="00A679F1"/>
    <w:rsid w:val="00A67EA9"/>
    <w:rsid w:val="00A70768"/>
    <w:rsid w:val="00A71530"/>
    <w:rsid w:val="00A71C50"/>
    <w:rsid w:val="00A71CA0"/>
    <w:rsid w:val="00A71EBA"/>
    <w:rsid w:val="00A71FFD"/>
    <w:rsid w:val="00A72726"/>
    <w:rsid w:val="00A73060"/>
    <w:rsid w:val="00A734EB"/>
    <w:rsid w:val="00A73508"/>
    <w:rsid w:val="00A7360D"/>
    <w:rsid w:val="00A73AE3"/>
    <w:rsid w:val="00A73C23"/>
    <w:rsid w:val="00A73DF1"/>
    <w:rsid w:val="00A74A36"/>
    <w:rsid w:val="00A7569F"/>
    <w:rsid w:val="00A75903"/>
    <w:rsid w:val="00A75DA8"/>
    <w:rsid w:val="00A772ED"/>
    <w:rsid w:val="00A77BDD"/>
    <w:rsid w:val="00A77D0D"/>
    <w:rsid w:val="00A820EC"/>
    <w:rsid w:val="00A82131"/>
    <w:rsid w:val="00A82F4B"/>
    <w:rsid w:val="00A836DB"/>
    <w:rsid w:val="00A839B3"/>
    <w:rsid w:val="00A83ED1"/>
    <w:rsid w:val="00A842F8"/>
    <w:rsid w:val="00A84D1C"/>
    <w:rsid w:val="00A85210"/>
    <w:rsid w:val="00A8542B"/>
    <w:rsid w:val="00A8553C"/>
    <w:rsid w:val="00A85F4F"/>
    <w:rsid w:val="00A85F9B"/>
    <w:rsid w:val="00A862A2"/>
    <w:rsid w:val="00A86483"/>
    <w:rsid w:val="00A86494"/>
    <w:rsid w:val="00A86D03"/>
    <w:rsid w:val="00A8747A"/>
    <w:rsid w:val="00A87891"/>
    <w:rsid w:val="00A87B8A"/>
    <w:rsid w:val="00A87EB5"/>
    <w:rsid w:val="00A900A1"/>
    <w:rsid w:val="00A904E3"/>
    <w:rsid w:val="00A908B5"/>
    <w:rsid w:val="00A90C32"/>
    <w:rsid w:val="00A90C89"/>
    <w:rsid w:val="00A9162A"/>
    <w:rsid w:val="00A91C20"/>
    <w:rsid w:val="00A923AD"/>
    <w:rsid w:val="00A924CD"/>
    <w:rsid w:val="00A92510"/>
    <w:rsid w:val="00A92AE6"/>
    <w:rsid w:val="00A92C66"/>
    <w:rsid w:val="00A92DCF"/>
    <w:rsid w:val="00A930F5"/>
    <w:rsid w:val="00A9346F"/>
    <w:rsid w:val="00A935A7"/>
    <w:rsid w:val="00A93743"/>
    <w:rsid w:val="00A946F6"/>
    <w:rsid w:val="00A951DA"/>
    <w:rsid w:val="00A957CC"/>
    <w:rsid w:val="00A95906"/>
    <w:rsid w:val="00A95CAC"/>
    <w:rsid w:val="00A95F1F"/>
    <w:rsid w:val="00A961D0"/>
    <w:rsid w:val="00A961D7"/>
    <w:rsid w:val="00A967C5"/>
    <w:rsid w:val="00A97678"/>
    <w:rsid w:val="00A9799A"/>
    <w:rsid w:val="00AA0F84"/>
    <w:rsid w:val="00AA1771"/>
    <w:rsid w:val="00AA1A39"/>
    <w:rsid w:val="00AA1D44"/>
    <w:rsid w:val="00AA1F16"/>
    <w:rsid w:val="00AA216B"/>
    <w:rsid w:val="00AA23E1"/>
    <w:rsid w:val="00AA30C0"/>
    <w:rsid w:val="00AA3E41"/>
    <w:rsid w:val="00AA4DA4"/>
    <w:rsid w:val="00AA4EB1"/>
    <w:rsid w:val="00AA5090"/>
    <w:rsid w:val="00AA5353"/>
    <w:rsid w:val="00AA53A5"/>
    <w:rsid w:val="00AA5B01"/>
    <w:rsid w:val="00AA5C65"/>
    <w:rsid w:val="00AA65D6"/>
    <w:rsid w:val="00AA6930"/>
    <w:rsid w:val="00AA73DC"/>
    <w:rsid w:val="00AA7697"/>
    <w:rsid w:val="00AA76E1"/>
    <w:rsid w:val="00AA78FE"/>
    <w:rsid w:val="00AA7C1F"/>
    <w:rsid w:val="00AA7EAE"/>
    <w:rsid w:val="00AB0355"/>
    <w:rsid w:val="00AB0F24"/>
    <w:rsid w:val="00AB1071"/>
    <w:rsid w:val="00AB14D9"/>
    <w:rsid w:val="00AB1724"/>
    <w:rsid w:val="00AB1930"/>
    <w:rsid w:val="00AB228C"/>
    <w:rsid w:val="00AB2518"/>
    <w:rsid w:val="00AB2709"/>
    <w:rsid w:val="00AB2954"/>
    <w:rsid w:val="00AB2CE9"/>
    <w:rsid w:val="00AB43E7"/>
    <w:rsid w:val="00AB49A3"/>
    <w:rsid w:val="00AB4A7F"/>
    <w:rsid w:val="00AB5053"/>
    <w:rsid w:val="00AB5161"/>
    <w:rsid w:val="00AB6AD5"/>
    <w:rsid w:val="00AB6DB5"/>
    <w:rsid w:val="00AB6DCE"/>
    <w:rsid w:val="00AB72FA"/>
    <w:rsid w:val="00AB7BAF"/>
    <w:rsid w:val="00AC060F"/>
    <w:rsid w:val="00AC0831"/>
    <w:rsid w:val="00AC09D6"/>
    <w:rsid w:val="00AC0D39"/>
    <w:rsid w:val="00AC116C"/>
    <w:rsid w:val="00AC1F72"/>
    <w:rsid w:val="00AC21F7"/>
    <w:rsid w:val="00AC2324"/>
    <w:rsid w:val="00AC26CB"/>
    <w:rsid w:val="00AC2749"/>
    <w:rsid w:val="00AC3493"/>
    <w:rsid w:val="00AC3CAB"/>
    <w:rsid w:val="00AC3ED6"/>
    <w:rsid w:val="00AC418E"/>
    <w:rsid w:val="00AC4369"/>
    <w:rsid w:val="00AC4752"/>
    <w:rsid w:val="00AC4803"/>
    <w:rsid w:val="00AC4B2E"/>
    <w:rsid w:val="00AC4F66"/>
    <w:rsid w:val="00AC5519"/>
    <w:rsid w:val="00AC5FFD"/>
    <w:rsid w:val="00AC61E9"/>
    <w:rsid w:val="00AC6A31"/>
    <w:rsid w:val="00AC6AF0"/>
    <w:rsid w:val="00AC7C77"/>
    <w:rsid w:val="00AD0227"/>
    <w:rsid w:val="00AD1056"/>
    <w:rsid w:val="00AD141C"/>
    <w:rsid w:val="00AD16C1"/>
    <w:rsid w:val="00AD27D4"/>
    <w:rsid w:val="00AD2A6A"/>
    <w:rsid w:val="00AD2C36"/>
    <w:rsid w:val="00AD30A3"/>
    <w:rsid w:val="00AD34A8"/>
    <w:rsid w:val="00AD377F"/>
    <w:rsid w:val="00AD391A"/>
    <w:rsid w:val="00AD3F4F"/>
    <w:rsid w:val="00AD432B"/>
    <w:rsid w:val="00AD48F3"/>
    <w:rsid w:val="00AD4B6D"/>
    <w:rsid w:val="00AD4CF6"/>
    <w:rsid w:val="00AD5594"/>
    <w:rsid w:val="00AD5690"/>
    <w:rsid w:val="00AD5A12"/>
    <w:rsid w:val="00AD602F"/>
    <w:rsid w:val="00AD6792"/>
    <w:rsid w:val="00AD6F8C"/>
    <w:rsid w:val="00AD740F"/>
    <w:rsid w:val="00AD75E2"/>
    <w:rsid w:val="00AD7BC1"/>
    <w:rsid w:val="00AD7DE4"/>
    <w:rsid w:val="00AD7FB7"/>
    <w:rsid w:val="00AE0447"/>
    <w:rsid w:val="00AE06E6"/>
    <w:rsid w:val="00AE09E7"/>
    <w:rsid w:val="00AE1999"/>
    <w:rsid w:val="00AE1EF6"/>
    <w:rsid w:val="00AE22E9"/>
    <w:rsid w:val="00AE267B"/>
    <w:rsid w:val="00AE2689"/>
    <w:rsid w:val="00AE2E39"/>
    <w:rsid w:val="00AE3385"/>
    <w:rsid w:val="00AE354F"/>
    <w:rsid w:val="00AE36B0"/>
    <w:rsid w:val="00AE3966"/>
    <w:rsid w:val="00AE3A2E"/>
    <w:rsid w:val="00AE3CF6"/>
    <w:rsid w:val="00AE43F3"/>
    <w:rsid w:val="00AE52EB"/>
    <w:rsid w:val="00AE5843"/>
    <w:rsid w:val="00AE5F05"/>
    <w:rsid w:val="00AE5F35"/>
    <w:rsid w:val="00AE5F8F"/>
    <w:rsid w:val="00AE5FE7"/>
    <w:rsid w:val="00AE608B"/>
    <w:rsid w:val="00AE70E9"/>
    <w:rsid w:val="00AE792C"/>
    <w:rsid w:val="00AF004A"/>
    <w:rsid w:val="00AF0069"/>
    <w:rsid w:val="00AF0930"/>
    <w:rsid w:val="00AF0BD4"/>
    <w:rsid w:val="00AF0C06"/>
    <w:rsid w:val="00AF0C4C"/>
    <w:rsid w:val="00AF1AD2"/>
    <w:rsid w:val="00AF1D58"/>
    <w:rsid w:val="00AF1F13"/>
    <w:rsid w:val="00AF2552"/>
    <w:rsid w:val="00AF2E74"/>
    <w:rsid w:val="00AF40E1"/>
    <w:rsid w:val="00AF478E"/>
    <w:rsid w:val="00AF4802"/>
    <w:rsid w:val="00AF4A63"/>
    <w:rsid w:val="00AF4EAF"/>
    <w:rsid w:val="00AF5729"/>
    <w:rsid w:val="00AF5753"/>
    <w:rsid w:val="00AF5F8B"/>
    <w:rsid w:val="00AF69E2"/>
    <w:rsid w:val="00AF6CFF"/>
    <w:rsid w:val="00B004E3"/>
    <w:rsid w:val="00B0063F"/>
    <w:rsid w:val="00B00715"/>
    <w:rsid w:val="00B0110B"/>
    <w:rsid w:val="00B01A62"/>
    <w:rsid w:val="00B01AAD"/>
    <w:rsid w:val="00B02A40"/>
    <w:rsid w:val="00B03255"/>
    <w:rsid w:val="00B035C1"/>
    <w:rsid w:val="00B0364D"/>
    <w:rsid w:val="00B036A6"/>
    <w:rsid w:val="00B03747"/>
    <w:rsid w:val="00B037EA"/>
    <w:rsid w:val="00B03A3E"/>
    <w:rsid w:val="00B04129"/>
    <w:rsid w:val="00B04B4A"/>
    <w:rsid w:val="00B05F72"/>
    <w:rsid w:val="00B0604A"/>
    <w:rsid w:val="00B0642A"/>
    <w:rsid w:val="00B06821"/>
    <w:rsid w:val="00B06B9D"/>
    <w:rsid w:val="00B06DBF"/>
    <w:rsid w:val="00B06FFA"/>
    <w:rsid w:val="00B07620"/>
    <w:rsid w:val="00B1001C"/>
    <w:rsid w:val="00B1017A"/>
    <w:rsid w:val="00B10422"/>
    <w:rsid w:val="00B11E1D"/>
    <w:rsid w:val="00B12262"/>
    <w:rsid w:val="00B12541"/>
    <w:rsid w:val="00B12FD4"/>
    <w:rsid w:val="00B136B4"/>
    <w:rsid w:val="00B1383D"/>
    <w:rsid w:val="00B13AED"/>
    <w:rsid w:val="00B13E55"/>
    <w:rsid w:val="00B14010"/>
    <w:rsid w:val="00B147E0"/>
    <w:rsid w:val="00B14997"/>
    <w:rsid w:val="00B14A3A"/>
    <w:rsid w:val="00B14A46"/>
    <w:rsid w:val="00B14BBE"/>
    <w:rsid w:val="00B14E53"/>
    <w:rsid w:val="00B1508F"/>
    <w:rsid w:val="00B152A6"/>
    <w:rsid w:val="00B155A6"/>
    <w:rsid w:val="00B15E78"/>
    <w:rsid w:val="00B15EDF"/>
    <w:rsid w:val="00B1613C"/>
    <w:rsid w:val="00B16B8E"/>
    <w:rsid w:val="00B16D5F"/>
    <w:rsid w:val="00B16EA8"/>
    <w:rsid w:val="00B1718D"/>
    <w:rsid w:val="00B1761F"/>
    <w:rsid w:val="00B17838"/>
    <w:rsid w:val="00B1796F"/>
    <w:rsid w:val="00B20248"/>
    <w:rsid w:val="00B21255"/>
    <w:rsid w:val="00B21733"/>
    <w:rsid w:val="00B219CB"/>
    <w:rsid w:val="00B2244E"/>
    <w:rsid w:val="00B2248B"/>
    <w:rsid w:val="00B224EE"/>
    <w:rsid w:val="00B22B44"/>
    <w:rsid w:val="00B231FC"/>
    <w:rsid w:val="00B2465D"/>
    <w:rsid w:val="00B24901"/>
    <w:rsid w:val="00B24EDA"/>
    <w:rsid w:val="00B25047"/>
    <w:rsid w:val="00B256B3"/>
    <w:rsid w:val="00B25738"/>
    <w:rsid w:val="00B25976"/>
    <w:rsid w:val="00B261A9"/>
    <w:rsid w:val="00B26A7E"/>
    <w:rsid w:val="00B26C8F"/>
    <w:rsid w:val="00B26E18"/>
    <w:rsid w:val="00B27434"/>
    <w:rsid w:val="00B2765A"/>
    <w:rsid w:val="00B27E28"/>
    <w:rsid w:val="00B30860"/>
    <w:rsid w:val="00B308A3"/>
    <w:rsid w:val="00B30987"/>
    <w:rsid w:val="00B30A66"/>
    <w:rsid w:val="00B318A7"/>
    <w:rsid w:val="00B32295"/>
    <w:rsid w:val="00B323E5"/>
    <w:rsid w:val="00B3309E"/>
    <w:rsid w:val="00B3481A"/>
    <w:rsid w:val="00B34CE1"/>
    <w:rsid w:val="00B35DCD"/>
    <w:rsid w:val="00B36485"/>
    <w:rsid w:val="00B36D17"/>
    <w:rsid w:val="00B36E1C"/>
    <w:rsid w:val="00B37058"/>
    <w:rsid w:val="00B37647"/>
    <w:rsid w:val="00B3795A"/>
    <w:rsid w:val="00B37AB0"/>
    <w:rsid w:val="00B37DF8"/>
    <w:rsid w:val="00B37EDF"/>
    <w:rsid w:val="00B40103"/>
    <w:rsid w:val="00B403A1"/>
    <w:rsid w:val="00B40FBF"/>
    <w:rsid w:val="00B418AE"/>
    <w:rsid w:val="00B418DF"/>
    <w:rsid w:val="00B4194E"/>
    <w:rsid w:val="00B41A9E"/>
    <w:rsid w:val="00B41BBC"/>
    <w:rsid w:val="00B42240"/>
    <w:rsid w:val="00B42821"/>
    <w:rsid w:val="00B4313E"/>
    <w:rsid w:val="00B43E87"/>
    <w:rsid w:val="00B447A4"/>
    <w:rsid w:val="00B44ABE"/>
    <w:rsid w:val="00B4573A"/>
    <w:rsid w:val="00B458C5"/>
    <w:rsid w:val="00B45E6D"/>
    <w:rsid w:val="00B46005"/>
    <w:rsid w:val="00B4734B"/>
    <w:rsid w:val="00B474CC"/>
    <w:rsid w:val="00B475C4"/>
    <w:rsid w:val="00B476F2"/>
    <w:rsid w:val="00B47D34"/>
    <w:rsid w:val="00B47F5B"/>
    <w:rsid w:val="00B50D3F"/>
    <w:rsid w:val="00B50DB3"/>
    <w:rsid w:val="00B5189A"/>
    <w:rsid w:val="00B51AF2"/>
    <w:rsid w:val="00B51C3F"/>
    <w:rsid w:val="00B52A55"/>
    <w:rsid w:val="00B52A90"/>
    <w:rsid w:val="00B52C3F"/>
    <w:rsid w:val="00B52D99"/>
    <w:rsid w:val="00B52F5C"/>
    <w:rsid w:val="00B530BF"/>
    <w:rsid w:val="00B5363C"/>
    <w:rsid w:val="00B53B25"/>
    <w:rsid w:val="00B53ECE"/>
    <w:rsid w:val="00B54019"/>
    <w:rsid w:val="00B544B4"/>
    <w:rsid w:val="00B5471D"/>
    <w:rsid w:val="00B54A5C"/>
    <w:rsid w:val="00B54B49"/>
    <w:rsid w:val="00B553CE"/>
    <w:rsid w:val="00B55B14"/>
    <w:rsid w:val="00B55C40"/>
    <w:rsid w:val="00B562E0"/>
    <w:rsid w:val="00B56D6D"/>
    <w:rsid w:val="00B571AB"/>
    <w:rsid w:val="00B576C8"/>
    <w:rsid w:val="00B57BF7"/>
    <w:rsid w:val="00B57C5E"/>
    <w:rsid w:val="00B600F1"/>
    <w:rsid w:val="00B602C9"/>
    <w:rsid w:val="00B60490"/>
    <w:rsid w:val="00B604C8"/>
    <w:rsid w:val="00B6071D"/>
    <w:rsid w:val="00B60DB6"/>
    <w:rsid w:val="00B60EF4"/>
    <w:rsid w:val="00B613BD"/>
    <w:rsid w:val="00B6164D"/>
    <w:rsid w:val="00B62343"/>
    <w:rsid w:val="00B626FA"/>
    <w:rsid w:val="00B62E6D"/>
    <w:rsid w:val="00B6322A"/>
    <w:rsid w:val="00B63358"/>
    <w:rsid w:val="00B63616"/>
    <w:rsid w:val="00B63664"/>
    <w:rsid w:val="00B63947"/>
    <w:rsid w:val="00B63D1B"/>
    <w:rsid w:val="00B63FCB"/>
    <w:rsid w:val="00B6405D"/>
    <w:rsid w:val="00B64200"/>
    <w:rsid w:val="00B647D6"/>
    <w:rsid w:val="00B6495C"/>
    <w:rsid w:val="00B6498C"/>
    <w:rsid w:val="00B64ED3"/>
    <w:rsid w:val="00B654A7"/>
    <w:rsid w:val="00B65A8F"/>
    <w:rsid w:val="00B65E44"/>
    <w:rsid w:val="00B6604A"/>
    <w:rsid w:val="00B66FE6"/>
    <w:rsid w:val="00B6714E"/>
    <w:rsid w:val="00B6763A"/>
    <w:rsid w:val="00B67B2B"/>
    <w:rsid w:val="00B70190"/>
    <w:rsid w:val="00B70BB5"/>
    <w:rsid w:val="00B70CC1"/>
    <w:rsid w:val="00B70ED4"/>
    <w:rsid w:val="00B70EDE"/>
    <w:rsid w:val="00B7135D"/>
    <w:rsid w:val="00B71463"/>
    <w:rsid w:val="00B7148A"/>
    <w:rsid w:val="00B71FD3"/>
    <w:rsid w:val="00B7206B"/>
    <w:rsid w:val="00B722CA"/>
    <w:rsid w:val="00B72792"/>
    <w:rsid w:val="00B727AD"/>
    <w:rsid w:val="00B729FA"/>
    <w:rsid w:val="00B72A6B"/>
    <w:rsid w:val="00B72C8D"/>
    <w:rsid w:val="00B732C7"/>
    <w:rsid w:val="00B73CA1"/>
    <w:rsid w:val="00B7423A"/>
    <w:rsid w:val="00B743A0"/>
    <w:rsid w:val="00B746C5"/>
    <w:rsid w:val="00B7478D"/>
    <w:rsid w:val="00B74A50"/>
    <w:rsid w:val="00B7520F"/>
    <w:rsid w:val="00B75B3C"/>
    <w:rsid w:val="00B7624E"/>
    <w:rsid w:val="00B762BB"/>
    <w:rsid w:val="00B76697"/>
    <w:rsid w:val="00B76774"/>
    <w:rsid w:val="00B770B7"/>
    <w:rsid w:val="00B777E1"/>
    <w:rsid w:val="00B7795B"/>
    <w:rsid w:val="00B77CFD"/>
    <w:rsid w:val="00B77FC3"/>
    <w:rsid w:val="00B808B0"/>
    <w:rsid w:val="00B80D2B"/>
    <w:rsid w:val="00B80E91"/>
    <w:rsid w:val="00B8160D"/>
    <w:rsid w:val="00B817F7"/>
    <w:rsid w:val="00B81A55"/>
    <w:rsid w:val="00B82C82"/>
    <w:rsid w:val="00B833E7"/>
    <w:rsid w:val="00B835B9"/>
    <w:rsid w:val="00B83610"/>
    <w:rsid w:val="00B841D9"/>
    <w:rsid w:val="00B84918"/>
    <w:rsid w:val="00B849E1"/>
    <w:rsid w:val="00B849F0"/>
    <w:rsid w:val="00B84A25"/>
    <w:rsid w:val="00B84AC8"/>
    <w:rsid w:val="00B84CDD"/>
    <w:rsid w:val="00B854A2"/>
    <w:rsid w:val="00B85C0E"/>
    <w:rsid w:val="00B85C5E"/>
    <w:rsid w:val="00B861D2"/>
    <w:rsid w:val="00B86205"/>
    <w:rsid w:val="00B868E1"/>
    <w:rsid w:val="00B86E03"/>
    <w:rsid w:val="00B86F98"/>
    <w:rsid w:val="00B87141"/>
    <w:rsid w:val="00B8765D"/>
    <w:rsid w:val="00B877A3"/>
    <w:rsid w:val="00B87AF5"/>
    <w:rsid w:val="00B87D38"/>
    <w:rsid w:val="00B90322"/>
    <w:rsid w:val="00B9057F"/>
    <w:rsid w:val="00B90813"/>
    <w:rsid w:val="00B90969"/>
    <w:rsid w:val="00B90CFB"/>
    <w:rsid w:val="00B90EC3"/>
    <w:rsid w:val="00B91470"/>
    <w:rsid w:val="00B92122"/>
    <w:rsid w:val="00B92292"/>
    <w:rsid w:val="00B92591"/>
    <w:rsid w:val="00B92FC1"/>
    <w:rsid w:val="00B9359B"/>
    <w:rsid w:val="00B93795"/>
    <w:rsid w:val="00B9475D"/>
    <w:rsid w:val="00B948D0"/>
    <w:rsid w:val="00B948E2"/>
    <w:rsid w:val="00B94A26"/>
    <w:rsid w:val="00B94B20"/>
    <w:rsid w:val="00B95A36"/>
    <w:rsid w:val="00B95DAC"/>
    <w:rsid w:val="00B95F8E"/>
    <w:rsid w:val="00B96821"/>
    <w:rsid w:val="00B96880"/>
    <w:rsid w:val="00B971DD"/>
    <w:rsid w:val="00B9727B"/>
    <w:rsid w:val="00B97436"/>
    <w:rsid w:val="00B9754F"/>
    <w:rsid w:val="00B9793C"/>
    <w:rsid w:val="00B97998"/>
    <w:rsid w:val="00B97F5D"/>
    <w:rsid w:val="00BA0393"/>
    <w:rsid w:val="00BA04A7"/>
    <w:rsid w:val="00BA11E1"/>
    <w:rsid w:val="00BA166F"/>
    <w:rsid w:val="00BA1831"/>
    <w:rsid w:val="00BA1E42"/>
    <w:rsid w:val="00BA1E52"/>
    <w:rsid w:val="00BA2F71"/>
    <w:rsid w:val="00BA33A0"/>
    <w:rsid w:val="00BA3A21"/>
    <w:rsid w:val="00BA3B8F"/>
    <w:rsid w:val="00BA3F83"/>
    <w:rsid w:val="00BA401A"/>
    <w:rsid w:val="00BA4705"/>
    <w:rsid w:val="00BA4B61"/>
    <w:rsid w:val="00BA51A0"/>
    <w:rsid w:val="00BA5B3A"/>
    <w:rsid w:val="00BA5C46"/>
    <w:rsid w:val="00BA5DF7"/>
    <w:rsid w:val="00BA6248"/>
    <w:rsid w:val="00BA6DE3"/>
    <w:rsid w:val="00BA72E8"/>
    <w:rsid w:val="00BA747F"/>
    <w:rsid w:val="00BA761C"/>
    <w:rsid w:val="00BB096C"/>
    <w:rsid w:val="00BB0AB4"/>
    <w:rsid w:val="00BB0D5D"/>
    <w:rsid w:val="00BB0DA1"/>
    <w:rsid w:val="00BB19D5"/>
    <w:rsid w:val="00BB1E8D"/>
    <w:rsid w:val="00BB22AC"/>
    <w:rsid w:val="00BB25B4"/>
    <w:rsid w:val="00BB31BC"/>
    <w:rsid w:val="00BB3706"/>
    <w:rsid w:val="00BB4121"/>
    <w:rsid w:val="00BB447E"/>
    <w:rsid w:val="00BB4A52"/>
    <w:rsid w:val="00BB5771"/>
    <w:rsid w:val="00BB5B9B"/>
    <w:rsid w:val="00BB5C4B"/>
    <w:rsid w:val="00BB6809"/>
    <w:rsid w:val="00BB6FCC"/>
    <w:rsid w:val="00BB7208"/>
    <w:rsid w:val="00BB730E"/>
    <w:rsid w:val="00BB7BAF"/>
    <w:rsid w:val="00BB7DB6"/>
    <w:rsid w:val="00BC00E5"/>
    <w:rsid w:val="00BC05E1"/>
    <w:rsid w:val="00BC1653"/>
    <w:rsid w:val="00BC1809"/>
    <w:rsid w:val="00BC1CA6"/>
    <w:rsid w:val="00BC1DE7"/>
    <w:rsid w:val="00BC1F3C"/>
    <w:rsid w:val="00BC267D"/>
    <w:rsid w:val="00BC2856"/>
    <w:rsid w:val="00BC28C3"/>
    <w:rsid w:val="00BC2C90"/>
    <w:rsid w:val="00BC3BAF"/>
    <w:rsid w:val="00BC4A67"/>
    <w:rsid w:val="00BC5055"/>
    <w:rsid w:val="00BC53FB"/>
    <w:rsid w:val="00BC579C"/>
    <w:rsid w:val="00BC581D"/>
    <w:rsid w:val="00BC697E"/>
    <w:rsid w:val="00BC6EA9"/>
    <w:rsid w:val="00BC6F04"/>
    <w:rsid w:val="00BC79FE"/>
    <w:rsid w:val="00BC7A64"/>
    <w:rsid w:val="00BC7A81"/>
    <w:rsid w:val="00BC7D69"/>
    <w:rsid w:val="00BD05B2"/>
    <w:rsid w:val="00BD060A"/>
    <w:rsid w:val="00BD0EE3"/>
    <w:rsid w:val="00BD1926"/>
    <w:rsid w:val="00BD22C7"/>
    <w:rsid w:val="00BD23F1"/>
    <w:rsid w:val="00BD258C"/>
    <w:rsid w:val="00BD25EF"/>
    <w:rsid w:val="00BD26F8"/>
    <w:rsid w:val="00BD291E"/>
    <w:rsid w:val="00BD2BA8"/>
    <w:rsid w:val="00BD382E"/>
    <w:rsid w:val="00BD38B5"/>
    <w:rsid w:val="00BD39DF"/>
    <w:rsid w:val="00BD479C"/>
    <w:rsid w:val="00BD4974"/>
    <w:rsid w:val="00BD4B08"/>
    <w:rsid w:val="00BD4B63"/>
    <w:rsid w:val="00BD530D"/>
    <w:rsid w:val="00BD542D"/>
    <w:rsid w:val="00BD54A2"/>
    <w:rsid w:val="00BD688B"/>
    <w:rsid w:val="00BD6C3D"/>
    <w:rsid w:val="00BD724C"/>
    <w:rsid w:val="00BD7C54"/>
    <w:rsid w:val="00BE0262"/>
    <w:rsid w:val="00BE069A"/>
    <w:rsid w:val="00BE0768"/>
    <w:rsid w:val="00BE09FF"/>
    <w:rsid w:val="00BE137D"/>
    <w:rsid w:val="00BE19A4"/>
    <w:rsid w:val="00BE1E41"/>
    <w:rsid w:val="00BE20CC"/>
    <w:rsid w:val="00BE22E4"/>
    <w:rsid w:val="00BE2842"/>
    <w:rsid w:val="00BE28F8"/>
    <w:rsid w:val="00BE2E14"/>
    <w:rsid w:val="00BE2E78"/>
    <w:rsid w:val="00BE2FDD"/>
    <w:rsid w:val="00BE321C"/>
    <w:rsid w:val="00BE3493"/>
    <w:rsid w:val="00BE35CB"/>
    <w:rsid w:val="00BE3AF3"/>
    <w:rsid w:val="00BE3E39"/>
    <w:rsid w:val="00BE4049"/>
    <w:rsid w:val="00BE4356"/>
    <w:rsid w:val="00BE4B2C"/>
    <w:rsid w:val="00BE502B"/>
    <w:rsid w:val="00BE5D41"/>
    <w:rsid w:val="00BE5DE4"/>
    <w:rsid w:val="00BE5EB5"/>
    <w:rsid w:val="00BE614F"/>
    <w:rsid w:val="00BE65CF"/>
    <w:rsid w:val="00BE685B"/>
    <w:rsid w:val="00BE6A18"/>
    <w:rsid w:val="00BE7576"/>
    <w:rsid w:val="00BE76E6"/>
    <w:rsid w:val="00BE7B29"/>
    <w:rsid w:val="00BE7F63"/>
    <w:rsid w:val="00BF00E4"/>
    <w:rsid w:val="00BF0BCB"/>
    <w:rsid w:val="00BF0E85"/>
    <w:rsid w:val="00BF12E1"/>
    <w:rsid w:val="00BF1478"/>
    <w:rsid w:val="00BF1D8D"/>
    <w:rsid w:val="00BF1DE6"/>
    <w:rsid w:val="00BF20B0"/>
    <w:rsid w:val="00BF27D3"/>
    <w:rsid w:val="00BF4152"/>
    <w:rsid w:val="00BF4803"/>
    <w:rsid w:val="00BF489B"/>
    <w:rsid w:val="00BF4F2E"/>
    <w:rsid w:val="00BF511E"/>
    <w:rsid w:val="00BF53E3"/>
    <w:rsid w:val="00BF551F"/>
    <w:rsid w:val="00BF5552"/>
    <w:rsid w:val="00BF5572"/>
    <w:rsid w:val="00BF5AFD"/>
    <w:rsid w:val="00BF5ED6"/>
    <w:rsid w:val="00BF652E"/>
    <w:rsid w:val="00BF6AC8"/>
    <w:rsid w:val="00BF6F82"/>
    <w:rsid w:val="00BF718E"/>
    <w:rsid w:val="00BF721D"/>
    <w:rsid w:val="00BF7484"/>
    <w:rsid w:val="00BF75DA"/>
    <w:rsid w:val="00C001BD"/>
    <w:rsid w:val="00C00A80"/>
    <w:rsid w:val="00C0108E"/>
    <w:rsid w:val="00C010F6"/>
    <w:rsid w:val="00C02379"/>
    <w:rsid w:val="00C024A3"/>
    <w:rsid w:val="00C0320A"/>
    <w:rsid w:val="00C03365"/>
    <w:rsid w:val="00C03696"/>
    <w:rsid w:val="00C036BE"/>
    <w:rsid w:val="00C037DD"/>
    <w:rsid w:val="00C040E9"/>
    <w:rsid w:val="00C0499E"/>
    <w:rsid w:val="00C0569D"/>
    <w:rsid w:val="00C05D3E"/>
    <w:rsid w:val="00C062DB"/>
    <w:rsid w:val="00C0661C"/>
    <w:rsid w:val="00C06C0C"/>
    <w:rsid w:val="00C0717E"/>
    <w:rsid w:val="00C071BC"/>
    <w:rsid w:val="00C071BE"/>
    <w:rsid w:val="00C07692"/>
    <w:rsid w:val="00C078E3"/>
    <w:rsid w:val="00C07CF8"/>
    <w:rsid w:val="00C07D1E"/>
    <w:rsid w:val="00C10031"/>
    <w:rsid w:val="00C1009C"/>
    <w:rsid w:val="00C10718"/>
    <w:rsid w:val="00C109A4"/>
    <w:rsid w:val="00C11276"/>
    <w:rsid w:val="00C11298"/>
    <w:rsid w:val="00C11891"/>
    <w:rsid w:val="00C11944"/>
    <w:rsid w:val="00C11B12"/>
    <w:rsid w:val="00C11B8E"/>
    <w:rsid w:val="00C11BD1"/>
    <w:rsid w:val="00C11C2E"/>
    <w:rsid w:val="00C12383"/>
    <w:rsid w:val="00C12720"/>
    <w:rsid w:val="00C132CF"/>
    <w:rsid w:val="00C13500"/>
    <w:rsid w:val="00C13594"/>
    <w:rsid w:val="00C137D5"/>
    <w:rsid w:val="00C13AD8"/>
    <w:rsid w:val="00C140C4"/>
    <w:rsid w:val="00C14CC2"/>
    <w:rsid w:val="00C1577B"/>
    <w:rsid w:val="00C16186"/>
    <w:rsid w:val="00C16259"/>
    <w:rsid w:val="00C16613"/>
    <w:rsid w:val="00C166C7"/>
    <w:rsid w:val="00C1691F"/>
    <w:rsid w:val="00C16AA1"/>
    <w:rsid w:val="00C16DFB"/>
    <w:rsid w:val="00C174A1"/>
    <w:rsid w:val="00C176D2"/>
    <w:rsid w:val="00C178F9"/>
    <w:rsid w:val="00C2022E"/>
    <w:rsid w:val="00C20971"/>
    <w:rsid w:val="00C20A9B"/>
    <w:rsid w:val="00C20BDA"/>
    <w:rsid w:val="00C20D23"/>
    <w:rsid w:val="00C21259"/>
    <w:rsid w:val="00C21424"/>
    <w:rsid w:val="00C215A5"/>
    <w:rsid w:val="00C22328"/>
    <w:rsid w:val="00C2240D"/>
    <w:rsid w:val="00C22A8C"/>
    <w:rsid w:val="00C22EB0"/>
    <w:rsid w:val="00C22F98"/>
    <w:rsid w:val="00C23618"/>
    <w:rsid w:val="00C23772"/>
    <w:rsid w:val="00C23928"/>
    <w:rsid w:val="00C23A4A"/>
    <w:rsid w:val="00C23D85"/>
    <w:rsid w:val="00C23EE4"/>
    <w:rsid w:val="00C24838"/>
    <w:rsid w:val="00C252AC"/>
    <w:rsid w:val="00C26282"/>
    <w:rsid w:val="00C26476"/>
    <w:rsid w:val="00C26DD2"/>
    <w:rsid w:val="00C26EE6"/>
    <w:rsid w:val="00C27648"/>
    <w:rsid w:val="00C27CB2"/>
    <w:rsid w:val="00C27DB1"/>
    <w:rsid w:val="00C27E00"/>
    <w:rsid w:val="00C27EEA"/>
    <w:rsid w:val="00C301B0"/>
    <w:rsid w:val="00C30AC3"/>
    <w:rsid w:val="00C30B4B"/>
    <w:rsid w:val="00C3141A"/>
    <w:rsid w:val="00C322BA"/>
    <w:rsid w:val="00C328BC"/>
    <w:rsid w:val="00C329C6"/>
    <w:rsid w:val="00C32C4A"/>
    <w:rsid w:val="00C332FB"/>
    <w:rsid w:val="00C33B08"/>
    <w:rsid w:val="00C33B91"/>
    <w:rsid w:val="00C34161"/>
    <w:rsid w:val="00C348F5"/>
    <w:rsid w:val="00C34A99"/>
    <w:rsid w:val="00C34DC3"/>
    <w:rsid w:val="00C359A5"/>
    <w:rsid w:val="00C35BE9"/>
    <w:rsid w:val="00C35C8C"/>
    <w:rsid w:val="00C35FFA"/>
    <w:rsid w:val="00C361DD"/>
    <w:rsid w:val="00C36449"/>
    <w:rsid w:val="00C36712"/>
    <w:rsid w:val="00C36DA8"/>
    <w:rsid w:val="00C37527"/>
    <w:rsid w:val="00C3769F"/>
    <w:rsid w:val="00C378DB"/>
    <w:rsid w:val="00C406BB"/>
    <w:rsid w:val="00C40936"/>
    <w:rsid w:val="00C40B68"/>
    <w:rsid w:val="00C41FB1"/>
    <w:rsid w:val="00C41FD2"/>
    <w:rsid w:val="00C4207B"/>
    <w:rsid w:val="00C421A0"/>
    <w:rsid w:val="00C42446"/>
    <w:rsid w:val="00C42F9C"/>
    <w:rsid w:val="00C43767"/>
    <w:rsid w:val="00C438AC"/>
    <w:rsid w:val="00C43A62"/>
    <w:rsid w:val="00C43A9D"/>
    <w:rsid w:val="00C43B66"/>
    <w:rsid w:val="00C44002"/>
    <w:rsid w:val="00C447D6"/>
    <w:rsid w:val="00C44B27"/>
    <w:rsid w:val="00C44C38"/>
    <w:rsid w:val="00C44D1B"/>
    <w:rsid w:val="00C4504B"/>
    <w:rsid w:val="00C45138"/>
    <w:rsid w:val="00C45B59"/>
    <w:rsid w:val="00C460F7"/>
    <w:rsid w:val="00C46D57"/>
    <w:rsid w:val="00C47690"/>
    <w:rsid w:val="00C47A01"/>
    <w:rsid w:val="00C47CE6"/>
    <w:rsid w:val="00C47F07"/>
    <w:rsid w:val="00C502CA"/>
    <w:rsid w:val="00C50827"/>
    <w:rsid w:val="00C50985"/>
    <w:rsid w:val="00C50FDA"/>
    <w:rsid w:val="00C5118E"/>
    <w:rsid w:val="00C51DF5"/>
    <w:rsid w:val="00C52C77"/>
    <w:rsid w:val="00C52DCA"/>
    <w:rsid w:val="00C53121"/>
    <w:rsid w:val="00C53182"/>
    <w:rsid w:val="00C536AF"/>
    <w:rsid w:val="00C53A00"/>
    <w:rsid w:val="00C53B7B"/>
    <w:rsid w:val="00C53C58"/>
    <w:rsid w:val="00C54104"/>
    <w:rsid w:val="00C54128"/>
    <w:rsid w:val="00C5472C"/>
    <w:rsid w:val="00C54FA0"/>
    <w:rsid w:val="00C55E14"/>
    <w:rsid w:val="00C5601D"/>
    <w:rsid w:val="00C563C3"/>
    <w:rsid w:val="00C56558"/>
    <w:rsid w:val="00C565BA"/>
    <w:rsid w:val="00C56B44"/>
    <w:rsid w:val="00C56B55"/>
    <w:rsid w:val="00C56E7C"/>
    <w:rsid w:val="00C577D6"/>
    <w:rsid w:val="00C602D1"/>
    <w:rsid w:val="00C60C62"/>
    <w:rsid w:val="00C60F7E"/>
    <w:rsid w:val="00C61030"/>
    <w:rsid w:val="00C619AA"/>
    <w:rsid w:val="00C61ABF"/>
    <w:rsid w:val="00C61AF5"/>
    <w:rsid w:val="00C61F64"/>
    <w:rsid w:val="00C6224F"/>
    <w:rsid w:val="00C627C7"/>
    <w:rsid w:val="00C6356C"/>
    <w:rsid w:val="00C63C43"/>
    <w:rsid w:val="00C63E8A"/>
    <w:rsid w:val="00C6460B"/>
    <w:rsid w:val="00C646AC"/>
    <w:rsid w:val="00C64FAC"/>
    <w:rsid w:val="00C6599D"/>
    <w:rsid w:val="00C65DDE"/>
    <w:rsid w:val="00C65F41"/>
    <w:rsid w:val="00C66400"/>
    <w:rsid w:val="00C6649D"/>
    <w:rsid w:val="00C666BF"/>
    <w:rsid w:val="00C66790"/>
    <w:rsid w:val="00C6752A"/>
    <w:rsid w:val="00C70303"/>
    <w:rsid w:val="00C70F7A"/>
    <w:rsid w:val="00C714CC"/>
    <w:rsid w:val="00C71C8C"/>
    <w:rsid w:val="00C71CE8"/>
    <w:rsid w:val="00C71DA9"/>
    <w:rsid w:val="00C72678"/>
    <w:rsid w:val="00C72EC6"/>
    <w:rsid w:val="00C73A0B"/>
    <w:rsid w:val="00C73B20"/>
    <w:rsid w:val="00C73B9E"/>
    <w:rsid w:val="00C7426A"/>
    <w:rsid w:val="00C74342"/>
    <w:rsid w:val="00C74416"/>
    <w:rsid w:val="00C74C0C"/>
    <w:rsid w:val="00C75167"/>
    <w:rsid w:val="00C75F77"/>
    <w:rsid w:val="00C76467"/>
    <w:rsid w:val="00C76BC8"/>
    <w:rsid w:val="00C76D92"/>
    <w:rsid w:val="00C76EAA"/>
    <w:rsid w:val="00C7700F"/>
    <w:rsid w:val="00C7730A"/>
    <w:rsid w:val="00C779D9"/>
    <w:rsid w:val="00C77D1E"/>
    <w:rsid w:val="00C80483"/>
    <w:rsid w:val="00C80A0B"/>
    <w:rsid w:val="00C80DB5"/>
    <w:rsid w:val="00C80E9D"/>
    <w:rsid w:val="00C81820"/>
    <w:rsid w:val="00C81D57"/>
    <w:rsid w:val="00C81E2D"/>
    <w:rsid w:val="00C81FD5"/>
    <w:rsid w:val="00C8278A"/>
    <w:rsid w:val="00C827A6"/>
    <w:rsid w:val="00C828BB"/>
    <w:rsid w:val="00C82EE5"/>
    <w:rsid w:val="00C8372F"/>
    <w:rsid w:val="00C83BB4"/>
    <w:rsid w:val="00C8440E"/>
    <w:rsid w:val="00C84A24"/>
    <w:rsid w:val="00C85366"/>
    <w:rsid w:val="00C856BE"/>
    <w:rsid w:val="00C861B0"/>
    <w:rsid w:val="00C8622D"/>
    <w:rsid w:val="00C8646F"/>
    <w:rsid w:val="00C86598"/>
    <w:rsid w:val="00C86A40"/>
    <w:rsid w:val="00C86EE5"/>
    <w:rsid w:val="00C90397"/>
    <w:rsid w:val="00C90E28"/>
    <w:rsid w:val="00C912CE"/>
    <w:rsid w:val="00C91BB8"/>
    <w:rsid w:val="00C91DBB"/>
    <w:rsid w:val="00C91E8C"/>
    <w:rsid w:val="00C91F1A"/>
    <w:rsid w:val="00C92058"/>
    <w:rsid w:val="00C92213"/>
    <w:rsid w:val="00C9232C"/>
    <w:rsid w:val="00C92477"/>
    <w:rsid w:val="00C927B3"/>
    <w:rsid w:val="00C92858"/>
    <w:rsid w:val="00C928D0"/>
    <w:rsid w:val="00C92CD4"/>
    <w:rsid w:val="00C92E9A"/>
    <w:rsid w:val="00C93261"/>
    <w:rsid w:val="00C9341F"/>
    <w:rsid w:val="00C936B4"/>
    <w:rsid w:val="00C947E2"/>
    <w:rsid w:val="00C94B25"/>
    <w:rsid w:val="00C94C01"/>
    <w:rsid w:val="00C94DA6"/>
    <w:rsid w:val="00C953CD"/>
    <w:rsid w:val="00C9571E"/>
    <w:rsid w:val="00C95B32"/>
    <w:rsid w:val="00C964C9"/>
    <w:rsid w:val="00C96603"/>
    <w:rsid w:val="00C96F40"/>
    <w:rsid w:val="00C975E1"/>
    <w:rsid w:val="00C97765"/>
    <w:rsid w:val="00C97E9E"/>
    <w:rsid w:val="00CA05D7"/>
    <w:rsid w:val="00CA0E0B"/>
    <w:rsid w:val="00CA0EB2"/>
    <w:rsid w:val="00CA159E"/>
    <w:rsid w:val="00CA183A"/>
    <w:rsid w:val="00CA2472"/>
    <w:rsid w:val="00CA2F12"/>
    <w:rsid w:val="00CA2F86"/>
    <w:rsid w:val="00CA34CD"/>
    <w:rsid w:val="00CA3544"/>
    <w:rsid w:val="00CA3C7B"/>
    <w:rsid w:val="00CA3E8F"/>
    <w:rsid w:val="00CA431D"/>
    <w:rsid w:val="00CA439A"/>
    <w:rsid w:val="00CA44D4"/>
    <w:rsid w:val="00CA46B8"/>
    <w:rsid w:val="00CA51C8"/>
    <w:rsid w:val="00CA527F"/>
    <w:rsid w:val="00CA564F"/>
    <w:rsid w:val="00CA6589"/>
    <w:rsid w:val="00CA7123"/>
    <w:rsid w:val="00CA7941"/>
    <w:rsid w:val="00CA7A45"/>
    <w:rsid w:val="00CA7BB4"/>
    <w:rsid w:val="00CA7F68"/>
    <w:rsid w:val="00CB0838"/>
    <w:rsid w:val="00CB0971"/>
    <w:rsid w:val="00CB0A61"/>
    <w:rsid w:val="00CB2B77"/>
    <w:rsid w:val="00CB2ED8"/>
    <w:rsid w:val="00CB307A"/>
    <w:rsid w:val="00CB31A1"/>
    <w:rsid w:val="00CB48A9"/>
    <w:rsid w:val="00CB4C93"/>
    <w:rsid w:val="00CB4CEB"/>
    <w:rsid w:val="00CB4E8B"/>
    <w:rsid w:val="00CB5F5C"/>
    <w:rsid w:val="00CB6712"/>
    <w:rsid w:val="00CB774B"/>
    <w:rsid w:val="00CB77D3"/>
    <w:rsid w:val="00CB788E"/>
    <w:rsid w:val="00CC05C2"/>
    <w:rsid w:val="00CC08A3"/>
    <w:rsid w:val="00CC0CDB"/>
    <w:rsid w:val="00CC12E8"/>
    <w:rsid w:val="00CC1517"/>
    <w:rsid w:val="00CC17A7"/>
    <w:rsid w:val="00CC1D2F"/>
    <w:rsid w:val="00CC1F58"/>
    <w:rsid w:val="00CC21F9"/>
    <w:rsid w:val="00CC2483"/>
    <w:rsid w:val="00CC2576"/>
    <w:rsid w:val="00CC3127"/>
    <w:rsid w:val="00CC37CA"/>
    <w:rsid w:val="00CC3EC3"/>
    <w:rsid w:val="00CC46AE"/>
    <w:rsid w:val="00CC5568"/>
    <w:rsid w:val="00CC5C73"/>
    <w:rsid w:val="00CC5F1D"/>
    <w:rsid w:val="00CC6077"/>
    <w:rsid w:val="00CC7040"/>
    <w:rsid w:val="00CC715D"/>
    <w:rsid w:val="00CC73E7"/>
    <w:rsid w:val="00CC74E0"/>
    <w:rsid w:val="00CC7594"/>
    <w:rsid w:val="00CC79A2"/>
    <w:rsid w:val="00CC7FB3"/>
    <w:rsid w:val="00CD0C89"/>
    <w:rsid w:val="00CD1076"/>
    <w:rsid w:val="00CD1527"/>
    <w:rsid w:val="00CD17E1"/>
    <w:rsid w:val="00CD19EB"/>
    <w:rsid w:val="00CD1B65"/>
    <w:rsid w:val="00CD20A1"/>
    <w:rsid w:val="00CD2DA4"/>
    <w:rsid w:val="00CD32D6"/>
    <w:rsid w:val="00CD3601"/>
    <w:rsid w:val="00CD3C78"/>
    <w:rsid w:val="00CD3D8C"/>
    <w:rsid w:val="00CD4079"/>
    <w:rsid w:val="00CD40FA"/>
    <w:rsid w:val="00CD434D"/>
    <w:rsid w:val="00CD44EE"/>
    <w:rsid w:val="00CD4989"/>
    <w:rsid w:val="00CD4F7E"/>
    <w:rsid w:val="00CD5445"/>
    <w:rsid w:val="00CD5B53"/>
    <w:rsid w:val="00CD6F22"/>
    <w:rsid w:val="00CD7636"/>
    <w:rsid w:val="00CD79D1"/>
    <w:rsid w:val="00CD7DDB"/>
    <w:rsid w:val="00CD7F5F"/>
    <w:rsid w:val="00CE0F2A"/>
    <w:rsid w:val="00CE1315"/>
    <w:rsid w:val="00CE15B2"/>
    <w:rsid w:val="00CE164F"/>
    <w:rsid w:val="00CE1A88"/>
    <w:rsid w:val="00CE326A"/>
    <w:rsid w:val="00CE3844"/>
    <w:rsid w:val="00CE3BDF"/>
    <w:rsid w:val="00CE3D90"/>
    <w:rsid w:val="00CE3E6A"/>
    <w:rsid w:val="00CE4078"/>
    <w:rsid w:val="00CE457C"/>
    <w:rsid w:val="00CE4A0B"/>
    <w:rsid w:val="00CE4C6B"/>
    <w:rsid w:val="00CE5856"/>
    <w:rsid w:val="00CE669A"/>
    <w:rsid w:val="00CE6A34"/>
    <w:rsid w:val="00CE707E"/>
    <w:rsid w:val="00CE70CE"/>
    <w:rsid w:val="00CE72D1"/>
    <w:rsid w:val="00CE73A1"/>
    <w:rsid w:val="00CE74EE"/>
    <w:rsid w:val="00CE769A"/>
    <w:rsid w:val="00CE785B"/>
    <w:rsid w:val="00CE7A36"/>
    <w:rsid w:val="00CE7B27"/>
    <w:rsid w:val="00CF0883"/>
    <w:rsid w:val="00CF0CD2"/>
    <w:rsid w:val="00CF10AB"/>
    <w:rsid w:val="00CF12CE"/>
    <w:rsid w:val="00CF13A0"/>
    <w:rsid w:val="00CF1892"/>
    <w:rsid w:val="00CF1DD1"/>
    <w:rsid w:val="00CF1F6E"/>
    <w:rsid w:val="00CF2182"/>
    <w:rsid w:val="00CF233F"/>
    <w:rsid w:val="00CF2717"/>
    <w:rsid w:val="00CF30C5"/>
    <w:rsid w:val="00CF33C6"/>
    <w:rsid w:val="00CF3827"/>
    <w:rsid w:val="00CF4290"/>
    <w:rsid w:val="00CF4525"/>
    <w:rsid w:val="00CF4A1F"/>
    <w:rsid w:val="00CF4BE4"/>
    <w:rsid w:val="00CF5039"/>
    <w:rsid w:val="00CF5672"/>
    <w:rsid w:val="00CF5C60"/>
    <w:rsid w:val="00CF622E"/>
    <w:rsid w:val="00CF6249"/>
    <w:rsid w:val="00CF63C1"/>
    <w:rsid w:val="00CF653B"/>
    <w:rsid w:val="00CF69E0"/>
    <w:rsid w:val="00CF6EDC"/>
    <w:rsid w:val="00CF7226"/>
    <w:rsid w:val="00CF756B"/>
    <w:rsid w:val="00CF7A56"/>
    <w:rsid w:val="00CF7E5F"/>
    <w:rsid w:val="00D000CB"/>
    <w:rsid w:val="00D00303"/>
    <w:rsid w:val="00D011B0"/>
    <w:rsid w:val="00D01206"/>
    <w:rsid w:val="00D0120D"/>
    <w:rsid w:val="00D016BA"/>
    <w:rsid w:val="00D0179A"/>
    <w:rsid w:val="00D01C5A"/>
    <w:rsid w:val="00D01F0C"/>
    <w:rsid w:val="00D02313"/>
    <w:rsid w:val="00D027E0"/>
    <w:rsid w:val="00D031DC"/>
    <w:rsid w:val="00D03451"/>
    <w:rsid w:val="00D0359C"/>
    <w:rsid w:val="00D03946"/>
    <w:rsid w:val="00D03CB7"/>
    <w:rsid w:val="00D04158"/>
    <w:rsid w:val="00D0431E"/>
    <w:rsid w:val="00D049AC"/>
    <w:rsid w:val="00D04CDF"/>
    <w:rsid w:val="00D04D28"/>
    <w:rsid w:val="00D04F26"/>
    <w:rsid w:val="00D05341"/>
    <w:rsid w:val="00D05818"/>
    <w:rsid w:val="00D05A82"/>
    <w:rsid w:val="00D062BB"/>
    <w:rsid w:val="00D06376"/>
    <w:rsid w:val="00D06538"/>
    <w:rsid w:val="00D06CF4"/>
    <w:rsid w:val="00D06FDC"/>
    <w:rsid w:val="00D074D8"/>
    <w:rsid w:val="00D07862"/>
    <w:rsid w:val="00D0788F"/>
    <w:rsid w:val="00D10182"/>
    <w:rsid w:val="00D11618"/>
    <w:rsid w:val="00D11D58"/>
    <w:rsid w:val="00D12168"/>
    <w:rsid w:val="00D1245F"/>
    <w:rsid w:val="00D1285D"/>
    <w:rsid w:val="00D12A6F"/>
    <w:rsid w:val="00D12E22"/>
    <w:rsid w:val="00D130EC"/>
    <w:rsid w:val="00D13346"/>
    <w:rsid w:val="00D1334E"/>
    <w:rsid w:val="00D1366A"/>
    <w:rsid w:val="00D1372F"/>
    <w:rsid w:val="00D13969"/>
    <w:rsid w:val="00D14C5B"/>
    <w:rsid w:val="00D14E14"/>
    <w:rsid w:val="00D15154"/>
    <w:rsid w:val="00D15590"/>
    <w:rsid w:val="00D15997"/>
    <w:rsid w:val="00D1601A"/>
    <w:rsid w:val="00D16023"/>
    <w:rsid w:val="00D161BA"/>
    <w:rsid w:val="00D16ACF"/>
    <w:rsid w:val="00D170C9"/>
    <w:rsid w:val="00D1737A"/>
    <w:rsid w:val="00D17B7F"/>
    <w:rsid w:val="00D17E76"/>
    <w:rsid w:val="00D20B0B"/>
    <w:rsid w:val="00D20E63"/>
    <w:rsid w:val="00D21557"/>
    <w:rsid w:val="00D217E7"/>
    <w:rsid w:val="00D21D84"/>
    <w:rsid w:val="00D22107"/>
    <w:rsid w:val="00D2253D"/>
    <w:rsid w:val="00D22585"/>
    <w:rsid w:val="00D22841"/>
    <w:rsid w:val="00D229DF"/>
    <w:rsid w:val="00D22A8E"/>
    <w:rsid w:val="00D23AF7"/>
    <w:rsid w:val="00D24027"/>
    <w:rsid w:val="00D24525"/>
    <w:rsid w:val="00D24DA0"/>
    <w:rsid w:val="00D260F3"/>
    <w:rsid w:val="00D2611E"/>
    <w:rsid w:val="00D264D1"/>
    <w:rsid w:val="00D265BD"/>
    <w:rsid w:val="00D2748B"/>
    <w:rsid w:val="00D275A5"/>
    <w:rsid w:val="00D27FB7"/>
    <w:rsid w:val="00D30127"/>
    <w:rsid w:val="00D3058D"/>
    <w:rsid w:val="00D30722"/>
    <w:rsid w:val="00D30CB9"/>
    <w:rsid w:val="00D31C27"/>
    <w:rsid w:val="00D31CA1"/>
    <w:rsid w:val="00D3245D"/>
    <w:rsid w:val="00D32669"/>
    <w:rsid w:val="00D332BE"/>
    <w:rsid w:val="00D334F2"/>
    <w:rsid w:val="00D33A7C"/>
    <w:rsid w:val="00D33D64"/>
    <w:rsid w:val="00D33F09"/>
    <w:rsid w:val="00D34069"/>
    <w:rsid w:val="00D34754"/>
    <w:rsid w:val="00D34989"/>
    <w:rsid w:val="00D349CB"/>
    <w:rsid w:val="00D34AEB"/>
    <w:rsid w:val="00D34EAE"/>
    <w:rsid w:val="00D34F3C"/>
    <w:rsid w:val="00D35083"/>
    <w:rsid w:val="00D35181"/>
    <w:rsid w:val="00D3521E"/>
    <w:rsid w:val="00D357E8"/>
    <w:rsid w:val="00D3604F"/>
    <w:rsid w:val="00D36234"/>
    <w:rsid w:val="00D3676C"/>
    <w:rsid w:val="00D36C04"/>
    <w:rsid w:val="00D36DF6"/>
    <w:rsid w:val="00D36E56"/>
    <w:rsid w:val="00D36EE1"/>
    <w:rsid w:val="00D3711F"/>
    <w:rsid w:val="00D3723B"/>
    <w:rsid w:val="00D37785"/>
    <w:rsid w:val="00D37952"/>
    <w:rsid w:val="00D3798C"/>
    <w:rsid w:val="00D37A8C"/>
    <w:rsid w:val="00D404D2"/>
    <w:rsid w:val="00D4050C"/>
    <w:rsid w:val="00D40688"/>
    <w:rsid w:val="00D40B9E"/>
    <w:rsid w:val="00D40D20"/>
    <w:rsid w:val="00D40F50"/>
    <w:rsid w:val="00D41021"/>
    <w:rsid w:val="00D4130B"/>
    <w:rsid w:val="00D41362"/>
    <w:rsid w:val="00D41BD4"/>
    <w:rsid w:val="00D424F1"/>
    <w:rsid w:val="00D430DE"/>
    <w:rsid w:val="00D4323A"/>
    <w:rsid w:val="00D439FF"/>
    <w:rsid w:val="00D43DDE"/>
    <w:rsid w:val="00D43E1B"/>
    <w:rsid w:val="00D44136"/>
    <w:rsid w:val="00D44347"/>
    <w:rsid w:val="00D44426"/>
    <w:rsid w:val="00D445B0"/>
    <w:rsid w:val="00D44D9B"/>
    <w:rsid w:val="00D45FAD"/>
    <w:rsid w:val="00D46F03"/>
    <w:rsid w:val="00D46FB5"/>
    <w:rsid w:val="00D473F7"/>
    <w:rsid w:val="00D47FAA"/>
    <w:rsid w:val="00D50463"/>
    <w:rsid w:val="00D50620"/>
    <w:rsid w:val="00D50C81"/>
    <w:rsid w:val="00D510DB"/>
    <w:rsid w:val="00D512F4"/>
    <w:rsid w:val="00D5176A"/>
    <w:rsid w:val="00D51B94"/>
    <w:rsid w:val="00D51C69"/>
    <w:rsid w:val="00D52545"/>
    <w:rsid w:val="00D53D2A"/>
    <w:rsid w:val="00D5401E"/>
    <w:rsid w:val="00D545C8"/>
    <w:rsid w:val="00D54984"/>
    <w:rsid w:val="00D54C14"/>
    <w:rsid w:val="00D54ECA"/>
    <w:rsid w:val="00D5521B"/>
    <w:rsid w:val="00D5528B"/>
    <w:rsid w:val="00D557E1"/>
    <w:rsid w:val="00D55D99"/>
    <w:rsid w:val="00D561C4"/>
    <w:rsid w:val="00D5631B"/>
    <w:rsid w:val="00D5649B"/>
    <w:rsid w:val="00D56608"/>
    <w:rsid w:val="00D5678C"/>
    <w:rsid w:val="00D5683C"/>
    <w:rsid w:val="00D572C9"/>
    <w:rsid w:val="00D575C4"/>
    <w:rsid w:val="00D57973"/>
    <w:rsid w:val="00D57A85"/>
    <w:rsid w:val="00D57AC3"/>
    <w:rsid w:val="00D57F39"/>
    <w:rsid w:val="00D60496"/>
    <w:rsid w:val="00D604C7"/>
    <w:rsid w:val="00D60B6B"/>
    <w:rsid w:val="00D60C11"/>
    <w:rsid w:val="00D61635"/>
    <w:rsid w:val="00D61B36"/>
    <w:rsid w:val="00D61CE8"/>
    <w:rsid w:val="00D6244C"/>
    <w:rsid w:val="00D62BEA"/>
    <w:rsid w:val="00D633B7"/>
    <w:rsid w:val="00D63888"/>
    <w:rsid w:val="00D63978"/>
    <w:rsid w:val="00D63A8D"/>
    <w:rsid w:val="00D63C97"/>
    <w:rsid w:val="00D63FBA"/>
    <w:rsid w:val="00D6456D"/>
    <w:rsid w:val="00D646D4"/>
    <w:rsid w:val="00D64AB9"/>
    <w:rsid w:val="00D64C3A"/>
    <w:rsid w:val="00D65125"/>
    <w:rsid w:val="00D65261"/>
    <w:rsid w:val="00D652F8"/>
    <w:rsid w:val="00D65CD5"/>
    <w:rsid w:val="00D66201"/>
    <w:rsid w:val="00D6627D"/>
    <w:rsid w:val="00D66500"/>
    <w:rsid w:val="00D66D36"/>
    <w:rsid w:val="00D66D83"/>
    <w:rsid w:val="00D67056"/>
    <w:rsid w:val="00D672CC"/>
    <w:rsid w:val="00D7071B"/>
    <w:rsid w:val="00D71433"/>
    <w:rsid w:val="00D7162C"/>
    <w:rsid w:val="00D722D7"/>
    <w:rsid w:val="00D726AF"/>
    <w:rsid w:val="00D7274F"/>
    <w:rsid w:val="00D727FC"/>
    <w:rsid w:val="00D72CF5"/>
    <w:rsid w:val="00D72D14"/>
    <w:rsid w:val="00D72D1F"/>
    <w:rsid w:val="00D730EA"/>
    <w:rsid w:val="00D735F9"/>
    <w:rsid w:val="00D7380C"/>
    <w:rsid w:val="00D742C1"/>
    <w:rsid w:val="00D74BB0"/>
    <w:rsid w:val="00D74BD0"/>
    <w:rsid w:val="00D750BE"/>
    <w:rsid w:val="00D75146"/>
    <w:rsid w:val="00D75FFF"/>
    <w:rsid w:val="00D76AF9"/>
    <w:rsid w:val="00D77280"/>
    <w:rsid w:val="00D77827"/>
    <w:rsid w:val="00D77A5B"/>
    <w:rsid w:val="00D77C5D"/>
    <w:rsid w:val="00D77E4D"/>
    <w:rsid w:val="00D802E6"/>
    <w:rsid w:val="00D80CC2"/>
    <w:rsid w:val="00D80F37"/>
    <w:rsid w:val="00D81023"/>
    <w:rsid w:val="00D817DF"/>
    <w:rsid w:val="00D8238F"/>
    <w:rsid w:val="00D828A8"/>
    <w:rsid w:val="00D835C0"/>
    <w:rsid w:val="00D83686"/>
    <w:rsid w:val="00D843A1"/>
    <w:rsid w:val="00D84853"/>
    <w:rsid w:val="00D85807"/>
    <w:rsid w:val="00D85871"/>
    <w:rsid w:val="00D85C60"/>
    <w:rsid w:val="00D86074"/>
    <w:rsid w:val="00D860FB"/>
    <w:rsid w:val="00D86188"/>
    <w:rsid w:val="00D8626F"/>
    <w:rsid w:val="00D865DB"/>
    <w:rsid w:val="00D8698E"/>
    <w:rsid w:val="00D869F5"/>
    <w:rsid w:val="00D86CDF"/>
    <w:rsid w:val="00D87D3B"/>
    <w:rsid w:val="00D87D67"/>
    <w:rsid w:val="00D901B0"/>
    <w:rsid w:val="00D9054F"/>
    <w:rsid w:val="00D90774"/>
    <w:rsid w:val="00D90BA6"/>
    <w:rsid w:val="00D90E33"/>
    <w:rsid w:val="00D90E8E"/>
    <w:rsid w:val="00D91211"/>
    <w:rsid w:val="00D913FC"/>
    <w:rsid w:val="00D9143E"/>
    <w:rsid w:val="00D91679"/>
    <w:rsid w:val="00D919E4"/>
    <w:rsid w:val="00D92275"/>
    <w:rsid w:val="00D925D5"/>
    <w:rsid w:val="00D9279E"/>
    <w:rsid w:val="00D92B02"/>
    <w:rsid w:val="00D92CC0"/>
    <w:rsid w:val="00D92ED6"/>
    <w:rsid w:val="00D93087"/>
    <w:rsid w:val="00D9321C"/>
    <w:rsid w:val="00D934EF"/>
    <w:rsid w:val="00D93D11"/>
    <w:rsid w:val="00D94649"/>
    <w:rsid w:val="00D94843"/>
    <w:rsid w:val="00D948ED"/>
    <w:rsid w:val="00D94DEF"/>
    <w:rsid w:val="00D9536E"/>
    <w:rsid w:val="00D9621F"/>
    <w:rsid w:val="00D9623D"/>
    <w:rsid w:val="00D96256"/>
    <w:rsid w:val="00D96BD7"/>
    <w:rsid w:val="00D973A8"/>
    <w:rsid w:val="00D97AE9"/>
    <w:rsid w:val="00DA00F5"/>
    <w:rsid w:val="00DA0704"/>
    <w:rsid w:val="00DA0802"/>
    <w:rsid w:val="00DA0994"/>
    <w:rsid w:val="00DA0B49"/>
    <w:rsid w:val="00DA114A"/>
    <w:rsid w:val="00DA1285"/>
    <w:rsid w:val="00DA1919"/>
    <w:rsid w:val="00DA1A2C"/>
    <w:rsid w:val="00DA1A49"/>
    <w:rsid w:val="00DA22F0"/>
    <w:rsid w:val="00DA298E"/>
    <w:rsid w:val="00DA2A75"/>
    <w:rsid w:val="00DA2DAA"/>
    <w:rsid w:val="00DA2EB1"/>
    <w:rsid w:val="00DA33B2"/>
    <w:rsid w:val="00DA3C6C"/>
    <w:rsid w:val="00DA45A1"/>
    <w:rsid w:val="00DA4762"/>
    <w:rsid w:val="00DA47E4"/>
    <w:rsid w:val="00DA4A6E"/>
    <w:rsid w:val="00DA4FD4"/>
    <w:rsid w:val="00DA5669"/>
    <w:rsid w:val="00DA612D"/>
    <w:rsid w:val="00DA72EE"/>
    <w:rsid w:val="00DA738D"/>
    <w:rsid w:val="00DA7A3B"/>
    <w:rsid w:val="00DA7C0E"/>
    <w:rsid w:val="00DB05FC"/>
    <w:rsid w:val="00DB12AA"/>
    <w:rsid w:val="00DB142C"/>
    <w:rsid w:val="00DB1C95"/>
    <w:rsid w:val="00DB1E70"/>
    <w:rsid w:val="00DB207D"/>
    <w:rsid w:val="00DB2128"/>
    <w:rsid w:val="00DB21CE"/>
    <w:rsid w:val="00DB22FC"/>
    <w:rsid w:val="00DB25DA"/>
    <w:rsid w:val="00DB2D3F"/>
    <w:rsid w:val="00DB2EF3"/>
    <w:rsid w:val="00DB31A7"/>
    <w:rsid w:val="00DB3399"/>
    <w:rsid w:val="00DB4136"/>
    <w:rsid w:val="00DB50D1"/>
    <w:rsid w:val="00DB50FB"/>
    <w:rsid w:val="00DB510C"/>
    <w:rsid w:val="00DB56B7"/>
    <w:rsid w:val="00DB5AE0"/>
    <w:rsid w:val="00DB5CF9"/>
    <w:rsid w:val="00DB5EA7"/>
    <w:rsid w:val="00DB63C3"/>
    <w:rsid w:val="00DB646C"/>
    <w:rsid w:val="00DB68D7"/>
    <w:rsid w:val="00DB69DF"/>
    <w:rsid w:val="00DB7180"/>
    <w:rsid w:val="00DB7478"/>
    <w:rsid w:val="00DB777D"/>
    <w:rsid w:val="00DB7A3A"/>
    <w:rsid w:val="00DC0C9D"/>
    <w:rsid w:val="00DC0DB6"/>
    <w:rsid w:val="00DC101B"/>
    <w:rsid w:val="00DC13E2"/>
    <w:rsid w:val="00DC1610"/>
    <w:rsid w:val="00DC161B"/>
    <w:rsid w:val="00DC171D"/>
    <w:rsid w:val="00DC1A58"/>
    <w:rsid w:val="00DC1AEB"/>
    <w:rsid w:val="00DC1DE0"/>
    <w:rsid w:val="00DC1F78"/>
    <w:rsid w:val="00DC2048"/>
    <w:rsid w:val="00DC2FC4"/>
    <w:rsid w:val="00DC3367"/>
    <w:rsid w:val="00DC41A6"/>
    <w:rsid w:val="00DC4551"/>
    <w:rsid w:val="00DC4824"/>
    <w:rsid w:val="00DC5365"/>
    <w:rsid w:val="00DC54CC"/>
    <w:rsid w:val="00DC576E"/>
    <w:rsid w:val="00DC6482"/>
    <w:rsid w:val="00DC6751"/>
    <w:rsid w:val="00DC6A0F"/>
    <w:rsid w:val="00DC6B1F"/>
    <w:rsid w:val="00DC6CCB"/>
    <w:rsid w:val="00DC782E"/>
    <w:rsid w:val="00DC7AE9"/>
    <w:rsid w:val="00DC7B06"/>
    <w:rsid w:val="00DD0936"/>
    <w:rsid w:val="00DD097D"/>
    <w:rsid w:val="00DD1306"/>
    <w:rsid w:val="00DD16E6"/>
    <w:rsid w:val="00DD16F3"/>
    <w:rsid w:val="00DD17DA"/>
    <w:rsid w:val="00DD1ED8"/>
    <w:rsid w:val="00DD24A6"/>
    <w:rsid w:val="00DD316C"/>
    <w:rsid w:val="00DD3528"/>
    <w:rsid w:val="00DD36BF"/>
    <w:rsid w:val="00DD4AF2"/>
    <w:rsid w:val="00DD4B08"/>
    <w:rsid w:val="00DD4C65"/>
    <w:rsid w:val="00DD4C6C"/>
    <w:rsid w:val="00DD557D"/>
    <w:rsid w:val="00DD5AB3"/>
    <w:rsid w:val="00DD5CB5"/>
    <w:rsid w:val="00DD6492"/>
    <w:rsid w:val="00DD70D8"/>
    <w:rsid w:val="00DD73CA"/>
    <w:rsid w:val="00DD7610"/>
    <w:rsid w:val="00DD7D47"/>
    <w:rsid w:val="00DD7DB1"/>
    <w:rsid w:val="00DE028D"/>
    <w:rsid w:val="00DE0F22"/>
    <w:rsid w:val="00DE0F57"/>
    <w:rsid w:val="00DE0FEC"/>
    <w:rsid w:val="00DE10BB"/>
    <w:rsid w:val="00DE13B8"/>
    <w:rsid w:val="00DE1BE7"/>
    <w:rsid w:val="00DE1C56"/>
    <w:rsid w:val="00DE1E0B"/>
    <w:rsid w:val="00DE24D8"/>
    <w:rsid w:val="00DE2B46"/>
    <w:rsid w:val="00DE308F"/>
    <w:rsid w:val="00DE38F9"/>
    <w:rsid w:val="00DE3D93"/>
    <w:rsid w:val="00DE4463"/>
    <w:rsid w:val="00DE4565"/>
    <w:rsid w:val="00DE4CF6"/>
    <w:rsid w:val="00DE5A52"/>
    <w:rsid w:val="00DE6170"/>
    <w:rsid w:val="00DE6322"/>
    <w:rsid w:val="00DE6388"/>
    <w:rsid w:val="00DE6C44"/>
    <w:rsid w:val="00DE7406"/>
    <w:rsid w:val="00DE742B"/>
    <w:rsid w:val="00DE7690"/>
    <w:rsid w:val="00DE7D7A"/>
    <w:rsid w:val="00DF0636"/>
    <w:rsid w:val="00DF07A3"/>
    <w:rsid w:val="00DF0A22"/>
    <w:rsid w:val="00DF0C3E"/>
    <w:rsid w:val="00DF0D4B"/>
    <w:rsid w:val="00DF0DCE"/>
    <w:rsid w:val="00DF1242"/>
    <w:rsid w:val="00DF14A5"/>
    <w:rsid w:val="00DF1666"/>
    <w:rsid w:val="00DF1794"/>
    <w:rsid w:val="00DF1B3C"/>
    <w:rsid w:val="00DF1E2A"/>
    <w:rsid w:val="00DF2295"/>
    <w:rsid w:val="00DF27D4"/>
    <w:rsid w:val="00DF28B4"/>
    <w:rsid w:val="00DF2C87"/>
    <w:rsid w:val="00DF2FEB"/>
    <w:rsid w:val="00DF3454"/>
    <w:rsid w:val="00DF3CE3"/>
    <w:rsid w:val="00DF4BD0"/>
    <w:rsid w:val="00DF502D"/>
    <w:rsid w:val="00DF50C5"/>
    <w:rsid w:val="00DF52BF"/>
    <w:rsid w:val="00DF54BA"/>
    <w:rsid w:val="00DF5B98"/>
    <w:rsid w:val="00DF5D9F"/>
    <w:rsid w:val="00DF6003"/>
    <w:rsid w:val="00DF6E31"/>
    <w:rsid w:val="00DF6E66"/>
    <w:rsid w:val="00DF72AD"/>
    <w:rsid w:val="00DF76FA"/>
    <w:rsid w:val="00DF772A"/>
    <w:rsid w:val="00DF7B11"/>
    <w:rsid w:val="00E00104"/>
    <w:rsid w:val="00E00352"/>
    <w:rsid w:val="00E00621"/>
    <w:rsid w:val="00E0068F"/>
    <w:rsid w:val="00E00DF2"/>
    <w:rsid w:val="00E00F44"/>
    <w:rsid w:val="00E0122F"/>
    <w:rsid w:val="00E01871"/>
    <w:rsid w:val="00E02403"/>
    <w:rsid w:val="00E02731"/>
    <w:rsid w:val="00E029AC"/>
    <w:rsid w:val="00E02E73"/>
    <w:rsid w:val="00E02E7E"/>
    <w:rsid w:val="00E03336"/>
    <w:rsid w:val="00E039D1"/>
    <w:rsid w:val="00E03C89"/>
    <w:rsid w:val="00E0424C"/>
    <w:rsid w:val="00E048D1"/>
    <w:rsid w:val="00E04919"/>
    <w:rsid w:val="00E04997"/>
    <w:rsid w:val="00E04B04"/>
    <w:rsid w:val="00E052B7"/>
    <w:rsid w:val="00E06250"/>
    <w:rsid w:val="00E06782"/>
    <w:rsid w:val="00E067EB"/>
    <w:rsid w:val="00E06C6D"/>
    <w:rsid w:val="00E07350"/>
    <w:rsid w:val="00E0788A"/>
    <w:rsid w:val="00E07D81"/>
    <w:rsid w:val="00E103A5"/>
    <w:rsid w:val="00E10556"/>
    <w:rsid w:val="00E1105F"/>
    <w:rsid w:val="00E1194F"/>
    <w:rsid w:val="00E11B32"/>
    <w:rsid w:val="00E11DAC"/>
    <w:rsid w:val="00E11F0C"/>
    <w:rsid w:val="00E12163"/>
    <w:rsid w:val="00E12310"/>
    <w:rsid w:val="00E123CA"/>
    <w:rsid w:val="00E1323B"/>
    <w:rsid w:val="00E134FF"/>
    <w:rsid w:val="00E1373A"/>
    <w:rsid w:val="00E13E81"/>
    <w:rsid w:val="00E14049"/>
    <w:rsid w:val="00E14625"/>
    <w:rsid w:val="00E146A9"/>
    <w:rsid w:val="00E14829"/>
    <w:rsid w:val="00E14D33"/>
    <w:rsid w:val="00E151D4"/>
    <w:rsid w:val="00E15206"/>
    <w:rsid w:val="00E1528E"/>
    <w:rsid w:val="00E1557E"/>
    <w:rsid w:val="00E156A5"/>
    <w:rsid w:val="00E15AC8"/>
    <w:rsid w:val="00E16043"/>
    <w:rsid w:val="00E1606E"/>
    <w:rsid w:val="00E162C6"/>
    <w:rsid w:val="00E16501"/>
    <w:rsid w:val="00E166FF"/>
    <w:rsid w:val="00E16CC9"/>
    <w:rsid w:val="00E172DD"/>
    <w:rsid w:val="00E17977"/>
    <w:rsid w:val="00E17B7D"/>
    <w:rsid w:val="00E21182"/>
    <w:rsid w:val="00E21253"/>
    <w:rsid w:val="00E21E8D"/>
    <w:rsid w:val="00E2209C"/>
    <w:rsid w:val="00E2271A"/>
    <w:rsid w:val="00E2279C"/>
    <w:rsid w:val="00E22B35"/>
    <w:rsid w:val="00E22C5F"/>
    <w:rsid w:val="00E2346E"/>
    <w:rsid w:val="00E2356F"/>
    <w:rsid w:val="00E23A10"/>
    <w:rsid w:val="00E23D40"/>
    <w:rsid w:val="00E23E29"/>
    <w:rsid w:val="00E2406B"/>
    <w:rsid w:val="00E24981"/>
    <w:rsid w:val="00E24FD0"/>
    <w:rsid w:val="00E25258"/>
    <w:rsid w:val="00E258B6"/>
    <w:rsid w:val="00E25900"/>
    <w:rsid w:val="00E25973"/>
    <w:rsid w:val="00E25A2C"/>
    <w:rsid w:val="00E25CB0"/>
    <w:rsid w:val="00E25CDB"/>
    <w:rsid w:val="00E25D8A"/>
    <w:rsid w:val="00E26376"/>
    <w:rsid w:val="00E26805"/>
    <w:rsid w:val="00E26BBA"/>
    <w:rsid w:val="00E26EA4"/>
    <w:rsid w:val="00E27B76"/>
    <w:rsid w:val="00E3085B"/>
    <w:rsid w:val="00E308A7"/>
    <w:rsid w:val="00E30A35"/>
    <w:rsid w:val="00E30A98"/>
    <w:rsid w:val="00E30E75"/>
    <w:rsid w:val="00E315BF"/>
    <w:rsid w:val="00E319A0"/>
    <w:rsid w:val="00E31A17"/>
    <w:rsid w:val="00E33A89"/>
    <w:rsid w:val="00E33AD3"/>
    <w:rsid w:val="00E33B4A"/>
    <w:rsid w:val="00E33C99"/>
    <w:rsid w:val="00E33CD4"/>
    <w:rsid w:val="00E344EB"/>
    <w:rsid w:val="00E3478A"/>
    <w:rsid w:val="00E34855"/>
    <w:rsid w:val="00E349D2"/>
    <w:rsid w:val="00E34C61"/>
    <w:rsid w:val="00E350BE"/>
    <w:rsid w:val="00E35475"/>
    <w:rsid w:val="00E3587C"/>
    <w:rsid w:val="00E36423"/>
    <w:rsid w:val="00E36572"/>
    <w:rsid w:val="00E36638"/>
    <w:rsid w:val="00E369F2"/>
    <w:rsid w:val="00E36D0E"/>
    <w:rsid w:val="00E374E4"/>
    <w:rsid w:val="00E37A40"/>
    <w:rsid w:val="00E40071"/>
    <w:rsid w:val="00E402F0"/>
    <w:rsid w:val="00E40458"/>
    <w:rsid w:val="00E40A79"/>
    <w:rsid w:val="00E40B1A"/>
    <w:rsid w:val="00E40B2E"/>
    <w:rsid w:val="00E41A2A"/>
    <w:rsid w:val="00E41F5A"/>
    <w:rsid w:val="00E42576"/>
    <w:rsid w:val="00E42796"/>
    <w:rsid w:val="00E427CD"/>
    <w:rsid w:val="00E42E64"/>
    <w:rsid w:val="00E43662"/>
    <w:rsid w:val="00E4367C"/>
    <w:rsid w:val="00E43BD2"/>
    <w:rsid w:val="00E43BD8"/>
    <w:rsid w:val="00E43D94"/>
    <w:rsid w:val="00E43EA5"/>
    <w:rsid w:val="00E43EAC"/>
    <w:rsid w:val="00E44E17"/>
    <w:rsid w:val="00E45071"/>
    <w:rsid w:val="00E45167"/>
    <w:rsid w:val="00E4573A"/>
    <w:rsid w:val="00E464AF"/>
    <w:rsid w:val="00E466EB"/>
    <w:rsid w:val="00E471D3"/>
    <w:rsid w:val="00E473F5"/>
    <w:rsid w:val="00E476F3"/>
    <w:rsid w:val="00E47863"/>
    <w:rsid w:val="00E47C8C"/>
    <w:rsid w:val="00E503E2"/>
    <w:rsid w:val="00E50645"/>
    <w:rsid w:val="00E50C48"/>
    <w:rsid w:val="00E50F45"/>
    <w:rsid w:val="00E511A4"/>
    <w:rsid w:val="00E5172F"/>
    <w:rsid w:val="00E51877"/>
    <w:rsid w:val="00E51CA9"/>
    <w:rsid w:val="00E51D38"/>
    <w:rsid w:val="00E51FD8"/>
    <w:rsid w:val="00E5253C"/>
    <w:rsid w:val="00E534D9"/>
    <w:rsid w:val="00E53639"/>
    <w:rsid w:val="00E541BC"/>
    <w:rsid w:val="00E5429B"/>
    <w:rsid w:val="00E54B21"/>
    <w:rsid w:val="00E54E6D"/>
    <w:rsid w:val="00E55490"/>
    <w:rsid w:val="00E55749"/>
    <w:rsid w:val="00E559E0"/>
    <w:rsid w:val="00E55EE4"/>
    <w:rsid w:val="00E55F86"/>
    <w:rsid w:val="00E56354"/>
    <w:rsid w:val="00E56612"/>
    <w:rsid w:val="00E56795"/>
    <w:rsid w:val="00E56850"/>
    <w:rsid w:val="00E56B20"/>
    <w:rsid w:val="00E56DF3"/>
    <w:rsid w:val="00E56EE1"/>
    <w:rsid w:val="00E572A0"/>
    <w:rsid w:val="00E5743E"/>
    <w:rsid w:val="00E57CD8"/>
    <w:rsid w:val="00E57F08"/>
    <w:rsid w:val="00E60075"/>
    <w:rsid w:val="00E60325"/>
    <w:rsid w:val="00E60352"/>
    <w:rsid w:val="00E60850"/>
    <w:rsid w:val="00E60A21"/>
    <w:rsid w:val="00E60AC5"/>
    <w:rsid w:val="00E61840"/>
    <w:rsid w:val="00E6207D"/>
    <w:rsid w:val="00E623C5"/>
    <w:rsid w:val="00E6245C"/>
    <w:rsid w:val="00E626F8"/>
    <w:rsid w:val="00E6279C"/>
    <w:rsid w:val="00E62829"/>
    <w:rsid w:val="00E62E77"/>
    <w:rsid w:val="00E6373C"/>
    <w:rsid w:val="00E64023"/>
    <w:rsid w:val="00E640FE"/>
    <w:rsid w:val="00E6412B"/>
    <w:rsid w:val="00E64561"/>
    <w:rsid w:val="00E6474D"/>
    <w:rsid w:val="00E64C93"/>
    <w:rsid w:val="00E65FE5"/>
    <w:rsid w:val="00E661C0"/>
    <w:rsid w:val="00E66B14"/>
    <w:rsid w:val="00E67210"/>
    <w:rsid w:val="00E67298"/>
    <w:rsid w:val="00E674EE"/>
    <w:rsid w:val="00E67E39"/>
    <w:rsid w:val="00E70118"/>
    <w:rsid w:val="00E703A4"/>
    <w:rsid w:val="00E703C1"/>
    <w:rsid w:val="00E70647"/>
    <w:rsid w:val="00E70BEC"/>
    <w:rsid w:val="00E71248"/>
    <w:rsid w:val="00E71A6C"/>
    <w:rsid w:val="00E71C1D"/>
    <w:rsid w:val="00E72062"/>
    <w:rsid w:val="00E72083"/>
    <w:rsid w:val="00E72EFC"/>
    <w:rsid w:val="00E73069"/>
    <w:rsid w:val="00E74076"/>
    <w:rsid w:val="00E74919"/>
    <w:rsid w:val="00E75061"/>
    <w:rsid w:val="00E75748"/>
    <w:rsid w:val="00E7575E"/>
    <w:rsid w:val="00E75994"/>
    <w:rsid w:val="00E75FC2"/>
    <w:rsid w:val="00E76C2E"/>
    <w:rsid w:val="00E76DD3"/>
    <w:rsid w:val="00E77233"/>
    <w:rsid w:val="00E77DD0"/>
    <w:rsid w:val="00E805B0"/>
    <w:rsid w:val="00E805CF"/>
    <w:rsid w:val="00E80ED2"/>
    <w:rsid w:val="00E80F68"/>
    <w:rsid w:val="00E81639"/>
    <w:rsid w:val="00E8164A"/>
    <w:rsid w:val="00E816BB"/>
    <w:rsid w:val="00E8196E"/>
    <w:rsid w:val="00E81BE7"/>
    <w:rsid w:val="00E81E43"/>
    <w:rsid w:val="00E82414"/>
    <w:rsid w:val="00E82914"/>
    <w:rsid w:val="00E82CBB"/>
    <w:rsid w:val="00E83C5E"/>
    <w:rsid w:val="00E83E65"/>
    <w:rsid w:val="00E840EE"/>
    <w:rsid w:val="00E8472F"/>
    <w:rsid w:val="00E84BAC"/>
    <w:rsid w:val="00E8539C"/>
    <w:rsid w:val="00E853CD"/>
    <w:rsid w:val="00E8560A"/>
    <w:rsid w:val="00E85652"/>
    <w:rsid w:val="00E8579E"/>
    <w:rsid w:val="00E85A2D"/>
    <w:rsid w:val="00E85A5F"/>
    <w:rsid w:val="00E85BD9"/>
    <w:rsid w:val="00E864A4"/>
    <w:rsid w:val="00E868DF"/>
    <w:rsid w:val="00E869C6"/>
    <w:rsid w:val="00E869D5"/>
    <w:rsid w:val="00E86CF2"/>
    <w:rsid w:val="00E87C20"/>
    <w:rsid w:val="00E87CC6"/>
    <w:rsid w:val="00E90280"/>
    <w:rsid w:val="00E90291"/>
    <w:rsid w:val="00E905FD"/>
    <w:rsid w:val="00E90EB8"/>
    <w:rsid w:val="00E915BD"/>
    <w:rsid w:val="00E915E8"/>
    <w:rsid w:val="00E917D6"/>
    <w:rsid w:val="00E91832"/>
    <w:rsid w:val="00E91DCF"/>
    <w:rsid w:val="00E9227A"/>
    <w:rsid w:val="00E9262A"/>
    <w:rsid w:val="00E92A52"/>
    <w:rsid w:val="00E92F51"/>
    <w:rsid w:val="00E92F8E"/>
    <w:rsid w:val="00E93642"/>
    <w:rsid w:val="00E93C04"/>
    <w:rsid w:val="00E93F0F"/>
    <w:rsid w:val="00E94986"/>
    <w:rsid w:val="00E94E62"/>
    <w:rsid w:val="00E957CA"/>
    <w:rsid w:val="00E9583F"/>
    <w:rsid w:val="00E95C65"/>
    <w:rsid w:val="00E95D3A"/>
    <w:rsid w:val="00E95F5C"/>
    <w:rsid w:val="00E966AA"/>
    <w:rsid w:val="00E9681C"/>
    <w:rsid w:val="00E96AD1"/>
    <w:rsid w:val="00E96C0D"/>
    <w:rsid w:val="00E9785D"/>
    <w:rsid w:val="00E97C3E"/>
    <w:rsid w:val="00E97F26"/>
    <w:rsid w:val="00EA04E4"/>
    <w:rsid w:val="00EA057D"/>
    <w:rsid w:val="00EA0DD4"/>
    <w:rsid w:val="00EA10E5"/>
    <w:rsid w:val="00EA15B7"/>
    <w:rsid w:val="00EA1941"/>
    <w:rsid w:val="00EA25B0"/>
    <w:rsid w:val="00EA25C3"/>
    <w:rsid w:val="00EA2708"/>
    <w:rsid w:val="00EA29BB"/>
    <w:rsid w:val="00EA2E11"/>
    <w:rsid w:val="00EA33CD"/>
    <w:rsid w:val="00EA395A"/>
    <w:rsid w:val="00EA3A0B"/>
    <w:rsid w:val="00EA4108"/>
    <w:rsid w:val="00EA41CB"/>
    <w:rsid w:val="00EA4412"/>
    <w:rsid w:val="00EA4EF2"/>
    <w:rsid w:val="00EA5397"/>
    <w:rsid w:val="00EA5456"/>
    <w:rsid w:val="00EA54F7"/>
    <w:rsid w:val="00EA56B7"/>
    <w:rsid w:val="00EA5969"/>
    <w:rsid w:val="00EA6A21"/>
    <w:rsid w:val="00EA72A8"/>
    <w:rsid w:val="00EA783D"/>
    <w:rsid w:val="00EB0830"/>
    <w:rsid w:val="00EB1387"/>
    <w:rsid w:val="00EB1703"/>
    <w:rsid w:val="00EB18CF"/>
    <w:rsid w:val="00EB2D1F"/>
    <w:rsid w:val="00EB2F46"/>
    <w:rsid w:val="00EB34A5"/>
    <w:rsid w:val="00EB3571"/>
    <w:rsid w:val="00EB3A27"/>
    <w:rsid w:val="00EB3E6E"/>
    <w:rsid w:val="00EB3EDD"/>
    <w:rsid w:val="00EB3F51"/>
    <w:rsid w:val="00EB4244"/>
    <w:rsid w:val="00EB4294"/>
    <w:rsid w:val="00EB4EDB"/>
    <w:rsid w:val="00EB5635"/>
    <w:rsid w:val="00EB5808"/>
    <w:rsid w:val="00EB5C84"/>
    <w:rsid w:val="00EB5E56"/>
    <w:rsid w:val="00EB64B9"/>
    <w:rsid w:val="00EB65C9"/>
    <w:rsid w:val="00EB6F71"/>
    <w:rsid w:val="00EB7524"/>
    <w:rsid w:val="00EB7C30"/>
    <w:rsid w:val="00EC085D"/>
    <w:rsid w:val="00EC08C2"/>
    <w:rsid w:val="00EC0ECB"/>
    <w:rsid w:val="00EC1D24"/>
    <w:rsid w:val="00EC21A2"/>
    <w:rsid w:val="00EC2223"/>
    <w:rsid w:val="00EC23C3"/>
    <w:rsid w:val="00EC2E7C"/>
    <w:rsid w:val="00EC2E9D"/>
    <w:rsid w:val="00EC3129"/>
    <w:rsid w:val="00EC31D3"/>
    <w:rsid w:val="00EC3705"/>
    <w:rsid w:val="00EC5356"/>
    <w:rsid w:val="00EC5447"/>
    <w:rsid w:val="00EC558E"/>
    <w:rsid w:val="00EC5611"/>
    <w:rsid w:val="00EC5AE0"/>
    <w:rsid w:val="00EC5B96"/>
    <w:rsid w:val="00EC6E9B"/>
    <w:rsid w:val="00EC6ECD"/>
    <w:rsid w:val="00EC7089"/>
    <w:rsid w:val="00ED035F"/>
    <w:rsid w:val="00ED036B"/>
    <w:rsid w:val="00ED085F"/>
    <w:rsid w:val="00ED1524"/>
    <w:rsid w:val="00ED184A"/>
    <w:rsid w:val="00ED1960"/>
    <w:rsid w:val="00ED1CBD"/>
    <w:rsid w:val="00ED1DA1"/>
    <w:rsid w:val="00ED1FD5"/>
    <w:rsid w:val="00ED2023"/>
    <w:rsid w:val="00ED2B3D"/>
    <w:rsid w:val="00ED2B5D"/>
    <w:rsid w:val="00ED2CBA"/>
    <w:rsid w:val="00ED33CE"/>
    <w:rsid w:val="00ED3578"/>
    <w:rsid w:val="00ED398A"/>
    <w:rsid w:val="00ED3F80"/>
    <w:rsid w:val="00ED3FFB"/>
    <w:rsid w:val="00ED54DF"/>
    <w:rsid w:val="00ED6252"/>
    <w:rsid w:val="00ED640C"/>
    <w:rsid w:val="00ED6B07"/>
    <w:rsid w:val="00ED6D57"/>
    <w:rsid w:val="00ED6F0F"/>
    <w:rsid w:val="00ED7035"/>
    <w:rsid w:val="00ED7279"/>
    <w:rsid w:val="00ED737C"/>
    <w:rsid w:val="00ED7F5C"/>
    <w:rsid w:val="00ED7F7B"/>
    <w:rsid w:val="00ED7FCC"/>
    <w:rsid w:val="00EE03BF"/>
    <w:rsid w:val="00EE03DB"/>
    <w:rsid w:val="00EE0924"/>
    <w:rsid w:val="00EE1CE7"/>
    <w:rsid w:val="00EE2305"/>
    <w:rsid w:val="00EE24ED"/>
    <w:rsid w:val="00EE303F"/>
    <w:rsid w:val="00EE381C"/>
    <w:rsid w:val="00EE3E8B"/>
    <w:rsid w:val="00EE4295"/>
    <w:rsid w:val="00EE4640"/>
    <w:rsid w:val="00EE4F75"/>
    <w:rsid w:val="00EE51AF"/>
    <w:rsid w:val="00EE55AE"/>
    <w:rsid w:val="00EE5E84"/>
    <w:rsid w:val="00EE5F06"/>
    <w:rsid w:val="00EE5F2C"/>
    <w:rsid w:val="00EE6017"/>
    <w:rsid w:val="00EE614E"/>
    <w:rsid w:val="00EE6196"/>
    <w:rsid w:val="00EE666B"/>
    <w:rsid w:val="00EE6CEA"/>
    <w:rsid w:val="00EE70B6"/>
    <w:rsid w:val="00EE70EC"/>
    <w:rsid w:val="00EE7266"/>
    <w:rsid w:val="00EE75C2"/>
    <w:rsid w:val="00EE78D3"/>
    <w:rsid w:val="00EE7BB0"/>
    <w:rsid w:val="00EE7C2E"/>
    <w:rsid w:val="00EE7DA7"/>
    <w:rsid w:val="00EE7ED1"/>
    <w:rsid w:val="00EF0490"/>
    <w:rsid w:val="00EF1465"/>
    <w:rsid w:val="00EF17D0"/>
    <w:rsid w:val="00EF1B0F"/>
    <w:rsid w:val="00EF1BAE"/>
    <w:rsid w:val="00EF1CCD"/>
    <w:rsid w:val="00EF2098"/>
    <w:rsid w:val="00EF20D8"/>
    <w:rsid w:val="00EF2C75"/>
    <w:rsid w:val="00EF2DA0"/>
    <w:rsid w:val="00EF31E6"/>
    <w:rsid w:val="00EF342C"/>
    <w:rsid w:val="00EF3AD6"/>
    <w:rsid w:val="00EF3EAE"/>
    <w:rsid w:val="00EF41DC"/>
    <w:rsid w:val="00EF48DE"/>
    <w:rsid w:val="00EF48F5"/>
    <w:rsid w:val="00EF4B49"/>
    <w:rsid w:val="00EF5378"/>
    <w:rsid w:val="00EF54DA"/>
    <w:rsid w:val="00EF5893"/>
    <w:rsid w:val="00EF5AD8"/>
    <w:rsid w:val="00EF5C36"/>
    <w:rsid w:val="00EF6470"/>
    <w:rsid w:val="00EF68D9"/>
    <w:rsid w:val="00EF6A07"/>
    <w:rsid w:val="00EF6D87"/>
    <w:rsid w:val="00EF73C7"/>
    <w:rsid w:val="00EF7519"/>
    <w:rsid w:val="00F00141"/>
    <w:rsid w:val="00F0017E"/>
    <w:rsid w:val="00F00621"/>
    <w:rsid w:val="00F007F3"/>
    <w:rsid w:val="00F00B74"/>
    <w:rsid w:val="00F0109C"/>
    <w:rsid w:val="00F0110D"/>
    <w:rsid w:val="00F01CA7"/>
    <w:rsid w:val="00F02176"/>
    <w:rsid w:val="00F0261A"/>
    <w:rsid w:val="00F02837"/>
    <w:rsid w:val="00F02883"/>
    <w:rsid w:val="00F02FE7"/>
    <w:rsid w:val="00F0306E"/>
    <w:rsid w:val="00F0317E"/>
    <w:rsid w:val="00F0319C"/>
    <w:rsid w:val="00F03344"/>
    <w:rsid w:val="00F03392"/>
    <w:rsid w:val="00F03878"/>
    <w:rsid w:val="00F03DE3"/>
    <w:rsid w:val="00F04E38"/>
    <w:rsid w:val="00F04E70"/>
    <w:rsid w:val="00F051B6"/>
    <w:rsid w:val="00F05F0E"/>
    <w:rsid w:val="00F061E1"/>
    <w:rsid w:val="00F06326"/>
    <w:rsid w:val="00F066C9"/>
    <w:rsid w:val="00F066CE"/>
    <w:rsid w:val="00F068D3"/>
    <w:rsid w:val="00F0691C"/>
    <w:rsid w:val="00F06A00"/>
    <w:rsid w:val="00F06FC4"/>
    <w:rsid w:val="00F07770"/>
    <w:rsid w:val="00F07784"/>
    <w:rsid w:val="00F1065D"/>
    <w:rsid w:val="00F10CFF"/>
    <w:rsid w:val="00F111DF"/>
    <w:rsid w:val="00F1173D"/>
    <w:rsid w:val="00F11873"/>
    <w:rsid w:val="00F11E1B"/>
    <w:rsid w:val="00F121C2"/>
    <w:rsid w:val="00F12753"/>
    <w:rsid w:val="00F12850"/>
    <w:rsid w:val="00F128E0"/>
    <w:rsid w:val="00F12B60"/>
    <w:rsid w:val="00F12D16"/>
    <w:rsid w:val="00F12D17"/>
    <w:rsid w:val="00F12EE1"/>
    <w:rsid w:val="00F1351F"/>
    <w:rsid w:val="00F14345"/>
    <w:rsid w:val="00F1477E"/>
    <w:rsid w:val="00F14BA4"/>
    <w:rsid w:val="00F14E34"/>
    <w:rsid w:val="00F15080"/>
    <w:rsid w:val="00F16AED"/>
    <w:rsid w:val="00F1706C"/>
    <w:rsid w:val="00F17197"/>
    <w:rsid w:val="00F1757B"/>
    <w:rsid w:val="00F1791B"/>
    <w:rsid w:val="00F20006"/>
    <w:rsid w:val="00F2039D"/>
    <w:rsid w:val="00F20C43"/>
    <w:rsid w:val="00F20EA6"/>
    <w:rsid w:val="00F21925"/>
    <w:rsid w:val="00F21C4F"/>
    <w:rsid w:val="00F21FD5"/>
    <w:rsid w:val="00F22055"/>
    <w:rsid w:val="00F222C8"/>
    <w:rsid w:val="00F22887"/>
    <w:rsid w:val="00F22E68"/>
    <w:rsid w:val="00F23B62"/>
    <w:rsid w:val="00F23FAD"/>
    <w:rsid w:val="00F24444"/>
    <w:rsid w:val="00F24E79"/>
    <w:rsid w:val="00F258DD"/>
    <w:rsid w:val="00F25A5D"/>
    <w:rsid w:val="00F25B56"/>
    <w:rsid w:val="00F26407"/>
    <w:rsid w:val="00F26462"/>
    <w:rsid w:val="00F266FC"/>
    <w:rsid w:val="00F26F70"/>
    <w:rsid w:val="00F274E5"/>
    <w:rsid w:val="00F274F9"/>
    <w:rsid w:val="00F2767A"/>
    <w:rsid w:val="00F279FF"/>
    <w:rsid w:val="00F27AA6"/>
    <w:rsid w:val="00F27BB8"/>
    <w:rsid w:val="00F30477"/>
    <w:rsid w:val="00F30985"/>
    <w:rsid w:val="00F309CD"/>
    <w:rsid w:val="00F31899"/>
    <w:rsid w:val="00F31F81"/>
    <w:rsid w:val="00F321FA"/>
    <w:rsid w:val="00F329C6"/>
    <w:rsid w:val="00F330C8"/>
    <w:rsid w:val="00F33DEB"/>
    <w:rsid w:val="00F340CA"/>
    <w:rsid w:val="00F34C7B"/>
    <w:rsid w:val="00F35075"/>
    <w:rsid w:val="00F354A9"/>
    <w:rsid w:val="00F3574B"/>
    <w:rsid w:val="00F3598B"/>
    <w:rsid w:val="00F35DE9"/>
    <w:rsid w:val="00F3649F"/>
    <w:rsid w:val="00F365F5"/>
    <w:rsid w:val="00F36773"/>
    <w:rsid w:val="00F3693F"/>
    <w:rsid w:val="00F36B4C"/>
    <w:rsid w:val="00F36BAD"/>
    <w:rsid w:val="00F37FAE"/>
    <w:rsid w:val="00F4061E"/>
    <w:rsid w:val="00F410B5"/>
    <w:rsid w:val="00F413DB"/>
    <w:rsid w:val="00F41C5A"/>
    <w:rsid w:val="00F42B13"/>
    <w:rsid w:val="00F435B4"/>
    <w:rsid w:val="00F444BE"/>
    <w:rsid w:val="00F4498A"/>
    <w:rsid w:val="00F44E89"/>
    <w:rsid w:val="00F453A8"/>
    <w:rsid w:val="00F456F3"/>
    <w:rsid w:val="00F458EB"/>
    <w:rsid w:val="00F45B90"/>
    <w:rsid w:val="00F4608D"/>
    <w:rsid w:val="00F4651B"/>
    <w:rsid w:val="00F467F9"/>
    <w:rsid w:val="00F46874"/>
    <w:rsid w:val="00F46997"/>
    <w:rsid w:val="00F46C05"/>
    <w:rsid w:val="00F472CD"/>
    <w:rsid w:val="00F4782C"/>
    <w:rsid w:val="00F47FC6"/>
    <w:rsid w:val="00F505FF"/>
    <w:rsid w:val="00F509ED"/>
    <w:rsid w:val="00F50B74"/>
    <w:rsid w:val="00F51023"/>
    <w:rsid w:val="00F5175D"/>
    <w:rsid w:val="00F51902"/>
    <w:rsid w:val="00F52211"/>
    <w:rsid w:val="00F52AF4"/>
    <w:rsid w:val="00F52F5B"/>
    <w:rsid w:val="00F53262"/>
    <w:rsid w:val="00F532CA"/>
    <w:rsid w:val="00F532DE"/>
    <w:rsid w:val="00F53345"/>
    <w:rsid w:val="00F534DF"/>
    <w:rsid w:val="00F53829"/>
    <w:rsid w:val="00F54144"/>
    <w:rsid w:val="00F5419A"/>
    <w:rsid w:val="00F54262"/>
    <w:rsid w:val="00F54872"/>
    <w:rsid w:val="00F54C07"/>
    <w:rsid w:val="00F55ED4"/>
    <w:rsid w:val="00F56440"/>
    <w:rsid w:val="00F568B5"/>
    <w:rsid w:val="00F56C24"/>
    <w:rsid w:val="00F56EEC"/>
    <w:rsid w:val="00F57417"/>
    <w:rsid w:val="00F575EB"/>
    <w:rsid w:val="00F6030A"/>
    <w:rsid w:val="00F60BD9"/>
    <w:rsid w:val="00F60F71"/>
    <w:rsid w:val="00F60FD3"/>
    <w:rsid w:val="00F61830"/>
    <w:rsid w:val="00F618F5"/>
    <w:rsid w:val="00F61C80"/>
    <w:rsid w:val="00F62747"/>
    <w:rsid w:val="00F6365B"/>
    <w:rsid w:val="00F636B8"/>
    <w:rsid w:val="00F63A58"/>
    <w:rsid w:val="00F63B2F"/>
    <w:rsid w:val="00F63C27"/>
    <w:rsid w:val="00F63EAE"/>
    <w:rsid w:val="00F63FDF"/>
    <w:rsid w:val="00F64318"/>
    <w:rsid w:val="00F655A2"/>
    <w:rsid w:val="00F65681"/>
    <w:rsid w:val="00F65DAA"/>
    <w:rsid w:val="00F65E5E"/>
    <w:rsid w:val="00F65E69"/>
    <w:rsid w:val="00F660C2"/>
    <w:rsid w:val="00F6670E"/>
    <w:rsid w:val="00F6677C"/>
    <w:rsid w:val="00F672F2"/>
    <w:rsid w:val="00F70038"/>
    <w:rsid w:val="00F70479"/>
    <w:rsid w:val="00F70AE6"/>
    <w:rsid w:val="00F70D0A"/>
    <w:rsid w:val="00F717C3"/>
    <w:rsid w:val="00F71EC0"/>
    <w:rsid w:val="00F71F30"/>
    <w:rsid w:val="00F7222A"/>
    <w:rsid w:val="00F7244F"/>
    <w:rsid w:val="00F7248E"/>
    <w:rsid w:val="00F72BE9"/>
    <w:rsid w:val="00F72EF2"/>
    <w:rsid w:val="00F7333B"/>
    <w:rsid w:val="00F733FB"/>
    <w:rsid w:val="00F736DC"/>
    <w:rsid w:val="00F737B1"/>
    <w:rsid w:val="00F738AC"/>
    <w:rsid w:val="00F73E1A"/>
    <w:rsid w:val="00F740BB"/>
    <w:rsid w:val="00F741DC"/>
    <w:rsid w:val="00F74352"/>
    <w:rsid w:val="00F74759"/>
    <w:rsid w:val="00F7496E"/>
    <w:rsid w:val="00F74992"/>
    <w:rsid w:val="00F74EAB"/>
    <w:rsid w:val="00F758F4"/>
    <w:rsid w:val="00F7595B"/>
    <w:rsid w:val="00F75A1A"/>
    <w:rsid w:val="00F75DF7"/>
    <w:rsid w:val="00F75E41"/>
    <w:rsid w:val="00F75EBB"/>
    <w:rsid w:val="00F76420"/>
    <w:rsid w:val="00F765D0"/>
    <w:rsid w:val="00F76AA1"/>
    <w:rsid w:val="00F76CEB"/>
    <w:rsid w:val="00F76F03"/>
    <w:rsid w:val="00F77811"/>
    <w:rsid w:val="00F77C56"/>
    <w:rsid w:val="00F8031C"/>
    <w:rsid w:val="00F805CF"/>
    <w:rsid w:val="00F8094D"/>
    <w:rsid w:val="00F80AEC"/>
    <w:rsid w:val="00F80C0B"/>
    <w:rsid w:val="00F80DFA"/>
    <w:rsid w:val="00F8109F"/>
    <w:rsid w:val="00F81312"/>
    <w:rsid w:val="00F81645"/>
    <w:rsid w:val="00F8197F"/>
    <w:rsid w:val="00F81B1E"/>
    <w:rsid w:val="00F82771"/>
    <w:rsid w:val="00F82B92"/>
    <w:rsid w:val="00F82BE9"/>
    <w:rsid w:val="00F83058"/>
    <w:rsid w:val="00F832C0"/>
    <w:rsid w:val="00F83B5A"/>
    <w:rsid w:val="00F840D7"/>
    <w:rsid w:val="00F84453"/>
    <w:rsid w:val="00F84456"/>
    <w:rsid w:val="00F845CB"/>
    <w:rsid w:val="00F84860"/>
    <w:rsid w:val="00F84BC0"/>
    <w:rsid w:val="00F84EB7"/>
    <w:rsid w:val="00F85444"/>
    <w:rsid w:val="00F85610"/>
    <w:rsid w:val="00F85952"/>
    <w:rsid w:val="00F859DE"/>
    <w:rsid w:val="00F85E68"/>
    <w:rsid w:val="00F860DC"/>
    <w:rsid w:val="00F86676"/>
    <w:rsid w:val="00F87004"/>
    <w:rsid w:val="00F8708F"/>
    <w:rsid w:val="00F87573"/>
    <w:rsid w:val="00F87C85"/>
    <w:rsid w:val="00F904A3"/>
    <w:rsid w:val="00F90906"/>
    <w:rsid w:val="00F910FB"/>
    <w:rsid w:val="00F91450"/>
    <w:rsid w:val="00F91791"/>
    <w:rsid w:val="00F91B1B"/>
    <w:rsid w:val="00F91C3C"/>
    <w:rsid w:val="00F921E7"/>
    <w:rsid w:val="00F92A07"/>
    <w:rsid w:val="00F92FB3"/>
    <w:rsid w:val="00F939BC"/>
    <w:rsid w:val="00F93D65"/>
    <w:rsid w:val="00F946E4"/>
    <w:rsid w:val="00F946EC"/>
    <w:rsid w:val="00F9488E"/>
    <w:rsid w:val="00F94C02"/>
    <w:rsid w:val="00F9500A"/>
    <w:rsid w:val="00F95E22"/>
    <w:rsid w:val="00F95E44"/>
    <w:rsid w:val="00F96B56"/>
    <w:rsid w:val="00F97633"/>
    <w:rsid w:val="00F97FE9"/>
    <w:rsid w:val="00FA0250"/>
    <w:rsid w:val="00FA07A3"/>
    <w:rsid w:val="00FA0ACC"/>
    <w:rsid w:val="00FA0EEC"/>
    <w:rsid w:val="00FA0F09"/>
    <w:rsid w:val="00FA1106"/>
    <w:rsid w:val="00FA114A"/>
    <w:rsid w:val="00FA18C1"/>
    <w:rsid w:val="00FA18DA"/>
    <w:rsid w:val="00FA1BAB"/>
    <w:rsid w:val="00FA1EB3"/>
    <w:rsid w:val="00FA2601"/>
    <w:rsid w:val="00FA27BE"/>
    <w:rsid w:val="00FA2D7D"/>
    <w:rsid w:val="00FA3052"/>
    <w:rsid w:val="00FA32FE"/>
    <w:rsid w:val="00FA3494"/>
    <w:rsid w:val="00FA3891"/>
    <w:rsid w:val="00FA3AC2"/>
    <w:rsid w:val="00FA3CB1"/>
    <w:rsid w:val="00FA3D1E"/>
    <w:rsid w:val="00FA3F5A"/>
    <w:rsid w:val="00FA4493"/>
    <w:rsid w:val="00FA4C3B"/>
    <w:rsid w:val="00FA4E87"/>
    <w:rsid w:val="00FA4F4B"/>
    <w:rsid w:val="00FA4FD9"/>
    <w:rsid w:val="00FA5430"/>
    <w:rsid w:val="00FA557D"/>
    <w:rsid w:val="00FA559B"/>
    <w:rsid w:val="00FA5A39"/>
    <w:rsid w:val="00FA5D5D"/>
    <w:rsid w:val="00FA5EBD"/>
    <w:rsid w:val="00FA656C"/>
    <w:rsid w:val="00FA694B"/>
    <w:rsid w:val="00FA6D98"/>
    <w:rsid w:val="00FA6EB8"/>
    <w:rsid w:val="00FA6F70"/>
    <w:rsid w:val="00FA7581"/>
    <w:rsid w:val="00FA7BE6"/>
    <w:rsid w:val="00FB01FE"/>
    <w:rsid w:val="00FB0756"/>
    <w:rsid w:val="00FB0A0E"/>
    <w:rsid w:val="00FB0B94"/>
    <w:rsid w:val="00FB18FA"/>
    <w:rsid w:val="00FB1EEF"/>
    <w:rsid w:val="00FB2250"/>
    <w:rsid w:val="00FB294E"/>
    <w:rsid w:val="00FB2A08"/>
    <w:rsid w:val="00FB2B06"/>
    <w:rsid w:val="00FB34B2"/>
    <w:rsid w:val="00FB3C2C"/>
    <w:rsid w:val="00FB3C38"/>
    <w:rsid w:val="00FB3F04"/>
    <w:rsid w:val="00FB40C7"/>
    <w:rsid w:val="00FB4160"/>
    <w:rsid w:val="00FB4A38"/>
    <w:rsid w:val="00FB4EE4"/>
    <w:rsid w:val="00FB504D"/>
    <w:rsid w:val="00FB5A61"/>
    <w:rsid w:val="00FB5C3B"/>
    <w:rsid w:val="00FB662B"/>
    <w:rsid w:val="00FB7B12"/>
    <w:rsid w:val="00FB7FA8"/>
    <w:rsid w:val="00FC0119"/>
    <w:rsid w:val="00FC03E7"/>
    <w:rsid w:val="00FC0489"/>
    <w:rsid w:val="00FC0581"/>
    <w:rsid w:val="00FC0F38"/>
    <w:rsid w:val="00FC104F"/>
    <w:rsid w:val="00FC19EF"/>
    <w:rsid w:val="00FC1C3B"/>
    <w:rsid w:val="00FC2073"/>
    <w:rsid w:val="00FC22C3"/>
    <w:rsid w:val="00FC2488"/>
    <w:rsid w:val="00FC2F40"/>
    <w:rsid w:val="00FC3140"/>
    <w:rsid w:val="00FC360D"/>
    <w:rsid w:val="00FC3624"/>
    <w:rsid w:val="00FC4DCE"/>
    <w:rsid w:val="00FC56B5"/>
    <w:rsid w:val="00FC5700"/>
    <w:rsid w:val="00FC5779"/>
    <w:rsid w:val="00FC68F6"/>
    <w:rsid w:val="00FC6B2E"/>
    <w:rsid w:val="00FD0221"/>
    <w:rsid w:val="00FD02FD"/>
    <w:rsid w:val="00FD0B56"/>
    <w:rsid w:val="00FD0D85"/>
    <w:rsid w:val="00FD12DE"/>
    <w:rsid w:val="00FD14AA"/>
    <w:rsid w:val="00FD1617"/>
    <w:rsid w:val="00FD1A49"/>
    <w:rsid w:val="00FD1A56"/>
    <w:rsid w:val="00FD1BDB"/>
    <w:rsid w:val="00FD2895"/>
    <w:rsid w:val="00FD2F44"/>
    <w:rsid w:val="00FD301E"/>
    <w:rsid w:val="00FD401C"/>
    <w:rsid w:val="00FD4317"/>
    <w:rsid w:val="00FD47BC"/>
    <w:rsid w:val="00FD4F92"/>
    <w:rsid w:val="00FD523D"/>
    <w:rsid w:val="00FD5438"/>
    <w:rsid w:val="00FD5545"/>
    <w:rsid w:val="00FD5852"/>
    <w:rsid w:val="00FD599C"/>
    <w:rsid w:val="00FD5B9D"/>
    <w:rsid w:val="00FD5EC1"/>
    <w:rsid w:val="00FD5F4B"/>
    <w:rsid w:val="00FD6165"/>
    <w:rsid w:val="00FD61FC"/>
    <w:rsid w:val="00FD624C"/>
    <w:rsid w:val="00FD6725"/>
    <w:rsid w:val="00FD6746"/>
    <w:rsid w:val="00FD789E"/>
    <w:rsid w:val="00FD789F"/>
    <w:rsid w:val="00FD78D7"/>
    <w:rsid w:val="00FD78FA"/>
    <w:rsid w:val="00FD7EDC"/>
    <w:rsid w:val="00FE001B"/>
    <w:rsid w:val="00FE0ED3"/>
    <w:rsid w:val="00FE1558"/>
    <w:rsid w:val="00FE16E7"/>
    <w:rsid w:val="00FE1E45"/>
    <w:rsid w:val="00FE2459"/>
    <w:rsid w:val="00FE29D9"/>
    <w:rsid w:val="00FE29FD"/>
    <w:rsid w:val="00FE2C7F"/>
    <w:rsid w:val="00FE3375"/>
    <w:rsid w:val="00FE3DFB"/>
    <w:rsid w:val="00FE4076"/>
    <w:rsid w:val="00FE45EA"/>
    <w:rsid w:val="00FE4D27"/>
    <w:rsid w:val="00FE4EB1"/>
    <w:rsid w:val="00FE52A9"/>
    <w:rsid w:val="00FE56D7"/>
    <w:rsid w:val="00FE5772"/>
    <w:rsid w:val="00FE5C0F"/>
    <w:rsid w:val="00FE6791"/>
    <w:rsid w:val="00FE6BEA"/>
    <w:rsid w:val="00FE6C68"/>
    <w:rsid w:val="00FF0E23"/>
    <w:rsid w:val="00FF0F6A"/>
    <w:rsid w:val="00FF10F3"/>
    <w:rsid w:val="00FF12FF"/>
    <w:rsid w:val="00FF1381"/>
    <w:rsid w:val="00FF13C7"/>
    <w:rsid w:val="00FF17CC"/>
    <w:rsid w:val="00FF1DDF"/>
    <w:rsid w:val="00FF27DD"/>
    <w:rsid w:val="00FF2E31"/>
    <w:rsid w:val="00FF2F94"/>
    <w:rsid w:val="00FF525B"/>
    <w:rsid w:val="00FF53ED"/>
    <w:rsid w:val="00FF5913"/>
    <w:rsid w:val="00FF5C68"/>
    <w:rsid w:val="00FF5D23"/>
    <w:rsid w:val="00FF5D69"/>
    <w:rsid w:val="00FF6083"/>
    <w:rsid w:val="00FF638F"/>
    <w:rsid w:val="00FF7267"/>
    <w:rsid w:val="00FF7AC5"/>
    <w:rsid w:val="013DE520"/>
    <w:rsid w:val="017053D0"/>
    <w:rsid w:val="01B89EB0"/>
    <w:rsid w:val="01D2C407"/>
    <w:rsid w:val="01DD6FFD"/>
    <w:rsid w:val="021AE22F"/>
    <w:rsid w:val="0227C506"/>
    <w:rsid w:val="0228D22B"/>
    <w:rsid w:val="02295A66"/>
    <w:rsid w:val="026203E1"/>
    <w:rsid w:val="0276D795"/>
    <w:rsid w:val="02A9F696"/>
    <w:rsid w:val="02E835BC"/>
    <w:rsid w:val="030CA3CD"/>
    <w:rsid w:val="03121F38"/>
    <w:rsid w:val="0348732D"/>
    <w:rsid w:val="0374D6C5"/>
    <w:rsid w:val="0383584D"/>
    <w:rsid w:val="039C631D"/>
    <w:rsid w:val="03A878E0"/>
    <w:rsid w:val="03CFF9E0"/>
    <w:rsid w:val="03F35996"/>
    <w:rsid w:val="045C3556"/>
    <w:rsid w:val="046AE0D2"/>
    <w:rsid w:val="04C37C23"/>
    <w:rsid w:val="0521C0C4"/>
    <w:rsid w:val="05C7A9BD"/>
    <w:rsid w:val="05D54F02"/>
    <w:rsid w:val="06038392"/>
    <w:rsid w:val="063AE879"/>
    <w:rsid w:val="065D266A"/>
    <w:rsid w:val="06C7E7D2"/>
    <w:rsid w:val="06D5AFFE"/>
    <w:rsid w:val="07000D1A"/>
    <w:rsid w:val="071B91F4"/>
    <w:rsid w:val="074F2F25"/>
    <w:rsid w:val="07635322"/>
    <w:rsid w:val="0771A9C1"/>
    <w:rsid w:val="077C83CC"/>
    <w:rsid w:val="07891345"/>
    <w:rsid w:val="08126B8E"/>
    <w:rsid w:val="08346429"/>
    <w:rsid w:val="086F1D7A"/>
    <w:rsid w:val="08714AEC"/>
    <w:rsid w:val="0876A70E"/>
    <w:rsid w:val="08959F94"/>
    <w:rsid w:val="089611E9"/>
    <w:rsid w:val="08A8161E"/>
    <w:rsid w:val="08AD0696"/>
    <w:rsid w:val="08B7F39C"/>
    <w:rsid w:val="08EE0C47"/>
    <w:rsid w:val="091A68E3"/>
    <w:rsid w:val="0A0E7AE3"/>
    <w:rsid w:val="0A1510B9"/>
    <w:rsid w:val="0A1D6F28"/>
    <w:rsid w:val="0A7B2E75"/>
    <w:rsid w:val="0ABEECAE"/>
    <w:rsid w:val="0AE0DEB2"/>
    <w:rsid w:val="0B6D059B"/>
    <w:rsid w:val="0B8C77A6"/>
    <w:rsid w:val="0BE60A02"/>
    <w:rsid w:val="0BFC38EC"/>
    <w:rsid w:val="0C321BB8"/>
    <w:rsid w:val="0C38EF87"/>
    <w:rsid w:val="0C8624FE"/>
    <w:rsid w:val="0CF030F4"/>
    <w:rsid w:val="0D0BD9F6"/>
    <w:rsid w:val="0D28B186"/>
    <w:rsid w:val="0D36731A"/>
    <w:rsid w:val="0D4B9608"/>
    <w:rsid w:val="0D866DAD"/>
    <w:rsid w:val="0DAE8C7A"/>
    <w:rsid w:val="0DBE50AF"/>
    <w:rsid w:val="0DE6CF5F"/>
    <w:rsid w:val="0E2B925E"/>
    <w:rsid w:val="0E49384D"/>
    <w:rsid w:val="0E79E3A4"/>
    <w:rsid w:val="0E86CD44"/>
    <w:rsid w:val="0EBFDCAB"/>
    <w:rsid w:val="0ECD3A0A"/>
    <w:rsid w:val="0F23F240"/>
    <w:rsid w:val="0F813F0F"/>
    <w:rsid w:val="0FAB32CE"/>
    <w:rsid w:val="0FDD8DF4"/>
    <w:rsid w:val="10180F86"/>
    <w:rsid w:val="103955C1"/>
    <w:rsid w:val="1077CCED"/>
    <w:rsid w:val="108C24C1"/>
    <w:rsid w:val="108E2304"/>
    <w:rsid w:val="10B1E8E7"/>
    <w:rsid w:val="10F6EF9F"/>
    <w:rsid w:val="10F8ED1B"/>
    <w:rsid w:val="11A2C955"/>
    <w:rsid w:val="1212291E"/>
    <w:rsid w:val="1213DAB9"/>
    <w:rsid w:val="123041A9"/>
    <w:rsid w:val="12919FA0"/>
    <w:rsid w:val="12C1B277"/>
    <w:rsid w:val="130B19E6"/>
    <w:rsid w:val="131D34C6"/>
    <w:rsid w:val="13398249"/>
    <w:rsid w:val="13503049"/>
    <w:rsid w:val="135FA0CE"/>
    <w:rsid w:val="136BE1BB"/>
    <w:rsid w:val="13FA6CFC"/>
    <w:rsid w:val="1424F789"/>
    <w:rsid w:val="14729B2A"/>
    <w:rsid w:val="1501EB65"/>
    <w:rsid w:val="157B1DE6"/>
    <w:rsid w:val="158F365A"/>
    <w:rsid w:val="15F6A8EE"/>
    <w:rsid w:val="15FDA42C"/>
    <w:rsid w:val="16030125"/>
    <w:rsid w:val="1605CB48"/>
    <w:rsid w:val="161BF63C"/>
    <w:rsid w:val="165F5B13"/>
    <w:rsid w:val="16910486"/>
    <w:rsid w:val="16B5205B"/>
    <w:rsid w:val="16D432EC"/>
    <w:rsid w:val="1724AB57"/>
    <w:rsid w:val="17DEC911"/>
    <w:rsid w:val="17E871CD"/>
    <w:rsid w:val="18B16054"/>
    <w:rsid w:val="18F018F7"/>
    <w:rsid w:val="19A43B4E"/>
    <w:rsid w:val="19C1C46D"/>
    <w:rsid w:val="19DE29CD"/>
    <w:rsid w:val="1A111E7B"/>
    <w:rsid w:val="1A225474"/>
    <w:rsid w:val="1A31CCE5"/>
    <w:rsid w:val="1A73DBED"/>
    <w:rsid w:val="1A757D5F"/>
    <w:rsid w:val="1AA9812F"/>
    <w:rsid w:val="1AB8D2AF"/>
    <w:rsid w:val="1AF9CFE8"/>
    <w:rsid w:val="1AFB88E4"/>
    <w:rsid w:val="1B01685C"/>
    <w:rsid w:val="1B59EFD9"/>
    <w:rsid w:val="1B63202F"/>
    <w:rsid w:val="1B90A635"/>
    <w:rsid w:val="1BAD5799"/>
    <w:rsid w:val="1BDE2FF7"/>
    <w:rsid w:val="1BE03ED8"/>
    <w:rsid w:val="1BF30060"/>
    <w:rsid w:val="1C434403"/>
    <w:rsid w:val="1C58278A"/>
    <w:rsid w:val="1C63785E"/>
    <w:rsid w:val="1C6D288A"/>
    <w:rsid w:val="1C9E6E26"/>
    <w:rsid w:val="1CBB8110"/>
    <w:rsid w:val="1CC1E951"/>
    <w:rsid w:val="1CCE0CF5"/>
    <w:rsid w:val="1CF0D5EF"/>
    <w:rsid w:val="1D215C1E"/>
    <w:rsid w:val="1D34A42E"/>
    <w:rsid w:val="1D44C23C"/>
    <w:rsid w:val="1D9E3B27"/>
    <w:rsid w:val="1E05A4C9"/>
    <w:rsid w:val="1E0F8AFB"/>
    <w:rsid w:val="1E3EEFFA"/>
    <w:rsid w:val="1E6E972B"/>
    <w:rsid w:val="1E75AB62"/>
    <w:rsid w:val="1FDB8554"/>
    <w:rsid w:val="1FE4B654"/>
    <w:rsid w:val="200213FA"/>
    <w:rsid w:val="203CEC3E"/>
    <w:rsid w:val="205B6B98"/>
    <w:rsid w:val="20D2BC0D"/>
    <w:rsid w:val="20E67B02"/>
    <w:rsid w:val="20E791C7"/>
    <w:rsid w:val="20F2F2D3"/>
    <w:rsid w:val="2105C7F0"/>
    <w:rsid w:val="21A20EA6"/>
    <w:rsid w:val="21A36FBE"/>
    <w:rsid w:val="21A796F8"/>
    <w:rsid w:val="21D16864"/>
    <w:rsid w:val="21FBC8EA"/>
    <w:rsid w:val="2244A736"/>
    <w:rsid w:val="224E0F39"/>
    <w:rsid w:val="227857D8"/>
    <w:rsid w:val="227FA505"/>
    <w:rsid w:val="22AD835F"/>
    <w:rsid w:val="22BA0457"/>
    <w:rsid w:val="2325A61E"/>
    <w:rsid w:val="235B814C"/>
    <w:rsid w:val="2375050E"/>
    <w:rsid w:val="23AAA609"/>
    <w:rsid w:val="23ADFC5F"/>
    <w:rsid w:val="23B0F240"/>
    <w:rsid w:val="23E142AE"/>
    <w:rsid w:val="23FAAADE"/>
    <w:rsid w:val="24121EE4"/>
    <w:rsid w:val="242BB89D"/>
    <w:rsid w:val="24520826"/>
    <w:rsid w:val="24B13CAE"/>
    <w:rsid w:val="24BABECB"/>
    <w:rsid w:val="24C53CBC"/>
    <w:rsid w:val="24D9A16E"/>
    <w:rsid w:val="251FDC25"/>
    <w:rsid w:val="25B820AD"/>
    <w:rsid w:val="25EF8621"/>
    <w:rsid w:val="25F9D5FB"/>
    <w:rsid w:val="26402CA2"/>
    <w:rsid w:val="26E49D70"/>
    <w:rsid w:val="26F3501B"/>
    <w:rsid w:val="2727AF23"/>
    <w:rsid w:val="279E9589"/>
    <w:rsid w:val="27FDC8E8"/>
    <w:rsid w:val="2805A903"/>
    <w:rsid w:val="2811223C"/>
    <w:rsid w:val="281A3E20"/>
    <w:rsid w:val="282CBC90"/>
    <w:rsid w:val="2831BC36"/>
    <w:rsid w:val="28724C00"/>
    <w:rsid w:val="289AFC68"/>
    <w:rsid w:val="28B3840A"/>
    <w:rsid w:val="2922D371"/>
    <w:rsid w:val="294260DB"/>
    <w:rsid w:val="2975C665"/>
    <w:rsid w:val="29B419AB"/>
    <w:rsid w:val="29BDF750"/>
    <w:rsid w:val="29E606DA"/>
    <w:rsid w:val="29EE0D6B"/>
    <w:rsid w:val="2A8F4398"/>
    <w:rsid w:val="2A9A001A"/>
    <w:rsid w:val="2AB29F03"/>
    <w:rsid w:val="2B637F90"/>
    <w:rsid w:val="2B93A113"/>
    <w:rsid w:val="2BB8B212"/>
    <w:rsid w:val="2BE32BCC"/>
    <w:rsid w:val="2C649407"/>
    <w:rsid w:val="2CB13C7A"/>
    <w:rsid w:val="2CB13EF0"/>
    <w:rsid w:val="2CEEC38D"/>
    <w:rsid w:val="2D295948"/>
    <w:rsid w:val="2D2F9A82"/>
    <w:rsid w:val="2D33776E"/>
    <w:rsid w:val="2D426A46"/>
    <w:rsid w:val="2D88D67D"/>
    <w:rsid w:val="2D8A69E6"/>
    <w:rsid w:val="2DA9898E"/>
    <w:rsid w:val="2DDB7924"/>
    <w:rsid w:val="2DE12E9A"/>
    <w:rsid w:val="2EEB31DD"/>
    <w:rsid w:val="2F32B80A"/>
    <w:rsid w:val="2F4408B6"/>
    <w:rsid w:val="2F7B0D75"/>
    <w:rsid w:val="2FA3373F"/>
    <w:rsid w:val="2FBD7B4E"/>
    <w:rsid w:val="30028434"/>
    <w:rsid w:val="30224CDC"/>
    <w:rsid w:val="307352B1"/>
    <w:rsid w:val="30DC5249"/>
    <w:rsid w:val="30EA1288"/>
    <w:rsid w:val="314A2436"/>
    <w:rsid w:val="318FB8AC"/>
    <w:rsid w:val="31969E94"/>
    <w:rsid w:val="31A8901A"/>
    <w:rsid w:val="31AFCEE4"/>
    <w:rsid w:val="31C73D32"/>
    <w:rsid w:val="31ED4A16"/>
    <w:rsid w:val="31FF6303"/>
    <w:rsid w:val="3228DC98"/>
    <w:rsid w:val="32F92D66"/>
    <w:rsid w:val="339B3275"/>
    <w:rsid w:val="339E7EB3"/>
    <w:rsid w:val="33A59BE2"/>
    <w:rsid w:val="33C1F6B8"/>
    <w:rsid w:val="33EAAD4A"/>
    <w:rsid w:val="33EBFCCC"/>
    <w:rsid w:val="3427DEF8"/>
    <w:rsid w:val="348359E4"/>
    <w:rsid w:val="34909F97"/>
    <w:rsid w:val="3492D0C3"/>
    <w:rsid w:val="34937BC5"/>
    <w:rsid w:val="34C6D23C"/>
    <w:rsid w:val="34EE61E5"/>
    <w:rsid w:val="35114422"/>
    <w:rsid w:val="353120BA"/>
    <w:rsid w:val="3533B4E5"/>
    <w:rsid w:val="355ACE9E"/>
    <w:rsid w:val="3560AE9C"/>
    <w:rsid w:val="3563585D"/>
    <w:rsid w:val="3564875F"/>
    <w:rsid w:val="3591D138"/>
    <w:rsid w:val="35C643DF"/>
    <w:rsid w:val="35E290BA"/>
    <w:rsid w:val="364AAAF6"/>
    <w:rsid w:val="3654BB79"/>
    <w:rsid w:val="3655BD86"/>
    <w:rsid w:val="36735F64"/>
    <w:rsid w:val="3682493A"/>
    <w:rsid w:val="36D04983"/>
    <w:rsid w:val="36E39369"/>
    <w:rsid w:val="3741F686"/>
    <w:rsid w:val="376C87D0"/>
    <w:rsid w:val="37853683"/>
    <w:rsid w:val="37A7A69D"/>
    <w:rsid w:val="37E99BD3"/>
    <w:rsid w:val="38188B9A"/>
    <w:rsid w:val="381ACA88"/>
    <w:rsid w:val="381F3802"/>
    <w:rsid w:val="385349C0"/>
    <w:rsid w:val="38798DBB"/>
    <w:rsid w:val="38D4F2A6"/>
    <w:rsid w:val="391E4583"/>
    <w:rsid w:val="39631C86"/>
    <w:rsid w:val="39742EA4"/>
    <w:rsid w:val="397C9D75"/>
    <w:rsid w:val="3992E723"/>
    <w:rsid w:val="39B2B436"/>
    <w:rsid w:val="39EE0BD5"/>
    <w:rsid w:val="39F778B1"/>
    <w:rsid w:val="3A0FC4FB"/>
    <w:rsid w:val="3A46E071"/>
    <w:rsid w:val="3AA07AE5"/>
    <w:rsid w:val="3AB7E544"/>
    <w:rsid w:val="3AE63DC5"/>
    <w:rsid w:val="3B2F9138"/>
    <w:rsid w:val="3B4FCFC6"/>
    <w:rsid w:val="3B6671BA"/>
    <w:rsid w:val="3C524A07"/>
    <w:rsid w:val="3C67EC88"/>
    <w:rsid w:val="3C75F801"/>
    <w:rsid w:val="3C7E46D7"/>
    <w:rsid w:val="3CCBA9A0"/>
    <w:rsid w:val="3D077CF0"/>
    <w:rsid w:val="3D0A4327"/>
    <w:rsid w:val="3D164D9B"/>
    <w:rsid w:val="3D2466F4"/>
    <w:rsid w:val="3D576FD1"/>
    <w:rsid w:val="3DC6076B"/>
    <w:rsid w:val="3E1A2CCC"/>
    <w:rsid w:val="3E2C084A"/>
    <w:rsid w:val="3E3ECBAC"/>
    <w:rsid w:val="3E4C7BE0"/>
    <w:rsid w:val="3E7283BA"/>
    <w:rsid w:val="3E76E2EF"/>
    <w:rsid w:val="3E83E7FA"/>
    <w:rsid w:val="3EA637B1"/>
    <w:rsid w:val="3EA95176"/>
    <w:rsid w:val="3EB93190"/>
    <w:rsid w:val="3EDBE241"/>
    <w:rsid w:val="3EE25749"/>
    <w:rsid w:val="3EEE6A4F"/>
    <w:rsid w:val="3F444DDE"/>
    <w:rsid w:val="3F4747C1"/>
    <w:rsid w:val="3F73DA9A"/>
    <w:rsid w:val="3FDADAD2"/>
    <w:rsid w:val="401CB5C5"/>
    <w:rsid w:val="402C785F"/>
    <w:rsid w:val="4073FD3A"/>
    <w:rsid w:val="40848873"/>
    <w:rsid w:val="40A2B5A3"/>
    <w:rsid w:val="40B50837"/>
    <w:rsid w:val="40D01642"/>
    <w:rsid w:val="40D0FB27"/>
    <w:rsid w:val="4106FF51"/>
    <w:rsid w:val="4141438F"/>
    <w:rsid w:val="418EE5A4"/>
    <w:rsid w:val="4194AB77"/>
    <w:rsid w:val="41EC335D"/>
    <w:rsid w:val="421202A0"/>
    <w:rsid w:val="421CB25A"/>
    <w:rsid w:val="426F4AD1"/>
    <w:rsid w:val="427E2B82"/>
    <w:rsid w:val="429380E1"/>
    <w:rsid w:val="42EE3339"/>
    <w:rsid w:val="42FDED60"/>
    <w:rsid w:val="43130C5B"/>
    <w:rsid w:val="432AC305"/>
    <w:rsid w:val="434A3111"/>
    <w:rsid w:val="4383D775"/>
    <w:rsid w:val="43957712"/>
    <w:rsid w:val="43A651A6"/>
    <w:rsid w:val="43E07339"/>
    <w:rsid w:val="43E90DCA"/>
    <w:rsid w:val="442C8D09"/>
    <w:rsid w:val="4439DFE4"/>
    <w:rsid w:val="44D6CA8F"/>
    <w:rsid w:val="44E4C741"/>
    <w:rsid w:val="450627F4"/>
    <w:rsid w:val="452E60B8"/>
    <w:rsid w:val="45616D01"/>
    <w:rsid w:val="457C11FC"/>
    <w:rsid w:val="4584E605"/>
    <w:rsid w:val="45B2B156"/>
    <w:rsid w:val="45C19A7D"/>
    <w:rsid w:val="46792C66"/>
    <w:rsid w:val="468E1623"/>
    <w:rsid w:val="47269AC9"/>
    <w:rsid w:val="47548B31"/>
    <w:rsid w:val="475EB190"/>
    <w:rsid w:val="4783ECB0"/>
    <w:rsid w:val="47D09F98"/>
    <w:rsid w:val="47ED8894"/>
    <w:rsid w:val="47F14950"/>
    <w:rsid w:val="4801FA31"/>
    <w:rsid w:val="48196ACD"/>
    <w:rsid w:val="482D8A8D"/>
    <w:rsid w:val="484651BD"/>
    <w:rsid w:val="48DFAE61"/>
    <w:rsid w:val="49091C59"/>
    <w:rsid w:val="493EC9D5"/>
    <w:rsid w:val="494AF9DC"/>
    <w:rsid w:val="49EBF927"/>
    <w:rsid w:val="4A1594D9"/>
    <w:rsid w:val="4A6AB819"/>
    <w:rsid w:val="4A6C46FC"/>
    <w:rsid w:val="4A85EE94"/>
    <w:rsid w:val="4AB97A3E"/>
    <w:rsid w:val="4AC759FF"/>
    <w:rsid w:val="4AF95FC3"/>
    <w:rsid w:val="4B081432"/>
    <w:rsid w:val="4B3B1CF6"/>
    <w:rsid w:val="4B775E81"/>
    <w:rsid w:val="4B9FF725"/>
    <w:rsid w:val="4BA4A145"/>
    <w:rsid w:val="4C5B8CCC"/>
    <w:rsid w:val="4C729D0A"/>
    <w:rsid w:val="4CC04AC7"/>
    <w:rsid w:val="4CFDA3F3"/>
    <w:rsid w:val="4D54CACA"/>
    <w:rsid w:val="4D982F35"/>
    <w:rsid w:val="4DB114AA"/>
    <w:rsid w:val="4DC56418"/>
    <w:rsid w:val="4DC7779E"/>
    <w:rsid w:val="4DCDD05D"/>
    <w:rsid w:val="4DF43D9A"/>
    <w:rsid w:val="4E40A07D"/>
    <w:rsid w:val="4E6697D6"/>
    <w:rsid w:val="4EA1AB3B"/>
    <w:rsid w:val="4EA970B2"/>
    <w:rsid w:val="4EC1C74B"/>
    <w:rsid w:val="4ECA5EAE"/>
    <w:rsid w:val="4EE6A58F"/>
    <w:rsid w:val="4F0DCB0C"/>
    <w:rsid w:val="4F3AED90"/>
    <w:rsid w:val="50123418"/>
    <w:rsid w:val="50130EBA"/>
    <w:rsid w:val="5031D49D"/>
    <w:rsid w:val="50325BCE"/>
    <w:rsid w:val="508FA00C"/>
    <w:rsid w:val="50E94E1D"/>
    <w:rsid w:val="51091365"/>
    <w:rsid w:val="510F86A4"/>
    <w:rsid w:val="514E1791"/>
    <w:rsid w:val="51862D34"/>
    <w:rsid w:val="51B47429"/>
    <w:rsid w:val="5216B60A"/>
    <w:rsid w:val="5267DD53"/>
    <w:rsid w:val="528F2884"/>
    <w:rsid w:val="52909744"/>
    <w:rsid w:val="52D4C8AD"/>
    <w:rsid w:val="52E57E32"/>
    <w:rsid w:val="5308AE9A"/>
    <w:rsid w:val="5343C8E9"/>
    <w:rsid w:val="5344CF3F"/>
    <w:rsid w:val="536AFFC6"/>
    <w:rsid w:val="53909826"/>
    <w:rsid w:val="543E455F"/>
    <w:rsid w:val="546E2A7A"/>
    <w:rsid w:val="547FD402"/>
    <w:rsid w:val="54BF5E8F"/>
    <w:rsid w:val="54CDB3CB"/>
    <w:rsid w:val="54EFF4FE"/>
    <w:rsid w:val="54FAEA5C"/>
    <w:rsid w:val="5559D0CA"/>
    <w:rsid w:val="557142A7"/>
    <w:rsid w:val="557D428A"/>
    <w:rsid w:val="55CC0D3A"/>
    <w:rsid w:val="55F34B77"/>
    <w:rsid w:val="56499DE8"/>
    <w:rsid w:val="565BFC13"/>
    <w:rsid w:val="56CDF0B9"/>
    <w:rsid w:val="56DBA0F2"/>
    <w:rsid w:val="574786A7"/>
    <w:rsid w:val="5773E7E7"/>
    <w:rsid w:val="5799D768"/>
    <w:rsid w:val="579BBC95"/>
    <w:rsid w:val="57A86826"/>
    <w:rsid w:val="57C7E203"/>
    <w:rsid w:val="58077029"/>
    <w:rsid w:val="5881D0C1"/>
    <w:rsid w:val="588E8D22"/>
    <w:rsid w:val="58C3B290"/>
    <w:rsid w:val="59874CB0"/>
    <w:rsid w:val="5992B09D"/>
    <w:rsid w:val="59CF669D"/>
    <w:rsid w:val="59E5ED3C"/>
    <w:rsid w:val="59F8A47D"/>
    <w:rsid w:val="59FD8D93"/>
    <w:rsid w:val="5A143802"/>
    <w:rsid w:val="5A5E328A"/>
    <w:rsid w:val="5A64EF62"/>
    <w:rsid w:val="5B0EB27E"/>
    <w:rsid w:val="5B135E44"/>
    <w:rsid w:val="5B46D9C1"/>
    <w:rsid w:val="5B7F97F7"/>
    <w:rsid w:val="5B852107"/>
    <w:rsid w:val="5B864941"/>
    <w:rsid w:val="5C1EF045"/>
    <w:rsid w:val="5C2EC647"/>
    <w:rsid w:val="5C3F05EA"/>
    <w:rsid w:val="5C4941E8"/>
    <w:rsid w:val="5C896900"/>
    <w:rsid w:val="5C933D08"/>
    <w:rsid w:val="5CD26916"/>
    <w:rsid w:val="5D29ACC6"/>
    <w:rsid w:val="5D2C50B3"/>
    <w:rsid w:val="5D2E0A99"/>
    <w:rsid w:val="5D4352DA"/>
    <w:rsid w:val="5D60AC8B"/>
    <w:rsid w:val="5D643C47"/>
    <w:rsid w:val="5D6DC9B9"/>
    <w:rsid w:val="5DA5580C"/>
    <w:rsid w:val="5DA7A4F9"/>
    <w:rsid w:val="5DCE12D2"/>
    <w:rsid w:val="5DD6F8BA"/>
    <w:rsid w:val="5E325007"/>
    <w:rsid w:val="5E3D8D18"/>
    <w:rsid w:val="5E63BD79"/>
    <w:rsid w:val="5F1963D6"/>
    <w:rsid w:val="5F46D828"/>
    <w:rsid w:val="5FC37F21"/>
    <w:rsid w:val="5FD13B7E"/>
    <w:rsid w:val="5FDB44A7"/>
    <w:rsid w:val="60200EFA"/>
    <w:rsid w:val="60520EBF"/>
    <w:rsid w:val="606B9DD5"/>
    <w:rsid w:val="60E60DC8"/>
    <w:rsid w:val="60EDFD3D"/>
    <w:rsid w:val="60F35848"/>
    <w:rsid w:val="612F72B0"/>
    <w:rsid w:val="61448B18"/>
    <w:rsid w:val="615FE785"/>
    <w:rsid w:val="61719D35"/>
    <w:rsid w:val="61AAFC35"/>
    <w:rsid w:val="61D45D59"/>
    <w:rsid w:val="62049017"/>
    <w:rsid w:val="621610CF"/>
    <w:rsid w:val="626EE943"/>
    <w:rsid w:val="627448A4"/>
    <w:rsid w:val="6286A574"/>
    <w:rsid w:val="62B2ED1A"/>
    <w:rsid w:val="62B92BDE"/>
    <w:rsid w:val="62C3485F"/>
    <w:rsid w:val="62E161DB"/>
    <w:rsid w:val="633C4658"/>
    <w:rsid w:val="636E76A9"/>
    <w:rsid w:val="636F1866"/>
    <w:rsid w:val="63732CCF"/>
    <w:rsid w:val="637A5FC6"/>
    <w:rsid w:val="643F1071"/>
    <w:rsid w:val="644CCC03"/>
    <w:rsid w:val="6452F525"/>
    <w:rsid w:val="64A3D516"/>
    <w:rsid w:val="64D6660B"/>
    <w:rsid w:val="64FB62E3"/>
    <w:rsid w:val="6546EFD6"/>
    <w:rsid w:val="656DB7F9"/>
    <w:rsid w:val="6571A4A8"/>
    <w:rsid w:val="657AF805"/>
    <w:rsid w:val="65C3914B"/>
    <w:rsid w:val="65D4A242"/>
    <w:rsid w:val="65E9473C"/>
    <w:rsid w:val="65F142A0"/>
    <w:rsid w:val="66165BAE"/>
    <w:rsid w:val="667443D1"/>
    <w:rsid w:val="66BF7AD6"/>
    <w:rsid w:val="66CCCDB4"/>
    <w:rsid w:val="67A8F043"/>
    <w:rsid w:val="67E66F41"/>
    <w:rsid w:val="67F90973"/>
    <w:rsid w:val="67FAE35E"/>
    <w:rsid w:val="68075EF7"/>
    <w:rsid w:val="681A3B02"/>
    <w:rsid w:val="6859B667"/>
    <w:rsid w:val="6959C7DD"/>
    <w:rsid w:val="69833C46"/>
    <w:rsid w:val="69A2F81E"/>
    <w:rsid w:val="69E9AC50"/>
    <w:rsid w:val="6A1A5FC8"/>
    <w:rsid w:val="6A1E3201"/>
    <w:rsid w:val="6A264EFA"/>
    <w:rsid w:val="6A287DC5"/>
    <w:rsid w:val="6A573995"/>
    <w:rsid w:val="6A73057F"/>
    <w:rsid w:val="6ABAAE6F"/>
    <w:rsid w:val="6AF5EC29"/>
    <w:rsid w:val="6B440579"/>
    <w:rsid w:val="6B79B9BC"/>
    <w:rsid w:val="6BC53041"/>
    <w:rsid w:val="6C08C5FD"/>
    <w:rsid w:val="6C2B0A84"/>
    <w:rsid w:val="6C800371"/>
    <w:rsid w:val="6CA04F0B"/>
    <w:rsid w:val="6CC4977B"/>
    <w:rsid w:val="6D432625"/>
    <w:rsid w:val="6D65F259"/>
    <w:rsid w:val="6DCC6025"/>
    <w:rsid w:val="6DE7FD0D"/>
    <w:rsid w:val="6DE82354"/>
    <w:rsid w:val="6DEF4F7D"/>
    <w:rsid w:val="6EAD379D"/>
    <w:rsid w:val="6EAD9E71"/>
    <w:rsid w:val="6EB7A52D"/>
    <w:rsid w:val="6EC16F6F"/>
    <w:rsid w:val="6EC3A75E"/>
    <w:rsid w:val="6EDB95DD"/>
    <w:rsid w:val="6EF53FA3"/>
    <w:rsid w:val="6F15529E"/>
    <w:rsid w:val="6F1B12BA"/>
    <w:rsid w:val="6F5DE387"/>
    <w:rsid w:val="6FA4230B"/>
    <w:rsid w:val="7015ED1C"/>
    <w:rsid w:val="70893250"/>
    <w:rsid w:val="70B63EAB"/>
    <w:rsid w:val="70CA6D69"/>
    <w:rsid w:val="70F3AD84"/>
    <w:rsid w:val="710E8477"/>
    <w:rsid w:val="71137C65"/>
    <w:rsid w:val="71148903"/>
    <w:rsid w:val="711FB5CF"/>
    <w:rsid w:val="71A4800D"/>
    <w:rsid w:val="71BEB080"/>
    <w:rsid w:val="71CA4278"/>
    <w:rsid w:val="71E73E30"/>
    <w:rsid w:val="71FED5EF"/>
    <w:rsid w:val="72155ED8"/>
    <w:rsid w:val="723C5F4F"/>
    <w:rsid w:val="723F95EA"/>
    <w:rsid w:val="72962BAF"/>
    <w:rsid w:val="72D0C34E"/>
    <w:rsid w:val="732ADD40"/>
    <w:rsid w:val="732B61DD"/>
    <w:rsid w:val="7344C3D1"/>
    <w:rsid w:val="73465AB5"/>
    <w:rsid w:val="73988B86"/>
    <w:rsid w:val="73F5AADB"/>
    <w:rsid w:val="7409315B"/>
    <w:rsid w:val="74191493"/>
    <w:rsid w:val="748FFE70"/>
    <w:rsid w:val="74D6A37E"/>
    <w:rsid w:val="74F29637"/>
    <w:rsid w:val="7506CAE5"/>
    <w:rsid w:val="7556A920"/>
    <w:rsid w:val="75647B4F"/>
    <w:rsid w:val="75722276"/>
    <w:rsid w:val="7584CFF2"/>
    <w:rsid w:val="759BD30D"/>
    <w:rsid w:val="75B8A10C"/>
    <w:rsid w:val="75F7B529"/>
    <w:rsid w:val="75F9F6A1"/>
    <w:rsid w:val="764329F6"/>
    <w:rsid w:val="7660E06B"/>
    <w:rsid w:val="766932D5"/>
    <w:rsid w:val="7682ED58"/>
    <w:rsid w:val="76A41D48"/>
    <w:rsid w:val="77055BD2"/>
    <w:rsid w:val="77166164"/>
    <w:rsid w:val="7729A3A2"/>
    <w:rsid w:val="7750D02B"/>
    <w:rsid w:val="77927CA6"/>
    <w:rsid w:val="77A662A1"/>
    <w:rsid w:val="77D2224C"/>
    <w:rsid w:val="77F1EABB"/>
    <w:rsid w:val="7836C4BE"/>
    <w:rsid w:val="783AF395"/>
    <w:rsid w:val="785E2383"/>
    <w:rsid w:val="787F840B"/>
    <w:rsid w:val="78A23761"/>
    <w:rsid w:val="78D0CB32"/>
    <w:rsid w:val="79013056"/>
    <w:rsid w:val="7916B54F"/>
    <w:rsid w:val="793F7599"/>
    <w:rsid w:val="79634A9A"/>
    <w:rsid w:val="797176B5"/>
    <w:rsid w:val="79DE2FFC"/>
    <w:rsid w:val="79F233FE"/>
    <w:rsid w:val="7A00750A"/>
    <w:rsid w:val="7A2A401D"/>
    <w:rsid w:val="7A338308"/>
    <w:rsid w:val="7A51CDA1"/>
    <w:rsid w:val="7AC23CC6"/>
    <w:rsid w:val="7B299B55"/>
    <w:rsid w:val="7B2FF7B3"/>
    <w:rsid w:val="7B43ED5D"/>
    <w:rsid w:val="7B5EC7F3"/>
    <w:rsid w:val="7BE4FFEE"/>
    <w:rsid w:val="7BE7FE64"/>
    <w:rsid w:val="7BEF9199"/>
    <w:rsid w:val="7BFE5FAB"/>
    <w:rsid w:val="7C41850F"/>
    <w:rsid w:val="7C493069"/>
    <w:rsid w:val="7C656001"/>
    <w:rsid w:val="7C7534DB"/>
    <w:rsid w:val="7CB02083"/>
    <w:rsid w:val="7CF81EEB"/>
    <w:rsid w:val="7D0DEA32"/>
    <w:rsid w:val="7D105BAA"/>
    <w:rsid w:val="7D3582C3"/>
    <w:rsid w:val="7D8D2EB2"/>
    <w:rsid w:val="7DA3F243"/>
    <w:rsid w:val="7E9BF496"/>
    <w:rsid w:val="7EA53EE3"/>
    <w:rsid w:val="7EC1E829"/>
    <w:rsid w:val="7EF6F386"/>
    <w:rsid w:val="7F0615AE"/>
    <w:rsid w:val="7F0B0BBC"/>
    <w:rsid w:val="7F1DE3BA"/>
    <w:rsid w:val="7F4FF3D8"/>
    <w:rsid w:val="7F5FB226"/>
    <w:rsid w:val="7FA904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E3FF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371"/>
  </w:style>
  <w:style w:type="paragraph" w:styleId="Heading1">
    <w:name w:val="heading 1"/>
    <w:basedOn w:val="Normal"/>
    <w:next w:val="Normal"/>
    <w:link w:val="Heading1Char"/>
    <w:qFormat/>
    <w:rsid w:val="00EE5F2C"/>
    <w:pPr>
      <w:keepNext/>
      <w:numPr>
        <w:numId w:val="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EE5F2C"/>
    <w:pPr>
      <w:keepNext/>
      <w:numPr>
        <w:ilvl w:val="1"/>
        <w:numId w:val="2"/>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EE5F2C"/>
    <w:pPr>
      <w:keepNext/>
      <w:numPr>
        <w:ilvl w:val="2"/>
        <w:numId w:val="18"/>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EE5F2C"/>
    <w:pPr>
      <w:keepNext/>
      <w:numPr>
        <w:ilvl w:val="3"/>
        <w:numId w:val="18"/>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A159E"/>
    <w:rPr>
      <w:color w:val="0000FF"/>
      <w:shd w:val="clear" w:color="auto" w:fill="auto"/>
    </w:rPr>
  </w:style>
  <w:style w:type="paragraph" w:styleId="Header">
    <w:name w:val="header"/>
    <w:basedOn w:val="Normal"/>
    <w:link w:val="HeaderChar"/>
    <w:uiPriority w:val="99"/>
    <w:unhideWhenUsed/>
    <w:rsid w:val="00CA1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59E"/>
  </w:style>
  <w:style w:type="paragraph" w:styleId="Footer">
    <w:name w:val="footer"/>
    <w:basedOn w:val="Normal"/>
    <w:link w:val="FooterChar"/>
    <w:uiPriority w:val="99"/>
    <w:unhideWhenUsed/>
    <w:rsid w:val="00CA1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59E"/>
  </w:style>
  <w:style w:type="paragraph" w:customStyle="1" w:styleId="Pagedecouverture">
    <w:name w:val="Page de couverture"/>
    <w:basedOn w:val="Normal"/>
    <w:next w:val="Normal"/>
    <w:uiPriority w:val="1"/>
    <w:rsid w:val="00CA159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uiPriority w:val="1"/>
    <w:rsid w:val="00CA159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CA159E"/>
    <w:rPr>
      <w:rFonts w:ascii="Times New Roman" w:hAnsi="Times New Roman" w:cs="Times New Roman"/>
      <w:sz w:val="24"/>
    </w:rPr>
  </w:style>
  <w:style w:type="paragraph" w:customStyle="1" w:styleId="FooterSensitivity">
    <w:name w:val="Footer Sensitivity"/>
    <w:basedOn w:val="Normal"/>
    <w:link w:val="FooterSensitivityChar"/>
    <w:rsid w:val="00CA15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A159E"/>
    <w:rPr>
      <w:rFonts w:ascii="Times New Roman" w:hAnsi="Times New Roman" w:cs="Times New Roman"/>
      <w:b/>
      <w:sz w:val="32"/>
    </w:rPr>
  </w:style>
  <w:style w:type="paragraph" w:customStyle="1" w:styleId="HeaderCoverPage">
    <w:name w:val="Header Cover Page"/>
    <w:basedOn w:val="Normal"/>
    <w:link w:val="HeaderCoverPageChar"/>
    <w:rsid w:val="00CA159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A159E"/>
    <w:rPr>
      <w:rFonts w:ascii="Times New Roman" w:hAnsi="Times New Roman" w:cs="Times New Roman"/>
      <w:sz w:val="24"/>
    </w:rPr>
  </w:style>
  <w:style w:type="paragraph" w:customStyle="1" w:styleId="HeaderSensitivity">
    <w:name w:val="Header Sensitivity"/>
    <w:basedOn w:val="Normal"/>
    <w:link w:val="HeaderSensitivityChar"/>
    <w:rsid w:val="00CA15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A159E"/>
    <w:rPr>
      <w:rFonts w:ascii="Times New Roman" w:hAnsi="Times New Roman" w:cs="Times New Roman"/>
      <w:b/>
      <w:sz w:val="32"/>
    </w:rPr>
  </w:style>
  <w:style w:type="paragraph" w:customStyle="1" w:styleId="HeaderSensitivityRight">
    <w:name w:val="Header Sensitivity Right"/>
    <w:basedOn w:val="Normal"/>
    <w:link w:val="HeaderSensitivityRightChar"/>
    <w:rsid w:val="005A6A1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A159E"/>
    <w:rPr>
      <w:rFonts w:ascii="Times New Roman" w:hAnsi="Times New Roman" w:cs="Times New Roman"/>
      <w:sz w:val="28"/>
    </w:rPr>
  </w:style>
  <w:style w:type="paragraph" w:styleId="FootnoteText">
    <w:name w:val="footnote text"/>
    <w:basedOn w:val="Normal"/>
    <w:uiPriority w:val="99"/>
    <w:qFormat/>
    <w:rsid w:val="00CA159E"/>
    <w:pPr>
      <w:spacing w:after="0"/>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uiPriority w:val="99"/>
    <w:qFormat/>
    <w:rsid w:val="00CA159E"/>
    <w:rPr>
      <w:rFonts w:ascii="Times New Roman" w:eastAsia="Times New Roman" w:hAnsi="Times New Roman" w:cs="Times New Roman"/>
      <w:sz w:val="20"/>
      <w:szCs w:val="20"/>
      <w:lang w:val="fr-FR"/>
    </w:rPr>
  </w:style>
  <w:style w:type="character" w:styleId="Hyperlink">
    <w:name w:val="Hyperlink"/>
    <w:uiPriority w:val="99"/>
    <w:rsid w:val="00CA159E"/>
    <w:rPr>
      <w:color w:val="0000FF"/>
      <w:u w:val="single"/>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BVIfnrCarCarCarCarCharCharCharCharCar"/>
    <w:uiPriority w:val="99"/>
    <w:qFormat/>
    <w:rsid w:val="00CA159E"/>
    <w:rPr>
      <w:vertAlign w:val="superscript"/>
      <w:lang w:val="fr-FR"/>
    </w:rPr>
  </w:style>
  <w:style w:type="paragraph" w:customStyle="1" w:styleId="BVIfnrCarCarCarCarCharCharCharCharCar">
    <w:name w:val="BVI fnr Car Car Car Car Char Char Char Char Car"/>
    <w:basedOn w:val="Normal"/>
    <w:link w:val="FootnoteReference"/>
    <w:uiPriority w:val="99"/>
    <w:rsid w:val="00CA159E"/>
    <w:pPr>
      <w:spacing w:after="160" w:line="240" w:lineRule="exact"/>
      <w:jc w:val="both"/>
    </w:pPr>
    <w:rPr>
      <w:vertAlign w:val="superscript"/>
    </w:rPr>
  </w:style>
  <w:style w:type="character" w:customStyle="1" w:styleId="Heading1Char">
    <w:name w:val="Heading 1 Char"/>
    <w:basedOn w:val="DefaultParagraphFont"/>
    <w:link w:val="Heading1"/>
    <w:rsid w:val="00EE5F2C"/>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EE5F2C"/>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EE5F2C"/>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EE5F2C"/>
    <w:rPr>
      <w:rFonts w:ascii="Times New Roman" w:eastAsia="Times New Roman" w:hAnsi="Times New Roman" w:cs="Times New Roman"/>
      <w:sz w:val="24"/>
      <w:szCs w:val="20"/>
    </w:rPr>
  </w:style>
  <w:style w:type="paragraph" w:styleId="ListParagraph">
    <w:name w:val="List Paragraph"/>
    <w:basedOn w:val="Normal"/>
    <w:uiPriority w:val="34"/>
    <w:qFormat/>
    <w:rsid w:val="00EE5F2C"/>
    <w:pPr>
      <w:ind w:left="720"/>
      <w:contextualSpacing/>
    </w:pPr>
  </w:style>
  <w:style w:type="character" w:customStyle="1" w:styleId="UnresolvedMention">
    <w:name w:val="Unresolved Mention"/>
    <w:basedOn w:val="DefaultParagraphFont"/>
    <w:uiPriority w:val="99"/>
    <w:semiHidden/>
    <w:unhideWhenUsed/>
    <w:rsid w:val="008F7F65"/>
    <w:rPr>
      <w:color w:val="605E5C"/>
      <w:shd w:val="clear" w:color="auto" w:fill="E1DFDD"/>
    </w:rPr>
  </w:style>
  <w:style w:type="paragraph" w:styleId="Revision">
    <w:name w:val="Revision"/>
    <w:hidden/>
    <w:uiPriority w:val="99"/>
    <w:semiHidden/>
    <w:rsid w:val="00F84456"/>
    <w:pPr>
      <w:spacing w:after="0" w:line="240" w:lineRule="auto"/>
    </w:pPr>
  </w:style>
  <w:style w:type="character" w:styleId="CommentReference">
    <w:name w:val="annotation reference"/>
    <w:basedOn w:val="DefaultParagraphFont"/>
    <w:uiPriority w:val="99"/>
    <w:semiHidden/>
    <w:unhideWhenUsed/>
    <w:rsid w:val="00D011B0"/>
    <w:rPr>
      <w:sz w:val="16"/>
      <w:szCs w:val="16"/>
    </w:rPr>
  </w:style>
  <w:style w:type="paragraph" w:styleId="CommentText">
    <w:name w:val="annotation text"/>
    <w:basedOn w:val="Normal"/>
    <w:link w:val="CommentTextChar"/>
    <w:uiPriority w:val="99"/>
    <w:unhideWhenUsed/>
    <w:rsid w:val="00D011B0"/>
    <w:pPr>
      <w:spacing w:line="240" w:lineRule="auto"/>
    </w:pPr>
    <w:rPr>
      <w:sz w:val="20"/>
      <w:szCs w:val="20"/>
    </w:rPr>
  </w:style>
  <w:style w:type="character" w:customStyle="1" w:styleId="CommentTextChar">
    <w:name w:val="Comment Text Char"/>
    <w:basedOn w:val="DefaultParagraphFont"/>
    <w:link w:val="CommentText"/>
    <w:uiPriority w:val="99"/>
    <w:rsid w:val="00D011B0"/>
    <w:rPr>
      <w:sz w:val="20"/>
      <w:szCs w:val="20"/>
    </w:rPr>
  </w:style>
  <w:style w:type="paragraph" w:styleId="CommentSubject">
    <w:name w:val="annotation subject"/>
    <w:basedOn w:val="CommentText"/>
    <w:next w:val="CommentText"/>
    <w:link w:val="CommentSubjectChar"/>
    <w:uiPriority w:val="99"/>
    <w:semiHidden/>
    <w:unhideWhenUsed/>
    <w:rsid w:val="00D011B0"/>
    <w:rPr>
      <w:b/>
      <w:bCs/>
    </w:rPr>
  </w:style>
  <w:style w:type="character" w:customStyle="1" w:styleId="CommentSubjectChar">
    <w:name w:val="Comment Subject Char"/>
    <w:basedOn w:val="CommentTextChar"/>
    <w:link w:val="CommentSubject"/>
    <w:uiPriority w:val="99"/>
    <w:semiHidden/>
    <w:rsid w:val="00D011B0"/>
    <w:rPr>
      <w:b/>
      <w:bCs/>
      <w:sz w:val="20"/>
      <w:szCs w:val="20"/>
    </w:rPr>
  </w:style>
  <w:style w:type="character" w:styleId="FollowedHyperlink">
    <w:name w:val="FollowedHyperlink"/>
    <w:basedOn w:val="DefaultParagraphFont"/>
    <w:uiPriority w:val="99"/>
    <w:semiHidden/>
    <w:unhideWhenUsed/>
    <w:rsid w:val="00A02B42"/>
    <w:rPr>
      <w:color w:val="800080" w:themeColor="followedHyperlink"/>
      <w:u w:val="single"/>
    </w:rPr>
  </w:style>
  <w:style w:type="paragraph" w:customStyle="1" w:styleId="Languesfaisantfoi">
    <w:name w:val="Langues faisant foi"/>
    <w:basedOn w:val="Normal"/>
    <w:next w:val="Normal"/>
    <w:rsid w:val="00501E7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501E7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501E7D"/>
    <w:pPr>
      <w:spacing w:after="0"/>
    </w:pPr>
  </w:style>
  <w:style w:type="paragraph" w:customStyle="1" w:styleId="IntrtEEEPagedecouverture">
    <w:name w:val="Intérêt EEE (Page de couverture)"/>
    <w:basedOn w:val="IntrtEEE"/>
    <w:next w:val="Normal"/>
    <w:rsid w:val="00501E7D"/>
  </w:style>
  <w:style w:type="paragraph" w:styleId="NormalWeb">
    <w:name w:val="Normal (Web)"/>
    <w:basedOn w:val="Normal"/>
    <w:uiPriority w:val="99"/>
    <w:semiHidden/>
    <w:unhideWhenUsed/>
    <w:rsid w:val="006053D4"/>
    <w:rPr>
      <w:rFonts w:ascii="Times New Roman" w:hAnsi="Times New Roman" w:cs="Times New Roman"/>
      <w:sz w:val="24"/>
      <w:szCs w:val="24"/>
    </w:rPr>
  </w:style>
  <w:style w:type="character" w:customStyle="1" w:styleId="Mention">
    <w:name w:val="Mention"/>
    <w:basedOn w:val="DefaultParagraphFont"/>
    <w:uiPriority w:val="99"/>
    <w:unhideWhenUsed/>
    <w:rsid w:val="001A2B1E"/>
    <w:rPr>
      <w:color w:val="2B579A"/>
      <w:shd w:val="clear" w:color="auto" w:fill="E1DFDD"/>
    </w:rPr>
  </w:style>
  <w:style w:type="paragraph" w:customStyle="1" w:styleId="Point0number">
    <w:name w:val="Point 0 (number)"/>
    <w:basedOn w:val="Normal"/>
    <w:rsid w:val="008726E1"/>
    <w:pPr>
      <w:numPr>
        <w:numId w:val="8"/>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8726E1"/>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8726E1"/>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8726E1"/>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8726E1"/>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8726E1"/>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8726E1"/>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8726E1"/>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8726E1"/>
    <w:pPr>
      <w:numPr>
        <w:ilvl w:val="8"/>
        <w:numId w:val="8"/>
      </w:numPr>
      <w:spacing w:before="120" w:after="120" w:line="240" w:lineRule="auto"/>
      <w:jc w:val="both"/>
    </w:pPr>
    <w:rPr>
      <w:rFonts w:ascii="Times New Roman" w:hAnsi="Times New Roman" w:cs="Times New Roman"/>
      <w:sz w:val="24"/>
    </w:rPr>
  </w:style>
  <w:style w:type="character" w:customStyle="1" w:styleId="cf01">
    <w:name w:val="cf01"/>
    <w:basedOn w:val="DefaultParagraphFont"/>
    <w:rsid w:val="0082055B"/>
    <w:rPr>
      <w:rFonts w:ascii="Segoe UI" w:hAnsi="Segoe UI" w:cs="Segoe UI" w:hint="default"/>
      <w:sz w:val="18"/>
      <w:szCs w:val="18"/>
    </w:rPr>
  </w:style>
  <w:style w:type="paragraph" w:customStyle="1" w:styleId="Disclaimer">
    <w:name w:val="Disclaimer"/>
    <w:basedOn w:val="Normal"/>
    <w:rsid w:val="005A6A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A6A1E"/>
    <w:pPr>
      <w:spacing w:after="0"/>
      <w:ind w:left="5103"/>
    </w:pPr>
    <w:rPr>
      <w:rFonts w:ascii="Times New Roman" w:hAnsi="Times New Roman" w:cs="Times New Roman"/>
      <w:sz w:val="28"/>
    </w:rPr>
  </w:style>
  <w:style w:type="paragraph" w:customStyle="1" w:styleId="DateMarking">
    <w:name w:val="DateMarking"/>
    <w:basedOn w:val="Normal"/>
    <w:rsid w:val="005A6A1E"/>
    <w:pPr>
      <w:spacing w:after="0"/>
      <w:ind w:left="5103"/>
    </w:pPr>
    <w:rPr>
      <w:rFonts w:ascii="Times New Roman" w:hAnsi="Times New Roman" w:cs="Times New Roman"/>
      <w:i/>
      <w:sz w:val="28"/>
    </w:rPr>
  </w:style>
  <w:style w:type="paragraph" w:customStyle="1" w:styleId="ReleasableTo">
    <w:name w:val="ReleasableTo"/>
    <w:basedOn w:val="Normal"/>
    <w:rsid w:val="005A6A1E"/>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70206">
      <w:bodyDiv w:val="1"/>
      <w:marLeft w:val="0"/>
      <w:marRight w:val="0"/>
      <w:marTop w:val="0"/>
      <w:marBottom w:val="0"/>
      <w:divBdr>
        <w:top w:val="none" w:sz="0" w:space="0" w:color="auto"/>
        <w:left w:val="none" w:sz="0" w:space="0" w:color="auto"/>
        <w:bottom w:val="none" w:sz="0" w:space="0" w:color="auto"/>
        <w:right w:val="none" w:sz="0" w:space="0" w:color="auto"/>
      </w:divBdr>
      <w:divsChild>
        <w:div w:id="105664439">
          <w:marLeft w:val="0"/>
          <w:marRight w:val="0"/>
          <w:marTop w:val="0"/>
          <w:marBottom w:val="0"/>
          <w:divBdr>
            <w:top w:val="none" w:sz="0" w:space="0" w:color="auto"/>
            <w:left w:val="none" w:sz="0" w:space="0" w:color="auto"/>
            <w:bottom w:val="none" w:sz="0" w:space="0" w:color="auto"/>
            <w:right w:val="none" w:sz="0" w:space="0" w:color="auto"/>
          </w:divBdr>
          <w:divsChild>
            <w:div w:id="343676276">
              <w:marLeft w:val="0"/>
              <w:marRight w:val="0"/>
              <w:marTop w:val="0"/>
              <w:marBottom w:val="0"/>
              <w:divBdr>
                <w:top w:val="none" w:sz="0" w:space="0" w:color="auto"/>
                <w:left w:val="none" w:sz="0" w:space="0" w:color="auto"/>
                <w:bottom w:val="none" w:sz="0" w:space="0" w:color="auto"/>
                <w:right w:val="none" w:sz="0" w:space="0" w:color="auto"/>
              </w:divBdr>
              <w:divsChild>
                <w:div w:id="10280956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24418822">
      <w:bodyDiv w:val="1"/>
      <w:marLeft w:val="0"/>
      <w:marRight w:val="0"/>
      <w:marTop w:val="0"/>
      <w:marBottom w:val="0"/>
      <w:divBdr>
        <w:top w:val="none" w:sz="0" w:space="0" w:color="auto"/>
        <w:left w:val="none" w:sz="0" w:space="0" w:color="auto"/>
        <w:bottom w:val="none" w:sz="0" w:space="0" w:color="auto"/>
        <w:right w:val="none" w:sz="0" w:space="0" w:color="auto"/>
      </w:divBdr>
    </w:div>
    <w:div w:id="267545678">
      <w:bodyDiv w:val="1"/>
      <w:marLeft w:val="0"/>
      <w:marRight w:val="0"/>
      <w:marTop w:val="0"/>
      <w:marBottom w:val="0"/>
      <w:divBdr>
        <w:top w:val="none" w:sz="0" w:space="0" w:color="auto"/>
        <w:left w:val="none" w:sz="0" w:space="0" w:color="auto"/>
        <w:bottom w:val="none" w:sz="0" w:space="0" w:color="auto"/>
        <w:right w:val="none" w:sz="0" w:space="0" w:color="auto"/>
      </w:divBdr>
    </w:div>
    <w:div w:id="278880040">
      <w:bodyDiv w:val="1"/>
      <w:marLeft w:val="0"/>
      <w:marRight w:val="0"/>
      <w:marTop w:val="0"/>
      <w:marBottom w:val="0"/>
      <w:divBdr>
        <w:top w:val="none" w:sz="0" w:space="0" w:color="auto"/>
        <w:left w:val="none" w:sz="0" w:space="0" w:color="auto"/>
        <w:bottom w:val="none" w:sz="0" w:space="0" w:color="auto"/>
        <w:right w:val="none" w:sz="0" w:space="0" w:color="auto"/>
      </w:divBdr>
    </w:div>
    <w:div w:id="279537008">
      <w:bodyDiv w:val="1"/>
      <w:marLeft w:val="0"/>
      <w:marRight w:val="0"/>
      <w:marTop w:val="0"/>
      <w:marBottom w:val="0"/>
      <w:divBdr>
        <w:top w:val="none" w:sz="0" w:space="0" w:color="auto"/>
        <w:left w:val="none" w:sz="0" w:space="0" w:color="auto"/>
        <w:bottom w:val="none" w:sz="0" w:space="0" w:color="auto"/>
        <w:right w:val="none" w:sz="0" w:space="0" w:color="auto"/>
      </w:divBdr>
    </w:div>
    <w:div w:id="371615622">
      <w:bodyDiv w:val="1"/>
      <w:marLeft w:val="0"/>
      <w:marRight w:val="0"/>
      <w:marTop w:val="0"/>
      <w:marBottom w:val="0"/>
      <w:divBdr>
        <w:top w:val="none" w:sz="0" w:space="0" w:color="auto"/>
        <w:left w:val="none" w:sz="0" w:space="0" w:color="auto"/>
        <w:bottom w:val="none" w:sz="0" w:space="0" w:color="auto"/>
        <w:right w:val="none" w:sz="0" w:space="0" w:color="auto"/>
      </w:divBdr>
    </w:div>
    <w:div w:id="439186823">
      <w:bodyDiv w:val="1"/>
      <w:marLeft w:val="0"/>
      <w:marRight w:val="0"/>
      <w:marTop w:val="0"/>
      <w:marBottom w:val="0"/>
      <w:divBdr>
        <w:top w:val="none" w:sz="0" w:space="0" w:color="auto"/>
        <w:left w:val="none" w:sz="0" w:space="0" w:color="auto"/>
        <w:bottom w:val="none" w:sz="0" w:space="0" w:color="auto"/>
        <w:right w:val="none" w:sz="0" w:space="0" w:color="auto"/>
      </w:divBdr>
    </w:div>
    <w:div w:id="523057399">
      <w:bodyDiv w:val="1"/>
      <w:marLeft w:val="0"/>
      <w:marRight w:val="0"/>
      <w:marTop w:val="0"/>
      <w:marBottom w:val="0"/>
      <w:divBdr>
        <w:top w:val="none" w:sz="0" w:space="0" w:color="auto"/>
        <w:left w:val="none" w:sz="0" w:space="0" w:color="auto"/>
        <w:bottom w:val="none" w:sz="0" w:space="0" w:color="auto"/>
        <w:right w:val="none" w:sz="0" w:space="0" w:color="auto"/>
      </w:divBdr>
    </w:div>
    <w:div w:id="545802625">
      <w:bodyDiv w:val="1"/>
      <w:marLeft w:val="0"/>
      <w:marRight w:val="0"/>
      <w:marTop w:val="0"/>
      <w:marBottom w:val="0"/>
      <w:divBdr>
        <w:top w:val="none" w:sz="0" w:space="0" w:color="auto"/>
        <w:left w:val="none" w:sz="0" w:space="0" w:color="auto"/>
        <w:bottom w:val="none" w:sz="0" w:space="0" w:color="auto"/>
        <w:right w:val="none" w:sz="0" w:space="0" w:color="auto"/>
      </w:divBdr>
    </w:div>
    <w:div w:id="550658104">
      <w:bodyDiv w:val="1"/>
      <w:marLeft w:val="0"/>
      <w:marRight w:val="0"/>
      <w:marTop w:val="0"/>
      <w:marBottom w:val="0"/>
      <w:divBdr>
        <w:top w:val="none" w:sz="0" w:space="0" w:color="auto"/>
        <w:left w:val="none" w:sz="0" w:space="0" w:color="auto"/>
        <w:bottom w:val="none" w:sz="0" w:space="0" w:color="auto"/>
        <w:right w:val="none" w:sz="0" w:space="0" w:color="auto"/>
      </w:divBdr>
    </w:div>
    <w:div w:id="705981581">
      <w:bodyDiv w:val="1"/>
      <w:marLeft w:val="0"/>
      <w:marRight w:val="0"/>
      <w:marTop w:val="0"/>
      <w:marBottom w:val="0"/>
      <w:divBdr>
        <w:top w:val="none" w:sz="0" w:space="0" w:color="auto"/>
        <w:left w:val="none" w:sz="0" w:space="0" w:color="auto"/>
        <w:bottom w:val="none" w:sz="0" w:space="0" w:color="auto"/>
        <w:right w:val="none" w:sz="0" w:space="0" w:color="auto"/>
      </w:divBdr>
    </w:div>
    <w:div w:id="844519492">
      <w:bodyDiv w:val="1"/>
      <w:marLeft w:val="0"/>
      <w:marRight w:val="0"/>
      <w:marTop w:val="0"/>
      <w:marBottom w:val="0"/>
      <w:divBdr>
        <w:top w:val="none" w:sz="0" w:space="0" w:color="auto"/>
        <w:left w:val="none" w:sz="0" w:space="0" w:color="auto"/>
        <w:bottom w:val="none" w:sz="0" w:space="0" w:color="auto"/>
        <w:right w:val="none" w:sz="0" w:space="0" w:color="auto"/>
      </w:divBdr>
    </w:div>
    <w:div w:id="863440942">
      <w:bodyDiv w:val="1"/>
      <w:marLeft w:val="0"/>
      <w:marRight w:val="0"/>
      <w:marTop w:val="0"/>
      <w:marBottom w:val="0"/>
      <w:divBdr>
        <w:top w:val="none" w:sz="0" w:space="0" w:color="auto"/>
        <w:left w:val="none" w:sz="0" w:space="0" w:color="auto"/>
        <w:bottom w:val="none" w:sz="0" w:space="0" w:color="auto"/>
        <w:right w:val="none" w:sz="0" w:space="0" w:color="auto"/>
      </w:divBdr>
    </w:div>
    <w:div w:id="874005965">
      <w:bodyDiv w:val="1"/>
      <w:marLeft w:val="0"/>
      <w:marRight w:val="0"/>
      <w:marTop w:val="0"/>
      <w:marBottom w:val="0"/>
      <w:divBdr>
        <w:top w:val="none" w:sz="0" w:space="0" w:color="auto"/>
        <w:left w:val="none" w:sz="0" w:space="0" w:color="auto"/>
        <w:bottom w:val="none" w:sz="0" w:space="0" w:color="auto"/>
        <w:right w:val="none" w:sz="0" w:space="0" w:color="auto"/>
      </w:divBdr>
    </w:div>
    <w:div w:id="939140984">
      <w:bodyDiv w:val="1"/>
      <w:marLeft w:val="0"/>
      <w:marRight w:val="0"/>
      <w:marTop w:val="0"/>
      <w:marBottom w:val="0"/>
      <w:divBdr>
        <w:top w:val="none" w:sz="0" w:space="0" w:color="auto"/>
        <w:left w:val="none" w:sz="0" w:space="0" w:color="auto"/>
        <w:bottom w:val="none" w:sz="0" w:space="0" w:color="auto"/>
        <w:right w:val="none" w:sz="0" w:space="0" w:color="auto"/>
      </w:divBdr>
    </w:div>
    <w:div w:id="939947922">
      <w:bodyDiv w:val="1"/>
      <w:marLeft w:val="0"/>
      <w:marRight w:val="0"/>
      <w:marTop w:val="0"/>
      <w:marBottom w:val="0"/>
      <w:divBdr>
        <w:top w:val="none" w:sz="0" w:space="0" w:color="auto"/>
        <w:left w:val="none" w:sz="0" w:space="0" w:color="auto"/>
        <w:bottom w:val="none" w:sz="0" w:space="0" w:color="auto"/>
        <w:right w:val="none" w:sz="0" w:space="0" w:color="auto"/>
      </w:divBdr>
    </w:div>
    <w:div w:id="1010909741">
      <w:bodyDiv w:val="1"/>
      <w:marLeft w:val="0"/>
      <w:marRight w:val="0"/>
      <w:marTop w:val="0"/>
      <w:marBottom w:val="0"/>
      <w:divBdr>
        <w:top w:val="none" w:sz="0" w:space="0" w:color="auto"/>
        <w:left w:val="none" w:sz="0" w:space="0" w:color="auto"/>
        <w:bottom w:val="none" w:sz="0" w:space="0" w:color="auto"/>
        <w:right w:val="none" w:sz="0" w:space="0" w:color="auto"/>
      </w:divBdr>
    </w:div>
    <w:div w:id="1075787858">
      <w:bodyDiv w:val="1"/>
      <w:marLeft w:val="0"/>
      <w:marRight w:val="0"/>
      <w:marTop w:val="0"/>
      <w:marBottom w:val="0"/>
      <w:divBdr>
        <w:top w:val="none" w:sz="0" w:space="0" w:color="auto"/>
        <w:left w:val="none" w:sz="0" w:space="0" w:color="auto"/>
        <w:bottom w:val="none" w:sz="0" w:space="0" w:color="auto"/>
        <w:right w:val="none" w:sz="0" w:space="0" w:color="auto"/>
      </w:divBdr>
    </w:div>
    <w:div w:id="1165122501">
      <w:bodyDiv w:val="1"/>
      <w:marLeft w:val="0"/>
      <w:marRight w:val="0"/>
      <w:marTop w:val="0"/>
      <w:marBottom w:val="0"/>
      <w:divBdr>
        <w:top w:val="none" w:sz="0" w:space="0" w:color="auto"/>
        <w:left w:val="none" w:sz="0" w:space="0" w:color="auto"/>
        <w:bottom w:val="none" w:sz="0" w:space="0" w:color="auto"/>
        <w:right w:val="none" w:sz="0" w:space="0" w:color="auto"/>
      </w:divBdr>
    </w:div>
    <w:div w:id="1209949100">
      <w:bodyDiv w:val="1"/>
      <w:marLeft w:val="0"/>
      <w:marRight w:val="0"/>
      <w:marTop w:val="0"/>
      <w:marBottom w:val="0"/>
      <w:divBdr>
        <w:top w:val="none" w:sz="0" w:space="0" w:color="auto"/>
        <w:left w:val="none" w:sz="0" w:space="0" w:color="auto"/>
        <w:bottom w:val="none" w:sz="0" w:space="0" w:color="auto"/>
        <w:right w:val="none" w:sz="0" w:space="0" w:color="auto"/>
      </w:divBdr>
    </w:div>
    <w:div w:id="1227912203">
      <w:bodyDiv w:val="1"/>
      <w:marLeft w:val="0"/>
      <w:marRight w:val="0"/>
      <w:marTop w:val="0"/>
      <w:marBottom w:val="0"/>
      <w:divBdr>
        <w:top w:val="none" w:sz="0" w:space="0" w:color="auto"/>
        <w:left w:val="none" w:sz="0" w:space="0" w:color="auto"/>
        <w:bottom w:val="none" w:sz="0" w:space="0" w:color="auto"/>
        <w:right w:val="none" w:sz="0" w:space="0" w:color="auto"/>
      </w:divBdr>
    </w:div>
    <w:div w:id="1265721559">
      <w:bodyDiv w:val="1"/>
      <w:marLeft w:val="0"/>
      <w:marRight w:val="0"/>
      <w:marTop w:val="0"/>
      <w:marBottom w:val="0"/>
      <w:divBdr>
        <w:top w:val="none" w:sz="0" w:space="0" w:color="auto"/>
        <w:left w:val="none" w:sz="0" w:space="0" w:color="auto"/>
        <w:bottom w:val="none" w:sz="0" w:space="0" w:color="auto"/>
        <w:right w:val="none" w:sz="0" w:space="0" w:color="auto"/>
      </w:divBdr>
    </w:div>
    <w:div w:id="1268075328">
      <w:bodyDiv w:val="1"/>
      <w:marLeft w:val="0"/>
      <w:marRight w:val="0"/>
      <w:marTop w:val="0"/>
      <w:marBottom w:val="0"/>
      <w:divBdr>
        <w:top w:val="none" w:sz="0" w:space="0" w:color="auto"/>
        <w:left w:val="none" w:sz="0" w:space="0" w:color="auto"/>
        <w:bottom w:val="none" w:sz="0" w:space="0" w:color="auto"/>
        <w:right w:val="none" w:sz="0" w:space="0" w:color="auto"/>
      </w:divBdr>
    </w:div>
    <w:div w:id="1331521016">
      <w:bodyDiv w:val="1"/>
      <w:marLeft w:val="0"/>
      <w:marRight w:val="0"/>
      <w:marTop w:val="0"/>
      <w:marBottom w:val="0"/>
      <w:divBdr>
        <w:top w:val="none" w:sz="0" w:space="0" w:color="auto"/>
        <w:left w:val="none" w:sz="0" w:space="0" w:color="auto"/>
        <w:bottom w:val="none" w:sz="0" w:space="0" w:color="auto"/>
        <w:right w:val="none" w:sz="0" w:space="0" w:color="auto"/>
      </w:divBdr>
    </w:div>
    <w:div w:id="1382899141">
      <w:bodyDiv w:val="1"/>
      <w:marLeft w:val="0"/>
      <w:marRight w:val="0"/>
      <w:marTop w:val="0"/>
      <w:marBottom w:val="0"/>
      <w:divBdr>
        <w:top w:val="none" w:sz="0" w:space="0" w:color="auto"/>
        <w:left w:val="none" w:sz="0" w:space="0" w:color="auto"/>
        <w:bottom w:val="none" w:sz="0" w:space="0" w:color="auto"/>
        <w:right w:val="none" w:sz="0" w:space="0" w:color="auto"/>
      </w:divBdr>
    </w:div>
    <w:div w:id="1397321761">
      <w:bodyDiv w:val="1"/>
      <w:marLeft w:val="0"/>
      <w:marRight w:val="0"/>
      <w:marTop w:val="0"/>
      <w:marBottom w:val="0"/>
      <w:divBdr>
        <w:top w:val="none" w:sz="0" w:space="0" w:color="auto"/>
        <w:left w:val="none" w:sz="0" w:space="0" w:color="auto"/>
        <w:bottom w:val="none" w:sz="0" w:space="0" w:color="auto"/>
        <w:right w:val="none" w:sz="0" w:space="0" w:color="auto"/>
      </w:divBdr>
    </w:div>
    <w:div w:id="1419205537">
      <w:bodyDiv w:val="1"/>
      <w:marLeft w:val="0"/>
      <w:marRight w:val="0"/>
      <w:marTop w:val="0"/>
      <w:marBottom w:val="0"/>
      <w:divBdr>
        <w:top w:val="none" w:sz="0" w:space="0" w:color="auto"/>
        <w:left w:val="none" w:sz="0" w:space="0" w:color="auto"/>
        <w:bottom w:val="none" w:sz="0" w:space="0" w:color="auto"/>
        <w:right w:val="none" w:sz="0" w:space="0" w:color="auto"/>
      </w:divBdr>
      <w:divsChild>
        <w:div w:id="38214371">
          <w:marLeft w:val="0"/>
          <w:marRight w:val="0"/>
          <w:marTop w:val="0"/>
          <w:marBottom w:val="0"/>
          <w:divBdr>
            <w:top w:val="none" w:sz="0" w:space="0" w:color="auto"/>
            <w:left w:val="none" w:sz="0" w:space="0" w:color="auto"/>
            <w:bottom w:val="none" w:sz="0" w:space="0" w:color="auto"/>
            <w:right w:val="none" w:sz="0" w:space="0" w:color="auto"/>
          </w:divBdr>
          <w:divsChild>
            <w:div w:id="66462235">
              <w:marLeft w:val="0"/>
              <w:marRight w:val="0"/>
              <w:marTop w:val="0"/>
              <w:marBottom w:val="0"/>
              <w:divBdr>
                <w:top w:val="none" w:sz="0" w:space="0" w:color="auto"/>
                <w:left w:val="none" w:sz="0" w:space="0" w:color="auto"/>
                <w:bottom w:val="none" w:sz="0" w:space="0" w:color="auto"/>
                <w:right w:val="none" w:sz="0" w:space="0" w:color="auto"/>
              </w:divBdr>
              <w:divsChild>
                <w:div w:id="10446002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463421355">
      <w:bodyDiv w:val="1"/>
      <w:marLeft w:val="0"/>
      <w:marRight w:val="0"/>
      <w:marTop w:val="0"/>
      <w:marBottom w:val="0"/>
      <w:divBdr>
        <w:top w:val="none" w:sz="0" w:space="0" w:color="auto"/>
        <w:left w:val="none" w:sz="0" w:space="0" w:color="auto"/>
        <w:bottom w:val="none" w:sz="0" w:space="0" w:color="auto"/>
        <w:right w:val="none" w:sz="0" w:space="0" w:color="auto"/>
      </w:divBdr>
      <w:divsChild>
        <w:div w:id="13769522">
          <w:marLeft w:val="0"/>
          <w:marRight w:val="0"/>
          <w:marTop w:val="0"/>
          <w:marBottom w:val="0"/>
          <w:divBdr>
            <w:top w:val="none" w:sz="0" w:space="0" w:color="auto"/>
            <w:left w:val="none" w:sz="0" w:space="0" w:color="auto"/>
            <w:bottom w:val="none" w:sz="0" w:space="0" w:color="auto"/>
            <w:right w:val="none" w:sz="0" w:space="0" w:color="auto"/>
          </w:divBdr>
        </w:div>
        <w:div w:id="618222462">
          <w:marLeft w:val="0"/>
          <w:marRight w:val="0"/>
          <w:marTop w:val="0"/>
          <w:marBottom w:val="0"/>
          <w:divBdr>
            <w:top w:val="none" w:sz="0" w:space="0" w:color="auto"/>
            <w:left w:val="none" w:sz="0" w:space="0" w:color="auto"/>
            <w:bottom w:val="none" w:sz="0" w:space="0" w:color="auto"/>
            <w:right w:val="none" w:sz="0" w:space="0" w:color="auto"/>
          </w:divBdr>
        </w:div>
        <w:div w:id="769928819">
          <w:marLeft w:val="0"/>
          <w:marRight w:val="0"/>
          <w:marTop w:val="0"/>
          <w:marBottom w:val="0"/>
          <w:divBdr>
            <w:top w:val="none" w:sz="0" w:space="0" w:color="auto"/>
            <w:left w:val="none" w:sz="0" w:space="0" w:color="auto"/>
            <w:bottom w:val="none" w:sz="0" w:space="0" w:color="auto"/>
            <w:right w:val="none" w:sz="0" w:space="0" w:color="auto"/>
          </w:divBdr>
        </w:div>
        <w:div w:id="2135782475">
          <w:marLeft w:val="0"/>
          <w:marRight w:val="0"/>
          <w:marTop w:val="0"/>
          <w:marBottom w:val="0"/>
          <w:divBdr>
            <w:top w:val="none" w:sz="0" w:space="0" w:color="auto"/>
            <w:left w:val="none" w:sz="0" w:space="0" w:color="auto"/>
            <w:bottom w:val="none" w:sz="0" w:space="0" w:color="auto"/>
            <w:right w:val="none" w:sz="0" w:space="0" w:color="auto"/>
          </w:divBdr>
        </w:div>
      </w:divsChild>
    </w:div>
    <w:div w:id="1611275940">
      <w:bodyDiv w:val="1"/>
      <w:marLeft w:val="0"/>
      <w:marRight w:val="0"/>
      <w:marTop w:val="0"/>
      <w:marBottom w:val="0"/>
      <w:divBdr>
        <w:top w:val="none" w:sz="0" w:space="0" w:color="auto"/>
        <w:left w:val="none" w:sz="0" w:space="0" w:color="auto"/>
        <w:bottom w:val="none" w:sz="0" w:space="0" w:color="auto"/>
        <w:right w:val="none" w:sz="0" w:space="0" w:color="auto"/>
      </w:divBdr>
    </w:div>
    <w:div w:id="1614287827">
      <w:bodyDiv w:val="1"/>
      <w:marLeft w:val="0"/>
      <w:marRight w:val="0"/>
      <w:marTop w:val="0"/>
      <w:marBottom w:val="0"/>
      <w:divBdr>
        <w:top w:val="none" w:sz="0" w:space="0" w:color="auto"/>
        <w:left w:val="none" w:sz="0" w:space="0" w:color="auto"/>
        <w:bottom w:val="none" w:sz="0" w:space="0" w:color="auto"/>
        <w:right w:val="none" w:sz="0" w:space="0" w:color="auto"/>
      </w:divBdr>
    </w:div>
    <w:div w:id="1670522081">
      <w:bodyDiv w:val="1"/>
      <w:marLeft w:val="0"/>
      <w:marRight w:val="0"/>
      <w:marTop w:val="0"/>
      <w:marBottom w:val="0"/>
      <w:divBdr>
        <w:top w:val="none" w:sz="0" w:space="0" w:color="auto"/>
        <w:left w:val="none" w:sz="0" w:space="0" w:color="auto"/>
        <w:bottom w:val="none" w:sz="0" w:space="0" w:color="auto"/>
        <w:right w:val="none" w:sz="0" w:space="0" w:color="auto"/>
      </w:divBdr>
    </w:div>
    <w:div w:id="1746369333">
      <w:bodyDiv w:val="1"/>
      <w:marLeft w:val="0"/>
      <w:marRight w:val="0"/>
      <w:marTop w:val="0"/>
      <w:marBottom w:val="0"/>
      <w:divBdr>
        <w:top w:val="none" w:sz="0" w:space="0" w:color="auto"/>
        <w:left w:val="none" w:sz="0" w:space="0" w:color="auto"/>
        <w:bottom w:val="none" w:sz="0" w:space="0" w:color="auto"/>
        <w:right w:val="none" w:sz="0" w:space="0" w:color="auto"/>
      </w:divBdr>
      <w:divsChild>
        <w:div w:id="1512334295">
          <w:marLeft w:val="0"/>
          <w:marRight w:val="0"/>
          <w:marTop w:val="0"/>
          <w:marBottom w:val="0"/>
          <w:divBdr>
            <w:top w:val="none" w:sz="0" w:space="0" w:color="auto"/>
            <w:left w:val="none" w:sz="0" w:space="0" w:color="auto"/>
            <w:bottom w:val="none" w:sz="0" w:space="0" w:color="auto"/>
            <w:right w:val="none" w:sz="0" w:space="0" w:color="auto"/>
          </w:divBdr>
          <w:divsChild>
            <w:div w:id="187529881">
              <w:marLeft w:val="0"/>
              <w:marRight w:val="0"/>
              <w:marTop w:val="0"/>
              <w:marBottom w:val="0"/>
              <w:divBdr>
                <w:top w:val="none" w:sz="0" w:space="0" w:color="auto"/>
                <w:left w:val="none" w:sz="0" w:space="0" w:color="auto"/>
                <w:bottom w:val="none" w:sz="0" w:space="0" w:color="auto"/>
                <w:right w:val="none" w:sz="0" w:space="0" w:color="auto"/>
              </w:divBdr>
              <w:divsChild>
                <w:div w:id="1606227926">
                  <w:marLeft w:val="0"/>
                  <w:marRight w:val="0"/>
                  <w:marTop w:val="0"/>
                  <w:marBottom w:val="0"/>
                  <w:divBdr>
                    <w:top w:val="none" w:sz="0" w:space="0" w:color="auto"/>
                    <w:left w:val="none" w:sz="0" w:space="0" w:color="auto"/>
                    <w:bottom w:val="none" w:sz="0" w:space="0" w:color="auto"/>
                    <w:right w:val="none" w:sz="0" w:space="0" w:color="auto"/>
                  </w:divBdr>
                  <w:divsChild>
                    <w:div w:id="11209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975341">
      <w:bodyDiv w:val="1"/>
      <w:marLeft w:val="0"/>
      <w:marRight w:val="0"/>
      <w:marTop w:val="0"/>
      <w:marBottom w:val="0"/>
      <w:divBdr>
        <w:top w:val="none" w:sz="0" w:space="0" w:color="auto"/>
        <w:left w:val="none" w:sz="0" w:space="0" w:color="auto"/>
        <w:bottom w:val="none" w:sz="0" w:space="0" w:color="auto"/>
        <w:right w:val="none" w:sz="0" w:space="0" w:color="auto"/>
      </w:divBdr>
    </w:div>
    <w:div w:id="1860728767">
      <w:bodyDiv w:val="1"/>
      <w:marLeft w:val="0"/>
      <w:marRight w:val="0"/>
      <w:marTop w:val="0"/>
      <w:marBottom w:val="0"/>
      <w:divBdr>
        <w:top w:val="none" w:sz="0" w:space="0" w:color="auto"/>
        <w:left w:val="none" w:sz="0" w:space="0" w:color="auto"/>
        <w:bottom w:val="none" w:sz="0" w:space="0" w:color="auto"/>
        <w:right w:val="none" w:sz="0" w:space="0" w:color="auto"/>
      </w:divBdr>
    </w:div>
    <w:div w:id="1933590125">
      <w:bodyDiv w:val="1"/>
      <w:marLeft w:val="0"/>
      <w:marRight w:val="0"/>
      <w:marTop w:val="0"/>
      <w:marBottom w:val="0"/>
      <w:divBdr>
        <w:top w:val="none" w:sz="0" w:space="0" w:color="auto"/>
        <w:left w:val="none" w:sz="0" w:space="0" w:color="auto"/>
        <w:bottom w:val="none" w:sz="0" w:space="0" w:color="auto"/>
        <w:right w:val="none" w:sz="0" w:space="0" w:color="auto"/>
      </w:divBdr>
    </w:div>
    <w:div w:id="2002806754">
      <w:bodyDiv w:val="1"/>
      <w:marLeft w:val="0"/>
      <w:marRight w:val="0"/>
      <w:marTop w:val="0"/>
      <w:marBottom w:val="0"/>
      <w:divBdr>
        <w:top w:val="none" w:sz="0" w:space="0" w:color="auto"/>
        <w:left w:val="none" w:sz="0" w:space="0" w:color="auto"/>
        <w:bottom w:val="none" w:sz="0" w:space="0" w:color="auto"/>
        <w:right w:val="none" w:sz="0" w:space="0" w:color="auto"/>
      </w:divBdr>
      <w:divsChild>
        <w:div w:id="191504232">
          <w:marLeft w:val="0"/>
          <w:marRight w:val="0"/>
          <w:marTop w:val="0"/>
          <w:marBottom w:val="0"/>
          <w:divBdr>
            <w:top w:val="none" w:sz="0" w:space="0" w:color="auto"/>
            <w:left w:val="none" w:sz="0" w:space="0" w:color="auto"/>
            <w:bottom w:val="none" w:sz="0" w:space="0" w:color="auto"/>
            <w:right w:val="none" w:sz="0" w:space="0" w:color="auto"/>
          </w:divBdr>
        </w:div>
        <w:div w:id="720903597">
          <w:marLeft w:val="0"/>
          <w:marRight w:val="0"/>
          <w:marTop w:val="0"/>
          <w:marBottom w:val="0"/>
          <w:divBdr>
            <w:top w:val="none" w:sz="0" w:space="0" w:color="auto"/>
            <w:left w:val="none" w:sz="0" w:space="0" w:color="auto"/>
            <w:bottom w:val="none" w:sz="0" w:space="0" w:color="auto"/>
            <w:right w:val="none" w:sz="0" w:space="0" w:color="auto"/>
          </w:divBdr>
        </w:div>
        <w:div w:id="1037197190">
          <w:marLeft w:val="0"/>
          <w:marRight w:val="0"/>
          <w:marTop w:val="0"/>
          <w:marBottom w:val="0"/>
          <w:divBdr>
            <w:top w:val="none" w:sz="0" w:space="0" w:color="auto"/>
            <w:left w:val="none" w:sz="0" w:space="0" w:color="auto"/>
            <w:bottom w:val="none" w:sz="0" w:space="0" w:color="auto"/>
            <w:right w:val="none" w:sz="0" w:space="0" w:color="auto"/>
          </w:divBdr>
        </w:div>
        <w:div w:id="1261765226">
          <w:marLeft w:val="0"/>
          <w:marRight w:val="0"/>
          <w:marTop w:val="0"/>
          <w:marBottom w:val="0"/>
          <w:divBdr>
            <w:top w:val="none" w:sz="0" w:space="0" w:color="auto"/>
            <w:left w:val="none" w:sz="0" w:space="0" w:color="auto"/>
            <w:bottom w:val="none" w:sz="0" w:space="0" w:color="auto"/>
            <w:right w:val="none" w:sz="0" w:space="0" w:color="auto"/>
          </w:divBdr>
        </w:div>
      </w:divsChild>
    </w:div>
    <w:div w:id="2107337324">
      <w:bodyDiv w:val="1"/>
      <w:marLeft w:val="0"/>
      <w:marRight w:val="0"/>
      <w:marTop w:val="0"/>
      <w:marBottom w:val="0"/>
      <w:divBdr>
        <w:top w:val="none" w:sz="0" w:space="0" w:color="auto"/>
        <w:left w:val="none" w:sz="0" w:space="0" w:color="auto"/>
        <w:bottom w:val="none" w:sz="0" w:space="0" w:color="auto"/>
        <w:right w:val="none" w:sz="0" w:space="0" w:color="auto"/>
      </w:divBdr>
      <w:divsChild>
        <w:div w:id="42366042">
          <w:marLeft w:val="0"/>
          <w:marRight w:val="0"/>
          <w:marTop w:val="0"/>
          <w:marBottom w:val="0"/>
          <w:divBdr>
            <w:top w:val="none" w:sz="0" w:space="0" w:color="auto"/>
            <w:left w:val="none" w:sz="0" w:space="0" w:color="auto"/>
            <w:bottom w:val="none" w:sz="0" w:space="0" w:color="auto"/>
            <w:right w:val="none" w:sz="0" w:space="0" w:color="auto"/>
          </w:divBdr>
          <w:divsChild>
            <w:div w:id="1309673119">
              <w:marLeft w:val="0"/>
              <w:marRight w:val="0"/>
              <w:marTop w:val="0"/>
              <w:marBottom w:val="0"/>
              <w:divBdr>
                <w:top w:val="none" w:sz="0" w:space="0" w:color="auto"/>
                <w:left w:val="none" w:sz="0" w:space="0" w:color="auto"/>
                <w:bottom w:val="none" w:sz="0" w:space="0" w:color="auto"/>
                <w:right w:val="none" w:sz="0" w:space="0" w:color="auto"/>
              </w:divBdr>
              <w:divsChild>
                <w:div w:id="975337315">
                  <w:marLeft w:val="0"/>
                  <w:marRight w:val="0"/>
                  <w:marTop w:val="0"/>
                  <w:marBottom w:val="0"/>
                  <w:divBdr>
                    <w:top w:val="none" w:sz="0" w:space="0" w:color="auto"/>
                    <w:left w:val="none" w:sz="0" w:space="0" w:color="auto"/>
                    <w:bottom w:val="none" w:sz="0" w:space="0" w:color="auto"/>
                    <w:right w:val="none" w:sz="0" w:space="0" w:color="auto"/>
                  </w:divBdr>
                  <w:divsChild>
                    <w:div w:id="101013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dgs.un.org/fr/goals" TargetMode="External"/><Relationship Id="rId13" Type="http://schemas.openxmlformats.org/officeDocument/2006/relationships/hyperlink" Target="https://www.ohchr.org/fr/instruments-mechanisms/instruments/convention-rights-persons-disabilities" TargetMode="External"/><Relationship Id="rId18" Type="http://schemas.openxmlformats.org/officeDocument/2006/relationships/hyperlink" Target="http://data.europa.eu/eli/dec_impl/2024/1158/oj" TargetMode="External"/><Relationship Id="rId3" Type="http://schemas.openxmlformats.org/officeDocument/2006/relationships/hyperlink" Target="https://www.europarl.europa.eu/doceo/document/TA-10-2025-0338_FR.html" TargetMode="External"/><Relationship Id="rId7" Type="http://schemas.openxmlformats.org/officeDocument/2006/relationships/hyperlink" Target="https://www.un.org/womenwatch/daw/beijing/pdf/BDPfA%20F.pdf" TargetMode="External"/><Relationship Id="rId12" Type="http://schemas.openxmlformats.org/officeDocument/2006/relationships/hyperlink" Target="https://sdgs.un.org/fr/2030agenda" TargetMode="External"/><Relationship Id="rId17" Type="http://schemas.openxmlformats.org/officeDocument/2006/relationships/hyperlink" Target="https://www.europarl.europa.eu/doceo/document/TA-10-2025-0338_FR.html" TargetMode="External"/><Relationship Id="rId2" Type="http://schemas.openxmlformats.org/officeDocument/2006/relationships/hyperlink" Target="http://data.europa.eu/eli/dec_impl/2024/1158/oj" TargetMode="External"/><Relationship Id="rId16" Type="http://schemas.openxmlformats.org/officeDocument/2006/relationships/hyperlink" Target="https://www.ohchr.org/fr/women/sexual-and-reproductive-health-and-rights" TargetMode="External"/><Relationship Id="rId1" Type="http://schemas.openxmlformats.org/officeDocument/2006/relationships/hyperlink" Target="https://citizens-initiative.europa.eu/initiatives/details/2024/000004_fr" TargetMode="External"/><Relationship Id="rId6" Type="http://schemas.openxmlformats.org/officeDocument/2006/relationships/hyperlink" Target="https://www.eesc.europa.eu/fr/our-work/opinions-information-reports/opinions/my-voice-my-choice-pour-un-avortement-sans-danger-et-accessible" TargetMode="External"/><Relationship Id="rId11" Type="http://schemas.openxmlformats.org/officeDocument/2006/relationships/hyperlink" Target="https://sdgs.un.org/fr/2030agenda" TargetMode="External"/><Relationship Id="rId5" Type="http://schemas.openxmlformats.org/officeDocument/2006/relationships/hyperlink" Target="https://www.eesc.europa.eu/fr/our-work/opinions-information-reports/opinions/my-voice-my-choice-pour-un-avortement-sans-danger-et-accessible" TargetMode="External"/><Relationship Id="rId15" Type="http://schemas.openxmlformats.org/officeDocument/2006/relationships/hyperlink" Target="https://www.ohchr.org/fr/women/sexual-and-reproductive-health-and-rights" TargetMode="External"/><Relationship Id="rId10" Type="http://schemas.openxmlformats.org/officeDocument/2006/relationships/hyperlink" Target="https://sdgs.un.org/fr/2030agenda" TargetMode="External"/><Relationship Id="rId4" Type="http://schemas.openxmlformats.org/officeDocument/2006/relationships/hyperlink" Target="https://www.eesc.europa.eu/fr/our-work/opinions-information-reports/opinions/my-voice-my-choice-pour-un-avortement-sans-danger-et-accessible" TargetMode="External"/><Relationship Id="rId9" Type="http://schemas.openxmlformats.org/officeDocument/2006/relationships/hyperlink" Target="https://sdgs.un.org/fr/goals" TargetMode="External"/><Relationship Id="rId14" Type="http://schemas.openxmlformats.org/officeDocument/2006/relationships/hyperlink" Target="https://iris.who.int/server/api/core/bitstreams/90aa880d-4ead-4cae-aa48-7878bb5a861e/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C4BB1-BE9E-4CEC-AE6F-5FE2703BA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2026-02-26T08:13:00Z</dcterms:created>
  <dcterms:modified xsi:type="dcterms:W3CDTF">2026-02-26T12:15:00Z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2026-02-25T14:27:37Z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d138422c-9507-4f83-8f53-aef19a14277c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