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E1AC0" w14:textId="15ECDFEC" w:rsidR="00AD3F4F" w:rsidRPr="004B087B" w:rsidRDefault="00FE1469" w:rsidP="00FE1469">
      <w:pPr>
        <w:pStyle w:val="Pagedecouverture"/>
        <w:rPr>
          <w:noProof/>
        </w:rPr>
      </w:pPr>
      <w:bookmarkStart w:id="0" w:name="LW_BM_COVERPAGE"/>
      <w:r>
        <w:rPr>
          <w:noProof/>
        </w:rPr>
        <w:pict w14:anchorId="16B88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D0DF227-F1F5-4282-A492-6F4E144221ED" style="width:455.25pt;height:327.75pt">
            <v:imagedata r:id="rId8" o:title=""/>
          </v:shape>
        </w:pict>
      </w:r>
    </w:p>
    <w:bookmarkEnd w:id="0"/>
    <w:p w14:paraId="33639842" w14:textId="77777777" w:rsidR="00AD3F4F" w:rsidRPr="004B087B" w:rsidRDefault="00AD3F4F" w:rsidP="00AD3F4F">
      <w:pPr>
        <w:rPr>
          <w:noProof/>
        </w:rPr>
        <w:sectPr w:rsidR="00AD3F4F" w:rsidRPr="004B087B" w:rsidSect="00FE146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2E51E3C" w14:textId="765FBCB1" w:rsidR="00EE5F2C" w:rsidRPr="004B087B" w:rsidRDefault="00EE5F2C" w:rsidP="00EE5F2C">
      <w:pPr>
        <w:pStyle w:val="Heading1"/>
        <w:numPr>
          <w:ilvl w:val="0"/>
          <w:numId w:val="3"/>
        </w:numPr>
        <w:tabs>
          <w:tab w:val="clear" w:pos="480"/>
          <w:tab w:val="num" w:pos="360"/>
        </w:tabs>
        <w:rPr>
          <w:noProof/>
        </w:rPr>
      </w:pPr>
      <w:bookmarkStart w:id="1" w:name="_Hlk144385650"/>
      <w:bookmarkStart w:id="2" w:name="_Hlk144473866"/>
      <w:bookmarkStart w:id="3" w:name="_Hlk144474043"/>
      <w:bookmarkStart w:id="4" w:name="_GoBack"/>
      <w:bookmarkEnd w:id="4"/>
      <w:r>
        <w:rPr>
          <w:noProof/>
        </w:rPr>
        <w:lastRenderedPageBreak/>
        <w:t>INTRODUCERE: INIȚIATIVA CETĂȚENEASCĂ EUROPEANĂ</w:t>
      </w:r>
    </w:p>
    <w:p w14:paraId="2F2384EE" w14:textId="4F5F7DA7" w:rsidR="00E8560A" w:rsidRPr="004B087B" w:rsidRDefault="00A961D0" w:rsidP="00EE5F2C">
      <w:pPr>
        <w:spacing w:line="240" w:lineRule="auto"/>
        <w:jc w:val="both"/>
        <w:rPr>
          <w:rFonts w:ascii="Times New Roman" w:hAnsi="Times New Roman" w:cs="Times New Roman"/>
          <w:noProof/>
          <w:sz w:val="24"/>
          <w:szCs w:val="24"/>
        </w:rPr>
      </w:pPr>
      <w:bookmarkStart w:id="5" w:name="_Hlk129776022"/>
      <w:r>
        <w:rPr>
          <w:rFonts w:ascii="Times New Roman" w:hAnsi="Times New Roman"/>
          <w:noProof/>
          <w:sz w:val="24"/>
        </w:rPr>
        <w:t>„My Voice, My Choice: pentru avorturi sigure și accesibile” (MVMC)</w:t>
      </w:r>
      <w:r>
        <w:rPr>
          <w:rFonts w:ascii="Times New Roman" w:hAnsi="Times New Roman" w:cs="Times New Roman"/>
          <w:noProof/>
          <w:sz w:val="24"/>
          <w:szCs w:val="24"/>
          <w:vertAlign w:val="superscript"/>
        </w:rPr>
        <w:footnoteReference w:id="2"/>
      </w:r>
      <w:r>
        <w:rPr>
          <w:rFonts w:ascii="Times New Roman" w:hAnsi="Times New Roman"/>
          <w:noProof/>
          <w:sz w:val="24"/>
        </w:rPr>
        <w:t xml:space="preserve"> este cea de a 12-a inițiativă cetățenească europeană (ICE) prezentată Comisiei spre examinare după atingerea pragurilor</w:t>
      </w:r>
      <w:r>
        <w:rPr>
          <w:rStyle w:val="FootnoteReference"/>
          <w:rFonts w:ascii="Times New Roman" w:hAnsi="Times New Roman" w:cs="Times New Roman"/>
          <w:noProof/>
          <w:sz w:val="24"/>
          <w:szCs w:val="24"/>
          <w:lang w:val="en-GB"/>
        </w:rPr>
        <w:footnoteReference w:id="3"/>
      </w:r>
      <w:r>
        <w:rPr>
          <w:rFonts w:ascii="Times New Roman" w:hAnsi="Times New Roman"/>
          <w:noProof/>
          <w:sz w:val="24"/>
        </w:rPr>
        <w:t xml:space="preserve"> prevăzute de Tratatul privind Uniunea Europeană și de Regulamentul (UE) 2019/788</w:t>
      </w:r>
      <w:r>
        <w:rPr>
          <w:rFonts w:ascii="Times New Roman" w:hAnsi="Times New Roman" w:cs="Times New Roman"/>
          <w:noProof/>
          <w:sz w:val="24"/>
          <w:szCs w:val="24"/>
          <w:vertAlign w:val="superscript"/>
        </w:rPr>
        <w:footnoteReference w:id="4"/>
      </w:r>
      <w:r>
        <w:rPr>
          <w:rFonts w:ascii="Times New Roman" w:hAnsi="Times New Roman"/>
          <w:noProof/>
          <w:sz w:val="24"/>
        </w:rPr>
        <w:t xml:space="preserve"> („Regulamentul privind ICE”). Această inițiativă a fost înregistrată la 10 aprilie 2024 și a fost validată la 1 septembrie 2025.</w:t>
      </w:r>
    </w:p>
    <w:p w14:paraId="40E3328C" w14:textId="1D6461B6" w:rsidR="00EE5F2C" w:rsidRPr="004B087B" w:rsidRDefault="00EE5F2C" w:rsidP="00EE5F2C">
      <w:pPr>
        <w:spacing w:line="240" w:lineRule="auto"/>
        <w:jc w:val="both"/>
        <w:rPr>
          <w:rFonts w:ascii="Times New Roman" w:hAnsi="Times New Roman" w:cs="Times New Roman"/>
          <w:noProof/>
          <w:sz w:val="24"/>
          <w:szCs w:val="24"/>
        </w:rPr>
      </w:pPr>
      <w:r>
        <w:rPr>
          <w:rFonts w:ascii="Times New Roman" w:hAnsi="Times New Roman"/>
          <w:noProof/>
          <w:sz w:val="24"/>
        </w:rPr>
        <w:t>Organizatorii își descriu obiectivele după cum urmează:</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EE5F2C" w:rsidRPr="004B087B" w14:paraId="1633E5E9" w14:textId="77777777" w:rsidTr="00896CCD">
        <w:trPr>
          <w:trHeight w:val="416"/>
        </w:trPr>
        <w:tc>
          <w:tcPr>
            <w:tcW w:w="9356" w:type="dxa"/>
          </w:tcPr>
          <w:p w14:paraId="2C4543FE" w14:textId="19FF6CA3" w:rsidR="00CF5C60" w:rsidRPr="004B087B" w:rsidRDefault="00CF5C60" w:rsidP="00CF5C60">
            <w:pPr>
              <w:spacing w:after="0" w:line="240" w:lineRule="auto"/>
              <w:jc w:val="both"/>
              <w:rPr>
                <w:rFonts w:ascii="Times New Roman" w:hAnsi="Times New Roman" w:cs="Times New Roman"/>
                <w:i/>
                <w:iCs/>
                <w:noProof/>
                <w:sz w:val="24"/>
                <w:szCs w:val="24"/>
              </w:rPr>
            </w:pPr>
            <w:r>
              <w:rPr>
                <w:rFonts w:ascii="Times New Roman" w:hAnsi="Times New Roman"/>
                <w:i/>
                <w:noProof/>
                <w:sz w:val="24"/>
              </w:rPr>
              <w:t>Campania „My Voice, My Choice” le oferă cetățenilor europeni oportunitatea ca viața femeilor să fie mai liberă, mai sigură și mai bună, indiferent unde locuiesc și în ce condiții se află.</w:t>
            </w:r>
          </w:p>
          <w:p w14:paraId="5D291A86" w14:textId="77777777" w:rsidR="00CF5C60" w:rsidRPr="004B087B" w:rsidRDefault="00CF5C60" w:rsidP="00CF5C60">
            <w:pPr>
              <w:spacing w:after="0" w:line="240" w:lineRule="auto"/>
              <w:jc w:val="both"/>
              <w:rPr>
                <w:rFonts w:ascii="Times New Roman" w:hAnsi="Times New Roman" w:cs="Times New Roman"/>
                <w:i/>
                <w:iCs/>
                <w:noProof/>
                <w:sz w:val="24"/>
                <w:szCs w:val="24"/>
              </w:rPr>
            </w:pPr>
          </w:p>
          <w:p w14:paraId="784E2A08" w14:textId="557D92E2" w:rsidR="00CF5C60" w:rsidRPr="004B087B" w:rsidRDefault="00CF5C60" w:rsidP="00CF5C60">
            <w:pPr>
              <w:spacing w:after="0" w:line="240" w:lineRule="auto"/>
              <w:jc w:val="both"/>
              <w:rPr>
                <w:rFonts w:ascii="Times New Roman" w:hAnsi="Times New Roman" w:cs="Times New Roman"/>
                <w:i/>
                <w:noProof/>
                <w:sz w:val="24"/>
                <w:szCs w:val="24"/>
              </w:rPr>
            </w:pPr>
            <w:r>
              <w:rPr>
                <w:rFonts w:ascii="Times New Roman" w:hAnsi="Times New Roman"/>
                <w:i/>
                <w:noProof/>
                <w:sz w:val="24"/>
              </w:rPr>
              <w:t>În multe părți din Europa, lipsa accesului la avort ca asistență medicală de bază acordată femeilor le supune pe acestea riscului de vătămare fizică și, de asemenea, generează tensiuni economice și stres psihic inutil pentru femei și familii, mai ales în comunitățile marginalizate în care femeile nu își permit din punct de vedere financiar să solicite o întrerupere de sarcină.</w:t>
            </w:r>
          </w:p>
          <w:p w14:paraId="3FCDFE5D" w14:textId="77777777" w:rsidR="00CF5C60" w:rsidRPr="004B087B" w:rsidRDefault="00CF5C60" w:rsidP="00CF5C60">
            <w:pPr>
              <w:spacing w:after="0" w:line="240" w:lineRule="auto"/>
              <w:jc w:val="both"/>
              <w:rPr>
                <w:rFonts w:ascii="Times New Roman" w:hAnsi="Times New Roman" w:cs="Times New Roman"/>
                <w:i/>
                <w:iCs/>
                <w:noProof/>
                <w:sz w:val="24"/>
                <w:szCs w:val="24"/>
              </w:rPr>
            </w:pPr>
          </w:p>
          <w:p w14:paraId="6B094EC3" w14:textId="0856B1E0" w:rsidR="00135997" w:rsidRPr="004B087B" w:rsidRDefault="006439B3" w:rsidP="00135997">
            <w:pPr>
              <w:spacing w:after="0" w:line="240" w:lineRule="auto"/>
              <w:jc w:val="both"/>
              <w:rPr>
                <w:rFonts w:ascii="Times New Roman" w:hAnsi="Times New Roman" w:cs="Times New Roman"/>
                <w:i/>
                <w:iCs/>
                <w:noProof/>
                <w:sz w:val="24"/>
                <w:szCs w:val="24"/>
              </w:rPr>
            </w:pPr>
            <w:r>
              <w:rPr>
                <w:rFonts w:ascii="Times New Roman" w:hAnsi="Times New Roman"/>
                <w:i/>
                <w:noProof/>
                <w:sz w:val="24"/>
              </w:rPr>
              <w:t>Există un consens puternic în cadrul organismelor științifice și internaționale, conform căruia, atunci când îngrijirea reproductivă este considerată a fi un lux, nu se reduce numărul de avorturi, ci pur și simplu femeile ajung să recurgă la avort în condiții nesigure. Din cauza lipsei de acces la avort în condiții de siguranță, viața și mijloacele de subzistență a nenumărate familii sunt distruse, bulversate sau pierdute. Acest lucru trebuie să înceteze. Prin această inițiativă cetățenească europeană, ne îndreptăm către o politică mai justă, care să reflecte mai concret valorile noastre europene, cu mai multă compasiune.</w:t>
            </w:r>
          </w:p>
          <w:p w14:paraId="69AF6F0A" w14:textId="5F1F915D" w:rsidR="00CF5C60" w:rsidRPr="004B087B" w:rsidRDefault="00CF5C60" w:rsidP="00CF5C60">
            <w:pPr>
              <w:spacing w:after="0" w:line="240" w:lineRule="auto"/>
              <w:jc w:val="both"/>
              <w:rPr>
                <w:rFonts w:ascii="Times New Roman" w:hAnsi="Times New Roman" w:cs="Times New Roman"/>
                <w:i/>
                <w:noProof/>
                <w:sz w:val="24"/>
                <w:szCs w:val="24"/>
              </w:rPr>
            </w:pPr>
          </w:p>
          <w:p w14:paraId="0A43AF79" w14:textId="74B84B07" w:rsidR="00CF5C60" w:rsidRPr="004B087B" w:rsidRDefault="00CF5C60" w:rsidP="00CF5C60">
            <w:pPr>
              <w:spacing w:after="0" w:line="240" w:lineRule="auto"/>
              <w:jc w:val="both"/>
              <w:rPr>
                <w:rFonts w:ascii="Times New Roman" w:hAnsi="Times New Roman" w:cs="Times New Roman"/>
                <w:i/>
                <w:noProof/>
                <w:sz w:val="24"/>
                <w:szCs w:val="24"/>
              </w:rPr>
            </w:pPr>
            <w:r>
              <w:rPr>
                <w:rFonts w:ascii="Times New Roman" w:hAnsi="Times New Roman"/>
                <w:i/>
                <w:noProof/>
                <w:sz w:val="24"/>
              </w:rPr>
              <w:t>Pentru a aduce o schimbare, îi solicităm Comisiei, în spirit de solidaritate, să prezinte o propunere de sprijin financiar acordat statelor membre pentru ca acestea să ofere posibilitatea întreruperii de sarcină în condiții de siguranță oricărei persoane din Europa care nu are acces la avort legal și în condiții de siguranță.</w:t>
            </w:r>
          </w:p>
          <w:p w14:paraId="1567EFD0" w14:textId="1ADD3A79" w:rsidR="00CF5C60" w:rsidRPr="004B087B" w:rsidRDefault="00CF5C60" w:rsidP="00973505">
            <w:pPr>
              <w:tabs>
                <w:tab w:val="left" w:pos="2900"/>
              </w:tabs>
              <w:spacing w:after="0" w:line="240" w:lineRule="auto"/>
              <w:jc w:val="both"/>
              <w:rPr>
                <w:rFonts w:ascii="Times New Roman" w:hAnsi="Times New Roman" w:cs="Times New Roman"/>
                <w:i/>
                <w:iCs/>
                <w:noProof/>
                <w:sz w:val="24"/>
                <w:szCs w:val="24"/>
              </w:rPr>
            </w:pPr>
          </w:p>
          <w:p w14:paraId="587EDEBD" w14:textId="5D234A06" w:rsidR="00EE5F2C" w:rsidRPr="004B087B" w:rsidRDefault="00973505" w:rsidP="00135997">
            <w:pPr>
              <w:spacing w:after="0" w:line="240" w:lineRule="auto"/>
              <w:jc w:val="both"/>
              <w:rPr>
                <w:rFonts w:ascii="Times New Roman" w:hAnsi="Times New Roman" w:cs="Times New Roman"/>
                <w:noProof/>
                <w:sz w:val="24"/>
                <w:szCs w:val="24"/>
              </w:rPr>
            </w:pPr>
            <w:r>
              <w:rPr>
                <w:rFonts w:ascii="Times New Roman" w:hAnsi="Times New Roman"/>
                <w:i/>
                <w:noProof/>
                <w:sz w:val="24"/>
              </w:rPr>
              <w:t>Această soluție ar putea lua forma unui mecanism de participare voluntară, accesibil statelor membre pe bază voluntară. Cele care ar decide să participe ar primi apoi sprijin financiar din partea UE pentru a compensa impactul acestui efort de solidaritate.</w:t>
            </w:r>
          </w:p>
        </w:tc>
      </w:tr>
    </w:tbl>
    <w:p w14:paraId="6007C8AD" w14:textId="77777777" w:rsidR="00EE5F2C" w:rsidRPr="004B087B" w:rsidRDefault="00EE5F2C" w:rsidP="00EE5F2C">
      <w:pPr>
        <w:spacing w:after="0" w:line="240" w:lineRule="auto"/>
        <w:jc w:val="both"/>
        <w:rPr>
          <w:rFonts w:ascii="Times New Roman" w:hAnsi="Times New Roman" w:cs="Times New Roman"/>
          <w:noProof/>
          <w:sz w:val="24"/>
          <w:szCs w:val="24"/>
        </w:rPr>
      </w:pPr>
    </w:p>
    <w:p w14:paraId="64E2DB00" w14:textId="77777777" w:rsidR="00432F54" w:rsidRPr="004B087B" w:rsidRDefault="00432F54" w:rsidP="00C11B8E">
      <w:pPr>
        <w:spacing w:after="0" w:line="240" w:lineRule="auto"/>
        <w:jc w:val="both"/>
        <w:rPr>
          <w:rFonts w:ascii="Times New Roman" w:hAnsi="Times New Roman" w:cs="Times New Roman"/>
          <w:noProof/>
          <w:sz w:val="24"/>
          <w:szCs w:val="24"/>
        </w:rPr>
      </w:pPr>
    </w:p>
    <w:p w14:paraId="7DAD9299" w14:textId="3715FE67" w:rsidR="00432F54" w:rsidRPr="004B087B" w:rsidRDefault="339E7EB3" w:rsidP="0A1510B9">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În urma solicitării organizatorilor din </w:t>
      </w:r>
      <w:r>
        <w:rPr>
          <w:rFonts w:ascii="Times New Roman" w:hAnsi="Times New Roman"/>
          <w:noProof/>
          <w:color w:val="333333"/>
          <w:sz w:val="24"/>
        </w:rPr>
        <w:t>23 februarie 2024</w:t>
      </w:r>
      <w:r>
        <w:rPr>
          <w:rFonts w:ascii="Times New Roman" w:hAnsi="Times New Roman"/>
          <w:noProof/>
          <w:sz w:val="24"/>
        </w:rPr>
        <w:t>, Comisia a înregistrat inițiativa la 10 aprilie 2024</w:t>
      </w:r>
      <w:r>
        <w:rPr>
          <w:rFonts w:ascii="Times New Roman" w:hAnsi="Times New Roman" w:cs="Times New Roman"/>
          <w:noProof/>
          <w:sz w:val="24"/>
          <w:szCs w:val="24"/>
          <w:vertAlign w:val="superscript"/>
        </w:rPr>
        <w:footnoteReference w:id="5"/>
      </w:r>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În decizia sa de înregistrare, Comisia a precizat în mod clar că „sprijinul financiar pentru acțiunile statelor membre de promovare a sănătății ar putea intra în sfera de competență de sprijinire a Uniunii în temeiul articolului 168 alineatul (5) din TFUE. Cu toate acestea, orice astfel de sprijin ar trebui să respecte limitările prevăzute la articolul 168 alineatul (7) din TFUE, în măsura în care acțiunea Uniunii trebuie să respecte responsabilitățile statelor membre în ceea ce privește definirea politicii lor în domeniul sănătății, precum și organizarea și prestarea de servicii de sănătate și de îngrijire medicală, care include administrarea serviciilor de sănătate și de îngrijire medicală, precum și repartizarea resurselor care le sunt alocate. Un mecanism de sprijin financiar nu poate avea ca scop sau ca efect subminarea legislației privind ordinea publică a statelor membre sau, la nivel mai general, a alegerilor în materie de sănătate și etică făcute de statele membre în exercitarea competențelor lor în chestiuni legate de sănătate.</w:t>
      </w:r>
    </w:p>
    <w:p w14:paraId="06DDF949" w14:textId="77777777" w:rsidR="00432F54" w:rsidRPr="004B087B" w:rsidRDefault="00432F54" w:rsidP="00432F54">
      <w:pPr>
        <w:spacing w:after="0" w:line="240" w:lineRule="auto"/>
        <w:jc w:val="both"/>
        <w:rPr>
          <w:rFonts w:ascii="Times New Roman" w:hAnsi="Times New Roman" w:cs="Times New Roman"/>
          <w:noProof/>
          <w:sz w:val="24"/>
          <w:szCs w:val="24"/>
        </w:rPr>
      </w:pPr>
    </w:p>
    <w:p w14:paraId="66667946" w14:textId="0ECF2053" w:rsidR="007C5F67" w:rsidRPr="004B087B" w:rsidRDefault="00432F54" w:rsidP="00432F54">
      <w:pPr>
        <w:spacing w:after="0" w:line="240" w:lineRule="auto"/>
        <w:jc w:val="both"/>
        <w:rPr>
          <w:rFonts w:ascii="Times New Roman" w:hAnsi="Times New Roman" w:cs="Times New Roman"/>
          <w:noProof/>
          <w:sz w:val="24"/>
          <w:szCs w:val="24"/>
        </w:rPr>
      </w:pPr>
      <w:r>
        <w:rPr>
          <w:rFonts w:ascii="Times New Roman" w:hAnsi="Times New Roman"/>
          <w:noProof/>
          <w:sz w:val="24"/>
        </w:rPr>
        <w:t>Organizatorii au colectat „declarațiile de susținere” (semnăturile) necesare în perioada 24 aprilie 2024 - 24 aprilie 2025. La 1 septembrie 2025, după ce autoritățile statelor membre au verificat declarațiile de susținere, organizatorii i-au prezentat Comisiei inițiativa. La aceeași dată, Comisia a publicat anunțul care confirmă valabilitatea inițiativei în registrul ICE.</w:t>
      </w:r>
    </w:p>
    <w:p w14:paraId="03E218EA" w14:textId="77777777" w:rsidR="007C5F67" w:rsidRPr="004B087B" w:rsidRDefault="007C5F67" w:rsidP="00432F54">
      <w:pPr>
        <w:spacing w:after="0" w:line="240" w:lineRule="auto"/>
        <w:jc w:val="both"/>
        <w:rPr>
          <w:rFonts w:ascii="Times New Roman" w:hAnsi="Times New Roman" w:cs="Times New Roman"/>
          <w:noProof/>
          <w:sz w:val="24"/>
          <w:szCs w:val="24"/>
        </w:rPr>
      </w:pPr>
    </w:p>
    <w:p w14:paraId="43A5793F" w14:textId="0688A400" w:rsidR="005564C1" w:rsidRDefault="00432F54" w:rsidP="005564C1">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Organizatorii au prezentat obiectivele inițiativei în cadrul unei reuniuni cu reprezentanții Comisiei la 1 octombrie 2025 și al unei audieri publice organizate de Parlamentul European la 2 decembrie 2025. În plus, la 16 decembrie 2025, Parlamentul a organizat o dezbatere în plen cu privire la inițiativa </w:t>
      </w:r>
      <w:r>
        <w:rPr>
          <w:rFonts w:ascii="Times New Roman" w:hAnsi="Times New Roman"/>
          <w:i/>
          <w:noProof/>
          <w:sz w:val="24"/>
        </w:rPr>
        <w:t>My Voice, My Choice</w:t>
      </w:r>
      <w:r>
        <w:rPr>
          <w:rFonts w:ascii="Times New Roman" w:hAnsi="Times New Roman"/>
          <w:noProof/>
          <w:sz w:val="24"/>
        </w:rPr>
        <w:t xml:space="preserve"> și, la 17 decembrie, a adoptat o rezoluție în sprijinul acestei inițiative</w:t>
      </w:r>
      <w:r>
        <w:rPr>
          <w:rStyle w:val="FootnoteReference"/>
          <w:rFonts w:ascii="Times New Roman" w:hAnsi="Times New Roman" w:cs="Times New Roman"/>
          <w:noProof/>
          <w:sz w:val="24"/>
          <w:szCs w:val="24"/>
          <w:lang w:val="en-GB"/>
        </w:rPr>
        <w:footnoteReference w:id="6"/>
      </w:r>
      <w:r>
        <w:rPr>
          <w:rFonts w:ascii="Times New Roman" w:hAnsi="Times New Roman"/>
          <w:noProof/>
          <w:sz w:val="24"/>
        </w:rPr>
        <w:t xml:space="preserve">. În plus, la 21 ianuarie 2026, Comitetul Economic și Social European a adoptat un aviz din proprie inițiativă în sprijinul inițiativei </w:t>
      </w:r>
      <w:r>
        <w:rPr>
          <w:rFonts w:ascii="Times New Roman" w:hAnsi="Times New Roman"/>
          <w:i/>
          <w:noProof/>
          <w:sz w:val="24"/>
        </w:rPr>
        <w:t>My Voice, My Choice</w:t>
      </w:r>
      <w:r>
        <w:rPr>
          <w:rStyle w:val="FootnoteReference"/>
          <w:rFonts w:ascii="Times New Roman" w:hAnsi="Times New Roman" w:cs="Times New Roman"/>
          <w:noProof/>
          <w:sz w:val="24"/>
          <w:szCs w:val="24"/>
          <w:lang w:val="en-GB"/>
        </w:rPr>
        <w:footnoteReference w:id="7"/>
      </w:r>
      <w:r>
        <w:rPr>
          <w:rFonts w:ascii="Times New Roman" w:hAnsi="Times New Roman"/>
          <w:noProof/>
          <w:sz w:val="24"/>
        </w:rPr>
        <w:t>.</w:t>
      </w:r>
    </w:p>
    <w:p w14:paraId="546344E5" w14:textId="77777777" w:rsidR="00F660C2" w:rsidRDefault="00F660C2" w:rsidP="005564C1">
      <w:pPr>
        <w:spacing w:after="0" w:line="240" w:lineRule="auto"/>
        <w:jc w:val="both"/>
        <w:rPr>
          <w:rFonts w:ascii="Times New Roman" w:hAnsi="Times New Roman" w:cs="Times New Roman"/>
          <w:noProof/>
          <w:sz w:val="24"/>
          <w:szCs w:val="24"/>
        </w:rPr>
      </w:pPr>
    </w:p>
    <w:p w14:paraId="3B6374DB" w14:textId="6E63AE6B" w:rsidR="00F660C2" w:rsidRPr="00737B62" w:rsidRDefault="00F660C2" w:rsidP="00737B62">
      <w:pPr>
        <w:jc w:val="both"/>
        <w:rPr>
          <w:rFonts w:ascii="Times New Roman" w:hAnsi="Times New Roman" w:cs="Times New Roman"/>
          <w:noProof/>
        </w:rPr>
      </w:pPr>
      <w:r>
        <w:rPr>
          <w:rFonts w:ascii="Times New Roman" w:hAnsi="Times New Roman"/>
          <w:noProof/>
          <w:sz w:val="24"/>
        </w:rPr>
        <w:t>Comisia se angajează să respecte principiul privind garantarea celor mai înalte standarde de sănătate pentru femei și să urmărească obiectivul de „protejare a sănătății femeilor prin sprijinirea și completarea, cu respectarea deplină a tratatelor, a acțiunilor statelor membre în domeniul sănătății în ceea ce privește accesul femeilor la sănătatea sexuală și reproductivă și la drepturile aferente”.</w:t>
      </w:r>
    </w:p>
    <w:p w14:paraId="5D0E0795" w14:textId="3E2935FC" w:rsidR="00432F54" w:rsidRPr="004B087B" w:rsidRDefault="00432F54" w:rsidP="00432F54">
      <w:pPr>
        <w:spacing w:after="0" w:line="240" w:lineRule="auto"/>
        <w:jc w:val="both"/>
        <w:rPr>
          <w:rFonts w:ascii="Times New Roman" w:hAnsi="Times New Roman" w:cs="Times New Roman"/>
          <w:noProof/>
          <w:sz w:val="24"/>
          <w:szCs w:val="24"/>
        </w:rPr>
      </w:pPr>
    </w:p>
    <w:p w14:paraId="576ACA82" w14:textId="460C0080" w:rsidR="00432F54" w:rsidRPr="004B087B" w:rsidRDefault="00432F54" w:rsidP="00432F54">
      <w:pPr>
        <w:spacing w:line="240" w:lineRule="auto"/>
        <w:jc w:val="both"/>
        <w:rPr>
          <w:rFonts w:ascii="Times New Roman" w:hAnsi="Times New Roman" w:cs="Times New Roman"/>
          <w:noProof/>
          <w:sz w:val="24"/>
          <w:szCs w:val="24"/>
        </w:rPr>
      </w:pPr>
      <w:r>
        <w:rPr>
          <w:rFonts w:ascii="Times New Roman" w:hAnsi="Times New Roman"/>
          <w:noProof/>
          <w:sz w:val="24"/>
        </w:rPr>
        <w:t>Comunicarea de față prezintă concluziile juridice și politice ale Comisiei cu privire la inițiativă, acțiunile pe care intenționează să le întreprindă și motivele acestei decizii, în conformitate cu articolul 15 alineatul (2) din Regulamentul privind ICE.</w:t>
      </w:r>
    </w:p>
    <w:p w14:paraId="33ABDB07" w14:textId="77777777" w:rsidR="004750C8" w:rsidRPr="004B087B" w:rsidRDefault="004750C8" w:rsidP="00432F54">
      <w:pPr>
        <w:spacing w:line="240" w:lineRule="auto"/>
        <w:jc w:val="both"/>
        <w:rPr>
          <w:rFonts w:ascii="Times New Roman" w:hAnsi="Times New Roman" w:cs="Times New Roman"/>
          <w:noProof/>
          <w:sz w:val="24"/>
          <w:szCs w:val="24"/>
        </w:rPr>
      </w:pPr>
    </w:p>
    <w:bookmarkEnd w:id="5"/>
    <w:p w14:paraId="5468FEC0" w14:textId="77777777" w:rsidR="00EE5F2C" w:rsidRPr="004B087B" w:rsidRDefault="00EE5F2C" w:rsidP="00EE5F2C">
      <w:pPr>
        <w:pStyle w:val="Heading1"/>
        <w:numPr>
          <w:ilvl w:val="0"/>
          <w:numId w:val="3"/>
        </w:numPr>
        <w:tabs>
          <w:tab w:val="clear" w:pos="480"/>
          <w:tab w:val="num" w:pos="360"/>
        </w:tabs>
        <w:rPr>
          <w:noProof/>
        </w:rPr>
      </w:pPr>
      <w:r>
        <w:rPr>
          <w:noProof/>
        </w:rPr>
        <w:t>CONTEXT</w:t>
      </w:r>
    </w:p>
    <w:p w14:paraId="3E2E6874" w14:textId="00A5431A" w:rsidR="005D0232" w:rsidRPr="004B087B" w:rsidRDefault="005D0232" w:rsidP="005D0232">
      <w:pPr>
        <w:pStyle w:val="Heading2"/>
        <w:tabs>
          <w:tab w:val="num" w:pos="284"/>
          <w:tab w:val="num" w:pos="993"/>
        </w:tabs>
        <w:ind w:left="284" w:hanging="11"/>
        <w:rPr>
          <w:noProof/>
        </w:rPr>
      </w:pPr>
      <w:r>
        <w:rPr>
          <w:noProof/>
        </w:rPr>
        <w:t>Contextul internațional</w:t>
      </w:r>
    </w:p>
    <w:p w14:paraId="78994B20" w14:textId="651A63C6" w:rsidR="00D65CD5" w:rsidRPr="004B087B" w:rsidRDefault="00D65CD5" w:rsidP="00D65CD5">
      <w:pPr>
        <w:tabs>
          <w:tab w:val="num" w:pos="284"/>
          <w:tab w:val="num" w:pos="993"/>
        </w:tabs>
        <w:jc w:val="both"/>
        <w:rPr>
          <w:rFonts w:ascii="Times New Roman" w:eastAsia="Times New Roman" w:hAnsi="Times New Roman" w:cs="Times New Roman"/>
          <w:noProof/>
          <w:sz w:val="24"/>
          <w:szCs w:val="24"/>
        </w:rPr>
      </w:pPr>
      <w:r>
        <w:rPr>
          <w:rFonts w:ascii="Times New Roman" w:hAnsi="Times New Roman"/>
          <w:b/>
          <w:noProof/>
          <w:sz w:val="24"/>
        </w:rPr>
        <w:t>Declarația și Platforma de acțiune de la Beijing</w:t>
      </w:r>
      <w:r>
        <w:rPr>
          <w:rFonts w:ascii="Times New Roman" w:hAnsi="Times New Roman"/>
          <w:noProof/>
          <w:sz w:val="24"/>
        </w:rPr>
        <w:t xml:space="preserve"> subliniază necesitatea de a aborda </w:t>
      </w:r>
      <w:r>
        <w:rPr>
          <w:rFonts w:ascii="Times New Roman" w:hAnsi="Times New Roman"/>
          <w:b/>
          <w:noProof/>
          <w:sz w:val="24"/>
        </w:rPr>
        <w:t>avorturile nesigure</w:t>
      </w:r>
      <w:r>
        <w:rPr>
          <w:rFonts w:ascii="Times New Roman" w:hAnsi="Times New Roman"/>
          <w:noProof/>
          <w:sz w:val="24"/>
        </w:rPr>
        <w:t xml:space="preserve"> ca o problemă gravă de sănătate publică, care </w:t>
      </w:r>
      <w:r>
        <w:rPr>
          <w:rFonts w:ascii="Times New Roman" w:hAnsi="Times New Roman"/>
          <w:b/>
          <w:noProof/>
          <w:sz w:val="24"/>
        </w:rPr>
        <w:t>afectează în special femeile cele mai sărace și mai tinere</w:t>
      </w:r>
      <w:r>
        <w:rPr>
          <w:rStyle w:val="FootnoteReference"/>
          <w:rFonts w:ascii="Times New Roman" w:eastAsia="Times New Roman" w:hAnsi="Times New Roman" w:cs="Times New Roman"/>
          <w:noProof/>
          <w:sz w:val="24"/>
          <w:szCs w:val="24"/>
          <w:lang w:val="en-GB"/>
        </w:rPr>
        <w:footnoteReference w:id="8"/>
      </w:r>
      <w:r>
        <w:rPr>
          <w:rFonts w:ascii="Times New Roman" w:hAnsi="Times New Roman"/>
          <w:noProof/>
          <w:sz w:val="24"/>
        </w:rPr>
        <w:t>.</w:t>
      </w:r>
    </w:p>
    <w:p w14:paraId="44CF86E6" w14:textId="032C431D" w:rsidR="00D65CD5" w:rsidRPr="004B087B" w:rsidRDefault="00715077" w:rsidP="00D65CD5">
      <w:pPr>
        <w:tabs>
          <w:tab w:val="num" w:pos="284"/>
          <w:tab w:val="num" w:pos="993"/>
        </w:tabs>
        <w:jc w:val="both"/>
        <w:rPr>
          <w:rFonts w:ascii="Times New Roman" w:eastAsia="Times New Roman" w:hAnsi="Times New Roman" w:cs="Times New Roman"/>
          <w:noProof/>
          <w:sz w:val="24"/>
          <w:szCs w:val="24"/>
        </w:rPr>
      </w:pPr>
      <w:r>
        <w:rPr>
          <w:rFonts w:ascii="Times New Roman" w:hAnsi="Times New Roman"/>
          <w:noProof/>
          <w:sz w:val="24"/>
        </w:rPr>
        <w:t xml:space="preserve">Printre cele 17 </w:t>
      </w:r>
      <w:r>
        <w:rPr>
          <w:rFonts w:ascii="Times New Roman" w:hAnsi="Times New Roman"/>
          <w:b/>
          <w:noProof/>
          <w:sz w:val="24"/>
        </w:rPr>
        <w:t>obiective de dezvoltare durabilă (ODD) ale ONU care trebuie atinse până în 2030</w:t>
      </w:r>
      <w:r>
        <w:rPr>
          <w:rFonts w:ascii="Times New Roman" w:hAnsi="Times New Roman"/>
          <w:noProof/>
          <w:sz w:val="24"/>
        </w:rPr>
        <w:t xml:space="preserve"> se numără </w:t>
      </w:r>
      <w:r>
        <w:rPr>
          <w:rFonts w:ascii="Times New Roman" w:hAnsi="Times New Roman"/>
          <w:b/>
          <w:noProof/>
          <w:sz w:val="24"/>
        </w:rPr>
        <w:t>obiectivul 3.7</w:t>
      </w:r>
      <w:r>
        <w:rPr>
          <w:rFonts w:ascii="Times New Roman" w:hAnsi="Times New Roman"/>
          <w:noProof/>
          <w:sz w:val="24"/>
        </w:rPr>
        <w:t xml:space="preserve"> privind asigurarea accesului universal la servicii de sănătate sexuală și reproductivă</w:t>
      </w:r>
      <w:r>
        <w:rPr>
          <w:rStyle w:val="FootnoteReference"/>
          <w:rFonts w:ascii="Times New Roman" w:eastAsia="Times New Roman" w:hAnsi="Times New Roman" w:cs="Times New Roman"/>
          <w:noProof/>
          <w:sz w:val="24"/>
          <w:szCs w:val="24"/>
          <w:lang w:val="en-GB"/>
        </w:rPr>
        <w:footnoteReference w:id="9"/>
      </w:r>
      <w:r>
        <w:rPr>
          <w:rFonts w:ascii="Times New Roman" w:hAnsi="Times New Roman"/>
          <w:noProof/>
          <w:sz w:val="24"/>
        </w:rPr>
        <w:t>.</w:t>
      </w:r>
    </w:p>
    <w:p w14:paraId="0804E305" w14:textId="496FBD99" w:rsidR="00D65CD5" w:rsidRPr="004B087B" w:rsidRDefault="00E067EB" w:rsidP="004E1449">
      <w:pPr>
        <w:tabs>
          <w:tab w:val="num" w:pos="284"/>
          <w:tab w:val="num" w:pos="993"/>
        </w:tabs>
        <w:jc w:val="both"/>
        <w:rPr>
          <w:rFonts w:ascii="Times New Roman" w:hAnsi="Times New Roman" w:cs="Times New Roman"/>
          <w:noProof/>
          <w:sz w:val="24"/>
          <w:szCs w:val="24"/>
        </w:rPr>
      </w:pPr>
      <w:r>
        <w:rPr>
          <w:rFonts w:ascii="Times New Roman" w:hAnsi="Times New Roman"/>
          <w:b/>
          <w:noProof/>
          <w:sz w:val="24"/>
        </w:rPr>
        <w:t>Convenția ONU asupra eliminării tuturor formelor de discriminare față de femei</w:t>
      </w:r>
      <w:r>
        <w:rPr>
          <w:rFonts w:ascii="Times New Roman" w:hAnsi="Times New Roman"/>
          <w:noProof/>
          <w:sz w:val="24"/>
        </w:rPr>
        <w:t xml:space="preserve"> (CEDAW), la care toate statele membre sunt părți, obligă totalitatea statelor părți să ia „toate măsurile necesare pentru </w:t>
      </w:r>
      <w:r>
        <w:rPr>
          <w:rFonts w:ascii="Times New Roman" w:hAnsi="Times New Roman"/>
          <w:b/>
          <w:noProof/>
          <w:sz w:val="24"/>
        </w:rPr>
        <w:t>eliminarea discriminării față de femei în domeniul sănătății</w:t>
      </w:r>
      <w:r>
        <w:rPr>
          <w:rFonts w:ascii="Times New Roman" w:hAnsi="Times New Roman"/>
          <w:noProof/>
          <w:sz w:val="24"/>
        </w:rPr>
        <w:t>, pentru a le asigura, pe baza egalității între bărbat și femeie, mijloace de a avea acces la serviciile medicale, inclusiv la cele referitoare la planificarea familială” (articolul 12)</w:t>
      </w:r>
      <w:r>
        <w:rPr>
          <w:rStyle w:val="FootnoteReference"/>
          <w:rFonts w:ascii="Times New Roman" w:hAnsi="Times New Roman" w:cs="Times New Roman"/>
          <w:noProof/>
          <w:sz w:val="24"/>
          <w:szCs w:val="24"/>
        </w:rPr>
        <w:footnoteReference w:id="10"/>
      </w:r>
      <w:r>
        <w:rPr>
          <w:rFonts w:ascii="Times New Roman" w:hAnsi="Times New Roman"/>
          <w:noProof/>
          <w:sz w:val="24"/>
        </w:rPr>
        <w:t>.</w:t>
      </w:r>
    </w:p>
    <w:p w14:paraId="5857C5F1" w14:textId="14360623" w:rsidR="00D65CD5" w:rsidRPr="004B087B" w:rsidRDefault="007A55E9" w:rsidP="00D65CD5">
      <w:pPr>
        <w:jc w:val="both"/>
        <w:rPr>
          <w:rFonts w:ascii="Times New Roman" w:hAnsi="Times New Roman" w:cs="Times New Roman"/>
          <w:noProof/>
          <w:sz w:val="24"/>
          <w:szCs w:val="24"/>
        </w:rPr>
      </w:pPr>
      <w:r>
        <w:rPr>
          <w:rFonts w:ascii="Times New Roman" w:hAnsi="Times New Roman"/>
          <w:b/>
          <w:noProof/>
          <w:sz w:val="24"/>
        </w:rPr>
        <w:t>Convenția Națiunilor Unite privind drepturile persoanelor cu handicap</w:t>
      </w:r>
      <w:r>
        <w:rPr>
          <w:rFonts w:ascii="Times New Roman" w:hAnsi="Times New Roman"/>
          <w:noProof/>
          <w:sz w:val="24"/>
        </w:rPr>
        <w:t xml:space="preserve"> (CRPD), la care toate statele membre și UE sunt părți, subliniază dreptul persoanelor cu handicap de a se bucura de cel mai înalt standard de sănătate posibil, fără discriminare, inclusiv de acces la servicii de sănătate care iau în considerare dimensiunea de gen. Persoanele cu handicap ar trebui să aibă acces la aceeași gamă, calitate și standard de asistență medicală și programe gratuite sau la prețuri accesibile ca cele furnizate altor persoane, inclusiv în domeniul sănătății sexuale și reproductive</w:t>
      </w:r>
      <w:r>
        <w:rPr>
          <w:rStyle w:val="FootnoteReference"/>
          <w:rFonts w:ascii="Times New Roman" w:hAnsi="Times New Roman" w:cs="Times New Roman"/>
          <w:noProof/>
          <w:sz w:val="24"/>
          <w:szCs w:val="24"/>
          <w:lang w:val="en-GB"/>
        </w:rPr>
        <w:footnoteReference w:id="11"/>
      </w:r>
      <w:r>
        <w:rPr>
          <w:rFonts w:ascii="Times New Roman" w:hAnsi="Times New Roman"/>
          <w:noProof/>
          <w:sz w:val="24"/>
        </w:rPr>
        <w:t>.</w:t>
      </w:r>
    </w:p>
    <w:p w14:paraId="140C4434" w14:textId="0123D30C" w:rsidR="00D65CD5" w:rsidRPr="004B087B" w:rsidRDefault="00F70479" w:rsidP="00C2022E">
      <w:pPr>
        <w:jc w:val="both"/>
        <w:rPr>
          <w:rFonts w:ascii="Times New Roman" w:hAnsi="Times New Roman" w:cs="Times New Roman"/>
          <w:b/>
          <w:bCs/>
          <w:noProof/>
          <w:sz w:val="24"/>
          <w:szCs w:val="24"/>
        </w:rPr>
      </w:pPr>
      <w:r>
        <w:rPr>
          <w:rFonts w:ascii="Times New Roman" w:hAnsi="Times New Roman"/>
          <w:noProof/>
          <w:sz w:val="24"/>
        </w:rPr>
        <w:t>„Orientările privind îngrijirile legate de avort”</w:t>
      </w:r>
      <w:r>
        <w:rPr>
          <w:rStyle w:val="FootnoteReference"/>
          <w:rFonts w:ascii="Times New Roman" w:hAnsi="Times New Roman" w:cs="Times New Roman"/>
          <w:noProof/>
          <w:sz w:val="24"/>
          <w:szCs w:val="24"/>
          <w:lang w:val="en-GB"/>
        </w:rPr>
        <w:footnoteReference w:id="12"/>
      </w:r>
      <w:r>
        <w:rPr>
          <w:rFonts w:ascii="Times New Roman" w:hAnsi="Times New Roman"/>
          <w:noProof/>
          <w:sz w:val="24"/>
        </w:rPr>
        <w:t xml:space="preserve"> ale </w:t>
      </w:r>
      <w:r>
        <w:rPr>
          <w:rFonts w:ascii="Times New Roman" w:hAnsi="Times New Roman"/>
          <w:b/>
          <w:noProof/>
          <w:sz w:val="24"/>
        </w:rPr>
        <w:t>Organizației Mondiale a Sănătății</w:t>
      </w:r>
      <w:r>
        <w:rPr>
          <w:rFonts w:ascii="Times New Roman" w:hAnsi="Times New Roman"/>
          <w:noProof/>
          <w:sz w:val="24"/>
        </w:rPr>
        <w:t xml:space="preserve"> (OMS) urmăresc să ofere un cadru cuprinzător, bazat pe dovezi, de recomandări și bune practici. În aceste orientări se subliniază că îngrijirile de calitate legate de avort trebuie să fie „eficace, eficiente, accesibile, acceptabile/centrate pe pacient, echitabile și sigure”</w:t>
      </w:r>
      <w:r>
        <w:rPr>
          <w:rStyle w:val="FootnoteReference"/>
          <w:rFonts w:ascii="Times New Roman" w:hAnsi="Times New Roman" w:cs="Times New Roman"/>
          <w:noProof/>
          <w:sz w:val="24"/>
          <w:szCs w:val="24"/>
          <w:lang w:val="en-GB"/>
        </w:rPr>
        <w:footnoteReference w:id="13"/>
      </w:r>
      <w:r>
        <w:rPr>
          <w:rFonts w:ascii="Times New Roman" w:hAnsi="Times New Roman"/>
          <w:noProof/>
          <w:sz w:val="24"/>
        </w:rPr>
        <w:t>. Accesibilitatea cuprinde servicii furnizate în timp util, la prețuri abordabile și accesibile din punct de vedere geografic, furnizate într-un cadru în care competențele și resursele sunt adecvate nevoilor medicale</w:t>
      </w:r>
      <w:r>
        <w:rPr>
          <w:rStyle w:val="FootnoteReference"/>
          <w:rFonts w:ascii="Times New Roman" w:hAnsi="Times New Roman" w:cs="Times New Roman"/>
          <w:noProof/>
          <w:sz w:val="24"/>
          <w:szCs w:val="24"/>
          <w:lang w:val="en-GB"/>
        </w:rPr>
        <w:footnoteReference w:id="14"/>
      </w:r>
      <w:r>
        <w:rPr>
          <w:rFonts w:ascii="Times New Roman" w:hAnsi="Times New Roman"/>
          <w:noProof/>
          <w:sz w:val="24"/>
        </w:rPr>
        <w:t>.</w:t>
      </w:r>
    </w:p>
    <w:p w14:paraId="14FFE5C6" w14:textId="36BC84B1" w:rsidR="00466157" w:rsidRPr="004B087B" w:rsidRDefault="0016584E" w:rsidP="00177045">
      <w:pPr>
        <w:pStyle w:val="Heading2"/>
        <w:tabs>
          <w:tab w:val="num" w:pos="284"/>
          <w:tab w:val="num" w:pos="993"/>
        </w:tabs>
        <w:ind w:left="284" w:hanging="11"/>
        <w:rPr>
          <w:noProof/>
        </w:rPr>
      </w:pPr>
      <w:bookmarkStart w:id="7" w:name="_Hlk218876385"/>
      <w:r>
        <w:rPr>
          <w:noProof/>
        </w:rPr>
        <w:t xml:space="preserve">Cadrul juridic </w:t>
      </w:r>
      <w:bookmarkEnd w:id="7"/>
      <w:r>
        <w:rPr>
          <w:noProof/>
        </w:rPr>
        <w:t>și contextul de politică al UE</w:t>
      </w:r>
    </w:p>
    <w:p w14:paraId="6740A0C2" w14:textId="765C8976" w:rsidR="003D1044" w:rsidRPr="004B087B" w:rsidRDefault="003D1044" w:rsidP="000B3153">
      <w:pPr>
        <w:jc w:val="both"/>
        <w:rPr>
          <w:rFonts w:ascii="Times New Roman" w:hAnsi="Times New Roman" w:cs="Times New Roman"/>
          <w:i/>
          <w:iCs/>
          <w:noProof/>
          <w:sz w:val="24"/>
          <w:szCs w:val="24"/>
          <w:u w:val="single"/>
        </w:rPr>
      </w:pPr>
      <w:r>
        <w:rPr>
          <w:rFonts w:ascii="Times New Roman" w:hAnsi="Times New Roman"/>
          <w:i/>
          <w:noProof/>
          <w:sz w:val="24"/>
          <w:u w:val="single"/>
        </w:rPr>
        <w:t>Cadrul juridic</w:t>
      </w:r>
    </w:p>
    <w:p w14:paraId="2FF28671" w14:textId="7246CBE1" w:rsidR="000B3153" w:rsidRPr="004B087B" w:rsidRDefault="000B3153" w:rsidP="000B3153">
      <w:pPr>
        <w:jc w:val="both"/>
        <w:rPr>
          <w:rFonts w:ascii="Times New Roman" w:hAnsi="Times New Roman" w:cs="Times New Roman"/>
          <w:noProof/>
          <w:sz w:val="24"/>
          <w:szCs w:val="24"/>
        </w:rPr>
      </w:pPr>
      <w:r>
        <w:rPr>
          <w:rFonts w:ascii="Times New Roman" w:hAnsi="Times New Roman"/>
          <w:noProof/>
          <w:sz w:val="24"/>
        </w:rPr>
        <w:t>Obligația de a asigura un nivel ridicat de protecție a sănătății umane în cadrul elaborării și punerii în aplicare a tuturor politicilor și acțiunilor UE este menționată la articolele 9 și 168 din TFUE. Articolul 168 stabilește competențele UE în domeniul sănătății publice: în special, alineatul (5) îi conferă UE competența de a adopta măsuri de stimulare menite să protejeze și să îmbunătățească sănătatea umană. Cu toate acestea, orice sprijin trebuie să respecte limitările prevăzute la articolul 168 alineatul (7) din TFUE: acțiunea UE trebuie să respecte responsabilitățile statelor membre în ceea ce privește elaborarea propriilor politici de sănătate, precum și organizarea și furnizarea de servicii de sănătate și de asistență medicală - acestea includ administrarea serviciilor de sănătate și de îngrijire medicală, precum și repartizarea resurselor care le sunt alocate.</w:t>
      </w:r>
    </w:p>
    <w:p w14:paraId="1BBA123C" w14:textId="59201918" w:rsidR="006D050B" w:rsidRPr="004B087B" w:rsidRDefault="009F3CA4" w:rsidP="000B3153">
      <w:pPr>
        <w:jc w:val="both"/>
        <w:rPr>
          <w:rFonts w:ascii="Times New Roman" w:hAnsi="Times New Roman" w:cs="Times New Roman"/>
          <w:noProof/>
          <w:sz w:val="24"/>
          <w:szCs w:val="24"/>
        </w:rPr>
      </w:pPr>
      <w:r>
        <w:rPr>
          <w:rFonts w:ascii="Times New Roman" w:hAnsi="Times New Roman"/>
          <w:noProof/>
          <w:sz w:val="24"/>
        </w:rPr>
        <w:t>În acest context, ar trebui remarcat faptul că decizia unui stat membru de a legaliza sau nu avortul și în ce condiții ține pe deplin de libertatea sa de a-și organiza sistemul de asistență medicală și, prin urmare, de domeniile care rămân în responsabilitatea statelor membre, așa cum se prevede la articolul 168 alineatul (7) din TFUE. Acesta este motivul pentru care se exclude acțiunea UE care ar avea un impact asupra deciziei unui stat membru de a legaliza sau nu avortul și în ce condiții. Competența UE, în temeiul articolului 168 alineatul (5) din TFUE, de a oferi sprijin financiar pentru serviciile de sănătate include serviciile de sănătate sexuală și reproductivă care sunt legale într-un stat membru, inclusiv serviciile legate de avorturile legale. Însă acest sprijin financiar trebuie să respecte, de asemenea, repartizarea competențelor prevăzută la articolul 168 alineatul (7) din TFUE. Prin urmare, sprijinul respectiv nu poate viza sau conduce la o situație în care finanțarea din partea UE ar submina în mod direct ori indirect opțiunile în materie de reglementare și/sau de bioetică referitoare la avort ale unui stat membru .</w:t>
      </w:r>
    </w:p>
    <w:p w14:paraId="4DA98657" w14:textId="4F7CCECB" w:rsidR="004D1CB8" w:rsidRPr="004B087B" w:rsidRDefault="009D3392" w:rsidP="000B3153">
      <w:pPr>
        <w:jc w:val="both"/>
        <w:rPr>
          <w:rFonts w:ascii="Times New Roman" w:hAnsi="Times New Roman" w:cs="Times New Roman"/>
          <w:noProof/>
          <w:sz w:val="24"/>
          <w:szCs w:val="24"/>
        </w:rPr>
      </w:pPr>
      <w:r>
        <w:rPr>
          <w:rFonts w:ascii="Times New Roman" w:hAnsi="Times New Roman"/>
          <w:noProof/>
          <w:sz w:val="24"/>
        </w:rPr>
        <w:t>Articolul 153 din TFUE îi permite UE să sprijine și să completeze activitățile statelor membre în diferite domenii de politică socială, printre care securitatea socială și integrarea grupurilor marginalizate. Articolele 174-175 din TFUE prevăd obligația UE de a promova coeziunea economică, socială și teritorială.</w:t>
      </w:r>
    </w:p>
    <w:p w14:paraId="0B0E44FA" w14:textId="6A7EAE7B" w:rsidR="00C109A4" w:rsidRPr="004B087B" w:rsidRDefault="004D1CB8" w:rsidP="000B3153">
      <w:pPr>
        <w:jc w:val="both"/>
        <w:rPr>
          <w:rFonts w:ascii="Times New Roman" w:hAnsi="Times New Roman" w:cs="Times New Roman"/>
          <w:noProof/>
          <w:sz w:val="24"/>
          <w:szCs w:val="24"/>
        </w:rPr>
      </w:pPr>
      <w:r>
        <w:rPr>
          <w:rFonts w:ascii="Times New Roman" w:hAnsi="Times New Roman"/>
          <w:noProof/>
          <w:sz w:val="24"/>
        </w:rPr>
        <w:t>Curtea de Justiție a Uniunii Europene (CJUE)</w:t>
      </w:r>
      <w:r>
        <w:rPr>
          <w:noProof/>
        </w:rPr>
        <w:t xml:space="preserve"> </w:t>
      </w:r>
      <w:r>
        <w:rPr>
          <w:rFonts w:ascii="Times New Roman" w:hAnsi="Times New Roman"/>
          <w:noProof/>
          <w:sz w:val="24"/>
        </w:rPr>
        <w:t xml:space="preserve">a precizat că dispozițiile TFUE privind </w:t>
      </w:r>
      <w:r>
        <w:rPr>
          <w:rFonts w:ascii="Times New Roman" w:hAnsi="Times New Roman"/>
          <w:b/>
          <w:noProof/>
          <w:sz w:val="24"/>
        </w:rPr>
        <w:t>libertatea de a furniza servicii includ libertatea beneficiarilor în materie de asistență medicală</w:t>
      </w:r>
      <w:r>
        <w:rPr>
          <w:rFonts w:ascii="Times New Roman" w:hAnsi="Times New Roman"/>
          <w:noProof/>
          <w:sz w:val="24"/>
        </w:rPr>
        <w:t>, inclusiv a persoanelor care au nevoie de tratament medical</w:t>
      </w:r>
      <w:r>
        <w:rPr>
          <w:rStyle w:val="FootnoteReference"/>
          <w:rFonts w:ascii="Times New Roman" w:hAnsi="Times New Roman" w:cs="Times New Roman"/>
          <w:noProof/>
          <w:sz w:val="24"/>
          <w:szCs w:val="24"/>
          <w:lang w:val="en-GB"/>
        </w:rPr>
        <w:footnoteReference w:id="15"/>
      </w:r>
      <w:r>
        <w:rPr>
          <w:rFonts w:ascii="Times New Roman" w:hAnsi="Times New Roman"/>
          <w:noProof/>
          <w:sz w:val="24"/>
        </w:rPr>
        <w:t>.</w:t>
      </w:r>
    </w:p>
    <w:p w14:paraId="061C7386" w14:textId="739B51E1" w:rsidR="000B3153" w:rsidRPr="004B087B" w:rsidRDefault="001B25CC" w:rsidP="000B3153">
      <w:pPr>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întreruperea medicală a sarcinii</w:t>
      </w:r>
      <w:r>
        <w:rPr>
          <w:rFonts w:ascii="Times New Roman" w:hAnsi="Times New Roman"/>
          <w:noProof/>
          <w:sz w:val="24"/>
        </w:rPr>
        <w:t xml:space="preserve"> efectuată în conformitate cu legislația țării în care aceasta are loc, CJUE a constatat că aceasta </w:t>
      </w:r>
      <w:r>
        <w:rPr>
          <w:rFonts w:ascii="Times New Roman" w:hAnsi="Times New Roman"/>
          <w:b/>
          <w:noProof/>
          <w:sz w:val="24"/>
        </w:rPr>
        <w:t>„constituie un serviciu în sensul articolului 60 din Tratatul CEE”</w:t>
      </w:r>
      <w:r>
        <w:rPr>
          <w:rFonts w:ascii="Times New Roman" w:hAnsi="Times New Roman"/>
          <w:noProof/>
          <w:sz w:val="24"/>
        </w:rPr>
        <w:t xml:space="preserve"> (în prezent articolul 57 din TFUE)</w:t>
      </w:r>
      <w:r>
        <w:rPr>
          <w:rStyle w:val="FootnoteReference"/>
          <w:rFonts w:ascii="Times New Roman" w:hAnsi="Times New Roman" w:cs="Times New Roman"/>
          <w:noProof/>
          <w:sz w:val="24"/>
          <w:szCs w:val="24"/>
          <w:lang w:val="en-GB"/>
        </w:rPr>
        <w:footnoteReference w:id="16"/>
      </w:r>
      <w:r>
        <w:rPr>
          <w:rFonts w:ascii="Times New Roman" w:hAnsi="Times New Roman"/>
          <w:noProof/>
          <w:sz w:val="24"/>
        </w:rPr>
        <w:t xml:space="preserve">. Aceasta înseamnă că femeile care călătoresc într-un alt stat membru pentru a avea acces la avort își exercită </w:t>
      </w:r>
      <w:r>
        <w:rPr>
          <w:rFonts w:ascii="Times New Roman" w:hAnsi="Times New Roman"/>
          <w:b/>
          <w:noProof/>
          <w:sz w:val="24"/>
        </w:rPr>
        <w:t>libertatea de a beneficia de servicii în temeiul TFUE</w:t>
      </w:r>
      <w:r>
        <w:rPr>
          <w:rFonts w:ascii="Times New Roman" w:hAnsi="Times New Roman"/>
          <w:noProof/>
          <w:sz w:val="24"/>
        </w:rPr>
        <w:t>.</w:t>
      </w:r>
    </w:p>
    <w:p w14:paraId="6C8B9236" w14:textId="4A3DF5D9" w:rsidR="00AC1F72" w:rsidRPr="004B087B" w:rsidRDefault="00AC1F72" w:rsidP="00AC1F72">
      <w:pPr>
        <w:jc w:val="both"/>
        <w:rPr>
          <w:rFonts w:ascii="Times New Roman" w:hAnsi="Times New Roman" w:cs="Times New Roman"/>
          <w:noProof/>
          <w:sz w:val="24"/>
          <w:szCs w:val="24"/>
        </w:rPr>
      </w:pPr>
      <w:r>
        <w:rPr>
          <w:rFonts w:ascii="Times New Roman" w:hAnsi="Times New Roman"/>
          <w:noProof/>
          <w:sz w:val="24"/>
        </w:rPr>
        <w:t xml:space="preserve">Articolul 35 din </w:t>
      </w:r>
      <w:r>
        <w:rPr>
          <w:rFonts w:ascii="Times New Roman" w:hAnsi="Times New Roman"/>
          <w:b/>
          <w:noProof/>
          <w:sz w:val="24"/>
        </w:rPr>
        <w:t>Carta drepturilor fundamentale</w:t>
      </w:r>
      <w:r>
        <w:rPr>
          <w:rFonts w:ascii="Times New Roman" w:hAnsi="Times New Roman"/>
          <w:noProof/>
          <w:sz w:val="24"/>
        </w:rPr>
        <w:t xml:space="preserve"> prevede, printre altele, că orice persoană are </w:t>
      </w:r>
      <w:r>
        <w:rPr>
          <w:rFonts w:ascii="Times New Roman" w:hAnsi="Times New Roman"/>
          <w:b/>
          <w:noProof/>
          <w:sz w:val="24"/>
        </w:rPr>
        <w:t>dreptul de a beneficia de îngrijiri medicale</w:t>
      </w:r>
      <w:r>
        <w:rPr>
          <w:rFonts w:ascii="Times New Roman" w:hAnsi="Times New Roman"/>
          <w:noProof/>
          <w:sz w:val="24"/>
        </w:rPr>
        <w:t xml:space="preserve"> în condițiile prevăzute de legislațiile și practicile naționale și că, la elaborarea și punerea în aplicare a tuturor politicilor și acțiunilor Uniunii, trebuie să se asigure un </w:t>
      </w:r>
      <w:r>
        <w:rPr>
          <w:rFonts w:ascii="Times New Roman" w:hAnsi="Times New Roman"/>
          <w:b/>
          <w:noProof/>
          <w:sz w:val="24"/>
        </w:rPr>
        <w:t>nivel ridicat de protecție a sănătății umane</w:t>
      </w:r>
      <w:r>
        <w:rPr>
          <w:rFonts w:ascii="Times New Roman" w:hAnsi="Times New Roman"/>
          <w:noProof/>
          <w:sz w:val="24"/>
        </w:rPr>
        <w:t>.</w:t>
      </w:r>
    </w:p>
    <w:p w14:paraId="79C5D159" w14:textId="0EA629C3" w:rsidR="00A5012A" w:rsidRPr="004B087B" w:rsidRDefault="00CF653B" w:rsidP="6286A574">
      <w:pPr>
        <w:jc w:val="both"/>
        <w:rPr>
          <w:rFonts w:ascii="Times New Roman" w:hAnsi="Times New Roman" w:cs="Times New Roman"/>
          <w:noProof/>
          <w:sz w:val="24"/>
          <w:szCs w:val="24"/>
        </w:rPr>
      </w:pPr>
      <w:r>
        <w:rPr>
          <w:rFonts w:ascii="Times New Roman" w:hAnsi="Times New Roman"/>
          <w:b/>
          <w:noProof/>
          <w:sz w:val="24"/>
        </w:rPr>
        <w:t>Regulamentul (UE) 2021/1057</w:t>
      </w:r>
      <w:r>
        <w:rPr>
          <w:rFonts w:ascii="Times New Roman" w:hAnsi="Times New Roman"/>
          <w:noProof/>
          <w:sz w:val="24"/>
        </w:rPr>
        <w:t xml:space="preserve"> instituie </w:t>
      </w:r>
      <w:r>
        <w:rPr>
          <w:rFonts w:ascii="Times New Roman" w:hAnsi="Times New Roman"/>
          <w:b/>
          <w:noProof/>
          <w:sz w:val="24"/>
        </w:rPr>
        <w:t>Fondul social european Plus (FSE+)</w:t>
      </w:r>
      <w:r>
        <w:rPr>
          <w:rStyle w:val="FootnoteReference"/>
          <w:rFonts w:ascii="Times New Roman" w:hAnsi="Times New Roman" w:cs="Times New Roman"/>
          <w:noProof/>
          <w:sz w:val="24"/>
          <w:szCs w:val="24"/>
          <w:lang w:val="en-GB"/>
        </w:rPr>
        <w:footnoteReference w:id="17"/>
      </w:r>
      <w:r>
        <w:rPr>
          <w:rFonts w:ascii="Times New Roman" w:hAnsi="Times New Roman"/>
          <w:noProof/>
          <w:sz w:val="24"/>
        </w:rPr>
        <w:t>, un instrument-cheie al UE care vizează, printre altele, îmbunătățirea coeziunii economice și sociale între statele membre. Obiectivul general al acestui regulament este de a sprijini statele membre și regiunile să atingă, printre altele, niveluri ridicate de ocupare a forței de muncă, o protecție socială echitabilă și societăți favorabile incluziunii și bazate pe coeziune, cu scopul de a respecta principiile stabilite în Pilonul european al drepturilor sociale</w:t>
      </w:r>
      <w:r>
        <w:rPr>
          <w:rStyle w:val="FootnoteReference"/>
          <w:rFonts w:ascii="Times New Roman" w:hAnsi="Times New Roman" w:cs="Times New Roman"/>
          <w:noProof/>
          <w:sz w:val="24"/>
          <w:szCs w:val="24"/>
          <w:lang w:val="en-GB"/>
        </w:rPr>
        <w:footnoteReference w:id="18"/>
      </w:r>
      <w:r>
        <w:rPr>
          <w:rFonts w:ascii="Times New Roman" w:hAnsi="Times New Roman"/>
          <w:noProof/>
          <w:sz w:val="24"/>
        </w:rPr>
        <w:t>. Acesta promovează incluziunea socială prin combaterea discriminării și a inegalităților. Este vorba despre inițiative menite să promoveze un acces egal și în timp util la servicii de calitate, durabile și la prețuri accesibile, inclusiv accesul la asistență medicală.</w:t>
      </w:r>
    </w:p>
    <w:p w14:paraId="42874E13" w14:textId="762F64CE" w:rsidR="00F85444" w:rsidRPr="004B087B" w:rsidRDefault="00C07CF8" w:rsidP="00F85444">
      <w:pPr>
        <w:jc w:val="both"/>
        <w:rPr>
          <w:rFonts w:ascii="Times New Roman" w:hAnsi="Times New Roman" w:cs="Times New Roman"/>
          <w:b/>
          <w:bCs/>
          <w:noProof/>
          <w:sz w:val="24"/>
          <w:szCs w:val="24"/>
        </w:rPr>
      </w:pPr>
      <w:bookmarkStart w:id="8" w:name="_Hlk220085903"/>
      <w:r>
        <w:rPr>
          <w:rFonts w:ascii="Times New Roman" w:hAnsi="Times New Roman"/>
          <w:noProof/>
          <w:sz w:val="24"/>
        </w:rPr>
        <w:t>FSE+ „ar trebui să fie, de asemenea, utilizat pentru a spori accesul prompt și echitabil la servicii accesibile ca preț, sustenabile și de înaltă calitate care promovează ... îngrijire centrată pe individ, cum ar fi serviciile de asistență medicală” (așa cum se prevede în considerentul 18 din Regulamentul FSE+). În plus, „având în vedere importanța accesului la asistență medicală, FSE+ ar trebui să asigure sinergii și complementarități cu</w:t>
      </w:r>
      <w:r>
        <w:rPr>
          <w:noProof/>
        </w:rPr>
        <w:t xml:space="preserve"> </w:t>
      </w:r>
      <w:r>
        <w:rPr>
          <w:rFonts w:ascii="Times New Roman" w:hAnsi="Times New Roman"/>
          <w:noProof/>
          <w:sz w:val="24"/>
        </w:rPr>
        <w:t>programul «UE pentru sănătate»</w:t>
      </w:r>
      <w:r>
        <w:rPr>
          <w:rStyle w:val="FootnoteReference"/>
          <w:rFonts w:ascii="Times New Roman" w:hAnsi="Times New Roman" w:cs="Times New Roman"/>
          <w:noProof/>
          <w:sz w:val="24"/>
          <w:szCs w:val="24"/>
          <w:lang w:val="en-GB"/>
        </w:rPr>
        <w:footnoteReference w:id="19"/>
      </w:r>
      <w:r>
        <w:rPr>
          <w:rFonts w:ascii="Times New Roman" w:hAnsi="Times New Roman"/>
          <w:noProof/>
          <w:sz w:val="24"/>
        </w:rPr>
        <w:t>..., iar domeniul de aplicare al FSE+ ar trebui să includă accesul la asistență medicală pentru persoanele aflate în situații vulnerabile” (așa cum se prevede în considerentul 21).</w:t>
      </w:r>
    </w:p>
    <w:p w14:paraId="3AB9ED98" w14:textId="33D10742" w:rsidR="00311111" w:rsidRPr="004B087B" w:rsidRDefault="003F1868" w:rsidP="00311111">
      <w:pPr>
        <w:jc w:val="both"/>
        <w:rPr>
          <w:rFonts w:ascii="Times New Roman" w:hAnsi="Times New Roman" w:cs="Times New Roman"/>
          <w:noProof/>
          <w:sz w:val="24"/>
          <w:szCs w:val="24"/>
        </w:rPr>
      </w:pPr>
      <w:r>
        <w:rPr>
          <w:rFonts w:ascii="Times New Roman" w:hAnsi="Times New Roman"/>
          <w:noProof/>
          <w:sz w:val="24"/>
        </w:rPr>
        <w:t xml:space="preserve">Prin urmare, unul din obiectivele specifice ale FSE+, prevăzut la articolul 4 alineatul (1) litera (k), este: „îmbunătățirea accesului egal și în timp util la servicii de calitate, sustenabile și la prețuri abordabile, inclusiv ... la </w:t>
      </w:r>
      <w:r>
        <w:rPr>
          <w:rFonts w:ascii="Times New Roman" w:hAnsi="Times New Roman"/>
          <w:b/>
          <w:noProof/>
          <w:sz w:val="24"/>
        </w:rPr>
        <w:t>servicii de îngrijire centrată pe individ, inclusiv asistență medicală</w:t>
      </w:r>
      <w:r>
        <w:rPr>
          <w:rFonts w:ascii="Times New Roman" w:hAnsi="Times New Roman"/>
          <w:noProof/>
          <w:sz w:val="24"/>
        </w:rPr>
        <w:t xml:space="preserve">; modernizarea sistemelor de protecție socială, inclusiv promovarea accesului la protecție socială, acordând o atenție deosebită copiilor și grupurilor defavorizate; îmbunătățirea accesibilității, inclusiv pentru persoanele cu handicap, </w:t>
      </w:r>
      <w:r>
        <w:rPr>
          <w:rFonts w:ascii="Times New Roman" w:hAnsi="Times New Roman"/>
          <w:b/>
          <w:noProof/>
          <w:sz w:val="24"/>
        </w:rPr>
        <w:t>a eficacității și a rezilienței sistemelor de sănătate</w:t>
      </w:r>
      <w:r>
        <w:rPr>
          <w:rFonts w:ascii="Times New Roman" w:hAnsi="Times New Roman"/>
          <w:noProof/>
          <w:sz w:val="24"/>
        </w:rPr>
        <w:t xml:space="preserve"> și a serviciilor de îngrijire pe termen lung”.</w:t>
      </w:r>
    </w:p>
    <w:bookmarkEnd w:id="8"/>
    <w:p w14:paraId="3CF4A8E5" w14:textId="5FA33A59" w:rsidR="00F1757B" w:rsidRPr="004B087B" w:rsidRDefault="00202056">
      <w:pPr>
        <w:jc w:val="both"/>
        <w:rPr>
          <w:rFonts w:ascii="Times New Roman" w:hAnsi="Times New Roman" w:cs="Times New Roman"/>
          <w:noProof/>
          <w:sz w:val="24"/>
          <w:szCs w:val="24"/>
        </w:rPr>
      </w:pPr>
      <w:r>
        <w:rPr>
          <w:rFonts w:ascii="Times New Roman" w:hAnsi="Times New Roman"/>
          <w:noProof/>
          <w:sz w:val="24"/>
        </w:rPr>
        <w:t>Prin urmare, FSE+ poate sprijini inițiative, selectate la nivel național, care vizează să garanteze și să îmbunătățească accesul echitabil și în timp util la servicii de asistență medicală, ceea ce poate include accesul persoanelor aflate în situații vulnerabile. Aceste eforturi fac parte dintr-o strategie mai amplă de consolidare a coeziunii sociale și de îmbunătățire a calității generale a vieții pentru toți cei care trăiesc în UE.</w:t>
      </w:r>
    </w:p>
    <w:p w14:paraId="0675F351" w14:textId="2F44F113" w:rsidR="003F3D99" w:rsidRPr="004B087B" w:rsidRDefault="003F3D99" w:rsidP="000B3153">
      <w:pPr>
        <w:jc w:val="both"/>
        <w:rPr>
          <w:rFonts w:ascii="Times New Roman" w:hAnsi="Times New Roman" w:cs="Times New Roman"/>
          <w:i/>
          <w:iCs/>
          <w:noProof/>
          <w:sz w:val="24"/>
          <w:szCs w:val="24"/>
          <w:u w:val="single"/>
        </w:rPr>
      </w:pPr>
      <w:r>
        <w:rPr>
          <w:rFonts w:ascii="Times New Roman" w:hAnsi="Times New Roman"/>
          <w:i/>
          <w:noProof/>
          <w:sz w:val="24"/>
          <w:u w:val="single"/>
        </w:rPr>
        <w:t>Contextul de politică</w:t>
      </w:r>
    </w:p>
    <w:p w14:paraId="03E6CFBE" w14:textId="58188005" w:rsidR="0067055D" w:rsidRPr="004B087B" w:rsidRDefault="0067055D" w:rsidP="0067055D">
      <w:pPr>
        <w:jc w:val="both"/>
        <w:rPr>
          <w:rFonts w:ascii="Times New Roman" w:hAnsi="Times New Roman" w:cs="Times New Roman"/>
          <w:noProof/>
          <w:sz w:val="24"/>
          <w:szCs w:val="24"/>
        </w:rPr>
      </w:pPr>
      <w:r>
        <w:rPr>
          <w:rFonts w:ascii="Times New Roman" w:hAnsi="Times New Roman"/>
          <w:b/>
          <w:noProof/>
          <w:sz w:val="24"/>
        </w:rPr>
        <w:t>Foaia de parcurs a Comisiei privind drepturile femeilor</w:t>
      </w:r>
      <w:r>
        <w:rPr>
          <w:rFonts w:ascii="Times New Roman" w:hAnsi="Times New Roman"/>
          <w:noProof/>
          <w:sz w:val="24"/>
        </w:rPr>
        <w:t xml:space="preserve">, aprobată în octombrie 2025 de toate statele membre și de alte instituții ale UE, include, în </w:t>
      </w:r>
      <w:r>
        <w:rPr>
          <w:rFonts w:ascii="Times New Roman" w:hAnsi="Times New Roman"/>
          <w:i/>
          <w:noProof/>
          <w:sz w:val="24"/>
        </w:rPr>
        <w:t>Declarația de principii pentru o societate bazată pe egalitatea de gen</w:t>
      </w:r>
      <w:r>
        <w:rPr>
          <w:rFonts w:ascii="Times New Roman" w:hAnsi="Times New Roman"/>
          <w:noProof/>
          <w:sz w:val="24"/>
        </w:rPr>
        <w:t>, principiul 2: „Cele mai înalte standarde de sănătate Fiecare femeie are dreptul de a beneficia de cele mai înalte standarde posibile în materie de sănătate fizică și mentală.” Susținerea și promovarea acestui principiu includ urmărirea obiectivului de „protejare a sănătății femeilor prin sprijinirea și completarea, cu respectarea deplină a tratatelor, a acțiunilor statelor membre în domeniul sănătății în ceea ce privește accesul femeilor la sănătatea sexuală și reproductivă și la drepturile aferente”. Conceptul de sănătate sexuală și reproductivă este înțeles, în general, ca incluzând o gamă largă de servicii care acoperă: (i) sănătatea maternă; (ii) planificarea familială, inclusiv contracepția; (iii) promovarea unei educații sexuale cuprinzătoare; (iv) prevenirea infecțiilor cu transmitere sexuală; (vi) cancerele ginecologice și HIV; (vi) servicii de îngrijiri complete legate de avort și (vii) opțiunile privind infertilitate și fertilitatea</w:t>
      </w:r>
      <w:r>
        <w:rPr>
          <w:rStyle w:val="FootnoteReference"/>
          <w:rFonts w:ascii="Times New Roman" w:hAnsi="Times New Roman" w:cs="Times New Roman"/>
          <w:noProof/>
          <w:sz w:val="24"/>
          <w:szCs w:val="24"/>
          <w:lang w:val="en-GB"/>
        </w:rPr>
        <w:footnoteReference w:id="20"/>
      </w:r>
      <w:r>
        <w:rPr>
          <w:rFonts w:ascii="Times New Roman" w:hAnsi="Times New Roman"/>
          <w:noProof/>
          <w:sz w:val="24"/>
        </w:rPr>
        <w:t>.</w:t>
      </w:r>
    </w:p>
    <w:p w14:paraId="4B2D5766" w14:textId="60F11923" w:rsidR="00295986" w:rsidRPr="004B087B" w:rsidRDefault="00295986" w:rsidP="00295986">
      <w:pPr>
        <w:jc w:val="both"/>
        <w:rPr>
          <w:rFonts w:ascii="Times New Roman" w:hAnsi="Times New Roman" w:cs="Times New Roman"/>
          <w:noProof/>
          <w:sz w:val="24"/>
          <w:szCs w:val="24"/>
        </w:rPr>
      </w:pPr>
      <w:r>
        <w:rPr>
          <w:rFonts w:ascii="Times New Roman" w:hAnsi="Times New Roman"/>
          <w:b/>
          <w:noProof/>
          <w:sz w:val="24"/>
        </w:rPr>
        <w:t>Parlamentul European</w:t>
      </w:r>
      <w:r>
        <w:rPr>
          <w:rFonts w:ascii="Times New Roman" w:hAnsi="Times New Roman"/>
          <w:noProof/>
          <w:sz w:val="24"/>
        </w:rPr>
        <w:t xml:space="preserve"> a organizat o dezbatere privind inițiativa </w:t>
      </w:r>
      <w:r>
        <w:rPr>
          <w:rFonts w:ascii="Times New Roman" w:hAnsi="Times New Roman"/>
          <w:i/>
          <w:noProof/>
          <w:sz w:val="24"/>
        </w:rPr>
        <w:t>My Voice, My Choice</w:t>
      </w:r>
      <w:r>
        <w:rPr>
          <w:rFonts w:ascii="Times New Roman" w:hAnsi="Times New Roman"/>
          <w:noProof/>
          <w:sz w:val="24"/>
        </w:rPr>
        <w:t xml:space="preserve"> la 16 decembrie 2025, în cursul căreia majoritatea deputaților în Parlamentul European au subliniat importanța obiectivului acesteia de a proteja accesul femeilor la asistență medicală. În </w:t>
      </w:r>
      <w:r>
        <w:rPr>
          <w:rFonts w:ascii="Times New Roman" w:hAnsi="Times New Roman"/>
          <w:b/>
          <w:noProof/>
          <w:sz w:val="24"/>
        </w:rPr>
        <w:t>rezoluția</w:t>
      </w:r>
      <w:r>
        <w:rPr>
          <w:rFonts w:ascii="Times New Roman" w:hAnsi="Times New Roman"/>
          <w:noProof/>
          <w:sz w:val="24"/>
        </w:rPr>
        <w:t xml:space="preserve"> aferentă se subliniază, de asemenea, că inițiativa urmărește să creeze o UE mai sigură, care să ofere același nivel de asistență medicală pentru toți</w:t>
      </w:r>
      <w:r>
        <w:rPr>
          <w:rStyle w:val="FootnoteReference"/>
          <w:rFonts w:ascii="Times New Roman" w:hAnsi="Times New Roman" w:cs="Times New Roman"/>
          <w:noProof/>
          <w:sz w:val="24"/>
          <w:szCs w:val="24"/>
        </w:rPr>
        <w:footnoteReference w:id="21"/>
      </w:r>
      <w:r>
        <w:rPr>
          <w:rFonts w:ascii="Times New Roman" w:hAnsi="Times New Roman"/>
          <w:noProof/>
          <w:sz w:val="24"/>
        </w:rPr>
        <w:t>.</w:t>
      </w:r>
    </w:p>
    <w:p w14:paraId="37FBF6D0" w14:textId="4D162CDD" w:rsidR="005340E3" w:rsidRPr="004B087B" w:rsidRDefault="00DF52BF" w:rsidP="00F82BE9">
      <w:pPr>
        <w:jc w:val="both"/>
        <w:rPr>
          <w:rFonts w:ascii="Times New Roman" w:hAnsi="Times New Roman" w:cs="Times New Roman"/>
          <w:noProof/>
          <w:sz w:val="24"/>
          <w:szCs w:val="24"/>
        </w:rPr>
      </w:pPr>
      <w:r>
        <w:rPr>
          <w:rFonts w:ascii="Times New Roman" w:hAnsi="Times New Roman"/>
          <w:b/>
          <w:noProof/>
          <w:sz w:val="24"/>
        </w:rPr>
        <w:t>Declarația ministerială comună privind garantarea sănătății sexuale și reproductive și a drepturilor aferente</w:t>
      </w:r>
      <w:r>
        <w:rPr>
          <w:rFonts w:ascii="Times New Roman" w:hAnsi="Times New Roman"/>
          <w:noProof/>
          <w:sz w:val="24"/>
        </w:rPr>
        <w:t>, adoptată în timpul Președinției spaniole, la 28 septembrie 2023, invită instituțiile UE și statele membre, conform competențelor lor respective și ținând seama de circumstanțele naționale, să asigure accesul la avort legal și în condiții de siguranță și la îngrijiri post-avort prin eliminarea barierelor care împiedică practicarea acestuia. De asemenea, instituțiile UE și statele membre sunt invitate să adopte măsuri specifice pentru a garanta drepturile femeilor și fetelor de a avea acces la serviciile de sănătate furnizate de sistemul public de sănătate și în limite geografice rezonabile și pentru a se asigura că recunoașterea corespunzătoare a clauzei de conștiință a membrilor personalului medical nu împiedică exercitarea acestor drepturi de către femei și fete. La momentul adoptării, declarația a fost semnată de 16 state membre</w:t>
      </w:r>
      <w:r>
        <w:rPr>
          <w:rStyle w:val="FootnoteReference"/>
          <w:rFonts w:ascii="Times New Roman" w:hAnsi="Times New Roman" w:cs="Times New Roman"/>
          <w:noProof/>
          <w:sz w:val="24"/>
          <w:szCs w:val="24"/>
          <w:lang w:val="en-GB"/>
        </w:rPr>
        <w:footnoteReference w:id="22"/>
      </w:r>
      <w:r>
        <w:rPr>
          <w:rFonts w:ascii="Times New Roman" w:hAnsi="Times New Roman"/>
          <w:noProof/>
          <w:sz w:val="24"/>
        </w:rPr>
        <w:t>, cât mai multe alte state membre putându-se alătura ulterior.</w:t>
      </w:r>
    </w:p>
    <w:p w14:paraId="115E19CE" w14:textId="0CBA424A" w:rsidR="00983371" w:rsidRPr="004B087B" w:rsidRDefault="00983371" w:rsidP="00983371">
      <w:pPr>
        <w:pStyle w:val="Heading2"/>
        <w:rPr>
          <w:bCs/>
          <w:noProof/>
          <w:szCs w:val="24"/>
        </w:rPr>
      </w:pPr>
      <w:r>
        <w:rPr>
          <w:noProof/>
        </w:rPr>
        <w:t>Chestiunea în discuție</w:t>
      </w:r>
    </w:p>
    <w:p w14:paraId="780F85B1" w14:textId="7DA4560F" w:rsidR="00983371" w:rsidRPr="004B087B" w:rsidRDefault="00983371" w:rsidP="00983371">
      <w:pPr>
        <w:spacing w:line="240" w:lineRule="auto"/>
        <w:jc w:val="both"/>
        <w:rPr>
          <w:rFonts w:ascii="Times New Roman" w:hAnsi="Times New Roman" w:cs="Times New Roman"/>
          <w:noProof/>
          <w:sz w:val="24"/>
          <w:szCs w:val="24"/>
        </w:rPr>
      </w:pPr>
      <w:r>
        <w:rPr>
          <w:rFonts w:ascii="Times New Roman" w:hAnsi="Times New Roman"/>
          <w:b/>
          <w:noProof/>
          <w:sz w:val="24"/>
        </w:rPr>
        <w:t>Avortul în condiții nesigure este o chestiune de sănătate publică</w:t>
      </w:r>
      <w:r>
        <w:rPr>
          <w:rFonts w:ascii="Times New Roman" w:hAnsi="Times New Roman"/>
          <w:noProof/>
          <w:sz w:val="24"/>
        </w:rPr>
        <w:t xml:space="preserve">. Aceasta poate duce la diverse forme de </w:t>
      </w:r>
      <w:r>
        <w:rPr>
          <w:rFonts w:ascii="Times New Roman" w:hAnsi="Times New Roman"/>
          <w:b/>
          <w:noProof/>
          <w:sz w:val="24"/>
        </w:rPr>
        <w:t>vătămare fizică</w:t>
      </w:r>
      <w:r>
        <w:rPr>
          <w:rFonts w:ascii="Times New Roman" w:hAnsi="Times New Roman"/>
          <w:noProof/>
          <w:sz w:val="24"/>
        </w:rPr>
        <w:t xml:space="preserve"> (inclusiv deces și infertilitate) și la </w:t>
      </w:r>
      <w:r>
        <w:rPr>
          <w:rFonts w:ascii="Times New Roman" w:hAnsi="Times New Roman"/>
          <w:b/>
          <w:noProof/>
          <w:sz w:val="24"/>
        </w:rPr>
        <w:t>stres psihic</w:t>
      </w:r>
      <w:r>
        <w:rPr>
          <w:rFonts w:ascii="Times New Roman" w:hAnsi="Times New Roman"/>
          <w:noProof/>
          <w:sz w:val="24"/>
        </w:rPr>
        <w:t xml:space="preserve"> sever.</w:t>
      </w:r>
    </w:p>
    <w:p w14:paraId="6F715214" w14:textId="6008E0F6" w:rsidR="00243A93" w:rsidRPr="004B087B" w:rsidRDefault="00983371" w:rsidP="00983371">
      <w:pPr>
        <w:jc w:val="both"/>
        <w:rPr>
          <w:rFonts w:ascii="Times New Roman" w:hAnsi="Times New Roman" w:cs="Times New Roman"/>
          <w:noProof/>
          <w:sz w:val="24"/>
          <w:szCs w:val="24"/>
        </w:rPr>
      </w:pPr>
      <w:r>
        <w:rPr>
          <w:rFonts w:ascii="Times New Roman" w:hAnsi="Times New Roman"/>
          <w:noProof/>
          <w:sz w:val="24"/>
        </w:rPr>
        <w:t xml:space="preserve">Potrivit OMS: </w:t>
      </w:r>
    </w:p>
    <w:p w14:paraId="0688D39C" w14:textId="2086E74C" w:rsidR="00983371" w:rsidRPr="004B087B" w:rsidRDefault="00737B62" w:rsidP="00983371">
      <w:pPr>
        <w:jc w:val="both"/>
        <w:rPr>
          <w:rFonts w:ascii="Times New Roman" w:hAnsi="Times New Roman" w:cs="Times New Roman"/>
          <w:b/>
          <w:bCs/>
          <w:i/>
          <w:iCs/>
          <w:noProof/>
          <w:sz w:val="24"/>
          <w:szCs w:val="24"/>
        </w:rPr>
      </w:pPr>
      <w:r>
        <w:rPr>
          <w:rFonts w:ascii="Times New Roman" w:hAnsi="Times New Roman"/>
          <w:i/>
          <w:noProof/>
          <w:sz w:val="24"/>
        </w:rPr>
        <w:t>E</w:t>
      </w:r>
      <w:r w:rsidR="00983371">
        <w:rPr>
          <w:rFonts w:ascii="Times New Roman" w:hAnsi="Times New Roman"/>
          <w:i/>
          <w:noProof/>
          <w:sz w:val="24"/>
        </w:rPr>
        <w:t>stimările la nivel global arată că 45 % din totalul avorturilor nu se practică în condiții de siguranță, din care 14,4 % în condiții de minimă siguranță</w:t>
      </w:r>
      <w:r w:rsidR="00983371">
        <w:rPr>
          <w:rStyle w:val="FootnoteReference"/>
          <w:rFonts w:ascii="Times New Roman" w:hAnsi="Times New Roman" w:cs="Times New Roman"/>
          <w:noProof/>
          <w:sz w:val="24"/>
          <w:szCs w:val="24"/>
          <w:lang w:val="en-GB"/>
        </w:rPr>
        <w:footnoteReference w:id="23"/>
      </w:r>
      <w:r w:rsidR="00983371">
        <w:rPr>
          <w:rFonts w:ascii="Times New Roman" w:hAnsi="Times New Roman"/>
          <w:i/>
          <w:noProof/>
          <w:sz w:val="24"/>
        </w:rPr>
        <w:t xml:space="preserve">. Aceasta este o </w:t>
      </w:r>
      <w:r w:rsidR="00983371">
        <w:rPr>
          <w:rFonts w:ascii="Times New Roman" w:hAnsi="Times New Roman"/>
          <w:b/>
          <w:i/>
          <w:noProof/>
          <w:sz w:val="24"/>
        </w:rPr>
        <w:t>chestiune crucială în ceea ce privește sănătatea publică</w:t>
      </w:r>
      <w:r w:rsidR="00983371">
        <w:rPr>
          <w:rFonts w:ascii="Times New Roman" w:hAnsi="Times New Roman"/>
          <w:i/>
          <w:noProof/>
          <w:sz w:val="24"/>
        </w:rPr>
        <w:t xml:space="preserve"> și drepturile omului; </w:t>
      </w:r>
      <w:r w:rsidR="00983371">
        <w:rPr>
          <w:rFonts w:ascii="Times New Roman" w:hAnsi="Times New Roman"/>
          <w:b/>
          <w:i/>
          <w:noProof/>
          <w:sz w:val="24"/>
        </w:rPr>
        <w:t>cazurile de avort în condiții nesigure se înregistrează din ce în ce mai mult</w:t>
      </w:r>
      <w:r w:rsidR="00983371">
        <w:rPr>
          <w:rFonts w:ascii="Times New Roman" w:hAnsi="Times New Roman"/>
          <w:i/>
          <w:noProof/>
          <w:sz w:val="24"/>
        </w:rPr>
        <w:t xml:space="preserve"> în țările în curs de dezvoltare și </w:t>
      </w:r>
      <w:r w:rsidR="00983371">
        <w:rPr>
          <w:rFonts w:ascii="Times New Roman" w:hAnsi="Times New Roman"/>
          <w:b/>
          <w:i/>
          <w:noProof/>
          <w:sz w:val="24"/>
        </w:rPr>
        <w:t>în rândul grupurilor marginalizate și aflate în situații vulnerabile</w:t>
      </w:r>
      <w:r w:rsidR="00983371">
        <w:rPr>
          <w:rFonts w:ascii="Times New Roman" w:hAnsi="Times New Roman"/>
          <w:i/>
          <w:noProof/>
          <w:sz w:val="24"/>
        </w:rPr>
        <w:t>.</w:t>
      </w:r>
    </w:p>
    <w:p w14:paraId="4A2AC856" w14:textId="7CF0B64C" w:rsidR="00983371" w:rsidRPr="004B087B" w:rsidRDefault="00983371" w:rsidP="00983371">
      <w:pPr>
        <w:jc w:val="both"/>
        <w:rPr>
          <w:rFonts w:ascii="Times New Roman" w:hAnsi="Times New Roman"/>
          <w:noProof/>
          <w:sz w:val="24"/>
        </w:rPr>
      </w:pPr>
      <w:r>
        <w:rPr>
          <w:rFonts w:ascii="Times New Roman" w:hAnsi="Times New Roman"/>
          <w:i/>
          <w:noProof/>
          <w:sz w:val="24"/>
        </w:rPr>
        <w:t>În țările în care accesul la întreruperea voluntară a sarcinii este foarte restricționat prin lege sau nu este posibil din cauza altor bariere, avortul în condiții de siguranță a devenit adesea un privilegiu al celor bogați,</w:t>
      </w:r>
      <w:r>
        <w:rPr>
          <w:rFonts w:ascii="Times New Roman" w:hAnsi="Times New Roman"/>
          <w:b/>
          <w:i/>
          <w:noProof/>
          <w:sz w:val="24"/>
        </w:rPr>
        <w:t xml:space="preserve"> în timp ce femeile sărace sunt nevoite să recurgă la serviciile unor furnizori necalificați care practică această intervenție în condiții nesigure</w:t>
      </w:r>
      <w:r>
        <w:rPr>
          <w:rFonts w:ascii="Times New Roman" w:hAnsi="Times New Roman"/>
          <w:i/>
          <w:noProof/>
          <w:sz w:val="24"/>
        </w:rPr>
        <w:t xml:space="preserve"> sau își provoacă ele însele avortul utilizând de cele mai multe ori metode riscante, </w:t>
      </w:r>
      <w:r>
        <w:rPr>
          <w:rFonts w:ascii="Times New Roman" w:hAnsi="Times New Roman"/>
          <w:b/>
          <w:i/>
          <w:noProof/>
          <w:sz w:val="24"/>
        </w:rPr>
        <w:t>ceea ce duce la deces și morbidități care țin de responsabilitatea socială și financiară a sistemului de sănătate publică</w:t>
      </w:r>
      <w:r>
        <w:rPr>
          <w:rFonts w:ascii="Times New Roman" w:hAnsi="Times New Roman"/>
          <w:i/>
          <w:noProof/>
          <w:sz w:val="24"/>
        </w:rPr>
        <w:t>, precum și la negarea drepturilor femeii. Statutul juridic al avortului nu are niciun efect asupra probabilității ca o femeie să solicite o întrerupere voluntară a sarcinii, dar afectează în mod considerabil accesul acesteia la avort în condiții de siguranță</w:t>
      </w:r>
      <w:r>
        <w:rPr>
          <w:rStyle w:val="FootnoteReference"/>
          <w:rFonts w:ascii="Times New Roman" w:hAnsi="Times New Roman"/>
          <w:noProof/>
          <w:sz w:val="24"/>
          <w:lang w:val="en-GB"/>
        </w:rPr>
        <w:footnoteReference w:id="24"/>
      </w:r>
      <w:r>
        <w:rPr>
          <w:rFonts w:ascii="Times New Roman" w:hAnsi="Times New Roman"/>
          <w:noProof/>
          <w:sz w:val="24"/>
        </w:rPr>
        <w:t>.</w:t>
      </w:r>
    </w:p>
    <w:p w14:paraId="4FABD019" w14:textId="1AE4AA43" w:rsidR="00983371" w:rsidRPr="004B087B" w:rsidRDefault="00983371" w:rsidP="00983371">
      <w:pPr>
        <w:jc w:val="both"/>
        <w:rPr>
          <w:rFonts w:ascii="Times New Roman" w:hAnsi="Times New Roman" w:cs="Times New Roman"/>
          <w:noProof/>
          <w:sz w:val="24"/>
          <w:szCs w:val="24"/>
        </w:rPr>
      </w:pPr>
      <w:r>
        <w:rPr>
          <w:rFonts w:ascii="Times New Roman" w:hAnsi="Times New Roman"/>
          <w:noProof/>
          <w:sz w:val="24"/>
        </w:rPr>
        <w:t>În UE, accesul la îngrijirile legate de avort diferă foarte mult de la un stat membru la altul.</w:t>
      </w:r>
    </w:p>
    <w:p w14:paraId="0A1221A1" w14:textId="69D4A14F" w:rsidR="00195E76" w:rsidRPr="004B087B" w:rsidRDefault="00195E76" w:rsidP="00195E76">
      <w:pPr>
        <w:jc w:val="both"/>
        <w:rPr>
          <w:rFonts w:ascii="Times New Roman" w:hAnsi="Times New Roman" w:cs="Times New Roman"/>
          <w:noProof/>
          <w:sz w:val="24"/>
          <w:szCs w:val="24"/>
        </w:rPr>
      </w:pPr>
      <w:r>
        <w:rPr>
          <w:rFonts w:ascii="Times New Roman" w:hAnsi="Times New Roman"/>
          <w:noProof/>
          <w:sz w:val="24"/>
        </w:rPr>
        <w:t>Potrivit estimărilor realizate de organizatorii ICE, 20 de milioane de femei din UE nu au încă acces la avort în condiții de siguranță, iar cele care nu dispun de mijloacele necesare pentru a se deplasa și beneficia de acest serviciu de sănătate într-un alt stat membru („femeile și familiile, mai ales în comunitățile marginalizate în care femeile nu își permit să facă avort”</w:t>
      </w:r>
      <w:r>
        <w:rPr>
          <w:rStyle w:val="FootnoteReference"/>
          <w:rFonts w:ascii="Times New Roman" w:hAnsi="Times New Roman" w:cs="Times New Roman"/>
          <w:noProof/>
          <w:sz w:val="24"/>
          <w:szCs w:val="24"/>
          <w:lang w:val="en-GB"/>
        </w:rPr>
        <w:footnoteReference w:id="25"/>
      </w:r>
      <w:r>
        <w:rPr>
          <w:rFonts w:ascii="Times New Roman" w:hAnsi="Times New Roman"/>
          <w:noProof/>
          <w:sz w:val="24"/>
        </w:rPr>
        <w:t>) recurg la avort practicat în condiții nesigure.</w:t>
      </w:r>
    </w:p>
    <w:p w14:paraId="54CC98F5" w14:textId="77777777" w:rsidR="00195E76" w:rsidRPr="004B087B" w:rsidRDefault="00195E76" w:rsidP="00983371">
      <w:pPr>
        <w:jc w:val="both"/>
        <w:rPr>
          <w:rFonts w:ascii="Times New Roman" w:hAnsi="Times New Roman" w:cs="Times New Roman"/>
          <w:noProof/>
          <w:sz w:val="24"/>
          <w:szCs w:val="24"/>
        </w:rPr>
      </w:pPr>
    </w:p>
    <w:p w14:paraId="11719850" w14:textId="77777777" w:rsidR="00EE5F2C" w:rsidRPr="004B087B" w:rsidRDefault="00EE5F2C" w:rsidP="00EE5F2C">
      <w:pPr>
        <w:pStyle w:val="Heading1"/>
        <w:rPr>
          <w:noProof/>
        </w:rPr>
      </w:pPr>
      <w:r>
        <w:rPr>
          <w:noProof/>
        </w:rPr>
        <w:t>RĂSPUNSUL LA INIȚIATIVA CETĂȚENEASCĂ EUROPEANĂ</w:t>
      </w:r>
    </w:p>
    <w:p w14:paraId="6996E6EB" w14:textId="4DBBDB14" w:rsidR="00CC74E0" w:rsidRPr="004B087B" w:rsidRDefault="00CC74E0" w:rsidP="00033CB0">
      <w:pPr>
        <w:jc w:val="both"/>
        <w:rPr>
          <w:rFonts w:ascii="Times New Roman" w:hAnsi="Times New Roman" w:cs="Times New Roman"/>
          <w:noProof/>
          <w:sz w:val="24"/>
          <w:szCs w:val="24"/>
        </w:rPr>
      </w:pPr>
      <w:r>
        <w:rPr>
          <w:rFonts w:ascii="Times New Roman" w:hAnsi="Times New Roman"/>
          <w:noProof/>
          <w:sz w:val="24"/>
        </w:rPr>
        <w:t xml:space="preserve">ICE îi solicită Comisiei „să prezinte o propunere de sprijin financiar acordat statelor membre pentru ca acestea să ofere posibilitatea întreruperii de sarcină în condiții de siguranță </w:t>
      </w:r>
      <w:r>
        <w:rPr>
          <w:rFonts w:ascii="Times New Roman" w:hAnsi="Times New Roman"/>
          <w:b/>
          <w:noProof/>
          <w:sz w:val="24"/>
        </w:rPr>
        <w:t>oricărei persoane din Europa care nu are acces la avort legal și în condiții de siguranță</w:t>
      </w:r>
      <w:r>
        <w:rPr>
          <w:rFonts w:ascii="Times New Roman" w:hAnsi="Times New Roman"/>
          <w:noProof/>
          <w:sz w:val="24"/>
        </w:rPr>
        <w:t>”. Acest apel trebuie interpretat în contextul mai larg al considerațiilor prezentate în inițiativă</w:t>
      </w:r>
      <w:r>
        <w:rPr>
          <w:rStyle w:val="FootnoteReference"/>
          <w:rFonts w:ascii="Times New Roman" w:hAnsi="Times New Roman" w:cs="Times New Roman"/>
          <w:noProof/>
          <w:sz w:val="24"/>
          <w:szCs w:val="24"/>
          <w:lang w:val="en-GB"/>
        </w:rPr>
        <w:footnoteReference w:id="26"/>
      </w:r>
      <w:r>
        <w:rPr>
          <w:rFonts w:ascii="Times New Roman" w:hAnsi="Times New Roman"/>
          <w:noProof/>
          <w:sz w:val="24"/>
        </w:rPr>
        <w:t>, în special al celor care se referă la „</w:t>
      </w:r>
      <w:r>
        <w:rPr>
          <w:rFonts w:ascii="Times New Roman" w:hAnsi="Times New Roman"/>
          <w:b/>
          <w:noProof/>
          <w:sz w:val="24"/>
        </w:rPr>
        <w:t>femeile și familiile, mai ales în comunitățile marginalizate în care femeile nu își permit să facă avort</w:t>
      </w:r>
      <w:r>
        <w:rPr>
          <w:rFonts w:ascii="Times New Roman" w:hAnsi="Times New Roman"/>
          <w:noProof/>
          <w:sz w:val="24"/>
        </w:rPr>
        <w:t>”.</w:t>
      </w:r>
    </w:p>
    <w:p w14:paraId="0F4DD584" w14:textId="77808000" w:rsidR="00CC74E0" w:rsidRPr="004B087B" w:rsidRDefault="00F111DF" w:rsidP="00033CB0">
      <w:pPr>
        <w:jc w:val="both"/>
        <w:rPr>
          <w:rFonts w:ascii="Times New Roman" w:hAnsi="Times New Roman" w:cs="Times New Roman"/>
          <w:noProof/>
          <w:sz w:val="24"/>
          <w:szCs w:val="24"/>
        </w:rPr>
      </w:pPr>
      <w:r>
        <w:rPr>
          <w:rFonts w:ascii="Times New Roman" w:hAnsi="Times New Roman"/>
          <w:noProof/>
          <w:sz w:val="24"/>
        </w:rPr>
        <w:t xml:space="preserve">În opinia Comisiei, inițiativa reprezintă o solicitare de a prezenta o propunere de act juridic pentru a oferi sprijin financiar statelor membre care, pe această bază, ar urma să ofere acces la îngrijiri legate de avort în condiții de siguranță, în conformitate cu dreptul lor intern, femeilor care nu ar putea avea acces la aceste servicii în propriul lor stat membru. Textul cererii indică faptul că </w:t>
      </w:r>
      <w:r>
        <w:rPr>
          <w:rFonts w:ascii="Times New Roman" w:hAnsi="Times New Roman"/>
          <w:b/>
          <w:noProof/>
          <w:sz w:val="24"/>
        </w:rPr>
        <w:t>nu există intenția</w:t>
      </w:r>
      <w:r>
        <w:rPr>
          <w:rFonts w:ascii="Times New Roman" w:hAnsi="Times New Roman"/>
          <w:noProof/>
          <w:sz w:val="24"/>
        </w:rPr>
        <w:t xml:space="preserve"> </w:t>
      </w:r>
      <w:r>
        <w:rPr>
          <w:rFonts w:ascii="Times New Roman" w:hAnsi="Times New Roman"/>
          <w:b/>
          <w:noProof/>
          <w:sz w:val="24"/>
        </w:rPr>
        <w:t>de a aduce atingere</w:t>
      </w:r>
      <w:r>
        <w:rPr>
          <w:rFonts w:ascii="Times New Roman" w:hAnsi="Times New Roman"/>
          <w:noProof/>
          <w:sz w:val="24"/>
        </w:rPr>
        <w:t xml:space="preserve"> </w:t>
      </w:r>
      <w:r>
        <w:rPr>
          <w:rFonts w:ascii="Times New Roman" w:hAnsi="Times New Roman"/>
          <w:b/>
          <w:noProof/>
          <w:sz w:val="24"/>
        </w:rPr>
        <w:t>normelor de drept intern sau reglementărilor naționale ale statelor membre</w:t>
      </w:r>
      <w:r>
        <w:rPr>
          <w:rFonts w:ascii="Times New Roman" w:hAnsi="Times New Roman"/>
          <w:noProof/>
          <w:sz w:val="24"/>
        </w:rPr>
        <w:t>, ci mai degrabă se dorește să se ofere sprijin financiar care să completeze și să respecte cadrele juridice existente.</w:t>
      </w:r>
    </w:p>
    <w:p w14:paraId="0C2A3FCE" w14:textId="113A7AEA" w:rsidR="00881A59" w:rsidRPr="004B087B" w:rsidRDefault="00CF6EDC" w:rsidP="00033CB0">
      <w:pPr>
        <w:jc w:val="both"/>
        <w:rPr>
          <w:rFonts w:ascii="Times New Roman" w:hAnsi="Times New Roman" w:cs="Times New Roman"/>
          <w:noProof/>
          <w:sz w:val="24"/>
          <w:szCs w:val="24"/>
        </w:rPr>
      </w:pPr>
      <w:r>
        <w:rPr>
          <w:rFonts w:ascii="Times New Roman" w:hAnsi="Times New Roman"/>
          <w:noProof/>
          <w:sz w:val="24"/>
        </w:rPr>
        <w:t>Cererea ține seama de repartizarea fundamentală a competențelor în UE: (i) deciziile de reglementare și opțiunile în materie de bioetică privind sănătatea reproducerii și avortul intră în sfera de competență a statelor membre [articolul 168 alineatul (7) din TFUE] și (ii) UE are doar competențe de sprijinire [articolul 168 alineatul (5) din TFUE], ceea ce îi permite să finanțeze acțiunile statelor membre privind promovarea sănătății.</w:t>
      </w:r>
    </w:p>
    <w:p w14:paraId="18A91421" w14:textId="574C8C07" w:rsidR="00CF6EDC" w:rsidRPr="004B087B" w:rsidRDefault="002C6A7A" w:rsidP="00033CB0">
      <w:pPr>
        <w:jc w:val="both"/>
        <w:rPr>
          <w:rFonts w:ascii="Times New Roman" w:hAnsi="Times New Roman" w:cs="Times New Roman"/>
          <w:noProof/>
          <w:sz w:val="24"/>
          <w:szCs w:val="24"/>
        </w:rPr>
      </w:pPr>
      <w:r>
        <w:rPr>
          <w:rFonts w:ascii="Times New Roman" w:hAnsi="Times New Roman"/>
          <w:noProof/>
          <w:sz w:val="24"/>
        </w:rPr>
        <w:t xml:space="preserve">Ar urma să se acorde sprijin financiar statelor membre care ar alege, în mod voluntar, să ofere </w:t>
      </w:r>
      <w:r>
        <w:rPr>
          <w:rFonts w:ascii="Times New Roman" w:hAnsi="Times New Roman"/>
          <w:b/>
          <w:noProof/>
          <w:sz w:val="24"/>
        </w:rPr>
        <w:t>acces la servicii de avort în condiții de siguranță</w:t>
      </w:r>
      <w:r>
        <w:rPr>
          <w:rFonts w:ascii="Times New Roman" w:hAnsi="Times New Roman"/>
          <w:noProof/>
          <w:sz w:val="24"/>
        </w:rPr>
        <w:t xml:space="preserve"> femeilor din alte state membre </w:t>
      </w:r>
      <w:r>
        <w:rPr>
          <w:rFonts w:ascii="Times New Roman" w:hAnsi="Times New Roman"/>
          <w:b/>
          <w:noProof/>
          <w:sz w:val="24"/>
        </w:rPr>
        <w:t>care altfel nu ar putea beneficia de acestea</w:t>
      </w:r>
      <w:r>
        <w:rPr>
          <w:rFonts w:ascii="Times New Roman" w:hAnsi="Times New Roman"/>
          <w:noProof/>
          <w:sz w:val="24"/>
        </w:rPr>
        <w:t>.</w:t>
      </w:r>
    </w:p>
    <w:p w14:paraId="1ECD764C" w14:textId="048C9F29" w:rsidR="003553B6" w:rsidRPr="004B087B" w:rsidRDefault="002B5EF1" w:rsidP="002B5EF1">
      <w:pPr>
        <w:jc w:val="both"/>
        <w:rPr>
          <w:rFonts w:ascii="Times New Roman" w:hAnsi="Times New Roman" w:cs="Times New Roman"/>
          <w:noProof/>
          <w:sz w:val="24"/>
          <w:szCs w:val="24"/>
        </w:rPr>
      </w:pPr>
      <w:r>
        <w:rPr>
          <w:rFonts w:ascii="Times New Roman" w:hAnsi="Times New Roman"/>
          <w:noProof/>
          <w:sz w:val="24"/>
        </w:rPr>
        <w:t xml:space="preserve">Ca răspuns la această inițiativă, Comisia subliniază că: </w:t>
      </w:r>
    </w:p>
    <w:p w14:paraId="593ED302" w14:textId="165BA3CA" w:rsidR="00ED6F0F" w:rsidRPr="004B087B" w:rsidRDefault="00ED6F0F" w:rsidP="00ED6F0F">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dacă doresc, statele membre pot utiliza FSE+ pentru a îmbunătăți accesul echitabil la servicii de asistență medicală disponibile în mod legal și la prețuri accesibile, inclusiv la servicii de avort în condiții de siguranță.</w:t>
      </w:r>
    </w:p>
    <w:p w14:paraId="3927C750" w14:textId="5B5E9EE8" w:rsidR="003553B6" w:rsidRPr="004B087B" w:rsidRDefault="00ED6F0F" w:rsidP="004777A6">
      <w:pPr>
        <w:pStyle w:val="ListParagraph"/>
        <w:numPr>
          <w:ilvl w:val="0"/>
          <w:numId w:val="28"/>
        </w:numPr>
        <w:jc w:val="both"/>
        <w:rPr>
          <w:rFonts w:ascii="Times New Roman" w:hAnsi="Times New Roman" w:cs="Times New Roman"/>
          <w:noProof/>
          <w:sz w:val="24"/>
          <w:szCs w:val="24"/>
        </w:rPr>
      </w:pPr>
      <w:r>
        <w:rPr>
          <w:rFonts w:ascii="Times New Roman" w:hAnsi="Times New Roman"/>
          <w:noProof/>
          <w:sz w:val="24"/>
        </w:rPr>
        <w:t>Așadar, Comisia consideră că nu este necesar, din motivele indicate mai jos, să prezinte Parlamentului European și Consiliului o propunere de act juridic privind instituirea unui nou program de finanțare, așa cum s-a solicitat.</w:t>
      </w:r>
    </w:p>
    <w:p w14:paraId="27C78271" w14:textId="0F6DC042" w:rsidR="00B841D9" w:rsidRPr="004B087B" w:rsidRDefault="00223783" w:rsidP="00054147">
      <w:pPr>
        <w:pStyle w:val="Heading2"/>
        <w:numPr>
          <w:ilvl w:val="0"/>
          <w:numId w:val="25"/>
        </w:numPr>
        <w:rPr>
          <w:i/>
          <w:iCs/>
          <w:noProof/>
        </w:rPr>
      </w:pPr>
      <w:r>
        <w:rPr>
          <w:i/>
          <w:noProof/>
        </w:rPr>
        <w:t>Utilizarea FSE+ pentru realizarea obiectivului ICE</w:t>
      </w:r>
    </w:p>
    <w:p w14:paraId="1AAC71AD" w14:textId="76508E14" w:rsidR="002B5EF1" w:rsidRPr="004B087B" w:rsidRDefault="001F58EB" w:rsidP="00107A6F">
      <w:pPr>
        <w:jc w:val="both"/>
        <w:rPr>
          <w:rFonts w:ascii="Times New Roman" w:hAnsi="Times New Roman" w:cs="Times New Roman"/>
          <w:noProof/>
          <w:sz w:val="24"/>
          <w:szCs w:val="24"/>
        </w:rPr>
      </w:pPr>
      <w:r>
        <w:rPr>
          <w:rFonts w:ascii="Times New Roman" w:hAnsi="Times New Roman"/>
          <w:noProof/>
          <w:sz w:val="24"/>
        </w:rPr>
        <w:t>Comisia consideră programele naționale sau regionale existente cofinanțate de FSE+ pot fi utilizate pentru a defini acțiunile care permit realizarea obiectivului ICE.</w:t>
      </w:r>
    </w:p>
    <w:p w14:paraId="351E0CDD" w14:textId="42F6A1A2" w:rsidR="00CC74E0" w:rsidRPr="004B087B" w:rsidRDefault="00CC74E0" w:rsidP="00CC74E0">
      <w:pPr>
        <w:jc w:val="both"/>
        <w:rPr>
          <w:rFonts w:ascii="Times New Roman" w:hAnsi="Times New Roman" w:cs="Times New Roman"/>
          <w:noProof/>
          <w:sz w:val="24"/>
          <w:szCs w:val="24"/>
        </w:rPr>
      </w:pPr>
      <w:r>
        <w:rPr>
          <w:rFonts w:ascii="Times New Roman" w:hAnsi="Times New Roman"/>
          <w:noProof/>
          <w:sz w:val="24"/>
        </w:rPr>
        <w:t>În decizia sa de înregistrare, Comisia reamintește că orice sprijin financiar acordat în favoarea acțiunilor întreprinse de statele membre pentru a promova sănătatea trebuie să respecte limitările prevăzute la articolul 168 alineatul (7) din TFUE. De asemenea, Comisia afirmă că ingerința în competențele statelor membre ar putea rezulta și din instituirea concretă a unui mecanism de sprijin financiar</w:t>
      </w:r>
      <w:r>
        <w:rPr>
          <w:rStyle w:val="FootnoteReference"/>
          <w:rFonts w:ascii="Times New Roman" w:hAnsi="Times New Roman" w:cs="Times New Roman"/>
          <w:noProof/>
          <w:sz w:val="24"/>
          <w:szCs w:val="24"/>
          <w:lang w:val="en-GB"/>
        </w:rPr>
        <w:footnoteReference w:id="27"/>
      </w:r>
      <w:r>
        <w:rPr>
          <w:rFonts w:ascii="Times New Roman" w:hAnsi="Times New Roman"/>
          <w:noProof/>
          <w:sz w:val="24"/>
        </w:rPr>
        <w:t>.</w:t>
      </w:r>
    </w:p>
    <w:p w14:paraId="05BEC226" w14:textId="459FFA54" w:rsidR="00F121C2" w:rsidRPr="004B087B" w:rsidRDefault="1A111E7B" w:rsidP="2F4408B6">
      <w:pPr>
        <w:jc w:val="both"/>
        <w:rPr>
          <w:rFonts w:ascii="Times New Roman" w:eastAsia="Times New Roman" w:hAnsi="Times New Roman" w:cs="Times New Roman"/>
          <w:noProof/>
          <w:sz w:val="24"/>
          <w:szCs w:val="24"/>
        </w:rPr>
      </w:pPr>
      <w:r>
        <w:rPr>
          <w:rFonts w:ascii="Times New Roman" w:hAnsi="Times New Roman"/>
          <w:noProof/>
          <w:sz w:val="24"/>
        </w:rPr>
        <w:t>Având în vedere că FSE+ pune accentul pe îmbunătățirea accesului la servicii și a caracterului abordabil al acestora, inclusiv în ceea ce privește serviciile de asistență medicală, programele naționale cofinanțate de FSE+ pot să contribuie la obiectivul ICE.</w:t>
      </w:r>
    </w:p>
    <w:p w14:paraId="221B2FC7" w14:textId="0DFFC624" w:rsidR="00276DB5" w:rsidRPr="004B087B" w:rsidRDefault="00A97678" w:rsidP="00276DB5">
      <w:pPr>
        <w:jc w:val="both"/>
        <w:rPr>
          <w:rFonts w:ascii="Times New Roman" w:hAnsi="Times New Roman" w:cs="Times New Roman"/>
          <w:noProof/>
          <w:sz w:val="24"/>
          <w:szCs w:val="24"/>
        </w:rPr>
      </w:pPr>
      <w:r>
        <w:rPr>
          <w:rFonts w:ascii="Times New Roman" w:hAnsi="Times New Roman"/>
          <w:noProof/>
          <w:sz w:val="24"/>
        </w:rPr>
        <w:t>Componenta FSE+ este implementată de Comisie și de statele membre (prin „gestiune partajată”). În plus, Regulamentul privind dispozițiile comune</w:t>
      </w:r>
      <w:r>
        <w:rPr>
          <w:rStyle w:val="FootnoteReference"/>
          <w:rFonts w:ascii="Times New Roman" w:hAnsi="Times New Roman" w:cs="Times New Roman"/>
          <w:noProof/>
          <w:sz w:val="24"/>
          <w:szCs w:val="24"/>
          <w:lang w:val="en-GB"/>
        </w:rPr>
        <w:footnoteReference w:id="28"/>
      </w:r>
      <w:r>
        <w:rPr>
          <w:rFonts w:ascii="Times New Roman" w:hAnsi="Times New Roman"/>
          <w:noProof/>
          <w:sz w:val="24"/>
        </w:rPr>
        <w:t xml:space="preserve"> și Regulamentul FSE+</w:t>
      </w:r>
      <w:r>
        <w:rPr>
          <w:rStyle w:val="FootnoteReference"/>
          <w:rFonts w:ascii="Times New Roman" w:hAnsi="Times New Roman" w:cs="Times New Roman"/>
          <w:noProof/>
          <w:sz w:val="24"/>
          <w:szCs w:val="24"/>
          <w:lang w:val="en-GB"/>
        </w:rPr>
        <w:footnoteReference w:id="29"/>
      </w:r>
      <w:r>
        <w:rPr>
          <w:rFonts w:ascii="Times New Roman" w:hAnsi="Times New Roman"/>
          <w:noProof/>
          <w:sz w:val="24"/>
        </w:rPr>
        <w:t xml:space="preserve"> stabilesc obiectivele generale, aliniindu-le la politicile mai ample ale UE. Cu toate acestea, cadrul legislativ al FSE+ lasă la latitudinea autorităților naționale și regionale ale statelor membre să identifice obiectivele specifice care urmează să fie sprijinite în cadrul diferitelor lor programe naționale și regionale (cu acordul Comisiei) și să gestioneze punerea în aplicare curentă. Printre altele, statele membre sunt responsabile cu selectarea proiectelor, cu plata fondurilor către beneficiari și cu instituirea sistemelor de gestiune și control pentru programe. Acest lucru creează un parteneriat în cadrul căruia UE oferă finanțarea, iar statele membre pun în aplicare programele pe teren, asigurându-se că fondurile ajung la beneficiarii vizați.</w:t>
      </w:r>
    </w:p>
    <w:p w14:paraId="47739A6E" w14:textId="4E57DF6E" w:rsidR="00F121C2" w:rsidRPr="004B087B" w:rsidRDefault="00F121C2" w:rsidP="00276DB5">
      <w:pPr>
        <w:jc w:val="both"/>
        <w:rPr>
          <w:rFonts w:ascii="Times New Roman" w:hAnsi="Times New Roman" w:cs="Times New Roman"/>
          <w:noProof/>
          <w:sz w:val="24"/>
          <w:szCs w:val="24"/>
        </w:rPr>
      </w:pPr>
      <w:r>
        <w:rPr>
          <w:rFonts w:ascii="Times New Roman" w:hAnsi="Times New Roman"/>
          <w:noProof/>
          <w:sz w:val="24"/>
        </w:rPr>
        <w:t>În ceea ce privește ICE, acest lucru înseamnă că statele membre care doresc să își utilizeze resursele FSE+ (cofinanțarea UE și cea națională) pentru a contribui la obiectivul inițiativei ar trebui să se asigure că acesta este în concordanță cu strategia și obiectivele specifice ale programelor lor FSE+ respective și contribuie la acestea. Pentru a asigura respectarea articolului 168 alineatul (7) din TFUE, orice acțiune a unui stat membru ar trebui să rămână pe deplin neutră în ceea ce privește locul de origine al pacienților și, prin urmare, nu ar putea viza pacienții din alte state membre și nici nu ar putea fi limitată la aceștia.</w:t>
      </w:r>
    </w:p>
    <w:p w14:paraId="7DB017C3" w14:textId="6625E4EF" w:rsidR="00B743A0" w:rsidRPr="004B087B" w:rsidRDefault="00BB3706" w:rsidP="00F121C2">
      <w:pPr>
        <w:jc w:val="both"/>
        <w:rPr>
          <w:rFonts w:ascii="Times New Roman" w:hAnsi="Times New Roman" w:cs="Times New Roman"/>
          <w:noProof/>
          <w:sz w:val="24"/>
          <w:szCs w:val="24"/>
        </w:rPr>
      </w:pPr>
      <w:r>
        <w:rPr>
          <w:rFonts w:ascii="Times New Roman" w:hAnsi="Times New Roman"/>
          <w:noProof/>
          <w:sz w:val="24"/>
        </w:rPr>
        <w:t>Pentru a introduce acest tip de acțiune, statul membru ar putea fi nevoit să modifice programul FSE+ relevant, astfel încât accesul la asistență medicală în caz de avort să poată fi asigurat în conformitate cu legislația sa națională.</w:t>
      </w:r>
    </w:p>
    <w:p w14:paraId="1010E8A7" w14:textId="77777777" w:rsidR="000339A0" w:rsidRPr="004B087B" w:rsidRDefault="000339A0" w:rsidP="00DF5D9F">
      <w:pPr>
        <w:pStyle w:val="Heading2"/>
        <w:numPr>
          <w:ilvl w:val="0"/>
          <w:numId w:val="30"/>
        </w:numPr>
        <w:rPr>
          <w:noProof/>
          <w:szCs w:val="24"/>
        </w:rPr>
      </w:pPr>
      <w:r>
        <w:rPr>
          <w:i/>
          <w:noProof/>
        </w:rPr>
        <w:t>Motivele pentru care nu a fost prezentată o nouă propunere de act juridic</w:t>
      </w:r>
    </w:p>
    <w:p w14:paraId="73B9FC39" w14:textId="63FFE6DA" w:rsidR="000339A0" w:rsidRPr="004B087B" w:rsidRDefault="000339A0" w:rsidP="000339A0">
      <w:pPr>
        <w:jc w:val="both"/>
        <w:rPr>
          <w:rFonts w:ascii="Times New Roman" w:hAnsi="Times New Roman" w:cs="Times New Roman"/>
          <w:noProof/>
          <w:sz w:val="24"/>
          <w:szCs w:val="24"/>
        </w:rPr>
      </w:pPr>
      <w:r>
        <w:rPr>
          <w:rFonts w:ascii="Times New Roman" w:hAnsi="Times New Roman"/>
          <w:noProof/>
          <w:sz w:val="24"/>
        </w:rPr>
        <w:t>Comisia consideră că nu este necesar să prezinte o nouă propunere de act juridic pentru a realiza obiectivul ICE din următoarele motive.</w:t>
      </w:r>
    </w:p>
    <w:p w14:paraId="410E0155" w14:textId="77777777" w:rsidR="000339A0" w:rsidRPr="004B087B" w:rsidRDefault="000339A0" w:rsidP="000339A0">
      <w:pPr>
        <w:jc w:val="both"/>
        <w:rPr>
          <w:rFonts w:ascii="Times New Roman" w:hAnsi="Times New Roman" w:cs="Times New Roman"/>
          <w:noProof/>
          <w:sz w:val="24"/>
          <w:szCs w:val="24"/>
        </w:rPr>
      </w:pPr>
      <w:r>
        <w:rPr>
          <w:rFonts w:ascii="Times New Roman" w:hAnsi="Times New Roman"/>
          <w:noProof/>
          <w:sz w:val="24"/>
        </w:rPr>
        <w:t>În primul rând, programele existente permit deja adoptarea unor măsuri care să contribuie la îmbunătățirea accesului la serviciile de sănătate legate de avort, atât timp cât acestea nu aduc atingere competențelor statelor membre, în temeiul articolului 168 alineatul (7) din TFUE. Acesta este cazul programului FSE+, care, așa cum se explică la punctul 2.2, urmărește, printre altele, să reducă disparitățile în materie de asistență medicală și să asigure accesul persoanelor aflate în situații vulnerabile la servicii de sănătate esențiale.</w:t>
      </w:r>
    </w:p>
    <w:p w14:paraId="5155DFA3" w14:textId="77777777" w:rsidR="000339A0" w:rsidRPr="004B087B" w:rsidRDefault="000339A0" w:rsidP="000339A0">
      <w:pPr>
        <w:jc w:val="both"/>
        <w:rPr>
          <w:rFonts w:ascii="Times New Roman" w:hAnsi="Times New Roman" w:cs="Times New Roman"/>
          <w:noProof/>
          <w:sz w:val="24"/>
          <w:szCs w:val="24"/>
        </w:rPr>
      </w:pPr>
      <w:r>
        <w:rPr>
          <w:rFonts w:ascii="Times New Roman" w:hAnsi="Times New Roman"/>
          <w:noProof/>
          <w:sz w:val="24"/>
        </w:rPr>
        <w:t>În același timp, Comisia trebuie să respecte limitele competenței UE, așa cum se prevede la articolul 168 alineatul (7) din TFUE.</w:t>
      </w:r>
    </w:p>
    <w:p w14:paraId="66714E2C" w14:textId="77777777" w:rsidR="000339A0" w:rsidRPr="004B087B" w:rsidRDefault="000339A0" w:rsidP="000339A0">
      <w:pPr>
        <w:jc w:val="both"/>
        <w:rPr>
          <w:rFonts w:ascii="Times New Roman" w:hAnsi="Times New Roman" w:cs="Times New Roman"/>
          <w:noProof/>
          <w:sz w:val="24"/>
          <w:szCs w:val="24"/>
        </w:rPr>
      </w:pPr>
      <w:r>
        <w:rPr>
          <w:rFonts w:ascii="Times New Roman" w:hAnsi="Times New Roman"/>
          <w:noProof/>
          <w:sz w:val="24"/>
        </w:rPr>
        <w:t>Așa cum s-a explicat în secțiunea 2.2, este de competența statelor membre să decidă dacă oferă acces legal la avort, să reglementeze condițiile în care este permis avortul și să stabilească consecințele care decurg în materie de ordine publică. Sprijinul financiar intră în sfera de competență a UE, dar, având în vedere limitele prevăzute la articolul 168 alineatul (7) din TFUE, numai pentru acțiunile care sunt conforme cu legislația statului membru în care acestea se desfășoară și numai atât timp cât o astfel de finanțare nu subminează (direct sau indirect) competența statelor membre de a organiza asistența medicală, inclusiv opțiunile lor în materie de bioetică.</w:t>
      </w:r>
    </w:p>
    <w:p w14:paraId="307EA74B" w14:textId="4730E5DB" w:rsidR="004750C8" w:rsidRPr="00DF5D9F" w:rsidRDefault="000339A0" w:rsidP="00681F64">
      <w:pPr>
        <w:jc w:val="both"/>
        <w:rPr>
          <w:rFonts w:ascii="Times New Roman" w:hAnsi="Times New Roman" w:cs="Times New Roman"/>
          <w:b/>
          <w:noProof/>
          <w:sz w:val="24"/>
          <w:szCs w:val="24"/>
        </w:rPr>
      </w:pPr>
      <w:r>
        <w:rPr>
          <w:rFonts w:ascii="Times New Roman" w:hAnsi="Times New Roman"/>
          <w:b/>
          <w:noProof/>
          <w:sz w:val="24"/>
        </w:rPr>
        <w:t>Acest lucru implică faptul că orice mecanism de finanțare al UE trebuie să rămână pe deplin neutru în ceea ce privește locul de origine/reședință al pacienților și nu poate viza în mod specific femeile din statele membre în care avortul în cauză nu ar fi posibil din punct de vedere juridic.</w:t>
      </w:r>
    </w:p>
    <w:p w14:paraId="099E4AA0" w14:textId="41756137" w:rsidR="00EE5F2C" w:rsidRPr="004B087B" w:rsidRDefault="00EE5F2C" w:rsidP="00EE5F2C">
      <w:pPr>
        <w:pStyle w:val="Heading1"/>
        <w:rPr>
          <w:noProof/>
        </w:rPr>
      </w:pPr>
      <w:r>
        <w:rPr>
          <w:noProof/>
        </w:rPr>
        <w:t>CONCLUZIE</w:t>
      </w:r>
    </w:p>
    <w:bookmarkEnd w:id="1"/>
    <w:bookmarkEnd w:id="2"/>
    <w:bookmarkEnd w:id="3"/>
    <w:p w14:paraId="37C5E693" w14:textId="2372A448" w:rsidR="0009297B" w:rsidRDefault="00A201D8" w:rsidP="006838D8">
      <w:pPr>
        <w:jc w:val="both"/>
        <w:rPr>
          <w:rFonts w:ascii="Times New Roman" w:hAnsi="Times New Roman" w:cs="Times New Roman"/>
          <w:noProof/>
          <w:sz w:val="24"/>
          <w:szCs w:val="24"/>
        </w:rPr>
      </w:pPr>
      <w:r>
        <w:rPr>
          <w:rFonts w:ascii="Times New Roman" w:hAnsi="Times New Roman"/>
          <w:noProof/>
          <w:sz w:val="24"/>
        </w:rPr>
        <w:t xml:space="preserve">Așa cum se indică în secțiunea 3, Comisia </w:t>
      </w:r>
      <w:r w:rsidR="008F50C5">
        <w:rPr>
          <w:rFonts w:ascii="Times New Roman" w:hAnsi="Times New Roman"/>
          <w:noProof/>
          <w:sz w:val="24"/>
        </w:rPr>
        <w:t>concluzionează că se poate contribui la îndeplinirea obiectivului inițiativei prin intermediul FSE+. Comisia consideră că, pentru a îndeplini obiectivul tratatului de a asigura un nivel ridicat de protecție a sănătății umane, statele membre pot utiliza, în mod voluntar și în conformitate cu legislația lor națională, fondurile UE pentru a oferi acces la avort în condiții de siguranță femeilor aflate în situații vulnerabile care altfel nu și-ar putea permite acest lucru.</w:t>
      </w:r>
    </w:p>
    <w:p w14:paraId="7C843314" w14:textId="5A1135BC" w:rsidR="00A34594" w:rsidRPr="004B087B" w:rsidRDefault="00A34594" w:rsidP="006838D8">
      <w:pPr>
        <w:jc w:val="both"/>
        <w:rPr>
          <w:rFonts w:ascii="Times New Roman" w:hAnsi="Times New Roman" w:cs="Times New Roman"/>
          <w:noProof/>
          <w:sz w:val="24"/>
          <w:szCs w:val="24"/>
        </w:rPr>
      </w:pPr>
      <w:r>
        <w:rPr>
          <w:rFonts w:ascii="Times New Roman" w:hAnsi="Times New Roman"/>
          <w:noProof/>
          <w:sz w:val="24"/>
        </w:rPr>
        <w:t>Prin urmare, Comisia consideră că nu este necesar să prezinte o nouă propunere de act juridic al UE pentru a realiza obiectivul ICE.</w:t>
      </w:r>
    </w:p>
    <w:p w14:paraId="243C7A42" w14:textId="77777777" w:rsidR="004A4755" w:rsidRPr="004B087B" w:rsidRDefault="005F5E32" w:rsidP="2F4408B6">
      <w:pPr>
        <w:jc w:val="both"/>
        <w:rPr>
          <w:rFonts w:ascii="Times New Roman" w:hAnsi="Times New Roman" w:cs="Times New Roman"/>
          <w:noProof/>
          <w:sz w:val="24"/>
          <w:szCs w:val="24"/>
        </w:rPr>
      </w:pPr>
      <w:r>
        <w:rPr>
          <w:rFonts w:ascii="Times New Roman" w:hAnsi="Times New Roman"/>
          <w:noProof/>
          <w:sz w:val="24"/>
        </w:rPr>
        <w:t>Dacă statele membre doresc, se poate aduce o modificare la programele lor naționale sau regionale FSE+ pentru a include o acțiune privind garantarea accesului la servicii de avort în mod legal, în condiții de siguranță și la prețuri accesibile. Procedura</w:t>
      </w:r>
      <w:r>
        <w:rPr>
          <w:noProof/>
        </w:rPr>
        <w:t xml:space="preserve"> </w:t>
      </w:r>
      <w:r>
        <w:rPr>
          <w:rFonts w:ascii="Times New Roman" w:hAnsi="Times New Roman"/>
          <w:noProof/>
          <w:sz w:val="24"/>
        </w:rPr>
        <w:t>privind modificarea programelor naționale sau regionale FSE+ este prevăzută la articolul 24 din Regulamentul privind dispozițiile comune.</w:t>
      </w:r>
    </w:p>
    <w:p w14:paraId="26128134" w14:textId="71865028" w:rsidR="00F741DC" w:rsidRPr="004B087B" w:rsidRDefault="00155069" w:rsidP="2F4408B6">
      <w:pPr>
        <w:jc w:val="both"/>
        <w:rPr>
          <w:rFonts w:ascii="Times New Roman" w:hAnsi="Times New Roman" w:cs="Times New Roman"/>
          <w:noProof/>
          <w:sz w:val="24"/>
          <w:szCs w:val="24"/>
        </w:rPr>
      </w:pPr>
      <w:r>
        <w:rPr>
          <w:rFonts w:ascii="Times New Roman" w:hAnsi="Times New Roman"/>
          <w:noProof/>
          <w:sz w:val="24"/>
        </w:rPr>
        <w:t xml:space="preserve">Statele membre îi pot transmite apoi Comisiei Europene, spre aprobare, programul FSE+ modificat. Comisia va verifica apoi dacă această modificare este conformă cu legislația relevantă a Uniunii și cu principiile tratatului. Acest lucru implică faptul că acțiunea ar trebui să se adreseze tuturor femeilor, indiferent de naționalitatea sau de locul lor de reședință, și nu ar trebui să vizeze doar femeile din alte state membre. </w:t>
      </w:r>
    </w:p>
    <w:p w14:paraId="71DC5027" w14:textId="5D8A3F68" w:rsidR="00815499" w:rsidRPr="004B087B" w:rsidRDefault="005B2624" w:rsidP="00F741DC">
      <w:pPr>
        <w:jc w:val="both"/>
        <w:rPr>
          <w:rFonts w:ascii="Times New Roman" w:hAnsi="Times New Roman" w:cs="Times New Roman"/>
          <w:noProof/>
          <w:sz w:val="24"/>
          <w:szCs w:val="24"/>
        </w:rPr>
      </w:pPr>
      <w:r>
        <w:rPr>
          <w:rFonts w:ascii="Times New Roman" w:hAnsi="Times New Roman"/>
          <w:noProof/>
          <w:sz w:val="24"/>
        </w:rPr>
        <w:t xml:space="preserve">Astfel, această măsură va contribui la atingerea unor standarde ridicate de sănătate fizică și mintală a tuturor femeilor, în conformitate cu principiul 2 din </w:t>
      </w:r>
      <w:r>
        <w:rPr>
          <w:rFonts w:ascii="Times New Roman" w:hAnsi="Times New Roman"/>
          <w:i/>
          <w:noProof/>
          <w:sz w:val="24"/>
        </w:rPr>
        <w:t>Declarația de principii pentru o societate echitabilă din punctul de vedere al genului</w:t>
      </w:r>
      <w:r>
        <w:rPr>
          <w:rFonts w:ascii="Times New Roman" w:hAnsi="Times New Roman"/>
          <w:noProof/>
          <w:sz w:val="24"/>
        </w:rPr>
        <w:t>.</w:t>
      </w:r>
    </w:p>
    <w:p w14:paraId="3979E6C9" w14:textId="118FE919" w:rsidR="003E7FFC" w:rsidRDefault="00815499" w:rsidP="00346510">
      <w:pPr>
        <w:jc w:val="both"/>
        <w:rPr>
          <w:rFonts w:ascii="Times New Roman" w:hAnsi="Times New Roman" w:cs="Times New Roman"/>
          <w:noProof/>
          <w:sz w:val="24"/>
          <w:szCs w:val="24"/>
        </w:rPr>
      </w:pPr>
      <w:r>
        <w:rPr>
          <w:rFonts w:ascii="Times New Roman" w:hAnsi="Times New Roman"/>
          <w:noProof/>
          <w:sz w:val="24"/>
        </w:rPr>
        <w:t xml:space="preserve">În cazul în care constată că modificările propuse sunt conforme cu normele aplicabile, Comisia le va aproba. </w:t>
      </w:r>
    </w:p>
    <w:p w14:paraId="11BB30A9" w14:textId="6C5D8E54" w:rsidR="00253B40" w:rsidRPr="00D77827" w:rsidRDefault="00253B40" w:rsidP="00F660C2">
      <w:pPr>
        <w:jc w:val="both"/>
        <w:rPr>
          <w:noProof/>
        </w:rPr>
      </w:pPr>
    </w:p>
    <w:sectPr w:rsidR="00253B40" w:rsidRPr="00D77827">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83DB9" w14:textId="77777777" w:rsidR="00767478" w:rsidRPr="00D77827" w:rsidRDefault="00767478" w:rsidP="00CA159E">
      <w:pPr>
        <w:spacing w:after="0" w:line="240" w:lineRule="auto"/>
      </w:pPr>
      <w:r>
        <w:separator/>
      </w:r>
    </w:p>
  </w:endnote>
  <w:endnote w:type="continuationSeparator" w:id="0">
    <w:p w14:paraId="3F6871FF" w14:textId="77777777" w:rsidR="00767478" w:rsidRPr="00D77827" w:rsidRDefault="00767478" w:rsidP="00CA159E">
      <w:pPr>
        <w:spacing w:after="0" w:line="240" w:lineRule="auto"/>
      </w:pPr>
      <w:r>
        <w:continuationSeparator/>
      </w:r>
    </w:p>
  </w:endnote>
  <w:endnote w:type="continuationNotice" w:id="1">
    <w:p w14:paraId="45FDB188" w14:textId="77777777" w:rsidR="00767478" w:rsidRPr="00D77827" w:rsidRDefault="007674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97EA7" w14:textId="62A00ED3" w:rsidR="00FE1469" w:rsidRPr="00FE1469" w:rsidRDefault="00FE1469" w:rsidP="00FE1469">
    <w:pPr>
      <w:pStyle w:val="FooterCoverPage"/>
      <w:rPr>
        <w:rFonts w:ascii="Arial" w:hAnsi="Arial" w:cs="Arial"/>
        <w:b/>
        <w:sz w:val="48"/>
      </w:rPr>
    </w:pPr>
    <w:r w:rsidRPr="00FE1469">
      <w:rPr>
        <w:rFonts w:ascii="Arial" w:hAnsi="Arial" w:cs="Arial"/>
        <w:b/>
        <w:sz w:val="48"/>
      </w:rPr>
      <w:t>RO</w:t>
    </w:r>
    <w:r w:rsidRPr="00FE1469">
      <w:rPr>
        <w:rFonts w:ascii="Arial" w:hAnsi="Arial" w:cs="Arial"/>
        <w:b/>
        <w:sz w:val="48"/>
      </w:rPr>
      <w:tab/>
    </w:r>
    <w:r w:rsidRPr="00FE1469">
      <w:rPr>
        <w:rFonts w:ascii="Arial" w:hAnsi="Arial" w:cs="Arial"/>
        <w:b/>
        <w:sz w:val="48"/>
      </w:rPr>
      <w:tab/>
    </w:r>
    <w:r w:rsidRPr="00FE1469">
      <w:tab/>
    </w:r>
    <w:r w:rsidRPr="00FE146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C560" w14:textId="688E71C3" w:rsidR="00FE1469" w:rsidRPr="00FE1469" w:rsidRDefault="00FE1469" w:rsidP="00FE1469">
    <w:pPr>
      <w:pStyle w:val="FooterCoverPage"/>
      <w:rPr>
        <w:rFonts w:ascii="Arial" w:hAnsi="Arial" w:cs="Arial"/>
        <w:b/>
        <w:sz w:val="48"/>
      </w:rPr>
    </w:pPr>
    <w:r w:rsidRPr="00FE1469">
      <w:rPr>
        <w:rFonts w:ascii="Arial" w:hAnsi="Arial" w:cs="Arial"/>
        <w:b/>
        <w:sz w:val="48"/>
      </w:rPr>
      <w:t>RO</w:t>
    </w:r>
    <w:r w:rsidRPr="00FE1469">
      <w:rPr>
        <w:rFonts w:ascii="Arial" w:hAnsi="Arial" w:cs="Arial"/>
        <w:b/>
        <w:sz w:val="48"/>
      </w:rPr>
      <w:tab/>
    </w:r>
    <w:r w:rsidRPr="00FE1469">
      <w:rPr>
        <w:rFonts w:ascii="Arial" w:hAnsi="Arial" w:cs="Arial"/>
        <w:b/>
        <w:sz w:val="48"/>
      </w:rPr>
      <w:tab/>
    </w:r>
    <w:r w:rsidRPr="00FE1469">
      <w:tab/>
    </w:r>
    <w:r w:rsidRPr="00FE146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A6816" w14:textId="77777777" w:rsidR="00FE1469" w:rsidRPr="00FE1469" w:rsidRDefault="00FE1469" w:rsidP="00FE146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97854" w14:textId="77777777" w:rsidR="00E8560A" w:rsidRPr="00D77827" w:rsidRDefault="00E8560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064719"/>
      <w:docPartObj>
        <w:docPartGallery w:val="Page Numbers (Bottom of Page)"/>
        <w:docPartUnique/>
      </w:docPartObj>
    </w:sdtPr>
    <w:sdtEndPr/>
    <w:sdtContent>
      <w:p w14:paraId="600DCCA3" w14:textId="4FE31114" w:rsidR="00E8560A" w:rsidRPr="00D77827" w:rsidRDefault="00EE5F2C">
        <w:pPr>
          <w:pStyle w:val="Footer"/>
          <w:jc w:val="right"/>
        </w:pPr>
        <w:r>
          <w:fldChar w:fldCharType="begin"/>
        </w:r>
        <w:r>
          <w:instrText xml:space="preserve"> PAGE   \* MERGEFORMAT </w:instrText>
        </w:r>
        <w:r>
          <w:fldChar w:fldCharType="separate"/>
        </w:r>
        <w:r w:rsidR="00FE1469">
          <w:rPr>
            <w:noProof/>
          </w:rPr>
          <w:t>1</w:t>
        </w:r>
        <w:r>
          <w:fldChar w:fldCharType="end"/>
        </w:r>
      </w:p>
    </w:sdtContent>
  </w:sdt>
  <w:p w14:paraId="0C706AC6" w14:textId="77777777" w:rsidR="00E8560A" w:rsidRPr="00D77827" w:rsidRDefault="00E8560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7622" w14:textId="77777777" w:rsidR="00E8560A" w:rsidRPr="00D77827" w:rsidRDefault="00E85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04023B" w14:textId="77777777" w:rsidR="00767478" w:rsidRPr="00D77827" w:rsidRDefault="00767478" w:rsidP="00CA159E">
      <w:pPr>
        <w:spacing w:after="0" w:line="240" w:lineRule="auto"/>
      </w:pPr>
      <w:r>
        <w:separator/>
      </w:r>
    </w:p>
  </w:footnote>
  <w:footnote w:type="continuationSeparator" w:id="0">
    <w:p w14:paraId="25900F24" w14:textId="77777777" w:rsidR="00767478" w:rsidRPr="00D77827" w:rsidRDefault="00767478" w:rsidP="00CA159E">
      <w:pPr>
        <w:spacing w:after="0" w:line="240" w:lineRule="auto"/>
      </w:pPr>
      <w:r>
        <w:continuationSeparator/>
      </w:r>
    </w:p>
  </w:footnote>
  <w:footnote w:type="continuationNotice" w:id="1">
    <w:p w14:paraId="2CAF9E86" w14:textId="77777777" w:rsidR="00767478" w:rsidRPr="00D77827" w:rsidRDefault="00767478">
      <w:pPr>
        <w:spacing w:after="0" w:line="240" w:lineRule="auto"/>
      </w:pPr>
    </w:p>
  </w:footnote>
  <w:footnote w:id="2">
    <w:p w14:paraId="100A12A4" w14:textId="135C3ADD" w:rsidR="00B308A3" w:rsidRPr="00626A87" w:rsidRDefault="00B308A3" w:rsidP="00AE5843">
      <w:pPr>
        <w:pStyle w:val="FootnoteText"/>
        <w:tabs>
          <w:tab w:val="left" w:pos="284"/>
        </w:tabs>
        <w:spacing w:line="240" w:lineRule="auto"/>
        <w:ind w:left="284" w:hanging="284"/>
        <w:jc w:val="left"/>
        <w:rPr>
          <w:sz w:val="16"/>
          <w:szCs w:val="16"/>
        </w:rPr>
      </w:pPr>
      <w:r>
        <w:rPr>
          <w:rStyle w:val="FootnoteReference"/>
          <w:rFonts w:eastAsiaTheme="minorHAnsi"/>
          <w:sz w:val="16"/>
          <w:szCs w:val="16"/>
          <w:lang w:val="en-GB"/>
        </w:rPr>
        <w:footnoteRef/>
      </w:r>
      <w:r>
        <w:rPr>
          <w:rStyle w:val="FootnoteReference"/>
          <w:sz w:val="16"/>
        </w:rPr>
        <w:t xml:space="preserve"> </w:t>
      </w:r>
      <w:r>
        <w:tab/>
      </w:r>
      <w:hyperlink r:id="rId1" w:history="1">
        <w:r>
          <w:rPr>
            <w:rStyle w:val="Hyperlink"/>
            <w:sz w:val="16"/>
          </w:rPr>
          <w:t>https://citizens-initiative.europa.eu/initiatives/details/2024/000004_ro</w:t>
        </w:r>
      </w:hyperlink>
      <w:r>
        <w:rPr>
          <w:sz w:val="16"/>
        </w:rPr>
        <w:t xml:space="preserve"> </w:t>
      </w:r>
    </w:p>
  </w:footnote>
  <w:footnote w:id="3">
    <w:p w14:paraId="085282B0" w14:textId="3A5E78A9" w:rsidR="0041319B" w:rsidRPr="00626A87" w:rsidRDefault="0041319B" w:rsidP="00C61030">
      <w:pPr>
        <w:pStyle w:val="FootnoteText"/>
        <w:rPr>
          <w:sz w:val="16"/>
          <w:szCs w:val="16"/>
        </w:rPr>
      </w:pPr>
      <w:r>
        <w:rPr>
          <w:rStyle w:val="FootnoteReference"/>
          <w:sz w:val="16"/>
          <w:szCs w:val="16"/>
          <w:lang w:val="en-GB"/>
        </w:rPr>
        <w:footnoteRef/>
      </w:r>
      <w:r>
        <w:rPr>
          <w:sz w:val="16"/>
        </w:rPr>
        <w:t xml:space="preserve">     În temeiul articolului 3 din Regulamentul privind ICE, „o inițiativă este valabilă dacă: (a) este susținută de cel puțin un milion de cetățeni ai Uniunii (denumiți în continuare „semnatari”), în conformitate cu articolul 2 alineatul (1), din cel puțin un sfert din statele membre și (b) în cel puțin un sfert din statele membre, numărul de semnatari este cel puțin egal cu numărul minim prevăzut în anexa I, care corespunde rezultatului înmulțirii numărului de deputați în Parlamentul European aleși în fiecare stat membru cu numărul total de deputați în Parlamentul European, la data înregistrării inițiativei”.</w:t>
      </w:r>
    </w:p>
  </w:footnote>
  <w:footnote w:id="4">
    <w:p w14:paraId="288746FC" w14:textId="723E695D" w:rsidR="002C5A2D" w:rsidRPr="00626A87" w:rsidRDefault="003D1044" w:rsidP="00D170C9">
      <w:pPr>
        <w:pStyle w:val="FootnoteText"/>
        <w:tabs>
          <w:tab w:val="left" w:pos="284"/>
        </w:tabs>
        <w:spacing w:line="240" w:lineRule="auto"/>
        <w:ind w:left="284" w:hanging="284"/>
        <w:jc w:val="left"/>
        <w:rPr>
          <w:sz w:val="16"/>
          <w:szCs w:val="16"/>
        </w:rPr>
      </w:pPr>
      <w:r>
        <w:rPr>
          <w:sz w:val="16"/>
          <w:vertAlign w:val="superscript"/>
        </w:rPr>
        <w:t>3</w:t>
      </w:r>
      <w:r>
        <w:tab/>
      </w:r>
      <w:r>
        <w:rPr>
          <w:sz w:val="16"/>
        </w:rPr>
        <w:t>Regulamentul (UE) 2019/788 al Parlamentului European și al Consiliului din 17 aprilie 2019 privind inițiativa cetățenească europeană (JO L 130, 17.5.2019, p. 55).</w:t>
      </w:r>
    </w:p>
  </w:footnote>
  <w:footnote w:id="5">
    <w:p w14:paraId="6ACFDC42" w14:textId="5F5D1463" w:rsidR="00516C6D" w:rsidRPr="00626A87" w:rsidRDefault="00516C6D" w:rsidP="00D170C9">
      <w:pPr>
        <w:pStyle w:val="FootnoteText"/>
        <w:spacing w:line="240" w:lineRule="auto"/>
        <w:ind w:left="284" w:hanging="284"/>
        <w:rPr>
          <w:rStyle w:val="FootnoteReference"/>
          <w:rFonts w:eastAsiaTheme="minorHAnsi"/>
          <w:sz w:val="16"/>
          <w:szCs w:val="16"/>
        </w:rPr>
      </w:pPr>
      <w:r>
        <w:rPr>
          <w:rStyle w:val="FootnoteReference"/>
          <w:rFonts w:eastAsiaTheme="minorHAnsi"/>
          <w:sz w:val="16"/>
          <w:szCs w:val="16"/>
          <w:lang w:val="en-GB"/>
        </w:rPr>
        <w:footnoteRef/>
      </w:r>
      <w:r>
        <w:rPr>
          <w:rStyle w:val="FootnoteReference"/>
          <w:sz w:val="16"/>
        </w:rPr>
        <w:t xml:space="preserve"> </w:t>
      </w:r>
      <w:r>
        <w:tab/>
      </w:r>
      <w:r>
        <w:rPr>
          <w:sz w:val="16"/>
        </w:rPr>
        <w:t xml:space="preserve">Decizia de punere în aplicare (UE) 2024/1158 a Comisiei din 10 aprilie 2024 privind cererea de înregistrare, în temeiul Regulamentului (UE) 2019/788 al Parlamentului European și al Consiliului, a inițiativei cetățenești europene intitulate „My Voice, My Choice: pentru avorturi sigure și accesibile”, ELI: </w:t>
      </w:r>
      <w:hyperlink r:id="rId2" w:tooltip="Oferă acces la acest document prin identificatorul său uniform de resurse ELI." w:history="1">
        <w:r>
          <w:rPr>
            <w:rStyle w:val="Hyperlink"/>
            <w:sz w:val="16"/>
          </w:rPr>
          <w:t>http://data.europa.eu/eli/dec_impl/2024/1158/oj</w:t>
        </w:r>
      </w:hyperlink>
      <w:r>
        <w:rPr>
          <w:sz w:val="16"/>
        </w:rPr>
        <w:t>.</w:t>
      </w:r>
    </w:p>
  </w:footnote>
  <w:footnote w:id="6">
    <w:p w14:paraId="02B0C29B" w14:textId="6E254419" w:rsidR="004617C7" w:rsidRPr="00626A87" w:rsidRDefault="004617C7" w:rsidP="00AE5843">
      <w:pPr>
        <w:pStyle w:val="FootnoteText"/>
        <w:ind w:left="426" w:hanging="426"/>
        <w:rPr>
          <w:sz w:val="16"/>
          <w:szCs w:val="16"/>
        </w:rPr>
      </w:pPr>
      <w:r>
        <w:rPr>
          <w:rStyle w:val="FootnoteReference"/>
          <w:sz w:val="16"/>
          <w:szCs w:val="16"/>
          <w:lang w:val="en-GB"/>
        </w:rPr>
        <w:footnoteRef/>
      </w:r>
      <w:r>
        <w:rPr>
          <w:sz w:val="16"/>
        </w:rPr>
        <w:t xml:space="preserve"> </w:t>
      </w:r>
      <w:r>
        <w:tab/>
      </w:r>
      <w:bookmarkStart w:id="6" w:name="_Hlk222398162"/>
      <w:r>
        <w:rPr>
          <w:sz w:val="16"/>
        </w:rPr>
        <w:t xml:space="preserve">Rezoluția Parlamentului European din 17 decembrie 2025 referitoare la inițiativa cetățenească europeană intitulată „My Voice, My Choice: pentru avorturi sigure și accesibile” </w:t>
      </w:r>
      <w:hyperlink r:id="rId3" w:history="1">
        <w:r>
          <w:rPr>
            <w:rStyle w:val="Hyperlink"/>
            <w:sz w:val="16"/>
          </w:rPr>
          <w:t>https://www.europarl.europa.eu/doceo/document/TA-10-2025-0338_RO.html</w:t>
        </w:r>
      </w:hyperlink>
      <w:bookmarkEnd w:id="6"/>
      <w:r>
        <w:rPr>
          <w:sz w:val="16"/>
        </w:rPr>
        <w:t>.</w:t>
      </w:r>
    </w:p>
  </w:footnote>
  <w:footnote w:id="7">
    <w:p w14:paraId="5653A7A4" w14:textId="15ADAEA3" w:rsidR="00351E1C" w:rsidRPr="00626A87" w:rsidRDefault="00351E1C" w:rsidP="00AE5843">
      <w:pPr>
        <w:pStyle w:val="FootnoteText"/>
        <w:ind w:left="426" w:hanging="426"/>
        <w:rPr>
          <w:sz w:val="16"/>
          <w:szCs w:val="16"/>
        </w:rPr>
      </w:pPr>
      <w:r>
        <w:rPr>
          <w:rStyle w:val="FootnoteReference"/>
          <w:sz w:val="16"/>
          <w:szCs w:val="16"/>
          <w:lang w:val="en-GB"/>
        </w:rPr>
        <w:footnoteRef/>
      </w:r>
      <w:r>
        <w:rPr>
          <w:sz w:val="16"/>
        </w:rPr>
        <w:t xml:space="preserve"> </w:t>
      </w:r>
      <w:r>
        <w:tab/>
      </w:r>
      <w:hyperlink r:id="rId4" w:history="1">
        <w:r>
          <w:rPr>
            <w:rStyle w:val="Hyperlink"/>
            <w:sz w:val="16"/>
          </w:rPr>
          <w:t>My Voice, My Choice:</w:t>
        </w:r>
      </w:hyperlink>
      <w:hyperlink r:id="rId5" w:history="1">
        <w:r>
          <w:rPr>
            <w:rStyle w:val="Hyperlink"/>
            <w:sz w:val="16"/>
          </w:rPr>
          <w:t xml:space="preserve"> pentru avorturi sigure și accesibile |</w:t>
        </w:r>
      </w:hyperlink>
      <w:hyperlink r:id="rId6" w:history="1">
        <w:r>
          <w:rPr>
            <w:rStyle w:val="Hyperlink"/>
            <w:sz w:val="16"/>
          </w:rPr>
          <w:t xml:space="preserve"> CESE</w:t>
        </w:r>
      </w:hyperlink>
      <w:r>
        <w:rPr>
          <w:sz w:val="16"/>
        </w:rPr>
        <w:t xml:space="preserve">. </w:t>
      </w:r>
    </w:p>
  </w:footnote>
  <w:footnote w:id="8">
    <w:p w14:paraId="1B0580FF" w14:textId="1329D181" w:rsidR="00D65CD5" w:rsidRPr="00626A87" w:rsidRDefault="00D65CD5" w:rsidP="00330B07">
      <w:pPr>
        <w:pStyle w:val="FootnoteText"/>
        <w:ind w:left="426" w:hanging="426"/>
        <w:rPr>
          <w:sz w:val="16"/>
          <w:szCs w:val="16"/>
        </w:rPr>
      </w:pPr>
      <w:r>
        <w:rPr>
          <w:rStyle w:val="FootnoteReference"/>
          <w:sz w:val="16"/>
          <w:szCs w:val="16"/>
          <w:lang w:val="en-GB"/>
        </w:rPr>
        <w:footnoteRef/>
      </w:r>
      <w:r>
        <w:rPr>
          <w:sz w:val="16"/>
        </w:rPr>
        <w:t xml:space="preserve"> </w:t>
      </w:r>
      <w:r>
        <w:tab/>
      </w:r>
      <w:hyperlink r:id="rId7" w:history="1">
        <w:r>
          <w:rPr>
            <w:rStyle w:val="Hyperlink"/>
            <w:sz w:val="16"/>
          </w:rPr>
          <w:t>Declarația și Platforma de acțiune de la Beijing (1995)</w:t>
        </w:r>
      </w:hyperlink>
      <w:r>
        <w:t xml:space="preserve">, </w:t>
      </w:r>
      <w:r>
        <w:rPr>
          <w:sz w:val="16"/>
        </w:rPr>
        <w:t>punctele 97 și 106</w:t>
      </w:r>
      <w:r>
        <w:t>.</w:t>
      </w:r>
    </w:p>
  </w:footnote>
  <w:footnote w:id="9">
    <w:p w14:paraId="3D326C36" w14:textId="36FDF521" w:rsidR="00D65CD5" w:rsidRPr="00626A87" w:rsidRDefault="00D65CD5" w:rsidP="00CA0EB2">
      <w:pPr>
        <w:pStyle w:val="FootnoteText"/>
        <w:ind w:left="426" w:hanging="426"/>
        <w:rPr>
          <w:sz w:val="16"/>
          <w:szCs w:val="16"/>
        </w:rPr>
      </w:pPr>
      <w:r>
        <w:rPr>
          <w:rStyle w:val="FootnoteReference"/>
          <w:sz w:val="16"/>
          <w:szCs w:val="16"/>
          <w:lang w:val="en-GB"/>
        </w:rPr>
        <w:footnoteRef/>
      </w:r>
      <w:r>
        <w:rPr>
          <w:sz w:val="16"/>
        </w:rPr>
        <w:t xml:space="preserve"> </w:t>
      </w:r>
      <w:r>
        <w:tab/>
      </w:r>
      <w:hyperlink r:id="rId8" w:history="1">
        <w:r>
          <w:rPr>
            <w:rStyle w:val="Hyperlink"/>
            <w:sz w:val="16"/>
          </w:rPr>
          <w:t>CELE 17 OBIECTIVE |</w:t>
        </w:r>
      </w:hyperlink>
      <w:hyperlink r:id="rId9" w:history="1">
        <w:r>
          <w:rPr>
            <w:rStyle w:val="Hyperlink"/>
            <w:sz w:val="16"/>
          </w:rPr>
          <w:t xml:space="preserve"> Dezvoltare durabilă</w:t>
        </w:r>
      </w:hyperlink>
      <w:r>
        <w:rPr>
          <w:sz w:val="16"/>
        </w:rPr>
        <w:t xml:space="preserve">, </w:t>
      </w:r>
      <w:hyperlink r:id="rId10" w:history="1">
        <w:r>
          <w:rPr>
            <w:rStyle w:val="Hyperlink"/>
            <w:sz w:val="16"/>
          </w:rPr>
          <w:t>Transformarea lumii în care trăim:</w:t>
        </w:r>
      </w:hyperlink>
      <w:hyperlink r:id="rId11" w:history="1">
        <w:r>
          <w:rPr>
            <w:rStyle w:val="Hyperlink"/>
            <w:sz w:val="16"/>
          </w:rPr>
          <w:t xml:space="preserve"> Agenda 2030 pentru dezvoltare durabilă |</w:t>
        </w:r>
      </w:hyperlink>
      <w:hyperlink r:id="rId12" w:history="1">
        <w:r>
          <w:rPr>
            <w:rStyle w:val="Hyperlink"/>
            <w:sz w:val="16"/>
          </w:rPr>
          <w:t xml:space="preserve"> Departamentul pentru Afaceri Economice și Sociale</w:t>
        </w:r>
      </w:hyperlink>
      <w:r>
        <w:rPr>
          <w:sz w:val="16"/>
        </w:rPr>
        <w:t>.</w:t>
      </w:r>
    </w:p>
  </w:footnote>
  <w:footnote w:id="10">
    <w:p w14:paraId="5DF5D779" w14:textId="755BF4BD" w:rsidR="00136CA4" w:rsidRPr="00626A87" w:rsidRDefault="00136CA4">
      <w:pPr>
        <w:pStyle w:val="FootnoteText"/>
        <w:rPr>
          <w:sz w:val="16"/>
          <w:szCs w:val="16"/>
        </w:rPr>
      </w:pPr>
      <w:r>
        <w:rPr>
          <w:rStyle w:val="FootnoteReference"/>
          <w:sz w:val="16"/>
          <w:szCs w:val="16"/>
        </w:rPr>
        <w:footnoteRef/>
      </w:r>
      <w:r>
        <w:tab/>
      </w:r>
      <w:r>
        <w:rPr>
          <w:sz w:val="16"/>
        </w:rPr>
        <w:t>Convenția asupra eliminării tuturor formelor de discriminare față de femei (18 decembrie 1979) - articolul 12.</w:t>
      </w:r>
    </w:p>
  </w:footnote>
  <w:footnote w:id="11">
    <w:p w14:paraId="26050BE3" w14:textId="4656EF58" w:rsidR="00D65CD5" w:rsidRPr="00626A87" w:rsidRDefault="00D65CD5" w:rsidP="00D65CD5">
      <w:pPr>
        <w:pStyle w:val="FootnoteText"/>
        <w:rPr>
          <w:sz w:val="16"/>
          <w:szCs w:val="16"/>
        </w:rPr>
      </w:pPr>
      <w:r>
        <w:rPr>
          <w:rStyle w:val="FootnoteReference"/>
          <w:sz w:val="16"/>
          <w:szCs w:val="16"/>
          <w:lang w:val="en-GB"/>
        </w:rPr>
        <w:footnoteRef/>
      </w:r>
      <w:r>
        <w:rPr>
          <w:sz w:val="16"/>
        </w:rPr>
        <w:t xml:space="preserve"> </w:t>
      </w:r>
      <w:r>
        <w:tab/>
      </w:r>
      <w:hyperlink r:id="rId13" w:history="1">
        <w:r>
          <w:rPr>
            <w:rStyle w:val="Hyperlink"/>
            <w:sz w:val="16"/>
          </w:rPr>
          <w:t>Convenția privind drepturile persoanelor cu handicap</w:t>
        </w:r>
      </w:hyperlink>
      <w:r>
        <w:rPr>
          <w:sz w:val="16"/>
        </w:rPr>
        <w:t xml:space="preserve"> (2006) - a se vedea articolul 25.</w:t>
      </w:r>
    </w:p>
  </w:footnote>
  <w:footnote w:id="12">
    <w:p w14:paraId="034B2D22" w14:textId="0C2451EF" w:rsidR="00675F46" w:rsidRPr="00626A87" w:rsidRDefault="00675F46" w:rsidP="00675F46">
      <w:pPr>
        <w:pStyle w:val="FootnoteText"/>
        <w:rPr>
          <w:sz w:val="16"/>
          <w:szCs w:val="16"/>
        </w:rPr>
      </w:pPr>
      <w:r>
        <w:rPr>
          <w:rStyle w:val="FootnoteReference"/>
          <w:sz w:val="16"/>
          <w:szCs w:val="16"/>
          <w:lang w:val="en-GB"/>
        </w:rPr>
        <w:footnoteRef/>
      </w:r>
      <w:r>
        <w:rPr>
          <w:sz w:val="16"/>
        </w:rPr>
        <w:t xml:space="preserve"> </w:t>
      </w:r>
      <w:r>
        <w:tab/>
      </w:r>
      <w:hyperlink r:id="rId14" w:history="1">
        <w:r>
          <w:rPr>
            <w:rStyle w:val="Hyperlink"/>
            <w:sz w:val="16"/>
          </w:rPr>
          <w:t>Orientări privind îngrijirile legate de avort</w:t>
        </w:r>
      </w:hyperlink>
      <w:r>
        <w:t>, ediția a 2-a (Geneva:</w:t>
      </w:r>
      <w:r>
        <w:rPr>
          <w:sz w:val="16"/>
        </w:rPr>
        <w:t xml:space="preserve"> Organizația Mondială a Sănătății - 2024)</w:t>
      </w:r>
    </w:p>
  </w:footnote>
  <w:footnote w:id="13">
    <w:p w14:paraId="6659D9E6" w14:textId="5F111898" w:rsidR="007F57C7" w:rsidRPr="00C11B12" w:rsidRDefault="007F57C7">
      <w:pPr>
        <w:pStyle w:val="FootnoteText"/>
        <w:rPr>
          <w:sz w:val="16"/>
          <w:szCs w:val="16"/>
        </w:rPr>
      </w:pPr>
      <w:r>
        <w:rPr>
          <w:rStyle w:val="FootnoteReference"/>
          <w:sz w:val="16"/>
          <w:szCs w:val="16"/>
          <w:lang w:val="en-GB"/>
        </w:rPr>
        <w:footnoteRef/>
      </w:r>
      <w:r>
        <w:rPr>
          <w:sz w:val="16"/>
        </w:rPr>
        <w:t xml:space="preserve"> </w:t>
      </w:r>
      <w:r>
        <w:tab/>
      </w:r>
      <w:r>
        <w:rPr>
          <w:sz w:val="16"/>
        </w:rPr>
        <w:t>Idem, p. xix.</w:t>
      </w:r>
    </w:p>
  </w:footnote>
  <w:footnote w:id="14">
    <w:p w14:paraId="354DABDC" w14:textId="76254E34" w:rsidR="00D65CD5" w:rsidRPr="00C11B12" w:rsidRDefault="00D65CD5" w:rsidP="00D65CD5">
      <w:pPr>
        <w:pStyle w:val="FootnoteText"/>
        <w:rPr>
          <w:sz w:val="16"/>
          <w:szCs w:val="16"/>
        </w:rPr>
      </w:pPr>
      <w:r>
        <w:rPr>
          <w:rStyle w:val="FootnoteReference"/>
          <w:sz w:val="16"/>
          <w:szCs w:val="16"/>
          <w:lang w:val="en-GB"/>
        </w:rPr>
        <w:footnoteRef/>
      </w:r>
      <w:r>
        <w:rPr>
          <w:sz w:val="16"/>
        </w:rPr>
        <w:t xml:space="preserve"> </w:t>
      </w:r>
      <w:r>
        <w:tab/>
      </w:r>
      <w:r>
        <w:rPr>
          <w:sz w:val="16"/>
        </w:rPr>
        <w:t>Idem, p. 1.</w:t>
      </w:r>
    </w:p>
  </w:footnote>
  <w:footnote w:id="15">
    <w:p w14:paraId="2D180F6E" w14:textId="1A67DC70" w:rsidR="005B14A4" w:rsidRPr="00626A87" w:rsidRDefault="005B14A4">
      <w:pPr>
        <w:pStyle w:val="FootnoteText"/>
        <w:rPr>
          <w:sz w:val="16"/>
          <w:szCs w:val="16"/>
        </w:rPr>
      </w:pPr>
      <w:r>
        <w:rPr>
          <w:rStyle w:val="FootnoteReference"/>
          <w:sz w:val="16"/>
          <w:szCs w:val="16"/>
          <w:lang w:val="en-GB"/>
        </w:rPr>
        <w:footnoteRef/>
      </w:r>
      <w:r>
        <w:rPr>
          <w:sz w:val="16"/>
        </w:rPr>
        <w:t xml:space="preserve"> </w:t>
      </w:r>
      <w:r>
        <w:tab/>
      </w:r>
      <w:r>
        <w:rPr>
          <w:sz w:val="16"/>
        </w:rPr>
        <w:t xml:space="preserve">A se vedea considerentul 26 din Directiva privind drepturile pacienților, precum și cauzele conexate 286/82 și 26/83, </w:t>
      </w:r>
      <w:r>
        <w:rPr>
          <w:i/>
          <w:sz w:val="16"/>
        </w:rPr>
        <w:t>Graziana Luisi și Giuseppe Carbone</w:t>
      </w:r>
      <w:r>
        <w:rPr>
          <w:sz w:val="16"/>
        </w:rPr>
        <w:t>/</w:t>
      </w:r>
      <w:r>
        <w:rPr>
          <w:i/>
          <w:sz w:val="16"/>
        </w:rPr>
        <w:t>Ministero del Tesoro</w:t>
      </w:r>
      <w:r>
        <w:rPr>
          <w:sz w:val="16"/>
        </w:rPr>
        <w:t>, 31 ianuarie 1984</w:t>
      </w:r>
      <w:r>
        <w:rPr>
          <w:i/>
          <w:sz w:val="16"/>
        </w:rPr>
        <w:t>,</w:t>
      </w:r>
      <w:r>
        <w:rPr>
          <w:sz w:val="16"/>
        </w:rPr>
        <w:t xml:space="preserve"> ECLI:EU:C:1984:35; Kohll, C-158/96, punctul 29 și jurisprudența ulterioară.</w:t>
      </w:r>
    </w:p>
  </w:footnote>
  <w:footnote w:id="16">
    <w:p w14:paraId="7D8F289F" w14:textId="6B0D5EC4" w:rsidR="000B3153" w:rsidRPr="00626A87" w:rsidRDefault="000B3153" w:rsidP="000B3153">
      <w:pPr>
        <w:pStyle w:val="FootnoteText"/>
        <w:rPr>
          <w:sz w:val="16"/>
          <w:szCs w:val="16"/>
        </w:rPr>
      </w:pPr>
      <w:r>
        <w:rPr>
          <w:rStyle w:val="FootnoteReference"/>
          <w:sz w:val="16"/>
          <w:szCs w:val="16"/>
          <w:lang w:val="en-GB"/>
        </w:rPr>
        <w:footnoteRef/>
      </w:r>
      <w:r>
        <w:tab/>
      </w:r>
      <w:r>
        <w:rPr>
          <w:sz w:val="16"/>
        </w:rPr>
        <w:t xml:space="preserve">A se vedea cauza </w:t>
      </w:r>
      <w:r>
        <w:rPr>
          <w:i/>
          <w:sz w:val="16"/>
        </w:rPr>
        <w:t>Grogan</w:t>
      </w:r>
      <w:r>
        <w:rPr>
          <w:sz w:val="16"/>
        </w:rPr>
        <w:t xml:space="preserve"> (C-159/90), în care CJUE a confirmat că îngrijirile legate de avort reprezintă un serviciu în temeiul legislației privind piața internă, ceea ce înseamnă că cetățenii pot călători în străinătate pentru a obține aceste servicii medicale.</w:t>
      </w:r>
    </w:p>
  </w:footnote>
  <w:footnote w:id="17">
    <w:p w14:paraId="1D8F1B44" w14:textId="27C666B2" w:rsidR="002F40A4" w:rsidRPr="00626A87" w:rsidRDefault="002F40A4" w:rsidP="00CC5568">
      <w:pPr>
        <w:pStyle w:val="FootnoteText"/>
        <w:rPr>
          <w:sz w:val="16"/>
          <w:szCs w:val="16"/>
        </w:rPr>
      </w:pPr>
      <w:r>
        <w:rPr>
          <w:rStyle w:val="FootnoteReference"/>
          <w:sz w:val="16"/>
          <w:szCs w:val="16"/>
          <w:lang w:val="en-GB"/>
        </w:rPr>
        <w:footnoteRef/>
      </w:r>
      <w:r>
        <w:rPr>
          <w:sz w:val="16"/>
        </w:rPr>
        <w:t xml:space="preserve"> </w:t>
      </w:r>
      <w:r>
        <w:tab/>
      </w:r>
      <w:r>
        <w:rPr>
          <w:sz w:val="16"/>
        </w:rPr>
        <w:t>Regulamentul (UE) 2021/1057 al Parlamentului European și al Consiliului din 24 iunie 2021 de instituire a Fondului social european Plus (FSE+) și de abrogare a Regulamentului (UE) nr. 1296/2013 (JO L 231, 30.6.2021, p. 21 (Regulamentul FSE+).</w:t>
      </w:r>
    </w:p>
  </w:footnote>
  <w:footnote w:id="18">
    <w:p w14:paraId="25121E07" w14:textId="20C7F4D4" w:rsidR="002C2F71" w:rsidRPr="00626A87" w:rsidRDefault="002C2F71">
      <w:pPr>
        <w:pStyle w:val="FootnoteText"/>
        <w:rPr>
          <w:sz w:val="16"/>
          <w:szCs w:val="16"/>
        </w:rPr>
      </w:pPr>
      <w:r>
        <w:rPr>
          <w:rStyle w:val="FootnoteReference"/>
          <w:sz w:val="16"/>
          <w:szCs w:val="16"/>
          <w:lang w:val="en-GB"/>
        </w:rPr>
        <w:footnoteRef/>
      </w:r>
      <w:r>
        <w:rPr>
          <w:sz w:val="16"/>
        </w:rPr>
        <w:t xml:space="preserve"> </w:t>
      </w:r>
      <w:r>
        <w:tab/>
      </w:r>
      <w:r>
        <w:rPr>
          <w:sz w:val="16"/>
        </w:rPr>
        <w:t>A se vedea articolul 3 din Regulamentul FSE+.</w:t>
      </w:r>
    </w:p>
  </w:footnote>
  <w:footnote w:id="19">
    <w:p w14:paraId="6A0AA1CF" w14:textId="3F319580" w:rsidR="00F85444" w:rsidRPr="00626A87" w:rsidRDefault="00F85444" w:rsidP="002446FC">
      <w:pPr>
        <w:pStyle w:val="FootnoteText"/>
        <w:rPr>
          <w:sz w:val="16"/>
          <w:szCs w:val="16"/>
        </w:rPr>
      </w:pPr>
      <w:r>
        <w:rPr>
          <w:rStyle w:val="FootnoteReference"/>
          <w:sz w:val="16"/>
          <w:szCs w:val="16"/>
          <w:lang w:val="en-GB"/>
        </w:rPr>
        <w:footnoteRef/>
      </w:r>
      <w:r>
        <w:rPr>
          <w:sz w:val="16"/>
        </w:rPr>
        <w:t xml:space="preserve"> </w:t>
      </w:r>
      <w:r>
        <w:tab/>
      </w:r>
      <w:r>
        <w:rPr>
          <w:sz w:val="16"/>
        </w:rPr>
        <w:t>Regulamentul (UE) 2021/522 al Parlamentului European și al Consiliului din 24 martie 2021 de instituire a unui program de acțiune a Uniunii în domeniul sănătății („programul «UE pentru sănătate»”) pentru perioada 2021-2027 și de abrogare a Regulamentului (UE) nr. 282/2014 (JO L 107, 26.3.2021, p. 1).</w:t>
      </w:r>
    </w:p>
  </w:footnote>
  <w:footnote w:id="20">
    <w:p w14:paraId="48BC60EC" w14:textId="0EFF8A6A" w:rsidR="0067055D" w:rsidRPr="00626A87" w:rsidRDefault="0067055D" w:rsidP="0067055D">
      <w:pPr>
        <w:pStyle w:val="FootnoteText"/>
        <w:rPr>
          <w:sz w:val="16"/>
          <w:szCs w:val="16"/>
        </w:rPr>
      </w:pPr>
      <w:r>
        <w:rPr>
          <w:rStyle w:val="FootnoteReference"/>
          <w:sz w:val="16"/>
          <w:szCs w:val="16"/>
          <w:lang w:val="en-GB"/>
        </w:rPr>
        <w:footnoteRef/>
      </w:r>
      <w:r>
        <w:rPr>
          <w:sz w:val="16"/>
        </w:rPr>
        <w:t xml:space="preserve"> </w:t>
      </w:r>
      <w:r>
        <w:tab/>
      </w:r>
      <w:r>
        <w:rPr>
          <w:sz w:val="16"/>
        </w:rPr>
        <w:t>A se vedea</w:t>
      </w:r>
      <w:r>
        <w:t xml:space="preserve"> </w:t>
      </w:r>
      <w:hyperlink r:id="rId15" w:tgtFrame="_blank" w:history="1">
        <w:r>
          <w:rPr>
            <w:rStyle w:val="Hyperlink"/>
            <w:sz w:val="16"/>
          </w:rPr>
          <w:t>Sănătatea sexuală și reproductivă și drepturile aferente |</w:t>
        </w:r>
      </w:hyperlink>
      <w:hyperlink r:id="rId16" w:tgtFrame="_blank" w:history="1">
        <w:r>
          <w:rPr>
            <w:rStyle w:val="Hyperlink"/>
            <w:sz w:val="16"/>
          </w:rPr>
          <w:t xml:space="preserve"> OHCHR</w:t>
        </w:r>
      </w:hyperlink>
      <w:r>
        <w:rPr>
          <w:sz w:val="16"/>
        </w:rPr>
        <w:t>.</w:t>
      </w:r>
    </w:p>
  </w:footnote>
  <w:footnote w:id="21">
    <w:p w14:paraId="06824B4F" w14:textId="0205D4EA" w:rsidR="00E97C3E" w:rsidRPr="00E97C3E" w:rsidRDefault="00E97C3E">
      <w:pPr>
        <w:pStyle w:val="FootnoteText"/>
        <w:rPr>
          <w:sz w:val="16"/>
          <w:szCs w:val="16"/>
        </w:rPr>
      </w:pPr>
      <w:r>
        <w:rPr>
          <w:rStyle w:val="FootnoteReference"/>
          <w:sz w:val="16"/>
          <w:szCs w:val="16"/>
        </w:rPr>
        <w:footnoteRef/>
      </w:r>
      <w:r>
        <w:rPr>
          <w:sz w:val="16"/>
        </w:rPr>
        <w:t xml:space="preserve">Rezoluția Parlamentului European din 17 decembrie 2025 referitoare la inițiativa cetățenească europeană intitulată </w:t>
      </w:r>
      <w:r w:rsidR="00737B62">
        <w:rPr>
          <w:sz w:val="16"/>
        </w:rPr>
        <w:t>„</w:t>
      </w:r>
      <w:r w:rsidRPr="00737B62">
        <w:rPr>
          <w:iCs/>
          <w:sz w:val="16"/>
        </w:rPr>
        <w:t>My Voice, My Choice</w:t>
      </w:r>
      <w:r w:rsidRPr="00737B62">
        <w:rPr>
          <w:iCs/>
        </w:rPr>
        <w:t>:</w:t>
      </w:r>
      <w:r w:rsidRPr="00737B62">
        <w:rPr>
          <w:iCs/>
          <w:sz w:val="16"/>
        </w:rPr>
        <w:t xml:space="preserve"> </w:t>
      </w:r>
      <w:r>
        <w:rPr>
          <w:sz w:val="16"/>
        </w:rPr>
        <w:t>pentru avorturi sigure și accesibile</w:t>
      </w:r>
      <w:r w:rsidR="00737B62">
        <w:rPr>
          <w:sz w:val="16"/>
        </w:rPr>
        <w:t xml:space="preserve">” </w:t>
      </w:r>
      <w:hyperlink r:id="rId17" w:history="1">
        <w:r w:rsidR="00737B62" w:rsidRPr="00B76697">
          <w:rPr>
            <w:rStyle w:val="Hyperlink"/>
            <w:sz w:val="16"/>
          </w:rPr>
          <w:t>https://www.europarl.europa.eu/doceo/document/TA-10-2025-0338_EN.html</w:t>
        </w:r>
      </w:hyperlink>
      <w:r>
        <w:t>.</w:t>
      </w:r>
    </w:p>
  </w:footnote>
  <w:footnote w:id="22">
    <w:p w14:paraId="3E669A8A" w14:textId="68E6C5E4" w:rsidR="0082055B" w:rsidRPr="00626A87" w:rsidRDefault="0082055B">
      <w:pPr>
        <w:pStyle w:val="FootnoteText"/>
        <w:rPr>
          <w:sz w:val="16"/>
          <w:szCs w:val="16"/>
        </w:rPr>
      </w:pPr>
      <w:r>
        <w:rPr>
          <w:rStyle w:val="FootnoteReference"/>
          <w:sz w:val="16"/>
          <w:szCs w:val="16"/>
          <w:lang w:val="en-GB"/>
        </w:rPr>
        <w:footnoteRef/>
      </w:r>
      <w:r>
        <w:rPr>
          <w:sz w:val="16"/>
        </w:rPr>
        <w:t xml:space="preserve"> </w:t>
      </w:r>
      <w:r>
        <w:tab/>
      </w:r>
      <w:r>
        <w:rPr>
          <w:sz w:val="16"/>
        </w:rPr>
        <w:t xml:space="preserve">Spania, Belgia, Republica Cehă, Danemarca, Germania, Estonia, Grecia, Franța, Italia, Luxemburg, Țările de Jos, Portugalia, Slovenia, Finlanda, Suedia, Irlanda. </w:t>
      </w:r>
    </w:p>
  </w:footnote>
  <w:footnote w:id="23">
    <w:p w14:paraId="4D4F5877" w14:textId="6C413447" w:rsidR="00983371" w:rsidRPr="00626A87" w:rsidRDefault="00983371" w:rsidP="00983371">
      <w:pPr>
        <w:pStyle w:val="FootnoteText"/>
        <w:rPr>
          <w:sz w:val="16"/>
          <w:szCs w:val="16"/>
        </w:rPr>
      </w:pPr>
      <w:r>
        <w:rPr>
          <w:rStyle w:val="FootnoteReference"/>
          <w:sz w:val="16"/>
          <w:szCs w:val="16"/>
          <w:lang w:val="en-GB"/>
        </w:rPr>
        <w:footnoteRef/>
      </w:r>
      <w:r>
        <w:rPr>
          <w:sz w:val="16"/>
        </w:rPr>
        <w:t xml:space="preserve"> </w:t>
      </w:r>
      <w:r>
        <w:tab/>
      </w:r>
      <w:r>
        <w:rPr>
          <w:sz w:val="16"/>
        </w:rPr>
        <w:t xml:space="preserve">Ganatra B, Gerdts C, Rossier C, Johnson BR, Tunçalp Ö, Assifi A, et al. </w:t>
      </w:r>
      <w:r>
        <w:rPr>
          <w:i/>
          <w:sz w:val="16"/>
        </w:rPr>
        <w:t>Global, regional, and subregional classification of abortions by safety, 2010-2014:</w:t>
      </w:r>
      <w:r>
        <w:rPr>
          <w:sz w:val="16"/>
        </w:rPr>
        <w:t xml:space="preserve"> </w:t>
      </w:r>
      <w:r>
        <w:rPr>
          <w:i/>
          <w:sz w:val="16"/>
        </w:rPr>
        <w:t>estimates from a Bayesian hierarchical model</w:t>
      </w:r>
      <w:r>
        <w:rPr>
          <w:sz w:val="16"/>
        </w:rPr>
        <w:t>. Lancet. 2017;390(10110):2372-81.</w:t>
      </w:r>
    </w:p>
  </w:footnote>
  <w:footnote w:id="24">
    <w:p w14:paraId="1A371D08" w14:textId="5583E8B2" w:rsidR="00025EBF" w:rsidRPr="00626A87" w:rsidRDefault="00025EBF">
      <w:pPr>
        <w:pStyle w:val="FootnoteText"/>
        <w:rPr>
          <w:sz w:val="16"/>
          <w:szCs w:val="16"/>
        </w:rPr>
      </w:pPr>
      <w:r>
        <w:rPr>
          <w:rStyle w:val="FootnoteReference"/>
          <w:sz w:val="16"/>
          <w:szCs w:val="16"/>
          <w:lang w:val="en-GB"/>
        </w:rPr>
        <w:footnoteRef/>
      </w:r>
      <w:r>
        <w:rPr>
          <w:sz w:val="16"/>
        </w:rPr>
        <w:t xml:space="preserve"> </w:t>
      </w:r>
      <w:r>
        <w:tab/>
      </w:r>
      <w:r>
        <w:rPr>
          <w:i/>
          <w:sz w:val="16"/>
        </w:rPr>
        <w:t>Abortion care guideline, second edition</w:t>
      </w:r>
      <w:r>
        <w:rPr>
          <w:sz w:val="16"/>
        </w:rPr>
        <w:t>. OMS, 2024: https://www.who.int/publications/i/item/9789240104204.</w:t>
      </w:r>
    </w:p>
  </w:footnote>
  <w:footnote w:id="25">
    <w:p w14:paraId="1C0B0C31" w14:textId="5F94A138" w:rsidR="00195E76" w:rsidRPr="00626A87" w:rsidRDefault="00195E76" w:rsidP="00195E76">
      <w:pPr>
        <w:pStyle w:val="FootnoteText"/>
        <w:rPr>
          <w:sz w:val="16"/>
          <w:szCs w:val="16"/>
        </w:rPr>
      </w:pPr>
      <w:r>
        <w:rPr>
          <w:rStyle w:val="FootnoteReference"/>
          <w:sz w:val="16"/>
          <w:szCs w:val="16"/>
          <w:lang w:val="en-GB"/>
        </w:rPr>
        <w:footnoteRef/>
      </w:r>
      <w:r>
        <w:rPr>
          <w:sz w:val="16"/>
        </w:rPr>
        <w:t xml:space="preserve"> </w:t>
      </w:r>
      <w:r>
        <w:tab/>
      </w:r>
      <w:r>
        <w:rPr>
          <w:sz w:val="16"/>
        </w:rPr>
        <w:t>A se vedea ICE, la rubrica „Obiectivul inițiativei”.</w:t>
      </w:r>
    </w:p>
  </w:footnote>
  <w:footnote w:id="26">
    <w:p w14:paraId="5D25B41D" w14:textId="7F43E398" w:rsidR="00CC74E0" w:rsidRPr="00626A87" w:rsidRDefault="00CC74E0" w:rsidP="00CC74E0">
      <w:pPr>
        <w:pStyle w:val="FootnoteText"/>
        <w:rPr>
          <w:sz w:val="16"/>
          <w:szCs w:val="16"/>
        </w:rPr>
      </w:pPr>
      <w:r>
        <w:rPr>
          <w:rStyle w:val="FootnoteReference"/>
          <w:sz w:val="16"/>
          <w:szCs w:val="16"/>
          <w:lang w:val="en-GB"/>
        </w:rPr>
        <w:footnoteRef/>
      </w:r>
      <w:r>
        <w:rPr>
          <w:sz w:val="16"/>
        </w:rPr>
        <w:t xml:space="preserve"> </w:t>
      </w:r>
      <w:r>
        <w:tab/>
      </w:r>
      <w:r>
        <w:rPr>
          <w:sz w:val="16"/>
        </w:rPr>
        <w:t>Potrivit explicațiilor furnizate Comisiei (la 1 octombrie) și Parlamentului European (la 2 decembrie 2025).</w:t>
      </w:r>
    </w:p>
  </w:footnote>
  <w:footnote w:id="27">
    <w:p w14:paraId="5CE04AAF" w14:textId="6FE13A16" w:rsidR="00CC74E0" w:rsidRPr="00783018" w:rsidRDefault="00CC74E0" w:rsidP="00783018">
      <w:pPr>
        <w:pStyle w:val="FootnoteText"/>
        <w:spacing w:line="240" w:lineRule="auto"/>
        <w:ind w:left="284" w:hanging="284"/>
        <w:rPr>
          <w:rFonts w:eastAsiaTheme="minorHAnsi"/>
          <w:sz w:val="16"/>
          <w:szCs w:val="16"/>
          <w:vertAlign w:val="superscript"/>
        </w:rPr>
      </w:pPr>
      <w:r>
        <w:rPr>
          <w:rStyle w:val="FootnoteReference"/>
          <w:sz w:val="16"/>
          <w:szCs w:val="16"/>
          <w:lang w:val="en-GB"/>
        </w:rPr>
        <w:footnoteRef/>
      </w:r>
      <w:r>
        <w:rPr>
          <w:sz w:val="16"/>
        </w:rPr>
        <w:t xml:space="preserve"> </w:t>
      </w:r>
      <w:r>
        <w:tab/>
      </w:r>
      <w:r>
        <w:rPr>
          <w:sz w:val="16"/>
        </w:rPr>
        <w:t xml:space="preserve">Decizia de punere în aplicare (UE) 2024/1158 a Comisiei din 10 aprilie 2024 privind cererea de înregistrare, în temeiul Regulamentului (UE) 2019/788 al Parlamentului European și al Consiliului, a inițiativei cetățenești europene intitulate „My Voice, My Choice: pentru avorturi sigure și accesibile”, ELI: </w:t>
      </w:r>
      <w:hyperlink r:id="rId18" w:tooltip="Oferă acces la acest document prin identificatorul său uniform de resurse ELI." w:history="1">
        <w:r>
          <w:rPr>
            <w:rStyle w:val="Hyperlink"/>
            <w:sz w:val="16"/>
          </w:rPr>
          <w:t>http://data.europa.eu/eli/dec_impl/2024/1158/oj</w:t>
        </w:r>
      </w:hyperlink>
      <w:r>
        <w:rPr>
          <w:sz w:val="16"/>
        </w:rPr>
        <w:t xml:space="preserve">, a se vedea punctul 8, </w:t>
      </w:r>
      <w:r>
        <w:rPr>
          <w:i/>
          <w:sz w:val="16"/>
        </w:rPr>
        <w:t>in fine</w:t>
      </w:r>
      <w:r>
        <w:rPr>
          <w:sz w:val="16"/>
        </w:rPr>
        <w:t>.</w:t>
      </w:r>
    </w:p>
  </w:footnote>
  <w:footnote w:id="28">
    <w:p w14:paraId="75BBA4B9" w14:textId="4B213A9F" w:rsidR="008652A5" w:rsidRPr="00626A87" w:rsidRDefault="008652A5" w:rsidP="008652A5">
      <w:pPr>
        <w:pStyle w:val="FootnoteText"/>
        <w:rPr>
          <w:sz w:val="16"/>
          <w:szCs w:val="16"/>
        </w:rPr>
      </w:pPr>
      <w:r>
        <w:rPr>
          <w:rStyle w:val="FootnoteReference"/>
          <w:sz w:val="16"/>
          <w:szCs w:val="16"/>
          <w:lang w:val="en-GB"/>
        </w:rPr>
        <w:footnoteRef/>
      </w:r>
      <w:r>
        <w:rPr>
          <w:sz w:val="16"/>
        </w:rPr>
        <w:t xml:space="preserve"> </w:t>
      </w:r>
      <w:r>
        <w:tab/>
      </w:r>
      <w:r>
        <w:rPr>
          <w:sz w:val="16"/>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w:t>
      </w:r>
      <w:r>
        <w:rPr>
          <w:i/>
          <w:sz w:val="16"/>
        </w:rPr>
        <w:t>Regulamentul privind dispozițiile comune</w:t>
      </w:r>
      <w:r>
        <w:rPr>
          <w:sz w:val="16"/>
        </w:rPr>
        <w:t>).</w:t>
      </w:r>
    </w:p>
  </w:footnote>
  <w:footnote w:id="29">
    <w:p w14:paraId="3AAB4E9C" w14:textId="7EF86A52" w:rsidR="008652A5" w:rsidRPr="00626A87" w:rsidRDefault="008652A5" w:rsidP="008652A5">
      <w:pPr>
        <w:pStyle w:val="FootnoteText"/>
        <w:rPr>
          <w:sz w:val="16"/>
          <w:szCs w:val="16"/>
        </w:rPr>
      </w:pPr>
      <w:r>
        <w:rPr>
          <w:rStyle w:val="FootnoteReference"/>
          <w:sz w:val="16"/>
          <w:szCs w:val="16"/>
          <w:lang w:val="en-GB"/>
        </w:rPr>
        <w:footnoteRef/>
      </w:r>
      <w:r>
        <w:rPr>
          <w:sz w:val="16"/>
        </w:rPr>
        <w:t xml:space="preserve"> </w:t>
      </w:r>
      <w:r>
        <w:tab/>
      </w:r>
      <w:r>
        <w:rPr>
          <w:sz w:val="16"/>
        </w:rPr>
        <w:t>Citat mai sus, nota 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B0E32" w14:textId="77777777" w:rsidR="00FE1469" w:rsidRPr="00FE1469" w:rsidRDefault="00FE1469" w:rsidP="00FE146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69F3D" w14:textId="77777777" w:rsidR="00FE1469" w:rsidRPr="00FE1469" w:rsidRDefault="00FE1469" w:rsidP="00FE146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2ABB6" w14:textId="77777777" w:rsidR="00FE1469" w:rsidRPr="00FE1469" w:rsidRDefault="00FE1469" w:rsidP="00FE146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B4FA7" w14:textId="77777777" w:rsidR="00E8560A" w:rsidRPr="00D77827" w:rsidRDefault="00E856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BE89B" w14:textId="77777777" w:rsidR="00E8560A" w:rsidRPr="00D77827" w:rsidRDefault="00E856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A439B" w14:textId="77777777" w:rsidR="00E8560A" w:rsidRPr="00D77827" w:rsidRDefault="00E856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207B9"/>
    <w:multiLevelType w:val="hybridMultilevel"/>
    <w:tmpl w:val="AB9637E2"/>
    <w:lvl w:ilvl="0" w:tplc="D4B0018C">
      <w:start w:val="1"/>
      <w:numFmt w:val="lowerLetter"/>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F734306"/>
    <w:multiLevelType w:val="multilevel"/>
    <w:tmpl w:val="E4DA2AFA"/>
    <w:lvl w:ilvl="0">
      <w:start w:val="1"/>
      <w:numFmt w:val="decimal"/>
      <w:pStyle w:val="Heading1"/>
      <w:lvlText w:val="%1."/>
      <w:lvlJc w:val="left"/>
      <w:pPr>
        <w:tabs>
          <w:tab w:val="num" w:pos="480"/>
        </w:tabs>
        <w:ind w:left="480" w:hanging="480"/>
      </w:pPr>
      <w:rPr>
        <w:rFonts w:hint="default"/>
        <w:color w:val="auto"/>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920"/>
        </w:tabs>
        <w:ind w:left="1920"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68F7EEE"/>
    <w:multiLevelType w:val="hybridMultilevel"/>
    <w:tmpl w:val="6E368FDC"/>
    <w:lvl w:ilvl="0" w:tplc="7A7093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2B07D9"/>
    <w:multiLevelType w:val="hybridMultilevel"/>
    <w:tmpl w:val="88CA340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47D27"/>
    <w:multiLevelType w:val="hybridMultilevel"/>
    <w:tmpl w:val="4CC820A8"/>
    <w:lvl w:ilvl="0" w:tplc="833E62DC">
      <w:start w:val="2"/>
      <w:numFmt w:val="lowerLetter"/>
      <w:lvlText w:val="%1)"/>
      <w:lvlJc w:val="left"/>
      <w:pPr>
        <w:ind w:left="720" w:hanging="360"/>
      </w:pPr>
      <w:rPr>
        <w:rFonts w:hint="default"/>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826E63"/>
    <w:multiLevelType w:val="hybridMultilevel"/>
    <w:tmpl w:val="B3508B60"/>
    <w:lvl w:ilvl="0" w:tplc="20863676">
      <w:numFmt w:val="bullet"/>
      <w:lvlText w:val="-"/>
      <w:lvlJc w:val="left"/>
      <w:pPr>
        <w:ind w:left="720" w:hanging="360"/>
      </w:pPr>
      <w:rPr>
        <w:rFonts w:ascii="Times New Roman" w:eastAsiaTheme="minorHAnsi" w:hAnsi="Times New Roman" w:cs="Times New Roman" w:hint="default"/>
        <w:i/>
        <w:color w:val="FF0000"/>
        <w:sz w:val="24"/>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52B76E64"/>
    <w:multiLevelType w:val="hybridMultilevel"/>
    <w:tmpl w:val="5FEC78EA"/>
    <w:lvl w:ilvl="0" w:tplc="38E2B4EE">
      <w:start w:val="1"/>
      <w:numFmt w:val="bullet"/>
      <w:lvlText w:val=""/>
      <w:lvlJc w:val="left"/>
      <w:pPr>
        <w:ind w:left="720" w:hanging="360"/>
      </w:pPr>
      <w:rPr>
        <w:rFonts w:ascii="Symbol" w:hAnsi="Symbol"/>
      </w:rPr>
    </w:lvl>
    <w:lvl w:ilvl="1" w:tplc="C62C3B30">
      <w:start w:val="1"/>
      <w:numFmt w:val="bullet"/>
      <w:lvlText w:val=""/>
      <w:lvlJc w:val="left"/>
      <w:pPr>
        <w:ind w:left="720" w:hanging="360"/>
      </w:pPr>
      <w:rPr>
        <w:rFonts w:ascii="Symbol" w:hAnsi="Symbol"/>
      </w:rPr>
    </w:lvl>
    <w:lvl w:ilvl="2" w:tplc="F2A2EE32">
      <w:start w:val="1"/>
      <w:numFmt w:val="bullet"/>
      <w:lvlText w:val=""/>
      <w:lvlJc w:val="left"/>
      <w:pPr>
        <w:ind w:left="720" w:hanging="360"/>
      </w:pPr>
      <w:rPr>
        <w:rFonts w:ascii="Symbol" w:hAnsi="Symbol"/>
      </w:rPr>
    </w:lvl>
    <w:lvl w:ilvl="3" w:tplc="9E96667E">
      <w:start w:val="1"/>
      <w:numFmt w:val="bullet"/>
      <w:lvlText w:val=""/>
      <w:lvlJc w:val="left"/>
      <w:pPr>
        <w:ind w:left="720" w:hanging="360"/>
      </w:pPr>
      <w:rPr>
        <w:rFonts w:ascii="Symbol" w:hAnsi="Symbol"/>
      </w:rPr>
    </w:lvl>
    <w:lvl w:ilvl="4" w:tplc="5D38CC0E">
      <w:start w:val="1"/>
      <w:numFmt w:val="bullet"/>
      <w:lvlText w:val=""/>
      <w:lvlJc w:val="left"/>
      <w:pPr>
        <w:ind w:left="720" w:hanging="360"/>
      </w:pPr>
      <w:rPr>
        <w:rFonts w:ascii="Symbol" w:hAnsi="Symbol"/>
      </w:rPr>
    </w:lvl>
    <w:lvl w:ilvl="5" w:tplc="EC5AC57A">
      <w:start w:val="1"/>
      <w:numFmt w:val="bullet"/>
      <w:lvlText w:val=""/>
      <w:lvlJc w:val="left"/>
      <w:pPr>
        <w:ind w:left="720" w:hanging="360"/>
      </w:pPr>
      <w:rPr>
        <w:rFonts w:ascii="Symbol" w:hAnsi="Symbol"/>
      </w:rPr>
    </w:lvl>
    <w:lvl w:ilvl="6" w:tplc="55086718">
      <w:start w:val="1"/>
      <w:numFmt w:val="bullet"/>
      <w:lvlText w:val=""/>
      <w:lvlJc w:val="left"/>
      <w:pPr>
        <w:ind w:left="720" w:hanging="360"/>
      </w:pPr>
      <w:rPr>
        <w:rFonts w:ascii="Symbol" w:hAnsi="Symbol"/>
      </w:rPr>
    </w:lvl>
    <w:lvl w:ilvl="7" w:tplc="8D742F4A">
      <w:start w:val="1"/>
      <w:numFmt w:val="bullet"/>
      <w:lvlText w:val=""/>
      <w:lvlJc w:val="left"/>
      <w:pPr>
        <w:ind w:left="720" w:hanging="360"/>
      </w:pPr>
      <w:rPr>
        <w:rFonts w:ascii="Symbol" w:hAnsi="Symbol"/>
      </w:rPr>
    </w:lvl>
    <w:lvl w:ilvl="8" w:tplc="70A852E4">
      <w:start w:val="1"/>
      <w:numFmt w:val="bullet"/>
      <w:lvlText w:val=""/>
      <w:lvlJc w:val="left"/>
      <w:pPr>
        <w:ind w:left="720" w:hanging="360"/>
      </w:pPr>
      <w:rPr>
        <w:rFonts w:ascii="Symbol" w:hAnsi="Symbol"/>
      </w:rPr>
    </w:lvl>
  </w:abstractNum>
  <w:abstractNum w:abstractNumId="8" w15:restartNumberingAfterBreak="0">
    <w:nsid w:val="52D6138D"/>
    <w:multiLevelType w:val="hybridMultilevel"/>
    <w:tmpl w:val="629C705E"/>
    <w:lvl w:ilvl="0" w:tplc="5504CE66">
      <w:start w:val="1"/>
      <w:numFmt w:val="bullet"/>
      <w:lvlText w:val=""/>
      <w:lvlJc w:val="left"/>
      <w:pPr>
        <w:ind w:left="1440" w:hanging="360"/>
      </w:pPr>
      <w:rPr>
        <w:rFonts w:ascii="Symbol" w:hAnsi="Symbol"/>
      </w:rPr>
    </w:lvl>
    <w:lvl w:ilvl="1" w:tplc="D63C676C">
      <w:start w:val="1"/>
      <w:numFmt w:val="bullet"/>
      <w:lvlText w:val=""/>
      <w:lvlJc w:val="left"/>
      <w:pPr>
        <w:ind w:left="1440" w:hanging="360"/>
      </w:pPr>
      <w:rPr>
        <w:rFonts w:ascii="Symbol" w:hAnsi="Symbol"/>
      </w:rPr>
    </w:lvl>
    <w:lvl w:ilvl="2" w:tplc="35F0BF32">
      <w:start w:val="1"/>
      <w:numFmt w:val="bullet"/>
      <w:lvlText w:val=""/>
      <w:lvlJc w:val="left"/>
      <w:pPr>
        <w:ind w:left="1440" w:hanging="360"/>
      </w:pPr>
      <w:rPr>
        <w:rFonts w:ascii="Symbol" w:hAnsi="Symbol"/>
      </w:rPr>
    </w:lvl>
    <w:lvl w:ilvl="3" w:tplc="7524534E">
      <w:start w:val="1"/>
      <w:numFmt w:val="bullet"/>
      <w:lvlText w:val=""/>
      <w:lvlJc w:val="left"/>
      <w:pPr>
        <w:ind w:left="1440" w:hanging="360"/>
      </w:pPr>
      <w:rPr>
        <w:rFonts w:ascii="Symbol" w:hAnsi="Symbol"/>
      </w:rPr>
    </w:lvl>
    <w:lvl w:ilvl="4" w:tplc="38A2F31C">
      <w:start w:val="1"/>
      <w:numFmt w:val="bullet"/>
      <w:lvlText w:val=""/>
      <w:lvlJc w:val="left"/>
      <w:pPr>
        <w:ind w:left="1440" w:hanging="360"/>
      </w:pPr>
      <w:rPr>
        <w:rFonts w:ascii="Symbol" w:hAnsi="Symbol"/>
      </w:rPr>
    </w:lvl>
    <w:lvl w:ilvl="5" w:tplc="1B284DF8">
      <w:start w:val="1"/>
      <w:numFmt w:val="bullet"/>
      <w:lvlText w:val=""/>
      <w:lvlJc w:val="left"/>
      <w:pPr>
        <w:ind w:left="1440" w:hanging="360"/>
      </w:pPr>
      <w:rPr>
        <w:rFonts w:ascii="Symbol" w:hAnsi="Symbol"/>
      </w:rPr>
    </w:lvl>
    <w:lvl w:ilvl="6" w:tplc="9FE46B0C">
      <w:start w:val="1"/>
      <w:numFmt w:val="bullet"/>
      <w:lvlText w:val=""/>
      <w:lvlJc w:val="left"/>
      <w:pPr>
        <w:ind w:left="1440" w:hanging="360"/>
      </w:pPr>
      <w:rPr>
        <w:rFonts w:ascii="Symbol" w:hAnsi="Symbol"/>
      </w:rPr>
    </w:lvl>
    <w:lvl w:ilvl="7" w:tplc="232830A6">
      <w:start w:val="1"/>
      <w:numFmt w:val="bullet"/>
      <w:lvlText w:val=""/>
      <w:lvlJc w:val="left"/>
      <w:pPr>
        <w:ind w:left="1440" w:hanging="360"/>
      </w:pPr>
      <w:rPr>
        <w:rFonts w:ascii="Symbol" w:hAnsi="Symbol"/>
      </w:rPr>
    </w:lvl>
    <w:lvl w:ilvl="8" w:tplc="9CB421F6">
      <w:start w:val="1"/>
      <w:numFmt w:val="bullet"/>
      <w:lvlText w:val=""/>
      <w:lvlJc w:val="left"/>
      <w:pPr>
        <w:ind w:left="1440" w:hanging="360"/>
      </w:pPr>
      <w:rPr>
        <w:rFonts w:ascii="Symbol" w:hAnsi="Symbol"/>
      </w:rPr>
    </w:lvl>
  </w:abstractNum>
  <w:abstractNum w:abstractNumId="9" w15:restartNumberingAfterBreak="0">
    <w:nsid w:val="57C13F26"/>
    <w:multiLevelType w:val="hybridMultilevel"/>
    <w:tmpl w:val="2CA633E6"/>
    <w:lvl w:ilvl="0" w:tplc="BD96B5F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420EF5"/>
    <w:multiLevelType w:val="hybridMultilevel"/>
    <w:tmpl w:val="E9F062EC"/>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AE9579F"/>
    <w:multiLevelType w:val="hybridMultilevel"/>
    <w:tmpl w:val="1CBA7D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FA51CA"/>
    <w:multiLevelType w:val="hybridMultilevel"/>
    <w:tmpl w:val="C324B8D6"/>
    <w:lvl w:ilvl="0" w:tplc="6BA058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2D5722"/>
    <w:multiLevelType w:val="hybridMultilevel"/>
    <w:tmpl w:val="AB9637E2"/>
    <w:lvl w:ilvl="0" w:tplc="FFFFFFFF">
      <w:start w:val="1"/>
      <w:numFmt w:val="lowerLetter"/>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560FB6"/>
    <w:multiLevelType w:val="hybridMultilevel"/>
    <w:tmpl w:val="B826FD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5EBEE57"/>
    <w:multiLevelType w:val="hybridMultilevel"/>
    <w:tmpl w:val="3BCE966C"/>
    <w:lvl w:ilvl="0" w:tplc="1592FD66">
      <w:start w:val="1"/>
      <w:numFmt w:val="bullet"/>
      <w:lvlText w:val="-"/>
      <w:lvlJc w:val="left"/>
      <w:pPr>
        <w:ind w:left="720" w:hanging="360"/>
      </w:pPr>
      <w:rPr>
        <w:rFonts w:ascii="Aptos" w:hAnsi="Aptos" w:hint="default"/>
      </w:rPr>
    </w:lvl>
    <w:lvl w:ilvl="1" w:tplc="C0C0327A">
      <w:start w:val="1"/>
      <w:numFmt w:val="bullet"/>
      <w:lvlText w:val="o"/>
      <w:lvlJc w:val="left"/>
      <w:pPr>
        <w:ind w:left="1440" w:hanging="360"/>
      </w:pPr>
      <w:rPr>
        <w:rFonts w:ascii="Courier New" w:hAnsi="Courier New" w:hint="default"/>
      </w:rPr>
    </w:lvl>
    <w:lvl w:ilvl="2" w:tplc="013CBF14">
      <w:start w:val="1"/>
      <w:numFmt w:val="bullet"/>
      <w:lvlText w:val=""/>
      <w:lvlJc w:val="left"/>
      <w:pPr>
        <w:ind w:left="2160" w:hanging="360"/>
      </w:pPr>
      <w:rPr>
        <w:rFonts w:ascii="Wingdings" w:hAnsi="Wingdings" w:hint="default"/>
      </w:rPr>
    </w:lvl>
    <w:lvl w:ilvl="3" w:tplc="11E615C6">
      <w:start w:val="1"/>
      <w:numFmt w:val="bullet"/>
      <w:lvlText w:val=""/>
      <w:lvlJc w:val="left"/>
      <w:pPr>
        <w:ind w:left="2880" w:hanging="360"/>
      </w:pPr>
      <w:rPr>
        <w:rFonts w:ascii="Symbol" w:hAnsi="Symbol" w:hint="default"/>
      </w:rPr>
    </w:lvl>
    <w:lvl w:ilvl="4" w:tplc="B290B2B4">
      <w:start w:val="1"/>
      <w:numFmt w:val="bullet"/>
      <w:lvlText w:val="o"/>
      <w:lvlJc w:val="left"/>
      <w:pPr>
        <w:ind w:left="3600" w:hanging="360"/>
      </w:pPr>
      <w:rPr>
        <w:rFonts w:ascii="Courier New" w:hAnsi="Courier New" w:hint="default"/>
      </w:rPr>
    </w:lvl>
    <w:lvl w:ilvl="5" w:tplc="39DACCB8">
      <w:start w:val="1"/>
      <w:numFmt w:val="bullet"/>
      <w:lvlText w:val=""/>
      <w:lvlJc w:val="left"/>
      <w:pPr>
        <w:ind w:left="4320" w:hanging="360"/>
      </w:pPr>
      <w:rPr>
        <w:rFonts w:ascii="Wingdings" w:hAnsi="Wingdings" w:hint="default"/>
      </w:rPr>
    </w:lvl>
    <w:lvl w:ilvl="6" w:tplc="684EE7EE">
      <w:start w:val="1"/>
      <w:numFmt w:val="bullet"/>
      <w:lvlText w:val=""/>
      <w:lvlJc w:val="left"/>
      <w:pPr>
        <w:ind w:left="5040" w:hanging="360"/>
      </w:pPr>
      <w:rPr>
        <w:rFonts w:ascii="Symbol" w:hAnsi="Symbol" w:hint="default"/>
      </w:rPr>
    </w:lvl>
    <w:lvl w:ilvl="7" w:tplc="133C4340">
      <w:start w:val="1"/>
      <w:numFmt w:val="bullet"/>
      <w:lvlText w:val="o"/>
      <w:lvlJc w:val="left"/>
      <w:pPr>
        <w:ind w:left="5760" w:hanging="360"/>
      </w:pPr>
      <w:rPr>
        <w:rFonts w:ascii="Courier New" w:hAnsi="Courier New" w:hint="default"/>
      </w:rPr>
    </w:lvl>
    <w:lvl w:ilvl="8" w:tplc="58169B54">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
  </w:num>
  <w:num w:numId="6">
    <w:abstractNumId w:val="4"/>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8"/>
  </w:num>
  <w:num w:numId="16">
    <w:abstractNumId w:val="7"/>
  </w:num>
  <w:num w:numId="17">
    <w:abstractNumId w:val="2"/>
  </w:num>
  <w:num w:numId="18">
    <w:abstractNumId w:val="2"/>
  </w:num>
  <w:num w:numId="19">
    <w:abstractNumId w:val="3"/>
  </w:num>
  <w:num w:numId="20">
    <w:abstractNumId w:val="12"/>
  </w:num>
  <w:num w:numId="21">
    <w:abstractNumId w:val="9"/>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2"/>
  </w:num>
  <w:num w:numId="25">
    <w:abstractNumId w:val="0"/>
  </w:num>
  <w:num w:numId="26">
    <w:abstractNumId w:val="2"/>
  </w:num>
  <w:num w:numId="27">
    <w:abstractNumId w:val="14"/>
  </w:num>
  <w:num w:numId="28">
    <w:abstractNumId w:val="10"/>
  </w:num>
  <w:num w:numId="29">
    <w:abstractNumId w:val="13"/>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oNotTrackMoves/>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D0DF227-F1F5-4282-A492-6F4E144221ED"/>
    <w:docVar w:name="LW_COVERPAGE_TYPE" w:val="1"/>
    <w:docVar w:name="LW_CROSSREFERENCE" w:val="&lt;UNUSED&gt;"/>
    <w:docVar w:name="LW_DocType" w:val="NORMAL"/>
    <w:docVar w:name="LW_EMISSION" w:val="26.2.2026"/>
    <w:docVar w:name="LW_EMISSION_ISODATE" w:val="2026-02-26"/>
    <w:docVar w:name="LW_EMISSION_LOCATION" w:val="BRX"/>
    <w:docVar w:name="LW_EMISSION_PREFIX" w:val="Bruxelles, "/>
    <w:docVar w:name="LW_EMISSION_SUFFIX" w:val=" "/>
    <w:docVar w:name="LW_ID_DOCTYPE_NONLW" w:val="CP-00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32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Calibri&gt; &lt;/FMT&gt;privind ini\u539?iativa cet\u259?\u539?eneasc\u259? european\u259? (ICE) \u8222?My Voice, My Choice: pentru avorturi sigure \u537?i accesibile\u8221?_x000d__x000d__x000d__x000b__x000d__x000d__x000d__x000d__x000d__x000d__x000d__x000d__x000d__x000d__x000d__x000d__x000b__x000d__x000d__x000d__x000d__x000d__x000d__x000d__x000d__x000d__x000d__x000d__x000d__x000d__x000b_"/>
    <w:docVar w:name="LW_TYPE.DOC.CP" w:val="COMUNICARE A COMISIEI"/>
    <w:docVar w:name="LW_TYPE.DOC.CP.USERTEXT" w:val="&lt;EMPTY&gt;"/>
    <w:docVar w:name="LwApiVersions" w:val="LW4CoDe 1.24.5.0; LW 9.2, Build 20251112"/>
  </w:docVars>
  <w:rsids>
    <w:rsidRoot w:val="00CA159E"/>
    <w:rsid w:val="000005E3"/>
    <w:rsid w:val="00000C2A"/>
    <w:rsid w:val="00000CE5"/>
    <w:rsid w:val="00000DB2"/>
    <w:rsid w:val="00000F37"/>
    <w:rsid w:val="000012DC"/>
    <w:rsid w:val="000015B5"/>
    <w:rsid w:val="0000179E"/>
    <w:rsid w:val="000019F5"/>
    <w:rsid w:val="00001C65"/>
    <w:rsid w:val="00001D56"/>
    <w:rsid w:val="00001D89"/>
    <w:rsid w:val="000020DD"/>
    <w:rsid w:val="0000259A"/>
    <w:rsid w:val="00002AB8"/>
    <w:rsid w:val="00002C9F"/>
    <w:rsid w:val="00002DB2"/>
    <w:rsid w:val="00003D3A"/>
    <w:rsid w:val="00004055"/>
    <w:rsid w:val="000049FF"/>
    <w:rsid w:val="000059BB"/>
    <w:rsid w:val="00005DF4"/>
    <w:rsid w:val="00006277"/>
    <w:rsid w:val="000074C3"/>
    <w:rsid w:val="00007AC2"/>
    <w:rsid w:val="00007BE7"/>
    <w:rsid w:val="00007EA4"/>
    <w:rsid w:val="00010B51"/>
    <w:rsid w:val="00010C88"/>
    <w:rsid w:val="00010D5A"/>
    <w:rsid w:val="000110CA"/>
    <w:rsid w:val="00011C00"/>
    <w:rsid w:val="00012141"/>
    <w:rsid w:val="000125C8"/>
    <w:rsid w:val="0001267E"/>
    <w:rsid w:val="00012704"/>
    <w:rsid w:val="0001273D"/>
    <w:rsid w:val="00012770"/>
    <w:rsid w:val="00013675"/>
    <w:rsid w:val="00014470"/>
    <w:rsid w:val="00014725"/>
    <w:rsid w:val="000147FD"/>
    <w:rsid w:val="00015400"/>
    <w:rsid w:val="0001541A"/>
    <w:rsid w:val="00015565"/>
    <w:rsid w:val="000157E0"/>
    <w:rsid w:val="00016051"/>
    <w:rsid w:val="000164E9"/>
    <w:rsid w:val="000171CE"/>
    <w:rsid w:val="000172F5"/>
    <w:rsid w:val="000179D2"/>
    <w:rsid w:val="00020749"/>
    <w:rsid w:val="00020A69"/>
    <w:rsid w:val="00021327"/>
    <w:rsid w:val="00022339"/>
    <w:rsid w:val="0002234B"/>
    <w:rsid w:val="00022393"/>
    <w:rsid w:val="00022403"/>
    <w:rsid w:val="0002242E"/>
    <w:rsid w:val="00022884"/>
    <w:rsid w:val="00022A72"/>
    <w:rsid w:val="00022B5E"/>
    <w:rsid w:val="00022BF5"/>
    <w:rsid w:val="00023432"/>
    <w:rsid w:val="00023E64"/>
    <w:rsid w:val="00023F67"/>
    <w:rsid w:val="00024092"/>
    <w:rsid w:val="00024BC5"/>
    <w:rsid w:val="0002525D"/>
    <w:rsid w:val="00025425"/>
    <w:rsid w:val="00025EB5"/>
    <w:rsid w:val="00025EBF"/>
    <w:rsid w:val="00026567"/>
    <w:rsid w:val="00026E0A"/>
    <w:rsid w:val="00026FFF"/>
    <w:rsid w:val="0002725D"/>
    <w:rsid w:val="00027E00"/>
    <w:rsid w:val="000307E4"/>
    <w:rsid w:val="00030C03"/>
    <w:rsid w:val="00030F4F"/>
    <w:rsid w:val="00031458"/>
    <w:rsid w:val="000314A5"/>
    <w:rsid w:val="00031FF3"/>
    <w:rsid w:val="0003246F"/>
    <w:rsid w:val="000325AC"/>
    <w:rsid w:val="00032B01"/>
    <w:rsid w:val="000332E3"/>
    <w:rsid w:val="000339A0"/>
    <w:rsid w:val="00033CB0"/>
    <w:rsid w:val="0003422A"/>
    <w:rsid w:val="00034884"/>
    <w:rsid w:val="00034EC7"/>
    <w:rsid w:val="00035595"/>
    <w:rsid w:val="00035DAC"/>
    <w:rsid w:val="00036007"/>
    <w:rsid w:val="000365B0"/>
    <w:rsid w:val="0003680A"/>
    <w:rsid w:val="00037D28"/>
    <w:rsid w:val="00037F06"/>
    <w:rsid w:val="000403BE"/>
    <w:rsid w:val="00040D1E"/>
    <w:rsid w:val="00040DCF"/>
    <w:rsid w:val="000416B3"/>
    <w:rsid w:val="00041773"/>
    <w:rsid w:val="000417E3"/>
    <w:rsid w:val="00041849"/>
    <w:rsid w:val="000419D2"/>
    <w:rsid w:val="00041A88"/>
    <w:rsid w:val="00041DF2"/>
    <w:rsid w:val="0004253F"/>
    <w:rsid w:val="00042EA7"/>
    <w:rsid w:val="0004309C"/>
    <w:rsid w:val="0004334C"/>
    <w:rsid w:val="00043D90"/>
    <w:rsid w:val="00043EAC"/>
    <w:rsid w:val="000442E9"/>
    <w:rsid w:val="0004459E"/>
    <w:rsid w:val="0004468C"/>
    <w:rsid w:val="00045017"/>
    <w:rsid w:val="00045877"/>
    <w:rsid w:val="00045F5F"/>
    <w:rsid w:val="000464AB"/>
    <w:rsid w:val="00046CBC"/>
    <w:rsid w:val="000470B2"/>
    <w:rsid w:val="0004751D"/>
    <w:rsid w:val="0004798C"/>
    <w:rsid w:val="00047FE2"/>
    <w:rsid w:val="000503E5"/>
    <w:rsid w:val="00050855"/>
    <w:rsid w:val="00050A02"/>
    <w:rsid w:val="00050CDA"/>
    <w:rsid w:val="00050E11"/>
    <w:rsid w:val="00050FBF"/>
    <w:rsid w:val="00051855"/>
    <w:rsid w:val="000523E6"/>
    <w:rsid w:val="00052D7D"/>
    <w:rsid w:val="00052E47"/>
    <w:rsid w:val="00053538"/>
    <w:rsid w:val="0005359C"/>
    <w:rsid w:val="00054057"/>
    <w:rsid w:val="00054147"/>
    <w:rsid w:val="00054195"/>
    <w:rsid w:val="000542A5"/>
    <w:rsid w:val="000544AE"/>
    <w:rsid w:val="00054885"/>
    <w:rsid w:val="00054C68"/>
    <w:rsid w:val="00054CBF"/>
    <w:rsid w:val="000551F5"/>
    <w:rsid w:val="000555DD"/>
    <w:rsid w:val="00055D81"/>
    <w:rsid w:val="00056E19"/>
    <w:rsid w:val="000571A2"/>
    <w:rsid w:val="000576FB"/>
    <w:rsid w:val="0005783E"/>
    <w:rsid w:val="00057B99"/>
    <w:rsid w:val="00057B9C"/>
    <w:rsid w:val="00057D9D"/>
    <w:rsid w:val="00057FEF"/>
    <w:rsid w:val="0006071D"/>
    <w:rsid w:val="00060811"/>
    <w:rsid w:val="000618A8"/>
    <w:rsid w:val="00061A40"/>
    <w:rsid w:val="00061E81"/>
    <w:rsid w:val="00062337"/>
    <w:rsid w:val="000628D8"/>
    <w:rsid w:val="00062A34"/>
    <w:rsid w:val="00062A8B"/>
    <w:rsid w:val="00062EE4"/>
    <w:rsid w:val="00063602"/>
    <w:rsid w:val="0006366C"/>
    <w:rsid w:val="00063CBE"/>
    <w:rsid w:val="00063DC4"/>
    <w:rsid w:val="000644CB"/>
    <w:rsid w:val="00065020"/>
    <w:rsid w:val="00065F18"/>
    <w:rsid w:val="000662C0"/>
    <w:rsid w:val="000668F6"/>
    <w:rsid w:val="00066A14"/>
    <w:rsid w:val="00066EFA"/>
    <w:rsid w:val="00067012"/>
    <w:rsid w:val="00067EFC"/>
    <w:rsid w:val="00067FD7"/>
    <w:rsid w:val="0007054A"/>
    <w:rsid w:val="00070A1F"/>
    <w:rsid w:val="000714DB"/>
    <w:rsid w:val="00071B7D"/>
    <w:rsid w:val="00071D30"/>
    <w:rsid w:val="000727F9"/>
    <w:rsid w:val="00073419"/>
    <w:rsid w:val="00073A66"/>
    <w:rsid w:val="00073BAE"/>
    <w:rsid w:val="00073D9B"/>
    <w:rsid w:val="000740A1"/>
    <w:rsid w:val="00074556"/>
    <w:rsid w:val="00074736"/>
    <w:rsid w:val="00074ABD"/>
    <w:rsid w:val="00074DE0"/>
    <w:rsid w:val="0007658A"/>
    <w:rsid w:val="000765FB"/>
    <w:rsid w:val="000768EB"/>
    <w:rsid w:val="00077216"/>
    <w:rsid w:val="00077693"/>
    <w:rsid w:val="00077C1B"/>
    <w:rsid w:val="00077FEE"/>
    <w:rsid w:val="0008050C"/>
    <w:rsid w:val="00080665"/>
    <w:rsid w:val="000806E0"/>
    <w:rsid w:val="0008083F"/>
    <w:rsid w:val="00080A3B"/>
    <w:rsid w:val="000813F5"/>
    <w:rsid w:val="00081A02"/>
    <w:rsid w:val="0008276A"/>
    <w:rsid w:val="00082981"/>
    <w:rsid w:val="00082BC1"/>
    <w:rsid w:val="0008340D"/>
    <w:rsid w:val="0008349E"/>
    <w:rsid w:val="00083C98"/>
    <w:rsid w:val="00083C9A"/>
    <w:rsid w:val="00084374"/>
    <w:rsid w:val="000851E1"/>
    <w:rsid w:val="00085204"/>
    <w:rsid w:val="000857AB"/>
    <w:rsid w:val="00085E25"/>
    <w:rsid w:val="00085F7E"/>
    <w:rsid w:val="000862C6"/>
    <w:rsid w:val="00086481"/>
    <w:rsid w:val="00086725"/>
    <w:rsid w:val="00086C03"/>
    <w:rsid w:val="000875FF"/>
    <w:rsid w:val="000876F6"/>
    <w:rsid w:val="000878DB"/>
    <w:rsid w:val="00087C72"/>
    <w:rsid w:val="00087E70"/>
    <w:rsid w:val="000903CA"/>
    <w:rsid w:val="00090A9E"/>
    <w:rsid w:val="000911F8"/>
    <w:rsid w:val="0009124F"/>
    <w:rsid w:val="000914B1"/>
    <w:rsid w:val="000925FD"/>
    <w:rsid w:val="0009297B"/>
    <w:rsid w:val="00092D20"/>
    <w:rsid w:val="00092D54"/>
    <w:rsid w:val="0009312F"/>
    <w:rsid w:val="000937F7"/>
    <w:rsid w:val="000946CA"/>
    <w:rsid w:val="00094AF0"/>
    <w:rsid w:val="00095560"/>
    <w:rsid w:val="0009560C"/>
    <w:rsid w:val="00095AC5"/>
    <w:rsid w:val="00095AD9"/>
    <w:rsid w:val="00095E99"/>
    <w:rsid w:val="0009612B"/>
    <w:rsid w:val="00096320"/>
    <w:rsid w:val="00096C38"/>
    <w:rsid w:val="00097110"/>
    <w:rsid w:val="00097707"/>
    <w:rsid w:val="00097C0C"/>
    <w:rsid w:val="00097CBF"/>
    <w:rsid w:val="00097FD6"/>
    <w:rsid w:val="000A02D7"/>
    <w:rsid w:val="000A03AD"/>
    <w:rsid w:val="000A0A90"/>
    <w:rsid w:val="000A0CFA"/>
    <w:rsid w:val="000A1093"/>
    <w:rsid w:val="000A1223"/>
    <w:rsid w:val="000A1766"/>
    <w:rsid w:val="000A205E"/>
    <w:rsid w:val="000A2096"/>
    <w:rsid w:val="000A2357"/>
    <w:rsid w:val="000A2386"/>
    <w:rsid w:val="000A247B"/>
    <w:rsid w:val="000A263D"/>
    <w:rsid w:val="000A2A9A"/>
    <w:rsid w:val="000A2B1B"/>
    <w:rsid w:val="000A2B56"/>
    <w:rsid w:val="000A2E53"/>
    <w:rsid w:val="000A34A5"/>
    <w:rsid w:val="000A3F73"/>
    <w:rsid w:val="000A435F"/>
    <w:rsid w:val="000A4935"/>
    <w:rsid w:val="000A4D80"/>
    <w:rsid w:val="000A4E02"/>
    <w:rsid w:val="000A4E74"/>
    <w:rsid w:val="000A50BC"/>
    <w:rsid w:val="000A5469"/>
    <w:rsid w:val="000A555B"/>
    <w:rsid w:val="000A5B6D"/>
    <w:rsid w:val="000A618B"/>
    <w:rsid w:val="000A6DB2"/>
    <w:rsid w:val="000A6F90"/>
    <w:rsid w:val="000A745A"/>
    <w:rsid w:val="000A76B8"/>
    <w:rsid w:val="000A7BE4"/>
    <w:rsid w:val="000B01E3"/>
    <w:rsid w:val="000B01F6"/>
    <w:rsid w:val="000B02B8"/>
    <w:rsid w:val="000B0EF9"/>
    <w:rsid w:val="000B11E5"/>
    <w:rsid w:val="000B1481"/>
    <w:rsid w:val="000B187B"/>
    <w:rsid w:val="000B18C5"/>
    <w:rsid w:val="000B1959"/>
    <w:rsid w:val="000B1F92"/>
    <w:rsid w:val="000B2230"/>
    <w:rsid w:val="000B23C2"/>
    <w:rsid w:val="000B3153"/>
    <w:rsid w:val="000B3727"/>
    <w:rsid w:val="000B3B4A"/>
    <w:rsid w:val="000B43F5"/>
    <w:rsid w:val="000B4506"/>
    <w:rsid w:val="000B468B"/>
    <w:rsid w:val="000B4C2E"/>
    <w:rsid w:val="000B553B"/>
    <w:rsid w:val="000B5759"/>
    <w:rsid w:val="000B60A1"/>
    <w:rsid w:val="000B6986"/>
    <w:rsid w:val="000B6A85"/>
    <w:rsid w:val="000B7A79"/>
    <w:rsid w:val="000B7B02"/>
    <w:rsid w:val="000C0026"/>
    <w:rsid w:val="000C01F8"/>
    <w:rsid w:val="000C0570"/>
    <w:rsid w:val="000C089A"/>
    <w:rsid w:val="000C0CDA"/>
    <w:rsid w:val="000C1EA5"/>
    <w:rsid w:val="000C1FF3"/>
    <w:rsid w:val="000C237A"/>
    <w:rsid w:val="000C2722"/>
    <w:rsid w:val="000C2AE0"/>
    <w:rsid w:val="000C2CE6"/>
    <w:rsid w:val="000C34A6"/>
    <w:rsid w:val="000C3CEF"/>
    <w:rsid w:val="000C40B7"/>
    <w:rsid w:val="000C413F"/>
    <w:rsid w:val="000C4564"/>
    <w:rsid w:val="000C45B5"/>
    <w:rsid w:val="000C4E56"/>
    <w:rsid w:val="000C4EF6"/>
    <w:rsid w:val="000C54B9"/>
    <w:rsid w:val="000C57CF"/>
    <w:rsid w:val="000C5B40"/>
    <w:rsid w:val="000C5DA9"/>
    <w:rsid w:val="000C630E"/>
    <w:rsid w:val="000C69E4"/>
    <w:rsid w:val="000C6D3E"/>
    <w:rsid w:val="000C6EBB"/>
    <w:rsid w:val="000C725C"/>
    <w:rsid w:val="000C7625"/>
    <w:rsid w:val="000C7B7F"/>
    <w:rsid w:val="000D031A"/>
    <w:rsid w:val="000D0DE5"/>
    <w:rsid w:val="000D188E"/>
    <w:rsid w:val="000D258E"/>
    <w:rsid w:val="000D278C"/>
    <w:rsid w:val="000D2DE6"/>
    <w:rsid w:val="000D2E63"/>
    <w:rsid w:val="000D32A3"/>
    <w:rsid w:val="000D336E"/>
    <w:rsid w:val="000D3580"/>
    <w:rsid w:val="000D38A6"/>
    <w:rsid w:val="000D3D09"/>
    <w:rsid w:val="000D3D9C"/>
    <w:rsid w:val="000D4BB8"/>
    <w:rsid w:val="000D4BD0"/>
    <w:rsid w:val="000D508A"/>
    <w:rsid w:val="000D55EF"/>
    <w:rsid w:val="000D582A"/>
    <w:rsid w:val="000D5B9F"/>
    <w:rsid w:val="000D6953"/>
    <w:rsid w:val="000D69A3"/>
    <w:rsid w:val="000D6EA1"/>
    <w:rsid w:val="000D774B"/>
    <w:rsid w:val="000D7983"/>
    <w:rsid w:val="000D7EC3"/>
    <w:rsid w:val="000E00F8"/>
    <w:rsid w:val="000E0407"/>
    <w:rsid w:val="000E05E5"/>
    <w:rsid w:val="000E0B48"/>
    <w:rsid w:val="000E105A"/>
    <w:rsid w:val="000E1A66"/>
    <w:rsid w:val="000E3373"/>
    <w:rsid w:val="000E36DF"/>
    <w:rsid w:val="000E3C56"/>
    <w:rsid w:val="000E3CA7"/>
    <w:rsid w:val="000E3DEA"/>
    <w:rsid w:val="000E44B9"/>
    <w:rsid w:val="000E4B7C"/>
    <w:rsid w:val="000E4FCD"/>
    <w:rsid w:val="000E4FDA"/>
    <w:rsid w:val="000E5784"/>
    <w:rsid w:val="000E6A3B"/>
    <w:rsid w:val="000E716D"/>
    <w:rsid w:val="000E7DA1"/>
    <w:rsid w:val="000E7EAD"/>
    <w:rsid w:val="000F0E6B"/>
    <w:rsid w:val="000F0E7C"/>
    <w:rsid w:val="000F11DB"/>
    <w:rsid w:val="000F179F"/>
    <w:rsid w:val="000F18A1"/>
    <w:rsid w:val="000F27A9"/>
    <w:rsid w:val="000F27B7"/>
    <w:rsid w:val="000F2A71"/>
    <w:rsid w:val="000F2E3A"/>
    <w:rsid w:val="000F2E77"/>
    <w:rsid w:val="000F30C6"/>
    <w:rsid w:val="000F3568"/>
    <w:rsid w:val="000F3734"/>
    <w:rsid w:val="000F3F67"/>
    <w:rsid w:val="000F41E4"/>
    <w:rsid w:val="000F4E81"/>
    <w:rsid w:val="000F4F8C"/>
    <w:rsid w:val="000F5233"/>
    <w:rsid w:val="000F5756"/>
    <w:rsid w:val="000F57F6"/>
    <w:rsid w:val="000F64AC"/>
    <w:rsid w:val="000F6800"/>
    <w:rsid w:val="000F6905"/>
    <w:rsid w:val="000F6D3A"/>
    <w:rsid w:val="000F6EED"/>
    <w:rsid w:val="000F70D6"/>
    <w:rsid w:val="000F7290"/>
    <w:rsid w:val="000F7658"/>
    <w:rsid w:val="0010028D"/>
    <w:rsid w:val="001002DB"/>
    <w:rsid w:val="00100378"/>
    <w:rsid w:val="00100823"/>
    <w:rsid w:val="00100B4C"/>
    <w:rsid w:val="00101698"/>
    <w:rsid w:val="00101D85"/>
    <w:rsid w:val="0010229C"/>
    <w:rsid w:val="0010258E"/>
    <w:rsid w:val="001035DA"/>
    <w:rsid w:val="001038BB"/>
    <w:rsid w:val="00103AD5"/>
    <w:rsid w:val="00103C5E"/>
    <w:rsid w:val="00104162"/>
    <w:rsid w:val="00104F41"/>
    <w:rsid w:val="0010531D"/>
    <w:rsid w:val="00105335"/>
    <w:rsid w:val="0010538A"/>
    <w:rsid w:val="001056AC"/>
    <w:rsid w:val="00105AC1"/>
    <w:rsid w:val="00105C11"/>
    <w:rsid w:val="00105D94"/>
    <w:rsid w:val="0010654E"/>
    <w:rsid w:val="00106932"/>
    <w:rsid w:val="001069E3"/>
    <w:rsid w:val="0010729D"/>
    <w:rsid w:val="001073B0"/>
    <w:rsid w:val="00107851"/>
    <w:rsid w:val="00107A6F"/>
    <w:rsid w:val="00107D9D"/>
    <w:rsid w:val="00110D8F"/>
    <w:rsid w:val="00110E2A"/>
    <w:rsid w:val="001112A9"/>
    <w:rsid w:val="00111D81"/>
    <w:rsid w:val="001120A2"/>
    <w:rsid w:val="001129DD"/>
    <w:rsid w:val="00112DFC"/>
    <w:rsid w:val="00113148"/>
    <w:rsid w:val="0011329F"/>
    <w:rsid w:val="00114471"/>
    <w:rsid w:val="00114543"/>
    <w:rsid w:val="00114B46"/>
    <w:rsid w:val="00115A11"/>
    <w:rsid w:val="00115F2F"/>
    <w:rsid w:val="00115F66"/>
    <w:rsid w:val="00115FAE"/>
    <w:rsid w:val="001162B7"/>
    <w:rsid w:val="001166A3"/>
    <w:rsid w:val="00116DE2"/>
    <w:rsid w:val="00117751"/>
    <w:rsid w:val="001178CF"/>
    <w:rsid w:val="00117F6E"/>
    <w:rsid w:val="0012034C"/>
    <w:rsid w:val="00120657"/>
    <w:rsid w:val="00121236"/>
    <w:rsid w:val="0012177C"/>
    <w:rsid w:val="0012279A"/>
    <w:rsid w:val="00122BDB"/>
    <w:rsid w:val="00122D2C"/>
    <w:rsid w:val="001230F7"/>
    <w:rsid w:val="0012324B"/>
    <w:rsid w:val="001235A7"/>
    <w:rsid w:val="00123681"/>
    <w:rsid w:val="001242F4"/>
    <w:rsid w:val="00124B5E"/>
    <w:rsid w:val="00124CDE"/>
    <w:rsid w:val="00125013"/>
    <w:rsid w:val="001250C2"/>
    <w:rsid w:val="0012568E"/>
    <w:rsid w:val="00125A97"/>
    <w:rsid w:val="001261B8"/>
    <w:rsid w:val="00126583"/>
    <w:rsid w:val="00126726"/>
    <w:rsid w:val="001268A7"/>
    <w:rsid w:val="00126DB9"/>
    <w:rsid w:val="00126FA5"/>
    <w:rsid w:val="001273BC"/>
    <w:rsid w:val="0012783F"/>
    <w:rsid w:val="00127BD5"/>
    <w:rsid w:val="00130145"/>
    <w:rsid w:val="00130B67"/>
    <w:rsid w:val="00130D9C"/>
    <w:rsid w:val="00131B81"/>
    <w:rsid w:val="001324B0"/>
    <w:rsid w:val="00132716"/>
    <w:rsid w:val="001328B8"/>
    <w:rsid w:val="00132F1D"/>
    <w:rsid w:val="0013354F"/>
    <w:rsid w:val="00133BA1"/>
    <w:rsid w:val="00133E15"/>
    <w:rsid w:val="00134401"/>
    <w:rsid w:val="00134BF6"/>
    <w:rsid w:val="00134C3B"/>
    <w:rsid w:val="00134C5F"/>
    <w:rsid w:val="00134FA3"/>
    <w:rsid w:val="001351D7"/>
    <w:rsid w:val="001354E3"/>
    <w:rsid w:val="00135997"/>
    <w:rsid w:val="00136041"/>
    <w:rsid w:val="00136CA4"/>
    <w:rsid w:val="00136EB5"/>
    <w:rsid w:val="00137344"/>
    <w:rsid w:val="001379FE"/>
    <w:rsid w:val="00137B89"/>
    <w:rsid w:val="00140024"/>
    <w:rsid w:val="001400F8"/>
    <w:rsid w:val="001403F7"/>
    <w:rsid w:val="0014047A"/>
    <w:rsid w:val="00140629"/>
    <w:rsid w:val="00140E02"/>
    <w:rsid w:val="001422F8"/>
    <w:rsid w:val="0014232A"/>
    <w:rsid w:val="00142333"/>
    <w:rsid w:val="00142EDB"/>
    <w:rsid w:val="0014308C"/>
    <w:rsid w:val="00143A8D"/>
    <w:rsid w:val="00143AB2"/>
    <w:rsid w:val="00143D85"/>
    <w:rsid w:val="00144366"/>
    <w:rsid w:val="00144773"/>
    <w:rsid w:val="0014487E"/>
    <w:rsid w:val="00144B58"/>
    <w:rsid w:val="00144E5E"/>
    <w:rsid w:val="00145463"/>
    <w:rsid w:val="001457A8"/>
    <w:rsid w:val="00145B68"/>
    <w:rsid w:val="00145B84"/>
    <w:rsid w:val="00145BBD"/>
    <w:rsid w:val="00145DCF"/>
    <w:rsid w:val="0014645A"/>
    <w:rsid w:val="00146806"/>
    <w:rsid w:val="00146BEB"/>
    <w:rsid w:val="00146EC5"/>
    <w:rsid w:val="0014744E"/>
    <w:rsid w:val="001479DA"/>
    <w:rsid w:val="0015025F"/>
    <w:rsid w:val="00150F88"/>
    <w:rsid w:val="00151146"/>
    <w:rsid w:val="001517F6"/>
    <w:rsid w:val="00151E35"/>
    <w:rsid w:val="00151FB8"/>
    <w:rsid w:val="001521BC"/>
    <w:rsid w:val="00152821"/>
    <w:rsid w:val="0015287A"/>
    <w:rsid w:val="00152E4B"/>
    <w:rsid w:val="00152F30"/>
    <w:rsid w:val="001531E8"/>
    <w:rsid w:val="00153423"/>
    <w:rsid w:val="00153637"/>
    <w:rsid w:val="001538B2"/>
    <w:rsid w:val="00153C66"/>
    <w:rsid w:val="00154A64"/>
    <w:rsid w:val="00154A7F"/>
    <w:rsid w:val="00155042"/>
    <w:rsid w:val="00155069"/>
    <w:rsid w:val="0015515A"/>
    <w:rsid w:val="00155709"/>
    <w:rsid w:val="00156651"/>
    <w:rsid w:val="0015694A"/>
    <w:rsid w:val="00157354"/>
    <w:rsid w:val="001579D8"/>
    <w:rsid w:val="00157A6E"/>
    <w:rsid w:val="00157AA2"/>
    <w:rsid w:val="001600ED"/>
    <w:rsid w:val="001603C1"/>
    <w:rsid w:val="0016041F"/>
    <w:rsid w:val="00160D51"/>
    <w:rsid w:val="00160DD8"/>
    <w:rsid w:val="0016147F"/>
    <w:rsid w:val="00161E1C"/>
    <w:rsid w:val="00161FC8"/>
    <w:rsid w:val="00162098"/>
    <w:rsid w:val="00162477"/>
    <w:rsid w:val="00162700"/>
    <w:rsid w:val="00163097"/>
    <w:rsid w:val="00164406"/>
    <w:rsid w:val="001644F2"/>
    <w:rsid w:val="00164DAD"/>
    <w:rsid w:val="00165033"/>
    <w:rsid w:val="0016584E"/>
    <w:rsid w:val="00165D78"/>
    <w:rsid w:val="00165DBF"/>
    <w:rsid w:val="00165DF6"/>
    <w:rsid w:val="001660B3"/>
    <w:rsid w:val="001667F0"/>
    <w:rsid w:val="00166BB5"/>
    <w:rsid w:val="00166C5D"/>
    <w:rsid w:val="001674E2"/>
    <w:rsid w:val="00167624"/>
    <w:rsid w:val="00167A6D"/>
    <w:rsid w:val="00167E9A"/>
    <w:rsid w:val="00170357"/>
    <w:rsid w:val="0017039A"/>
    <w:rsid w:val="001704EB"/>
    <w:rsid w:val="0017058D"/>
    <w:rsid w:val="00170BA6"/>
    <w:rsid w:val="0017120C"/>
    <w:rsid w:val="001715E6"/>
    <w:rsid w:val="00171B54"/>
    <w:rsid w:val="00171F53"/>
    <w:rsid w:val="001724C4"/>
    <w:rsid w:val="0017281D"/>
    <w:rsid w:val="00172F16"/>
    <w:rsid w:val="001735BC"/>
    <w:rsid w:val="0017434C"/>
    <w:rsid w:val="00174424"/>
    <w:rsid w:val="001748CC"/>
    <w:rsid w:val="00175E51"/>
    <w:rsid w:val="0017659C"/>
    <w:rsid w:val="00176B8D"/>
    <w:rsid w:val="00177045"/>
    <w:rsid w:val="00177379"/>
    <w:rsid w:val="001777FF"/>
    <w:rsid w:val="00177844"/>
    <w:rsid w:val="001778D8"/>
    <w:rsid w:val="001778FC"/>
    <w:rsid w:val="0018098A"/>
    <w:rsid w:val="00181041"/>
    <w:rsid w:val="00181570"/>
    <w:rsid w:val="001820D9"/>
    <w:rsid w:val="00182841"/>
    <w:rsid w:val="00182B4F"/>
    <w:rsid w:val="00182C2D"/>
    <w:rsid w:val="00182F44"/>
    <w:rsid w:val="00182F88"/>
    <w:rsid w:val="0018395F"/>
    <w:rsid w:val="00183C88"/>
    <w:rsid w:val="00183D32"/>
    <w:rsid w:val="001844EE"/>
    <w:rsid w:val="00184A59"/>
    <w:rsid w:val="00184C57"/>
    <w:rsid w:val="001854CC"/>
    <w:rsid w:val="00185D0C"/>
    <w:rsid w:val="00185D6A"/>
    <w:rsid w:val="001860B2"/>
    <w:rsid w:val="001860CB"/>
    <w:rsid w:val="001861E7"/>
    <w:rsid w:val="0018672C"/>
    <w:rsid w:val="00186B1C"/>
    <w:rsid w:val="00187C73"/>
    <w:rsid w:val="00187DE1"/>
    <w:rsid w:val="00190247"/>
    <w:rsid w:val="001903BD"/>
    <w:rsid w:val="00190810"/>
    <w:rsid w:val="00190B29"/>
    <w:rsid w:val="00191B3E"/>
    <w:rsid w:val="00191CBC"/>
    <w:rsid w:val="00191E80"/>
    <w:rsid w:val="00191EB8"/>
    <w:rsid w:val="00192AB9"/>
    <w:rsid w:val="00192C42"/>
    <w:rsid w:val="00192E67"/>
    <w:rsid w:val="00192E6E"/>
    <w:rsid w:val="00192F45"/>
    <w:rsid w:val="0019340D"/>
    <w:rsid w:val="00193732"/>
    <w:rsid w:val="001937B2"/>
    <w:rsid w:val="00193C8E"/>
    <w:rsid w:val="00193DE0"/>
    <w:rsid w:val="00194832"/>
    <w:rsid w:val="0019491A"/>
    <w:rsid w:val="00194B4B"/>
    <w:rsid w:val="00194EFF"/>
    <w:rsid w:val="00195239"/>
    <w:rsid w:val="0019569F"/>
    <w:rsid w:val="00195AB0"/>
    <w:rsid w:val="00195E76"/>
    <w:rsid w:val="00196300"/>
    <w:rsid w:val="00196594"/>
    <w:rsid w:val="00196F68"/>
    <w:rsid w:val="00197554"/>
    <w:rsid w:val="001A0183"/>
    <w:rsid w:val="001A176D"/>
    <w:rsid w:val="001A1A11"/>
    <w:rsid w:val="001A1C4E"/>
    <w:rsid w:val="001A1C79"/>
    <w:rsid w:val="001A2B1E"/>
    <w:rsid w:val="001A2C7C"/>
    <w:rsid w:val="001A2DED"/>
    <w:rsid w:val="001A2F2D"/>
    <w:rsid w:val="001A331F"/>
    <w:rsid w:val="001A3A91"/>
    <w:rsid w:val="001A4A85"/>
    <w:rsid w:val="001A53C0"/>
    <w:rsid w:val="001A565A"/>
    <w:rsid w:val="001A5BA3"/>
    <w:rsid w:val="001A5EB9"/>
    <w:rsid w:val="001A5EFD"/>
    <w:rsid w:val="001A66C0"/>
    <w:rsid w:val="001A6703"/>
    <w:rsid w:val="001A6BF6"/>
    <w:rsid w:val="001A6F4C"/>
    <w:rsid w:val="001A6FF9"/>
    <w:rsid w:val="001A74BE"/>
    <w:rsid w:val="001B0326"/>
    <w:rsid w:val="001B03BD"/>
    <w:rsid w:val="001B08D5"/>
    <w:rsid w:val="001B1037"/>
    <w:rsid w:val="001B1219"/>
    <w:rsid w:val="001B1773"/>
    <w:rsid w:val="001B25CC"/>
    <w:rsid w:val="001B2DD3"/>
    <w:rsid w:val="001B314B"/>
    <w:rsid w:val="001B3A00"/>
    <w:rsid w:val="001B3A0F"/>
    <w:rsid w:val="001B410A"/>
    <w:rsid w:val="001B4A83"/>
    <w:rsid w:val="001B535C"/>
    <w:rsid w:val="001B544C"/>
    <w:rsid w:val="001B5554"/>
    <w:rsid w:val="001B5EC3"/>
    <w:rsid w:val="001B5ECF"/>
    <w:rsid w:val="001B667D"/>
    <w:rsid w:val="001B66B4"/>
    <w:rsid w:val="001B731A"/>
    <w:rsid w:val="001B7548"/>
    <w:rsid w:val="001B7778"/>
    <w:rsid w:val="001B7AE8"/>
    <w:rsid w:val="001C00D8"/>
    <w:rsid w:val="001C01D0"/>
    <w:rsid w:val="001C0320"/>
    <w:rsid w:val="001C076A"/>
    <w:rsid w:val="001C0C03"/>
    <w:rsid w:val="001C0EE5"/>
    <w:rsid w:val="001C179D"/>
    <w:rsid w:val="001C17C9"/>
    <w:rsid w:val="001C1981"/>
    <w:rsid w:val="001C19D5"/>
    <w:rsid w:val="001C1B67"/>
    <w:rsid w:val="001C28A9"/>
    <w:rsid w:val="001C2E2C"/>
    <w:rsid w:val="001C3181"/>
    <w:rsid w:val="001C40D4"/>
    <w:rsid w:val="001C4232"/>
    <w:rsid w:val="001C46FB"/>
    <w:rsid w:val="001C4AD5"/>
    <w:rsid w:val="001C51DD"/>
    <w:rsid w:val="001C5878"/>
    <w:rsid w:val="001C65AF"/>
    <w:rsid w:val="001C66D9"/>
    <w:rsid w:val="001C6E87"/>
    <w:rsid w:val="001C72DC"/>
    <w:rsid w:val="001C74BB"/>
    <w:rsid w:val="001C7A23"/>
    <w:rsid w:val="001C7E6B"/>
    <w:rsid w:val="001D012B"/>
    <w:rsid w:val="001D045A"/>
    <w:rsid w:val="001D190C"/>
    <w:rsid w:val="001D2059"/>
    <w:rsid w:val="001D2C87"/>
    <w:rsid w:val="001D3477"/>
    <w:rsid w:val="001D3E6A"/>
    <w:rsid w:val="001D43AF"/>
    <w:rsid w:val="001D4489"/>
    <w:rsid w:val="001D4584"/>
    <w:rsid w:val="001D45FC"/>
    <w:rsid w:val="001D5AFC"/>
    <w:rsid w:val="001D5F43"/>
    <w:rsid w:val="001D6FBB"/>
    <w:rsid w:val="001D7180"/>
    <w:rsid w:val="001D71A5"/>
    <w:rsid w:val="001D71CE"/>
    <w:rsid w:val="001D728E"/>
    <w:rsid w:val="001D768C"/>
    <w:rsid w:val="001D7DF7"/>
    <w:rsid w:val="001E04BB"/>
    <w:rsid w:val="001E0A2B"/>
    <w:rsid w:val="001E12BF"/>
    <w:rsid w:val="001E1A75"/>
    <w:rsid w:val="001E21E3"/>
    <w:rsid w:val="001E2974"/>
    <w:rsid w:val="001E2A2F"/>
    <w:rsid w:val="001E2BE2"/>
    <w:rsid w:val="001E38B1"/>
    <w:rsid w:val="001E3FF4"/>
    <w:rsid w:val="001E4726"/>
    <w:rsid w:val="001E4DD1"/>
    <w:rsid w:val="001E52DE"/>
    <w:rsid w:val="001E5351"/>
    <w:rsid w:val="001E56A9"/>
    <w:rsid w:val="001E5CD9"/>
    <w:rsid w:val="001E639C"/>
    <w:rsid w:val="001E698F"/>
    <w:rsid w:val="001E6E61"/>
    <w:rsid w:val="001E70C9"/>
    <w:rsid w:val="001E7A33"/>
    <w:rsid w:val="001E7F5D"/>
    <w:rsid w:val="001F0BC9"/>
    <w:rsid w:val="001F0D5E"/>
    <w:rsid w:val="001F1763"/>
    <w:rsid w:val="001F1EDB"/>
    <w:rsid w:val="001F249B"/>
    <w:rsid w:val="001F26BC"/>
    <w:rsid w:val="001F2A6F"/>
    <w:rsid w:val="001F2BA4"/>
    <w:rsid w:val="001F356C"/>
    <w:rsid w:val="001F36F1"/>
    <w:rsid w:val="001F3E30"/>
    <w:rsid w:val="001F40BB"/>
    <w:rsid w:val="001F4233"/>
    <w:rsid w:val="001F50C3"/>
    <w:rsid w:val="001F52F6"/>
    <w:rsid w:val="001F58EB"/>
    <w:rsid w:val="001F5B9C"/>
    <w:rsid w:val="001F5DF3"/>
    <w:rsid w:val="001F6385"/>
    <w:rsid w:val="001F6B76"/>
    <w:rsid w:val="001F6EA0"/>
    <w:rsid w:val="001F7049"/>
    <w:rsid w:val="001F7F3C"/>
    <w:rsid w:val="00200A4A"/>
    <w:rsid w:val="00201724"/>
    <w:rsid w:val="00201BEB"/>
    <w:rsid w:val="00202056"/>
    <w:rsid w:val="002030BF"/>
    <w:rsid w:val="00203E05"/>
    <w:rsid w:val="00203E53"/>
    <w:rsid w:val="0020476D"/>
    <w:rsid w:val="00204A04"/>
    <w:rsid w:val="00204B45"/>
    <w:rsid w:val="002051FA"/>
    <w:rsid w:val="002056A0"/>
    <w:rsid w:val="00205987"/>
    <w:rsid w:val="00206240"/>
    <w:rsid w:val="0020632C"/>
    <w:rsid w:val="00206A1C"/>
    <w:rsid w:val="002072D9"/>
    <w:rsid w:val="00207576"/>
    <w:rsid w:val="00207672"/>
    <w:rsid w:val="002076CE"/>
    <w:rsid w:val="00207EF4"/>
    <w:rsid w:val="002106B3"/>
    <w:rsid w:val="00210781"/>
    <w:rsid w:val="00210969"/>
    <w:rsid w:val="00210E20"/>
    <w:rsid w:val="002111DC"/>
    <w:rsid w:val="00211B18"/>
    <w:rsid w:val="00211E50"/>
    <w:rsid w:val="00212129"/>
    <w:rsid w:val="0021221F"/>
    <w:rsid w:val="002126F7"/>
    <w:rsid w:val="00212B0F"/>
    <w:rsid w:val="00212E88"/>
    <w:rsid w:val="00213CE1"/>
    <w:rsid w:val="00213DF1"/>
    <w:rsid w:val="00214457"/>
    <w:rsid w:val="00214F27"/>
    <w:rsid w:val="002151B2"/>
    <w:rsid w:val="002157C8"/>
    <w:rsid w:val="00215B0D"/>
    <w:rsid w:val="00215D03"/>
    <w:rsid w:val="00215F0E"/>
    <w:rsid w:val="00216BF1"/>
    <w:rsid w:val="00216D4B"/>
    <w:rsid w:val="00217330"/>
    <w:rsid w:val="00217489"/>
    <w:rsid w:val="0021770A"/>
    <w:rsid w:val="00217CF3"/>
    <w:rsid w:val="00217F87"/>
    <w:rsid w:val="002202DF"/>
    <w:rsid w:val="0022038E"/>
    <w:rsid w:val="0022044F"/>
    <w:rsid w:val="0022058F"/>
    <w:rsid w:val="002207A0"/>
    <w:rsid w:val="00220DED"/>
    <w:rsid w:val="00220F24"/>
    <w:rsid w:val="0022207F"/>
    <w:rsid w:val="002221F9"/>
    <w:rsid w:val="002222E8"/>
    <w:rsid w:val="00222F4B"/>
    <w:rsid w:val="00223783"/>
    <w:rsid w:val="00223848"/>
    <w:rsid w:val="002254CC"/>
    <w:rsid w:val="00225816"/>
    <w:rsid w:val="00225933"/>
    <w:rsid w:val="00225A20"/>
    <w:rsid w:val="00225C35"/>
    <w:rsid w:val="00226641"/>
    <w:rsid w:val="00226CF9"/>
    <w:rsid w:val="00226E03"/>
    <w:rsid w:val="0022713C"/>
    <w:rsid w:val="00227318"/>
    <w:rsid w:val="002275FB"/>
    <w:rsid w:val="00227F76"/>
    <w:rsid w:val="002309DA"/>
    <w:rsid w:val="00230A70"/>
    <w:rsid w:val="00231649"/>
    <w:rsid w:val="002316E1"/>
    <w:rsid w:val="00231C7B"/>
    <w:rsid w:val="002330E9"/>
    <w:rsid w:val="00233A0F"/>
    <w:rsid w:val="00233EA8"/>
    <w:rsid w:val="00235458"/>
    <w:rsid w:val="00235485"/>
    <w:rsid w:val="00235A3F"/>
    <w:rsid w:val="00235EFB"/>
    <w:rsid w:val="0023611F"/>
    <w:rsid w:val="00236325"/>
    <w:rsid w:val="00236B2C"/>
    <w:rsid w:val="00237558"/>
    <w:rsid w:val="0024108C"/>
    <w:rsid w:val="002412A5"/>
    <w:rsid w:val="0024145D"/>
    <w:rsid w:val="0024247F"/>
    <w:rsid w:val="00242BE1"/>
    <w:rsid w:val="00242FE0"/>
    <w:rsid w:val="00243582"/>
    <w:rsid w:val="002435F8"/>
    <w:rsid w:val="0024387C"/>
    <w:rsid w:val="00243A87"/>
    <w:rsid w:val="00243A93"/>
    <w:rsid w:val="00243E76"/>
    <w:rsid w:val="00244273"/>
    <w:rsid w:val="002446FC"/>
    <w:rsid w:val="002450A8"/>
    <w:rsid w:val="00245440"/>
    <w:rsid w:val="00245CD4"/>
    <w:rsid w:val="00245F57"/>
    <w:rsid w:val="002460E2"/>
    <w:rsid w:val="00246570"/>
    <w:rsid w:val="002466D9"/>
    <w:rsid w:val="00246807"/>
    <w:rsid w:val="0024695F"/>
    <w:rsid w:val="00246FEE"/>
    <w:rsid w:val="002475E1"/>
    <w:rsid w:val="002478E2"/>
    <w:rsid w:val="00247E6D"/>
    <w:rsid w:val="002500DF"/>
    <w:rsid w:val="002501A6"/>
    <w:rsid w:val="00250592"/>
    <w:rsid w:val="002509E3"/>
    <w:rsid w:val="002513ED"/>
    <w:rsid w:val="00251D0C"/>
    <w:rsid w:val="00252E4F"/>
    <w:rsid w:val="00252ECA"/>
    <w:rsid w:val="00253B40"/>
    <w:rsid w:val="00254157"/>
    <w:rsid w:val="002541DD"/>
    <w:rsid w:val="00254C8F"/>
    <w:rsid w:val="00254F45"/>
    <w:rsid w:val="00254F99"/>
    <w:rsid w:val="002552BD"/>
    <w:rsid w:val="002557CC"/>
    <w:rsid w:val="00255F1F"/>
    <w:rsid w:val="0025622C"/>
    <w:rsid w:val="00256909"/>
    <w:rsid w:val="002574F3"/>
    <w:rsid w:val="00257831"/>
    <w:rsid w:val="002579D4"/>
    <w:rsid w:val="002579E2"/>
    <w:rsid w:val="00261B32"/>
    <w:rsid w:val="00261F38"/>
    <w:rsid w:val="0026286C"/>
    <w:rsid w:val="0026309E"/>
    <w:rsid w:val="00263152"/>
    <w:rsid w:val="002632EB"/>
    <w:rsid w:val="0026336B"/>
    <w:rsid w:val="00263413"/>
    <w:rsid w:val="0026342C"/>
    <w:rsid w:val="002635CE"/>
    <w:rsid w:val="00263BEE"/>
    <w:rsid w:val="00263CA2"/>
    <w:rsid w:val="0026403E"/>
    <w:rsid w:val="002640F8"/>
    <w:rsid w:val="0026429C"/>
    <w:rsid w:val="00264566"/>
    <w:rsid w:val="00264853"/>
    <w:rsid w:val="002655BB"/>
    <w:rsid w:val="0026583F"/>
    <w:rsid w:val="00266028"/>
    <w:rsid w:val="0026608E"/>
    <w:rsid w:val="002664D7"/>
    <w:rsid w:val="00266593"/>
    <w:rsid w:val="00266879"/>
    <w:rsid w:val="0026690F"/>
    <w:rsid w:val="00266983"/>
    <w:rsid w:val="00266AED"/>
    <w:rsid w:val="00266F11"/>
    <w:rsid w:val="002672DB"/>
    <w:rsid w:val="002679EB"/>
    <w:rsid w:val="002700E6"/>
    <w:rsid w:val="00270398"/>
    <w:rsid w:val="002703CE"/>
    <w:rsid w:val="00270A6C"/>
    <w:rsid w:val="0027123D"/>
    <w:rsid w:val="002715C0"/>
    <w:rsid w:val="00271664"/>
    <w:rsid w:val="0027168D"/>
    <w:rsid w:val="00271C89"/>
    <w:rsid w:val="00271D9F"/>
    <w:rsid w:val="0027242F"/>
    <w:rsid w:val="00273011"/>
    <w:rsid w:val="002734CD"/>
    <w:rsid w:val="0027389D"/>
    <w:rsid w:val="00274D43"/>
    <w:rsid w:val="00274FBD"/>
    <w:rsid w:val="00275FE4"/>
    <w:rsid w:val="00276091"/>
    <w:rsid w:val="0027644B"/>
    <w:rsid w:val="00276DB5"/>
    <w:rsid w:val="0027739C"/>
    <w:rsid w:val="002776E1"/>
    <w:rsid w:val="00277F6E"/>
    <w:rsid w:val="002802F4"/>
    <w:rsid w:val="00280774"/>
    <w:rsid w:val="0028080E"/>
    <w:rsid w:val="00280866"/>
    <w:rsid w:val="0028086F"/>
    <w:rsid w:val="00280F46"/>
    <w:rsid w:val="00280F54"/>
    <w:rsid w:val="00281417"/>
    <w:rsid w:val="00281592"/>
    <w:rsid w:val="00281CF6"/>
    <w:rsid w:val="00282321"/>
    <w:rsid w:val="00282991"/>
    <w:rsid w:val="002836AD"/>
    <w:rsid w:val="002837B2"/>
    <w:rsid w:val="002837E7"/>
    <w:rsid w:val="00283E19"/>
    <w:rsid w:val="00283FF4"/>
    <w:rsid w:val="002848FE"/>
    <w:rsid w:val="00284A2F"/>
    <w:rsid w:val="00284C59"/>
    <w:rsid w:val="002855CC"/>
    <w:rsid w:val="00285BE5"/>
    <w:rsid w:val="00286020"/>
    <w:rsid w:val="00286226"/>
    <w:rsid w:val="00286C1F"/>
    <w:rsid w:val="00286EEE"/>
    <w:rsid w:val="002872EE"/>
    <w:rsid w:val="00287797"/>
    <w:rsid w:val="00287D7F"/>
    <w:rsid w:val="00291473"/>
    <w:rsid w:val="0029148C"/>
    <w:rsid w:val="00291B94"/>
    <w:rsid w:val="00291BF7"/>
    <w:rsid w:val="00291E26"/>
    <w:rsid w:val="0029257D"/>
    <w:rsid w:val="00292E6E"/>
    <w:rsid w:val="00292EB7"/>
    <w:rsid w:val="002930F9"/>
    <w:rsid w:val="0029353E"/>
    <w:rsid w:val="00293F4E"/>
    <w:rsid w:val="00293FCF"/>
    <w:rsid w:val="00294039"/>
    <w:rsid w:val="00294665"/>
    <w:rsid w:val="00294D34"/>
    <w:rsid w:val="00294E58"/>
    <w:rsid w:val="00294F66"/>
    <w:rsid w:val="00295986"/>
    <w:rsid w:val="00295C17"/>
    <w:rsid w:val="002963FA"/>
    <w:rsid w:val="00296416"/>
    <w:rsid w:val="0029649C"/>
    <w:rsid w:val="0029654D"/>
    <w:rsid w:val="00296667"/>
    <w:rsid w:val="002968E8"/>
    <w:rsid w:val="00297880"/>
    <w:rsid w:val="00297A7A"/>
    <w:rsid w:val="00297C35"/>
    <w:rsid w:val="00297D83"/>
    <w:rsid w:val="002A0EA3"/>
    <w:rsid w:val="002A0F3E"/>
    <w:rsid w:val="002A153E"/>
    <w:rsid w:val="002A15CD"/>
    <w:rsid w:val="002A162E"/>
    <w:rsid w:val="002A17B8"/>
    <w:rsid w:val="002A1AE2"/>
    <w:rsid w:val="002A1CE4"/>
    <w:rsid w:val="002A1F5B"/>
    <w:rsid w:val="002A2157"/>
    <w:rsid w:val="002A27CE"/>
    <w:rsid w:val="002A3534"/>
    <w:rsid w:val="002A3A99"/>
    <w:rsid w:val="002A3E4D"/>
    <w:rsid w:val="002A45C6"/>
    <w:rsid w:val="002A4894"/>
    <w:rsid w:val="002A4AE6"/>
    <w:rsid w:val="002A4D81"/>
    <w:rsid w:val="002A4EBE"/>
    <w:rsid w:val="002A5ABA"/>
    <w:rsid w:val="002A5E29"/>
    <w:rsid w:val="002A64D6"/>
    <w:rsid w:val="002A6CD7"/>
    <w:rsid w:val="002A6E10"/>
    <w:rsid w:val="002A71B4"/>
    <w:rsid w:val="002A73CB"/>
    <w:rsid w:val="002A7B10"/>
    <w:rsid w:val="002B17A9"/>
    <w:rsid w:val="002B1BCC"/>
    <w:rsid w:val="002B2039"/>
    <w:rsid w:val="002B2725"/>
    <w:rsid w:val="002B29A7"/>
    <w:rsid w:val="002B2B65"/>
    <w:rsid w:val="002B2C81"/>
    <w:rsid w:val="002B4589"/>
    <w:rsid w:val="002B45EC"/>
    <w:rsid w:val="002B51EC"/>
    <w:rsid w:val="002B5B80"/>
    <w:rsid w:val="002B5EF1"/>
    <w:rsid w:val="002B5F95"/>
    <w:rsid w:val="002B60CC"/>
    <w:rsid w:val="002B622B"/>
    <w:rsid w:val="002B63EA"/>
    <w:rsid w:val="002B684F"/>
    <w:rsid w:val="002B780C"/>
    <w:rsid w:val="002B7B71"/>
    <w:rsid w:val="002B7DA6"/>
    <w:rsid w:val="002B7F31"/>
    <w:rsid w:val="002C01DC"/>
    <w:rsid w:val="002C088C"/>
    <w:rsid w:val="002C0AD1"/>
    <w:rsid w:val="002C0DCB"/>
    <w:rsid w:val="002C17E3"/>
    <w:rsid w:val="002C2350"/>
    <w:rsid w:val="002C23C0"/>
    <w:rsid w:val="002C2EA2"/>
    <w:rsid w:val="002C2F71"/>
    <w:rsid w:val="002C31FC"/>
    <w:rsid w:val="002C417E"/>
    <w:rsid w:val="002C46B8"/>
    <w:rsid w:val="002C5098"/>
    <w:rsid w:val="002C526B"/>
    <w:rsid w:val="002C5A2D"/>
    <w:rsid w:val="002C68E5"/>
    <w:rsid w:val="002C6A7A"/>
    <w:rsid w:val="002C6F61"/>
    <w:rsid w:val="002C777B"/>
    <w:rsid w:val="002C7825"/>
    <w:rsid w:val="002C79BB"/>
    <w:rsid w:val="002C7D5A"/>
    <w:rsid w:val="002C7F6E"/>
    <w:rsid w:val="002D02EF"/>
    <w:rsid w:val="002D04E7"/>
    <w:rsid w:val="002D05EB"/>
    <w:rsid w:val="002D1220"/>
    <w:rsid w:val="002D18FE"/>
    <w:rsid w:val="002D19D3"/>
    <w:rsid w:val="002D1A35"/>
    <w:rsid w:val="002D1CDD"/>
    <w:rsid w:val="002D2230"/>
    <w:rsid w:val="002D30E2"/>
    <w:rsid w:val="002D329F"/>
    <w:rsid w:val="002D3490"/>
    <w:rsid w:val="002D387B"/>
    <w:rsid w:val="002D3AA9"/>
    <w:rsid w:val="002D3CC0"/>
    <w:rsid w:val="002D3FBD"/>
    <w:rsid w:val="002D42F7"/>
    <w:rsid w:val="002D52EA"/>
    <w:rsid w:val="002D55BC"/>
    <w:rsid w:val="002D60EC"/>
    <w:rsid w:val="002D65FF"/>
    <w:rsid w:val="002D69AD"/>
    <w:rsid w:val="002D6BED"/>
    <w:rsid w:val="002D6EBC"/>
    <w:rsid w:val="002D6F61"/>
    <w:rsid w:val="002D773B"/>
    <w:rsid w:val="002D7808"/>
    <w:rsid w:val="002D7D9B"/>
    <w:rsid w:val="002D7F67"/>
    <w:rsid w:val="002E06D1"/>
    <w:rsid w:val="002E0F9F"/>
    <w:rsid w:val="002E1AB7"/>
    <w:rsid w:val="002E1F5A"/>
    <w:rsid w:val="002E23F6"/>
    <w:rsid w:val="002E28BD"/>
    <w:rsid w:val="002E2BF7"/>
    <w:rsid w:val="002E2E57"/>
    <w:rsid w:val="002E4291"/>
    <w:rsid w:val="002E44ED"/>
    <w:rsid w:val="002E4BDB"/>
    <w:rsid w:val="002E51C6"/>
    <w:rsid w:val="002E537B"/>
    <w:rsid w:val="002E6123"/>
    <w:rsid w:val="002E64C5"/>
    <w:rsid w:val="002E6AD3"/>
    <w:rsid w:val="002E6B65"/>
    <w:rsid w:val="002E7280"/>
    <w:rsid w:val="002F04CE"/>
    <w:rsid w:val="002F074B"/>
    <w:rsid w:val="002F0BB2"/>
    <w:rsid w:val="002F0C95"/>
    <w:rsid w:val="002F0E7A"/>
    <w:rsid w:val="002F1347"/>
    <w:rsid w:val="002F1433"/>
    <w:rsid w:val="002F1A6B"/>
    <w:rsid w:val="002F1DDE"/>
    <w:rsid w:val="002F2179"/>
    <w:rsid w:val="002F275B"/>
    <w:rsid w:val="002F28F7"/>
    <w:rsid w:val="002F2D68"/>
    <w:rsid w:val="002F2F26"/>
    <w:rsid w:val="002F3890"/>
    <w:rsid w:val="002F3AE0"/>
    <w:rsid w:val="002F3C7F"/>
    <w:rsid w:val="002F3CD1"/>
    <w:rsid w:val="002F40A4"/>
    <w:rsid w:val="002F452D"/>
    <w:rsid w:val="002F4DEB"/>
    <w:rsid w:val="002F54B5"/>
    <w:rsid w:val="002F5CB8"/>
    <w:rsid w:val="002F6307"/>
    <w:rsid w:val="002F63A2"/>
    <w:rsid w:val="002F65CA"/>
    <w:rsid w:val="002F6A61"/>
    <w:rsid w:val="002F6F78"/>
    <w:rsid w:val="002F6F86"/>
    <w:rsid w:val="0030041A"/>
    <w:rsid w:val="00300632"/>
    <w:rsid w:val="003009B8"/>
    <w:rsid w:val="0030190E"/>
    <w:rsid w:val="00301FF3"/>
    <w:rsid w:val="00302B9F"/>
    <w:rsid w:val="00302BC1"/>
    <w:rsid w:val="00302CD1"/>
    <w:rsid w:val="00302EED"/>
    <w:rsid w:val="003030FF"/>
    <w:rsid w:val="0030369F"/>
    <w:rsid w:val="003036AC"/>
    <w:rsid w:val="00303E9C"/>
    <w:rsid w:val="0030418B"/>
    <w:rsid w:val="00304251"/>
    <w:rsid w:val="00304369"/>
    <w:rsid w:val="00304624"/>
    <w:rsid w:val="00304776"/>
    <w:rsid w:val="003047AA"/>
    <w:rsid w:val="00304882"/>
    <w:rsid w:val="003052EC"/>
    <w:rsid w:val="00305AA2"/>
    <w:rsid w:val="0030657F"/>
    <w:rsid w:val="003065BD"/>
    <w:rsid w:val="00306849"/>
    <w:rsid w:val="00310281"/>
    <w:rsid w:val="00310352"/>
    <w:rsid w:val="00310591"/>
    <w:rsid w:val="003110A5"/>
    <w:rsid w:val="00311111"/>
    <w:rsid w:val="00311134"/>
    <w:rsid w:val="003112CF"/>
    <w:rsid w:val="00311666"/>
    <w:rsid w:val="00311783"/>
    <w:rsid w:val="00311E8D"/>
    <w:rsid w:val="003120A9"/>
    <w:rsid w:val="00312758"/>
    <w:rsid w:val="00312C82"/>
    <w:rsid w:val="0031319C"/>
    <w:rsid w:val="00313237"/>
    <w:rsid w:val="003132B1"/>
    <w:rsid w:val="00313337"/>
    <w:rsid w:val="00313409"/>
    <w:rsid w:val="003135A2"/>
    <w:rsid w:val="00314254"/>
    <w:rsid w:val="0031441F"/>
    <w:rsid w:val="00314442"/>
    <w:rsid w:val="003145C0"/>
    <w:rsid w:val="003157D6"/>
    <w:rsid w:val="003159F3"/>
    <w:rsid w:val="00315B02"/>
    <w:rsid w:val="003161E8"/>
    <w:rsid w:val="00316985"/>
    <w:rsid w:val="00316A8D"/>
    <w:rsid w:val="00317044"/>
    <w:rsid w:val="00317AE7"/>
    <w:rsid w:val="00317E81"/>
    <w:rsid w:val="00320388"/>
    <w:rsid w:val="0032079B"/>
    <w:rsid w:val="00320BC1"/>
    <w:rsid w:val="003213A0"/>
    <w:rsid w:val="00321645"/>
    <w:rsid w:val="0032239F"/>
    <w:rsid w:val="00322652"/>
    <w:rsid w:val="00322BF5"/>
    <w:rsid w:val="0032344D"/>
    <w:rsid w:val="00323FF1"/>
    <w:rsid w:val="003246E4"/>
    <w:rsid w:val="00325271"/>
    <w:rsid w:val="00325E6F"/>
    <w:rsid w:val="00325F55"/>
    <w:rsid w:val="0032668B"/>
    <w:rsid w:val="00326986"/>
    <w:rsid w:val="00326A39"/>
    <w:rsid w:val="00326C10"/>
    <w:rsid w:val="003279EA"/>
    <w:rsid w:val="00327A64"/>
    <w:rsid w:val="00327C15"/>
    <w:rsid w:val="00327DFE"/>
    <w:rsid w:val="003305E1"/>
    <w:rsid w:val="00330727"/>
    <w:rsid w:val="00330B07"/>
    <w:rsid w:val="00331071"/>
    <w:rsid w:val="0033185B"/>
    <w:rsid w:val="003320B7"/>
    <w:rsid w:val="00332A73"/>
    <w:rsid w:val="00332B87"/>
    <w:rsid w:val="00332CB7"/>
    <w:rsid w:val="00332F09"/>
    <w:rsid w:val="003334F4"/>
    <w:rsid w:val="0033350A"/>
    <w:rsid w:val="00333B7D"/>
    <w:rsid w:val="00333E4F"/>
    <w:rsid w:val="00333F57"/>
    <w:rsid w:val="00334079"/>
    <w:rsid w:val="00334208"/>
    <w:rsid w:val="0033495D"/>
    <w:rsid w:val="00334B19"/>
    <w:rsid w:val="00334BD3"/>
    <w:rsid w:val="00334F84"/>
    <w:rsid w:val="003352D7"/>
    <w:rsid w:val="00335502"/>
    <w:rsid w:val="003356EA"/>
    <w:rsid w:val="00335C53"/>
    <w:rsid w:val="00335F72"/>
    <w:rsid w:val="003366EA"/>
    <w:rsid w:val="00336B39"/>
    <w:rsid w:val="00337089"/>
    <w:rsid w:val="0034015B"/>
    <w:rsid w:val="0034058A"/>
    <w:rsid w:val="003405B4"/>
    <w:rsid w:val="00340C80"/>
    <w:rsid w:val="00340FC5"/>
    <w:rsid w:val="00341849"/>
    <w:rsid w:val="003418BD"/>
    <w:rsid w:val="00341FF7"/>
    <w:rsid w:val="00343028"/>
    <w:rsid w:val="00343270"/>
    <w:rsid w:val="00343580"/>
    <w:rsid w:val="00343CF9"/>
    <w:rsid w:val="00343D8C"/>
    <w:rsid w:val="00344007"/>
    <w:rsid w:val="0034470F"/>
    <w:rsid w:val="00344813"/>
    <w:rsid w:val="0034616B"/>
    <w:rsid w:val="00346510"/>
    <w:rsid w:val="0034672C"/>
    <w:rsid w:val="0034699E"/>
    <w:rsid w:val="00346DD6"/>
    <w:rsid w:val="003470D8"/>
    <w:rsid w:val="00347405"/>
    <w:rsid w:val="00347CEB"/>
    <w:rsid w:val="00347DA2"/>
    <w:rsid w:val="00347E21"/>
    <w:rsid w:val="00347FBB"/>
    <w:rsid w:val="0035065A"/>
    <w:rsid w:val="00350B7C"/>
    <w:rsid w:val="00350F96"/>
    <w:rsid w:val="003515AC"/>
    <w:rsid w:val="003519E1"/>
    <w:rsid w:val="00351C09"/>
    <w:rsid w:val="00351C24"/>
    <w:rsid w:val="00351E1C"/>
    <w:rsid w:val="00351E40"/>
    <w:rsid w:val="00351EAD"/>
    <w:rsid w:val="00352005"/>
    <w:rsid w:val="00352351"/>
    <w:rsid w:val="00352472"/>
    <w:rsid w:val="003527FD"/>
    <w:rsid w:val="00352AEC"/>
    <w:rsid w:val="00352B3C"/>
    <w:rsid w:val="00352D09"/>
    <w:rsid w:val="0035335C"/>
    <w:rsid w:val="00353538"/>
    <w:rsid w:val="00354392"/>
    <w:rsid w:val="003545BA"/>
    <w:rsid w:val="003545EA"/>
    <w:rsid w:val="003552D6"/>
    <w:rsid w:val="003553B6"/>
    <w:rsid w:val="003556B7"/>
    <w:rsid w:val="0035699E"/>
    <w:rsid w:val="00356B4D"/>
    <w:rsid w:val="00357A55"/>
    <w:rsid w:val="0036057F"/>
    <w:rsid w:val="00360E1D"/>
    <w:rsid w:val="00361C75"/>
    <w:rsid w:val="00361DF4"/>
    <w:rsid w:val="00361E13"/>
    <w:rsid w:val="003629E7"/>
    <w:rsid w:val="00362E71"/>
    <w:rsid w:val="00363603"/>
    <w:rsid w:val="003639DC"/>
    <w:rsid w:val="00363D22"/>
    <w:rsid w:val="00363FB9"/>
    <w:rsid w:val="003640ED"/>
    <w:rsid w:val="0036422E"/>
    <w:rsid w:val="00364499"/>
    <w:rsid w:val="0036496B"/>
    <w:rsid w:val="00364CF3"/>
    <w:rsid w:val="00365406"/>
    <w:rsid w:val="003654AF"/>
    <w:rsid w:val="00365515"/>
    <w:rsid w:val="00365B3D"/>
    <w:rsid w:val="003665A9"/>
    <w:rsid w:val="00366C77"/>
    <w:rsid w:val="00367218"/>
    <w:rsid w:val="0037063C"/>
    <w:rsid w:val="00370880"/>
    <w:rsid w:val="00370B91"/>
    <w:rsid w:val="003718C8"/>
    <w:rsid w:val="00371A26"/>
    <w:rsid w:val="00372511"/>
    <w:rsid w:val="0037285C"/>
    <w:rsid w:val="0037313F"/>
    <w:rsid w:val="003731AE"/>
    <w:rsid w:val="003733C4"/>
    <w:rsid w:val="00373536"/>
    <w:rsid w:val="003738C9"/>
    <w:rsid w:val="003739A0"/>
    <w:rsid w:val="00374DEB"/>
    <w:rsid w:val="00375C39"/>
    <w:rsid w:val="00376555"/>
    <w:rsid w:val="003766B1"/>
    <w:rsid w:val="003769CB"/>
    <w:rsid w:val="003769F4"/>
    <w:rsid w:val="00376C38"/>
    <w:rsid w:val="00377712"/>
    <w:rsid w:val="003779A8"/>
    <w:rsid w:val="00377A30"/>
    <w:rsid w:val="00377C39"/>
    <w:rsid w:val="00377EFB"/>
    <w:rsid w:val="00380677"/>
    <w:rsid w:val="0038073C"/>
    <w:rsid w:val="003807EA"/>
    <w:rsid w:val="00380A2A"/>
    <w:rsid w:val="00380D06"/>
    <w:rsid w:val="00380E2E"/>
    <w:rsid w:val="00381AA1"/>
    <w:rsid w:val="00382222"/>
    <w:rsid w:val="003824B0"/>
    <w:rsid w:val="003828D3"/>
    <w:rsid w:val="00382E8D"/>
    <w:rsid w:val="00382FD5"/>
    <w:rsid w:val="0038326E"/>
    <w:rsid w:val="00383D58"/>
    <w:rsid w:val="00383D79"/>
    <w:rsid w:val="00383FD9"/>
    <w:rsid w:val="003841D6"/>
    <w:rsid w:val="00384833"/>
    <w:rsid w:val="00384955"/>
    <w:rsid w:val="00384B49"/>
    <w:rsid w:val="00385038"/>
    <w:rsid w:val="0038506B"/>
    <w:rsid w:val="003855BD"/>
    <w:rsid w:val="00385D6A"/>
    <w:rsid w:val="003861AB"/>
    <w:rsid w:val="003862EF"/>
    <w:rsid w:val="00386517"/>
    <w:rsid w:val="003869F0"/>
    <w:rsid w:val="00386A95"/>
    <w:rsid w:val="00386C0F"/>
    <w:rsid w:val="003875B1"/>
    <w:rsid w:val="00387883"/>
    <w:rsid w:val="00387F61"/>
    <w:rsid w:val="003901B9"/>
    <w:rsid w:val="003906F6"/>
    <w:rsid w:val="00390D8A"/>
    <w:rsid w:val="00390DD6"/>
    <w:rsid w:val="00391AE8"/>
    <w:rsid w:val="00391C20"/>
    <w:rsid w:val="00391FAA"/>
    <w:rsid w:val="00391FAD"/>
    <w:rsid w:val="00392C0A"/>
    <w:rsid w:val="00393656"/>
    <w:rsid w:val="00393F39"/>
    <w:rsid w:val="00394179"/>
    <w:rsid w:val="003944C9"/>
    <w:rsid w:val="003949A1"/>
    <w:rsid w:val="00395F47"/>
    <w:rsid w:val="00395F79"/>
    <w:rsid w:val="0039601E"/>
    <w:rsid w:val="0039605C"/>
    <w:rsid w:val="00396626"/>
    <w:rsid w:val="00396EE9"/>
    <w:rsid w:val="00397689"/>
    <w:rsid w:val="00397B85"/>
    <w:rsid w:val="00397CE3"/>
    <w:rsid w:val="00397DBB"/>
    <w:rsid w:val="003A09A8"/>
    <w:rsid w:val="003A09AF"/>
    <w:rsid w:val="003A13D8"/>
    <w:rsid w:val="003A1522"/>
    <w:rsid w:val="003A1715"/>
    <w:rsid w:val="003A2175"/>
    <w:rsid w:val="003A22A2"/>
    <w:rsid w:val="003A2ABF"/>
    <w:rsid w:val="003A2E9F"/>
    <w:rsid w:val="003A30CF"/>
    <w:rsid w:val="003A3C2E"/>
    <w:rsid w:val="003A411A"/>
    <w:rsid w:val="003A49F2"/>
    <w:rsid w:val="003A4E87"/>
    <w:rsid w:val="003A59A1"/>
    <w:rsid w:val="003A5D92"/>
    <w:rsid w:val="003A5DAC"/>
    <w:rsid w:val="003A5F15"/>
    <w:rsid w:val="003A6330"/>
    <w:rsid w:val="003A6760"/>
    <w:rsid w:val="003A6785"/>
    <w:rsid w:val="003A6A26"/>
    <w:rsid w:val="003A756E"/>
    <w:rsid w:val="003A7BA4"/>
    <w:rsid w:val="003B0055"/>
    <w:rsid w:val="003B096D"/>
    <w:rsid w:val="003B0C19"/>
    <w:rsid w:val="003B0D7B"/>
    <w:rsid w:val="003B22F0"/>
    <w:rsid w:val="003B2448"/>
    <w:rsid w:val="003B252E"/>
    <w:rsid w:val="003B29FA"/>
    <w:rsid w:val="003B2F54"/>
    <w:rsid w:val="003B33A1"/>
    <w:rsid w:val="003B40B4"/>
    <w:rsid w:val="003B4428"/>
    <w:rsid w:val="003B4B16"/>
    <w:rsid w:val="003B4DED"/>
    <w:rsid w:val="003B5054"/>
    <w:rsid w:val="003B542A"/>
    <w:rsid w:val="003B54C1"/>
    <w:rsid w:val="003B5644"/>
    <w:rsid w:val="003B56BF"/>
    <w:rsid w:val="003B66B2"/>
    <w:rsid w:val="003B68D2"/>
    <w:rsid w:val="003B6AA1"/>
    <w:rsid w:val="003B6CF6"/>
    <w:rsid w:val="003B6D25"/>
    <w:rsid w:val="003B6E6E"/>
    <w:rsid w:val="003B7CE3"/>
    <w:rsid w:val="003B7F80"/>
    <w:rsid w:val="003C0173"/>
    <w:rsid w:val="003C08FC"/>
    <w:rsid w:val="003C0996"/>
    <w:rsid w:val="003C17A0"/>
    <w:rsid w:val="003C195F"/>
    <w:rsid w:val="003C2932"/>
    <w:rsid w:val="003C29DD"/>
    <w:rsid w:val="003C2AF2"/>
    <w:rsid w:val="003C3E33"/>
    <w:rsid w:val="003C46D6"/>
    <w:rsid w:val="003C46E5"/>
    <w:rsid w:val="003C4AA1"/>
    <w:rsid w:val="003C4BA2"/>
    <w:rsid w:val="003C4F9C"/>
    <w:rsid w:val="003C70B5"/>
    <w:rsid w:val="003C7C4B"/>
    <w:rsid w:val="003D01F3"/>
    <w:rsid w:val="003D0C1A"/>
    <w:rsid w:val="003D0F9C"/>
    <w:rsid w:val="003D1044"/>
    <w:rsid w:val="003D13AA"/>
    <w:rsid w:val="003D15AC"/>
    <w:rsid w:val="003D1CDA"/>
    <w:rsid w:val="003D1FEE"/>
    <w:rsid w:val="003D2AF1"/>
    <w:rsid w:val="003D2B02"/>
    <w:rsid w:val="003D3648"/>
    <w:rsid w:val="003D426D"/>
    <w:rsid w:val="003D450F"/>
    <w:rsid w:val="003D46B2"/>
    <w:rsid w:val="003D4760"/>
    <w:rsid w:val="003D47E8"/>
    <w:rsid w:val="003D4DFF"/>
    <w:rsid w:val="003D4F48"/>
    <w:rsid w:val="003D5440"/>
    <w:rsid w:val="003D5C8C"/>
    <w:rsid w:val="003D5EAF"/>
    <w:rsid w:val="003D6608"/>
    <w:rsid w:val="003D6933"/>
    <w:rsid w:val="003D7057"/>
    <w:rsid w:val="003D73A0"/>
    <w:rsid w:val="003D748D"/>
    <w:rsid w:val="003D7667"/>
    <w:rsid w:val="003D7E1E"/>
    <w:rsid w:val="003D7E58"/>
    <w:rsid w:val="003E074B"/>
    <w:rsid w:val="003E0937"/>
    <w:rsid w:val="003E0BF8"/>
    <w:rsid w:val="003E1A11"/>
    <w:rsid w:val="003E25E9"/>
    <w:rsid w:val="003E2918"/>
    <w:rsid w:val="003E2941"/>
    <w:rsid w:val="003E29DC"/>
    <w:rsid w:val="003E2DF7"/>
    <w:rsid w:val="003E2FE0"/>
    <w:rsid w:val="003E3280"/>
    <w:rsid w:val="003E347B"/>
    <w:rsid w:val="003E3F1A"/>
    <w:rsid w:val="003E414F"/>
    <w:rsid w:val="003E4247"/>
    <w:rsid w:val="003E438E"/>
    <w:rsid w:val="003E4A35"/>
    <w:rsid w:val="003E4F76"/>
    <w:rsid w:val="003E57DC"/>
    <w:rsid w:val="003E5ADB"/>
    <w:rsid w:val="003E652A"/>
    <w:rsid w:val="003E6881"/>
    <w:rsid w:val="003E6E90"/>
    <w:rsid w:val="003E7662"/>
    <w:rsid w:val="003E76AC"/>
    <w:rsid w:val="003E7CA1"/>
    <w:rsid w:val="003E7D29"/>
    <w:rsid w:val="003E7FFC"/>
    <w:rsid w:val="003F00E3"/>
    <w:rsid w:val="003F0539"/>
    <w:rsid w:val="003F057D"/>
    <w:rsid w:val="003F094B"/>
    <w:rsid w:val="003F10BA"/>
    <w:rsid w:val="003F1868"/>
    <w:rsid w:val="003F18AD"/>
    <w:rsid w:val="003F19D2"/>
    <w:rsid w:val="003F1D18"/>
    <w:rsid w:val="003F2544"/>
    <w:rsid w:val="003F287E"/>
    <w:rsid w:val="003F30BD"/>
    <w:rsid w:val="003F311B"/>
    <w:rsid w:val="003F3434"/>
    <w:rsid w:val="003F392F"/>
    <w:rsid w:val="003F3D99"/>
    <w:rsid w:val="003F466D"/>
    <w:rsid w:val="003F571E"/>
    <w:rsid w:val="003F5A6F"/>
    <w:rsid w:val="003F5F04"/>
    <w:rsid w:val="003F5FF0"/>
    <w:rsid w:val="003F6135"/>
    <w:rsid w:val="003F61A7"/>
    <w:rsid w:val="003F6331"/>
    <w:rsid w:val="003F6742"/>
    <w:rsid w:val="003F6B32"/>
    <w:rsid w:val="003F6BC4"/>
    <w:rsid w:val="003F76CC"/>
    <w:rsid w:val="003F7E1F"/>
    <w:rsid w:val="00400DDC"/>
    <w:rsid w:val="00400E04"/>
    <w:rsid w:val="00401A32"/>
    <w:rsid w:val="00401C7F"/>
    <w:rsid w:val="00401D11"/>
    <w:rsid w:val="0040225F"/>
    <w:rsid w:val="004025BF"/>
    <w:rsid w:val="004026A3"/>
    <w:rsid w:val="00403379"/>
    <w:rsid w:val="00403761"/>
    <w:rsid w:val="00403D7A"/>
    <w:rsid w:val="004051C5"/>
    <w:rsid w:val="00405494"/>
    <w:rsid w:val="004054AE"/>
    <w:rsid w:val="00405AD6"/>
    <w:rsid w:val="00405B7F"/>
    <w:rsid w:val="00405BB3"/>
    <w:rsid w:val="00405CF9"/>
    <w:rsid w:val="00405F0A"/>
    <w:rsid w:val="004067E9"/>
    <w:rsid w:val="00406992"/>
    <w:rsid w:val="00406F40"/>
    <w:rsid w:val="00407281"/>
    <w:rsid w:val="00407445"/>
    <w:rsid w:val="0040780F"/>
    <w:rsid w:val="00410474"/>
    <w:rsid w:val="004113BD"/>
    <w:rsid w:val="004115B5"/>
    <w:rsid w:val="00411631"/>
    <w:rsid w:val="00411718"/>
    <w:rsid w:val="004118DF"/>
    <w:rsid w:val="00411DA9"/>
    <w:rsid w:val="00412C30"/>
    <w:rsid w:val="00412C80"/>
    <w:rsid w:val="00412E29"/>
    <w:rsid w:val="0041319B"/>
    <w:rsid w:val="00413AE6"/>
    <w:rsid w:val="0041412F"/>
    <w:rsid w:val="00414230"/>
    <w:rsid w:val="004143AA"/>
    <w:rsid w:val="00414881"/>
    <w:rsid w:val="00414AA4"/>
    <w:rsid w:val="0041510D"/>
    <w:rsid w:val="00415678"/>
    <w:rsid w:val="004164C8"/>
    <w:rsid w:val="0041696D"/>
    <w:rsid w:val="0041791F"/>
    <w:rsid w:val="0042095A"/>
    <w:rsid w:val="00421084"/>
    <w:rsid w:val="00421152"/>
    <w:rsid w:val="00421C40"/>
    <w:rsid w:val="0042212D"/>
    <w:rsid w:val="0042222C"/>
    <w:rsid w:val="00422D74"/>
    <w:rsid w:val="00422EBE"/>
    <w:rsid w:val="00422F99"/>
    <w:rsid w:val="00423277"/>
    <w:rsid w:val="00423CB8"/>
    <w:rsid w:val="00423F46"/>
    <w:rsid w:val="00424114"/>
    <w:rsid w:val="0042440F"/>
    <w:rsid w:val="00424F30"/>
    <w:rsid w:val="00425707"/>
    <w:rsid w:val="00425B85"/>
    <w:rsid w:val="00426152"/>
    <w:rsid w:val="004267D2"/>
    <w:rsid w:val="0042687D"/>
    <w:rsid w:val="004274EC"/>
    <w:rsid w:val="004276A1"/>
    <w:rsid w:val="004277DA"/>
    <w:rsid w:val="00427BFB"/>
    <w:rsid w:val="004302FA"/>
    <w:rsid w:val="004305AB"/>
    <w:rsid w:val="00430D17"/>
    <w:rsid w:val="004310B1"/>
    <w:rsid w:val="004311B5"/>
    <w:rsid w:val="00431616"/>
    <w:rsid w:val="0043199C"/>
    <w:rsid w:val="00431FCD"/>
    <w:rsid w:val="00432F1B"/>
    <w:rsid w:val="00432F54"/>
    <w:rsid w:val="00433CE5"/>
    <w:rsid w:val="00434508"/>
    <w:rsid w:val="004345DF"/>
    <w:rsid w:val="004346F8"/>
    <w:rsid w:val="00434919"/>
    <w:rsid w:val="00434A8F"/>
    <w:rsid w:val="00434BD1"/>
    <w:rsid w:val="00434FF5"/>
    <w:rsid w:val="004351D9"/>
    <w:rsid w:val="00435B30"/>
    <w:rsid w:val="00436041"/>
    <w:rsid w:val="0043610C"/>
    <w:rsid w:val="004365CD"/>
    <w:rsid w:val="004366CE"/>
    <w:rsid w:val="00436A1C"/>
    <w:rsid w:val="00436CB8"/>
    <w:rsid w:val="00436D3C"/>
    <w:rsid w:val="004376CC"/>
    <w:rsid w:val="00437E0E"/>
    <w:rsid w:val="004402F5"/>
    <w:rsid w:val="00440A7D"/>
    <w:rsid w:val="0044106F"/>
    <w:rsid w:val="004414DF"/>
    <w:rsid w:val="00441E77"/>
    <w:rsid w:val="004422B8"/>
    <w:rsid w:val="004427B0"/>
    <w:rsid w:val="00442860"/>
    <w:rsid w:val="00443057"/>
    <w:rsid w:val="00444623"/>
    <w:rsid w:val="00444CA4"/>
    <w:rsid w:val="00445103"/>
    <w:rsid w:val="004453EE"/>
    <w:rsid w:val="0044591F"/>
    <w:rsid w:val="00445CEF"/>
    <w:rsid w:val="00445F63"/>
    <w:rsid w:val="00446239"/>
    <w:rsid w:val="0044666A"/>
    <w:rsid w:val="004469E6"/>
    <w:rsid w:val="00446E85"/>
    <w:rsid w:val="00447AF6"/>
    <w:rsid w:val="00447DAC"/>
    <w:rsid w:val="00447F6C"/>
    <w:rsid w:val="004503DD"/>
    <w:rsid w:val="004507F5"/>
    <w:rsid w:val="00450965"/>
    <w:rsid w:val="00450976"/>
    <w:rsid w:val="00450D07"/>
    <w:rsid w:val="0045113B"/>
    <w:rsid w:val="004511CB"/>
    <w:rsid w:val="004511E6"/>
    <w:rsid w:val="00451276"/>
    <w:rsid w:val="0045130F"/>
    <w:rsid w:val="00451897"/>
    <w:rsid w:val="004524AC"/>
    <w:rsid w:val="00452634"/>
    <w:rsid w:val="00453FF2"/>
    <w:rsid w:val="00454B7F"/>
    <w:rsid w:val="00454D9C"/>
    <w:rsid w:val="004552D5"/>
    <w:rsid w:val="004558C0"/>
    <w:rsid w:val="004558EC"/>
    <w:rsid w:val="00456219"/>
    <w:rsid w:val="004562E6"/>
    <w:rsid w:val="004566B6"/>
    <w:rsid w:val="00456AA0"/>
    <w:rsid w:val="00456FB4"/>
    <w:rsid w:val="004572E8"/>
    <w:rsid w:val="00457665"/>
    <w:rsid w:val="00457B27"/>
    <w:rsid w:val="00457F24"/>
    <w:rsid w:val="004600A7"/>
    <w:rsid w:val="004605B1"/>
    <w:rsid w:val="004606A4"/>
    <w:rsid w:val="00460805"/>
    <w:rsid w:val="004609F1"/>
    <w:rsid w:val="00460B34"/>
    <w:rsid w:val="0046147B"/>
    <w:rsid w:val="004617C7"/>
    <w:rsid w:val="004618C4"/>
    <w:rsid w:val="0046211C"/>
    <w:rsid w:val="00462A32"/>
    <w:rsid w:val="00462DA9"/>
    <w:rsid w:val="004630A6"/>
    <w:rsid w:val="00463329"/>
    <w:rsid w:val="004637F6"/>
    <w:rsid w:val="00463E20"/>
    <w:rsid w:val="00464133"/>
    <w:rsid w:val="004641ED"/>
    <w:rsid w:val="0046428C"/>
    <w:rsid w:val="00464645"/>
    <w:rsid w:val="004648D6"/>
    <w:rsid w:val="00464CA7"/>
    <w:rsid w:val="0046589C"/>
    <w:rsid w:val="004659DA"/>
    <w:rsid w:val="00465BA9"/>
    <w:rsid w:val="00466157"/>
    <w:rsid w:val="00466598"/>
    <w:rsid w:val="00466629"/>
    <w:rsid w:val="00466C6E"/>
    <w:rsid w:val="00467260"/>
    <w:rsid w:val="0046799E"/>
    <w:rsid w:val="00467CD3"/>
    <w:rsid w:val="00467CE0"/>
    <w:rsid w:val="004702C0"/>
    <w:rsid w:val="00470344"/>
    <w:rsid w:val="004709E6"/>
    <w:rsid w:val="00470F07"/>
    <w:rsid w:val="00471BEA"/>
    <w:rsid w:val="00472191"/>
    <w:rsid w:val="004729E1"/>
    <w:rsid w:val="00472A76"/>
    <w:rsid w:val="00472F3F"/>
    <w:rsid w:val="00473086"/>
    <w:rsid w:val="004731EC"/>
    <w:rsid w:val="004743E0"/>
    <w:rsid w:val="00474493"/>
    <w:rsid w:val="00474AF0"/>
    <w:rsid w:val="004750C8"/>
    <w:rsid w:val="004758FF"/>
    <w:rsid w:val="00475C76"/>
    <w:rsid w:val="00475EC9"/>
    <w:rsid w:val="0047651C"/>
    <w:rsid w:val="00476CEF"/>
    <w:rsid w:val="004777A6"/>
    <w:rsid w:val="004779A3"/>
    <w:rsid w:val="00477B42"/>
    <w:rsid w:val="00477C18"/>
    <w:rsid w:val="00480995"/>
    <w:rsid w:val="00480BD3"/>
    <w:rsid w:val="00481431"/>
    <w:rsid w:val="00481901"/>
    <w:rsid w:val="00481E23"/>
    <w:rsid w:val="00482072"/>
    <w:rsid w:val="004824CA"/>
    <w:rsid w:val="00482844"/>
    <w:rsid w:val="00482AEA"/>
    <w:rsid w:val="00483133"/>
    <w:rsid w:val="0048341E"/>
    <w:rsid w:val="004835EC"/>
    <w:rsid w:val="0048398C"/>
    <w:rsid w:val="004839EB"/>
    <w:rsid w:val="00483E4C"/>
    <w:rsid w:val="00485282"/>
    <w:rsid w:val="004858CD"/>
    <w:rsid w:val="00485A1F"/>
    <w:rsid w:val="00485CB1"/>
    <w:rsid w:val="00485EB9"/>
    <w:rsid w:val="0048627F"/>
    <w:rsid w:val="004864BF"/>
    <w:rsid w:val="004874AF"/>
    <w:rsid w:val="00487FE3"/>
    <w:rsid w:val="004911E6"/>
    <w:rsid w:val="0049169D"/>
    <w:rsid w:val="004917BB"/>
    <w:rsid w:val="00491A0B"/>
    <w:rsid w:val="00491F6D"/>
    <w:rsid w:val="0049249D"/>
    <w:rsid w:val="00492D8F"/>
    <w:rsid w:val="004931D6"/>
    <w:rsid w:val="0049352E"/>
    <w:rsid w:val="0049374C"/>
    <w:rsid w:val="004938E2"/>
    <w:rsid w:val="004940CD"/>
    <w:rsid w:val="0049497D"/>
    <w:rsid w:val="004953D6"/>
    <w:rsid w:val="004959DE"/>
    <w:rsid w:val="00495EE1"/>
    <w:rsid w:val="0049641B"/>
    <w:rsid w:val="0049673F"/>
    <w:rsid w:val="00496F47"/>
    <w:rsid w:val="00497D17"/>
    <w:rsid w:val="004A0812"/>
    <w:rsid w:val="004A0E4F"/>
    <w:rsid w:val="004A102B"/>
    <w:rsid w:val="004A127F"/>
    <w:rsid w:val="004A1399"/>
    <w:rsid w:val="004A185B"/>
    <w:rsid w:val="004A1EA1"/>
    <w:rsid w:val="004A28F2"/>
    <w:rsid w:val="004A2CF1"/>
    <w:rsid w:val="004A3F19"/>
    <w:rsid w:val="004A3FB5"/>
    <w:rsid w:val="004A4259"/>
    <w:rsid w:val="004A4755"/>
    <w:rsid w:val="004A48FB"/>
    <w:rsid w:val="004A5741"/>
    <w:rsid w:val="004A63A8"/>
    <w:rsid w:val="004A65A3"/>
    <w:rsid w:val="004A67B6"/>
    <w:rsid w:val="004A6FA3"/>
    <w:rsid w:val="004A702D"/>
    <w:rsid w:val="004A714D"/>
    <w:rsid w:val="004A750B"/>
    <w:rsid w:val="004A7DFA"/>
    <w:rsid w:val="004A7E68"/>
    <w:rsid w:val="004B087B"/>
    <w:rsid w:val="004B0AC3"/>
    <w:rsid w:val="004B110B"/>
    <w:rsid w:val="004B11CC"/>
    <w:rsid w:val="004B1A6F"/>
    <w:rsid w:val="004B1A77"/>
    <w:rsid w:val="004B1B37"/>
    <w:rsid w:val="004B2358"/>
    <w:rsid w:val="004B2632"/>
    <w:rsid w:val="004B29B8"/>
    <w:rsid w:val="004B2B18"/>
    <w:rsid w:val="004B3311"/>
    <w:rsid w:val="004B34F9"/>
    <w:rsid w:val="004B3A9D"/>
    <w:rsid w:val="004B3C19"/>
    <w:rsid w:val="004B3D65"/>
    <w:rsid w:val="004B46B0"/>
    <w:rsid w:val="004B4F59"/>
    <w:rsid w:val="004B509B"/>
    <w:rsid w:val="004B5378"/>
    <w:rsid w:val="004B5B11"/>
    <w:rsid w:val="004B5B2B"/>
    <w:rsid w:val="004B616C"/>
    <w:rsid w:val="004B6175"/>
    <w:rsid w:val="004B631C"/>
    <w:rsid w:val="004B69DF"/>
    <w:rsid w:val="004B71DA"/>
    <w:rsid w:val="004B75A7"/>
    <w:rsid w:val="004B76FB"/>
    <w:rsid w:val="004B7C98"/>
    <w:rsid w:val="004C103B"/>
    <w:rsid w:val="004C14A6"/>
    <w:rsid w:val="004C1809"/>
    <w:rsid w:val="004C1EBE"/>
    <w:rsid w:val="004C2113"/>
    <w:rsid w:val="004C234E"/>
    <w:rsid w:val="004C2846"/>
    <w:rsid w:val="004C2D4C"/>
    <w:rsid w:val="004C2E8D"/>
    <w:rsid w:val="004C317E"/>
    <w:rsid w:val="004C330A"/>
    <w:rsid w:val="004C34E5"/>
    <w:rsid w:val="004C36D9"/>
    <w:rsid w:val="004C3C24"/>
    <w:rsid w:val="004C43D6"/>
    <w:rsid w:val="004C44C0"/>
    <w:rsid w:val="004C4771"/>
    <w:rsid w:val="004C4A5B"/>
    <w:rsid w:val="004C5073"/>
    <w:rsid w:val="004C591D"/>
    <w:rsid w:val="004C5B58"/>
    <w:rsid w:val="004C5E38"/>
    <w:rsid w:val="004C5F0A"/>
    <w:rsid w:val="004C62AA"/>
    <w:rsid w:val="004C657B"/>
    <w:rsid w:val="004C68D6"/>
    <w:rsid w:val="004C69B5"/>
    <w:rsid w:val="004C6A8E"/>
    <w:rsid w:val="004C706F"/>
    <w:rsid w:val="004C71A1"/>
    <w:rsid w:val="004C72EC"/>
    <w:rsid w:val="004C7EE3"/>
    <w:rsid w:val="004D01D6"/>
    <w:rsid w:val="004D0305"/>
    <w:rsid w:val="004D0340"/>
    <w:rsid w:val="004D04AE"/>
    <w:rsid w:val="004D0806"/>
    <w:rsid w:val="004D11A3"/>
    <w:rsid w:val="004D1CB8"/>
    <w:rsid w:val="004D1D3C"/>
    <w:rsid w:val="004D1E22"/>
    <w:rsid w:val="004D217A"/>
    <w:rsid w:val="004D28BB"/>
    <w:rsid w:val="004D2BEE"/>
    <w:rsid w:val="004D2CC2"/>
    <w:rsid w:val="004D332C"/>
    <w:rsid w:val="004D369A"/>
    <w:rsid w:val="004D39A1"/>
    <w:rsid w:val="004D4BBE"/>
    <w:rsid w:val="004D4D90"/>
    <w:rsid w:val="004D4DF4"/>
    <w:rsid w:val="004D6301"/>
    <w:rsid w:val="004D65FE"/>
    <w:rsid w:val="004D66B3"/>
    <w:rsid w:val="004D6D86"/>
    <w:rsid w:val="004D6EB3"/>
    <w:rsid w:val="004D6FB6"/>
    <w:rsid w:val="004D793F"/>
    <w:rsid w:val="004D7AA8"/>
    <w:rsid w:val="004D7D23"/>
    <w:rsid w:val="004E0858"/>
    <w:rsid w:val="004E1449"/>
    <w:rsid w:val="004E15C9"/>
    <w:rsid w:val="004E16C5"/>
    <w:rsid w:val="004E1C79"/>
    <w:rsid w:val="004E2554"/>
    <w:rsid w:val="004E269A"/>
    <w:rsid w:val="004E2B6B"/>
    <w:rsid w:val="004E2E96"/>
    <w:rsid w:val="004E3CF2"/>
    <w:rsid w:val="004E42F5"/>
    <w:rsid w:val="004E4496"/>
    <w:rsid w:val="004E4F95"/>
    <w:rsid w:val="004E528E"/>
    <w:rsid w:val="004E5484"/>
    <w:rsid w:val="004E5603"/>
    <w:rsid w:val="004E594B"/>
    <w:rsid w:val="004E5989"/>
    <w:rsid w:val="004E6022"/>
    <w:rsid w:val="004E6D92"/>
    <w:rsid w:val="004E724E"/>
    <w:rsid w:val="004E7816"/>
    <w:rsid w:val="004E7CAE"/>
    <w:rsid w:val="004F0223"/>
    <w:rsid w:val="004F053D"/>
    <w:rsid w:val="004F07AB"/>
    <w:rsid w:val="004F0B2B"/>
    <w:rsid w:val="004F1149"/>
    <w:rsid w:val="004F1B57"/>
    <w:rsid w:val="004F1CB3"/>
    <w:rsid w:val="004F1FF3"/>
    <w:rsid w:val="004F204A"/>
    <w:rsid w:val="004F2160"/>
    <w:rsid w:val="004F2449"/>
    <w:rsid w:val="004F3041"/>
    <w:rsid w:val="004F356F"/>
    <w:rsid w:val="004F368F"/>
    <w:rsid w:val="004F4814"/>
    <w:rsid w:val="004F569D"/>
    <w:rsid w:val="004F58CE"/>
    <w:rsid w:val="004F5F12"/>
    <w:rsid w:val="004F6894"/>
    <w:rsid w:val="004F69EA"/>
    <w:rsid w:val="004F6A1E"/>
    <w:rsid w:val="004F6BE2"/>
    <w:rsid w:val="004F700A"/>
    <w:rsid w:val="004F7282"/>
    <w:rsid w:val="004F73EF"/>
    <w:rsid w:val="004F7530"/>
    <w:rsid w:val="004F7C6A"/>
    <w:rsid w:val="005000CF"/>
    <w:rsid w:val="00500498"/>
    <w:rsid w:val="005007C6"/>
    <w:rsid w:val="00500E61"/>
    <w:rsid w:val="005011A5"/>
    <w:rsid w:val="00501C56"/>
    <w:rsid w:val="00501E7D"/>
    <w:rsid w:val="00502002"/>
    <w:rsid w:val="0050282E"/>
    <w:rsid w:val="00502EBE"/>
    <w:rsid w:val="0050328D"/>
    <w:rsid w:val="0050335A"/>
    <w:rsid w:val="005033A1"/>
    <w:rsid w:val="005036A4"/>
    <w:rsid w:val="005036A7"/>
    <w:rsid w:val="005039F6"/>
    <w:rsid w:val="00503D91"/>
    <w:rsid w:val="00504838"/>
    <w:rsid w:val="00504942"/>
    <w:rsid w:val="005049DC"/>
    <w:rsid w:val="005059CD"/>
    <w:rsid w:val="00505DA0"/>
    <w:rsid w:val="0050604B"/>
    <w:rsid w:val="00506206"/>
    <w:rsid w:val="005063CB"/>
    <w:rsid w:val="0050648A"/>
    <w:rsid w:val="00507E25"/>
    <w:rsid w:val="00510D2F"/>
    <w:rsid w:val="00511212"/>
    <w:rsid w:val="0051136E"/>
    <w:rsid w:val="00511755"/>
    <w:rsid w:val="00511B66"/>
    <w:rsid w:val="0051277F"/>
    <w:rsid w:val="00512B53"/>
    <w:rsid w:val="00512E71"/>
    <w:rsid w:val="0051343F"/>
    <w:rsid w:val="005134DB"/>
    <w:rsid w:val="005135B8"/>
    <w:rsid w:val="00513F03"/>
    <w:rsid w:val="0051464F"/>
    <w:rsid w:val="00515273"/>
    <w:rsid w:val="0051560C"/>
    <w:rsid w:val="0051569C"/>
    <w:rsid w:val="00515809"/>
    <w:rsid w:val="00515BA9"/>
    <w:rsid w:val="00515C1D"/>
    <w:rsid w:val="00515C8C"/>
    <w:rsid w:val="005160D9"/>
    <w:rsid w:val="005168B8"/>
    <w:rsid w:val="00516AAA"/>
    <w:rsid w:val="00516BAE"/>
    <w:rsid w:val="00516C6D"/>
    <w:rsid w:val="005171BB"/>
    <w:rsid w:val="005174BA"/>
    <w:rsid w:val="005175C5"/>
    <w:rsid w:val="005175DF"/>
    <w:rsid w:val="00517B3E"/>
    <w:rsid w:val="00520B65"/>
    <w:rsid w:val="00520CAA"/>
    <w:rsid w:val="00520E00"/>
    <w:rsid w:val="00521716"/>
    <w:rsid w:val="00521BE5"/>
    <w:rsid w:val="00521BE7"/>
    <w:rsid w:val="00521E44"/>
    <w:rsid w:val="005222D7"/>
    <w:rsid w:val="00522CA9"/>
    <w:rsid w:val="00522E47"/>
    <w:rsid w:val="00522EA3"/>
    <w:rsid w:val="00522F08"/>
    <w:rsid w:val="0052373A"/>
    <w:rsid w:val="00523F50"/>
    <w:rsid w:val="00523FDC"/>
    <w:rsid w:val="0052425E"/>
    <w:rsid w:val="00524D0A"/>
    <w:rsid w:val="00524DAA"/>
    <w:rsid w:val="00524E3F"/>
    <w:rsid w:val="00524F36"/>
    <w:rsid w:val="00525180"/>
    <w:rsid w:val="0052542E"/>
    <w:rsid w:val="00525A3E"/>
    <w:rsid w:val="00525DAD"/>
    <w:rsid w:val="00527691"/>
    <w:rsid w:val="00527697"/>
    <w:rsid w:val="005278A4"/>
    <w:rsid w:val="00527B24"/>
    <w:rsid w:val="00527E68"/>
    <w:rsid w:val="00527FDA"/>
    <w:rsid w:val="0053069C"/>
    <w:rsid w:val="00530A60"/>
    <w:rsid w:val="005310F0"/>
    <w:rsid w:val="005315D3"/>
    <w:rsid w:val="005316AA"/>
    <w:rsid w:val="005318E1"/>
    <w:rsid w:val="00531AAE"/>
    <w:rsid w:val="00531AB6"/>
    <w:rsid w:val="00531D4D"/>
    <w:rsid w:val="00531D75"/>
    <w:rsid w:val="00531E9F"/>
    <w:rsid w:val="00531F78"/>
    <w:rsid w:val="0053218F"/>
    <w:rsid w:val="00532406"/>
    <w:rsid w:val="00532443"/>
    <w:rsid w:val="005324FB"/>
    <w:rsid w:val="00532F6E"/>
    <w:rsid w:val="0053305A"/>
    <w:rsid w:val="005333B2"/>
    <w:rsid w:val="0053340B"/>
    <w:rsid w:val="005340E3"/>
    <w:rsid w:val="0053433F"/>
    <w:rsid w:val="0053448C"/>
    <w:rsid w:val="00534D3A"/>
    <w:rsid w:val="00534F74"/>
    <w:rsid w:val="0053503A"/>
    <w:rsid w:val="005357CA"/>
    <w:rsid w:val="00536504"/>
    <w:rsid w:val="00536F99"/>
    <w:rsid w:val="0053725F"/>
    <w:rsid w:val="005379E9"/>
    <w:rsid w:val="00537F26"/>
    <w:rsid w:val="00540418"/>
    <w:rsid w:val="00540C9D"/>
    <w:rsid w:val="005410A1"/>
    <w:rsid w:val="00541677"/>
    <w:rsid w:val="0054176B"/>
    <w:rsid w:val="0054180F"/>
    <w:rsid w:val="00541B7C"/>
    <w:rsid w:val="00542080"/>
    <w:rsid w:val="005421B1"/>
    <w:rsid w:val="005422C7"/>
    <w:rsid w:val="005427EA"/>
    <w:rsid w:val="00542968"/>
    <w:rsid w:val="00542CDD"/>
    <w:rsid w:val="005430AA"/>
    <w:rsid w:val="00543613"/>
    <w:rsid w:val="00544899"/>
    <w:rsid w:val="005448D2"/>
    <w:rsid w:val="00544928"/>
    <w:rsid w:val="00544AC2"/>
    <w:rsid w:val="00544E5D"/>
    <w:rsid w:val="00545244"/>
    <w:rsid w:val="005458BA"/>
    <w:rsid w:val="005464AA"/>
    <w:rsid w:val="00546508"/>
    <w:rsid w:val="0054668E"/>
    <w:rsid w:val="00546AFF"/>
    <w:rsid w:val="00546DDC"/>
    <w:rsid w:val="00546F01"/>
    <w:rsid w:val="00547370"/>
    <w:rsid w:val="0054791C"/>
    <w:rsid w:val="00547956"/>
    <w:rsid w:val="0054796E"/>
    <w:rsid w:val="00547C1F"/>
    <w:rsid w:val="00547DF4"/>
    <w:rsid w:val="00547E4C"/>
    <w:rsid w:val="0055012B"/>
    <w:rsid w:val="005508DD"/>
    <w:rsid w:val="00550F06"/>
    <w:rsid w:val="00551805"/>
    <w:rsid w:val="00551CEC"/>
    <w:rsid w:val="00551FD7"/>
    <w:rsid w:val="005529AB"/>
    <w:rsid w:val="00552BF7"/>
    <w:rsid w:val="005533D0"/>
    <w:rsid w:val="00553808"/>
    <w:rsid w:val="00553AF0"/>
    <w:rsid w:val="00553B2E"/>
    <w:rsid w:val="0055426A"/>
    <w:rsid w:val="00554586"/>
    <w:rsid w:val="005549F9"/>
    <w:rsid w:val="00554A9C"/>
    <w:rsid w:val="005552CF"/>
    <w:rsid w:val="00555BB7"/>
    <w:rsid w:val="00555C6F"/>
    <w:rsid w:val="005564C1"/>
    <w:rsid w:val="00557E4E"/>
    <w:rsid w:val="00557F25"/>
    <w:rsid w:val="00557FAB"/>
    <w:rsid w:val="0056002F"/>
    <w:rsid w:val="005601D7"/>
    <w:rsid w:val="0056037E"/>
    <w:rsid w:val="00560637"/>
    <w:rsid w:val="005607C9"/>
    <w:rsid w:val="00560807"/>
    <w:rsid w:val="0056113B"/>
    <w:rsid w:val="0056115C"/>
    <w:rsid w:val="00562272"/>
    <w:rsid w:val="00562B42"/>
    <w:rsid w:val="005631A1"/>
    <w:rsid w:val="0056366D"/>
    <w:rsid w:val="00563835"/>
    <w:rsid w:val="005639E8"/>
    <w:rsid w:val="00563D99"/>
    <w:rsid w:val="00564047"/>
    <w:rsid w:val="00564A35"/>
    <w:rsid w:val="00565320"/>
    <w:rsid w:val="005659BB"/>
    <w:rsid w:val="00565E5E"/>
    <w:rsid w:val="00565FFA"/>
    <w:rsid w:val="00566053"/>
    <w:rsid w:val="0056663F"/>
    <w:rsid w:val="00566AF4"/>
    <w:rsid w:val="00566C05"/>
    <w:rsid w:val="00567355"/>
    <w:rsid w:val="00567E20"/>
    <w:rsid w:val="00567EC1"/>
    <w:rsid w:val="00567FF8"/>
    <w:rsid w:val="0057045B"/>
    <w:rsid w:val="00570708"/>
    <w:rsid w:val="00570774"/>
    <w:rsid w:val="0057081F"/>
    <w:rsid w:val="00570BBB"/>
    <w:rsid w:val="005713CD"/>
    <w:rsid w:val="0057184B"/>
    <w:rsid w:val="00571CCF"/>
    <w:rsid w:val="0057252F"/>
    <w:rsid w:val="00572EC5"/>
    <w:rsid w:val="0057313B"/>
    <w:rsid w:val="005733A6"/>
    <w:rsid w:val="00574288"/>
    <w:rsid w:val="00574439"/>
    <w:rsid w:val="005747DE"/>
    <w:rsid w:val="005756CC"/>
    <w:rsid w:val="005758D2"/>
    <w:rsid w:val="00575A33"/>
    <w:rsid w:val="005762A4"/>
    <w:rsid w:val="00576AFC"/>
    <w:rsid w:val="00576CB0"/>
    <w:rsid w:val="00576F68"/>
    <w:rsid w:val="005770CE"/>
    <w:rsid w:val="00577A27"/>
    <w:rsid w:val="00577CCC"/>
    <w:rsid w:val="00577DA7"/>
    <w:rsid w:val="0058004F"/>
    <w:rsid w:val="00580699"/>
    <w:rsid w:val="0058094C"/>
    <w:rsid w:val="00580A1B"/>
    <w:rsid w:val="00580FD4"/>
    <w:rsid w:val="005810A6"/>
    <w:rsid w:val="005812DE"/>
    <w:rsid w:val="005815E7"/>
    <w:rsid w:val="0058166A"/>
    <w:rsid w:val="00581A30"/>
    <w:rsid w:val="005825A4"/>
    <w:rsid w:val="00582CA7"/>
    <w:rsid w:val="00582D85"/>
    <w:rsid w:val="00582D8F"/>
    <w:rsid w:val="0058335E"/>
    <w:rsid w:val="00583852"/>
    <w:rsid w:val="00583B7D"/>
    <w:rsid w:val="0058421F"/>
    <w:rsid w:val="005843B6"/>
    <w:rsid w:val="00584643"/>
    <w:rsid w:val="00584B74"/>
    <w:rsid w:val="00584C85"/>
    <w:rsid w:val="00585061"/>
    <w:rsid w:val="005851F0"/>
    <w:rsid w:val="00585363"/>
    <w:rsid w:val="00585636"/>
    <w:rsid w:val="00585A9F"/>
    <w:rsid w:val="00586061"/>
    <w:rsid w:val="0058655B"/>
    <w:rsid w:val="005867EC"/>
    <w:rsid w:val="0058687F"/>
    <w:rsid w:val="005868DC"/>
    <w:rsid w:val="00586CE4"/>
    <w:rsid w:val="005877C0"/>
    <w:rsid w:val="005907CA"/>
    <w:rsid w:val="00591626"/>
    <w:rsid w:val="005923CC"/>
    <w:rsid w:val="00592558"/>
    <w:rsid w:val="005926C5"/>
    <w:rsid w:val="00592811"/>
    <w:rsid w:val="005932A9"/>
    <w:rsid w:val="00593B40"/>
    <w:rsid w:val="005943AE"/>
    <w:rsid w:val="00594767"/>
    <w:rsid w:val="00594895"/>
    <w:rsid w:val="00594923"/>
    <w:rsid w:val="00594C4E"/>
    <w:rsid w:val="00594F90"/>
    <w:rsid w:val="00595B87"/>
    <w:rsid w:val="0059694F"/>
    <w:rsid w:val="00596BD6"/>
    <w:rsid w:val="00596BE9"/>
    <w:rsid w:val="00596E6A"/>
    <w:rsid w:val="00597193"/>
    <w:rsid w:val="0059742A"/>
    <w:rsid w:val="0059745C"/>
    <w:rsid w:val="005A0130"/>
    <w:rsid w:val="005A0399"/>
    <w:rsid w:val="005A0D74"/>
    <w:rsid w:val="005A12D6"/>
    <w:rsid w:val="005A14A0"/>
    <w:rsid w:val="005A1963"/>
    <w:rsid w:val="005A1AEF"/>
    <w:rsid w:val="005A23CB"/>
    <w:rsid w:val="005A252C"/>
    <w:rsid w:val="005A2620"/>
    <w:rsid w:val="005A3081"/>
    <w:rsid w:val="005A3855"/>
    <w:rsid w:val="005A3D83"/>
    <w:rsid w:val="005A3E8D"/>
    <w:rsid w:val="005A42CF"/>
    <w:rsid w:val="005A43EB"/>
    <w:rsid w:val="005A4C5B"/>
    <w:rsid w:val="005A5205"/>
    <w:rsid w:val="005A52F8"/>
    <w:rsid w:val="005A581A"/>
    <w:rsid w:val="005A5C56"/>
    <w:rsid w:val="005A5ED6"/>
    <w:rsid w:val="005A6A1E"/>
    <w:rsid w:val="005A7103"/>
    <w:rsid w:val="005A78D0"/>
    <w:rsid w:val="005A7BDA"/>
    <w:rsid w:val="005A7EB5"/>
    <w:rsid w:val="005B0A9B"/>
    <w:rsid w:val="005B14A4"/>
    <w:rsid w:val="005B172A"/>
    <w:rsid w:val="005B1A4E"/>
    <w:rsid w:val="005B1C94"/>
    <w:rsid w:val="005B1F71"/>
    <w:rsid w:val="005B2624"/>
    <w:rsid w:val="005B2975"/>
    <w:rsid w:val="005B2B4E"/>
    <w:rsid w:val="005B2BB2"/>
    <w:rsid w:val="005B2DCC"/>
    <w:rsid w:val="005B383E"/>
    <w:rsid w:val="005B3931"/>
    <w:rsid w:val="005B39CE"/>
    <w:rsid w:val="005B3A25"/>
    <w:rsid w:val="005B3A3D"/>
    <w:rsid w:val="005B3C6F"/>
    <w:rsid w:val="005B3FE7"/>
    <w:rsid w:val="005B408E"/>
    <w:rsid w:val="005B459A"/>
    <w:rsid w:val="005B4605"/>
    <w:rsid w:val="005B49F6"/>
    <w:rsid w:val="005B4D21"/>
    <w:rsid w:val="005B53D1"/>
    <w:rsid w:val="005B5582"/>
    <w:rsid w:val="005B5E1A"/>
    <w:rsid w:val="005B5E8B"/>
    <w:rsid w:val="005B6109"/>
    <w:rsid w:val="005B659E"/>
    <w:rsid w:val="005B66E2"/>
    <w:rsid w:val="005B6BB7"/>
    <w:rsid w:val="005B7E9D"/>
    <w:rsid w:val="005C0091"/>
    <w:rsid w:val="005C0D97"/>
    <w:rsid w:val="005C1053"/>
    <w:rsid w:val="005C14E2"/>
    <w:rsid w:val="005C1A0B"/>
    <w:rsid w:val="005C1A7A"/>
    <w:rsid w:val="005C26D0"/>
    <w:rsid w:val="005C360A"/>
    <w:rsid w:val="005C3745"/>
    <w:rsid w:val="005C3989"/>
    <w:rsid w:val="005C3FA1"/>
    <w:rsid w:val="005C400E"/>
    <w:rsid w:val="005C415B"/>
    <w:rsid w:val="005C4556"/>
    <w:rsid w:val="005C4C10"/>
    <w:rsid w:val="005C4D8E"/>
    <w:rsid w:val="005C4E72"/>
    <w:rsid w:val="005C58D2"/>
    <w:rsid w:val="005C58F8"/>
    <w:rsid w:val="005C64C8"/>
    <w:rsid w:val="005C6C84"/>
    <w:rsid w:val="005C7019"/>
    <w:rsid w:val="005C71D9"/>
    <w:rsid w:val="005C74B6"/>
    <w:rsid w:val="005C75C5"/>
    <w:rsid w:val="005C767F"/>
    <w:rsid w:val="005D0035"/>
    <w:rsid w:val="005D0232"/>
    <w:rsid w:val="005D03DD"/>
    <w:rsid w:val="005D0B8B"/>
    <w:rsid w:val="005D0D69"/>
    <w:rsid w:val="005D0F15"/>
    <w:rsid w:val="005D0FBA"/>
    <w:rsid w:val="005D1573"/>
    <w:rsid w:val="005D1B57"/>
    <w:rsid w:val="005D1BAC"/>
    <w:rsid w:val="005D1E6D"/>
    <w:rsid w:val="005D203D"/>
    <w:rsid w:val="005D2214"/>
    <w:rsid w:val="005D2380"/>
    <w:rsid w:val="005D28A8"/>
    <w:rsid w:val="005D2D6D"/>
    <w:rsid w:val="005D2F92"/>
    <w:rsid w:val="005D3F82"/>
    <w:rsid w:val="005D4AD5"/>
    <w:rsid w:val="005D5898"/>
    <w:rsid w:val="005D6139"/>
    <w:rsid w:val="005D626F"/>
    <w:rsid w:val="005D6823"/>
    <w:rsid w:val="005D6E10"/>
    <w:rsid w:val="005D7599"/>
    <w:rsid w:val="005D7950"/>
    <w:rsid w:val="005D7B4A"/>
    <w:rsid w:val="005D7B4E"/>
    <w:rsid w:val="005D7BDB"/>
    <w:rsid w:val="005D7E90"/>
    <w:rsid w:val="005D7EFE"/>
    <w:rsid w:val="005E0243"/>
    <w:rsid w:val="005E0BAF"/>
    <w:rsid w:val="005E0E8A"/>
    <w:rsid w:val="005E11D9"/>
    <w:rsid w:val="005E22C1"/>
    <w:rsid w:val="005E241A"/>
    <w:rsid w:val="005E24A2"/>
    <w:rsid w:val="005E257B"/>
    <w:rsid w:val="005E2639"/>
    <w:rsid w:val="005E271C"/>
    <w:rsid w:val="005E2840"/>
    <w:rsid w:val="005E2DCD"/>
    <w:rsid w:val="005E302E"/>
    <w:rsid w:val="005E3852"/>
    <w:rsid w:val="005E3F37"/>
    <w:rsid w:val="005E41A4"/>
    <w:rsid w:val="005E460A"/>
    <w:rsid w:val="005E4735"/>
    <w:rsid w:val="005E4972"/>
    <w:rsid w:val="005E4F09"/>
    <w:rsid w:val="005E5542"/>
    <w:rsid w:val="005E5657"/>
    <w:rsid w:val="005E5D34"/>
    <w:rsid w:val="005E616C"/>
    <w:rsid w:val="005E66D4"/>
    <w:rsid w:val="005E723F"/>
    <w:rsid w:val="005E74A9"/>
    <w:rsid w:val="005E7AE7"/>
    <w:rsid w:val="005E7EE8"/>
    <w:rsid w:val="005F02F9"/>
    <w:rsid w:val="005F076A"/>
    <w:rsid w:val="005F0D27"/>
    <w:rsid w:val="005F1939"/>
    <w:rsid w:val="005F25A4"/>
    <w:rsid w:val="005F34D1"/>
    <w:rsid w:val="005F40D5"/>
    <w:rsid w:val="005F4443"/>
    <w:rsid w:val="005F46ED"/>
    <w:rsid w:val="005F485E"/>
    <w:rsid w:val="005F4F5A"/>
    <w:rsid w:val="005F5012"/>
    <w:rsid w:val="005F564C"/>
    <w:rsid w:val="005F56CA"/>
    <w:rsid w:val="005F5E32"/>
    <w:rsid w:val="005F668E"/>
    <w:rsid w:val="005F6F3F"/>
    <w:rsid w:val="005F719A"/>
    <w:rsid w:val="005F761C"/>
    <w:rsid w:val="005F7838"/>
    <w:rsid w:val="005F7988"/>
    <w:rsid w:val="005F7D0C"/>
    <w:rsid w:val="00600BD8"/>
    <w:rsid w:val="00600CD3"/>
    <w:rsid w:val="00600EF2"/>
    <w:rsid w:val="00600F5A"/>
    <w:rsid w:val="0060171E"/>
    <w:rsid w:val="00601B1E"/>
    <w:rsid w:val="00602183"/>
    <w:rsid w:val="00602583"/>
    <w:rsid w:val="00602C92"/>
    <w:rsid w:val="00602E9A"/>
    <w:rsid w:val="006031B5"/>
    <w:rsid w:val="0060351D"/>
    <w:rsid w:val="00603F42"/>
    <w:rsid w:val="00603FE1"/>
    <w:rsid w:val="006040E3"/>
    <w:rsid w:val="0060415E"/>
    <w:rsid w:val="006044AA"/>
    <w:rsid w:val="006047DF"/>
    <w:rsid w:val="006053B2"/>
    <w:rsid w:val="006053D4"/>
    <w:rsid w:val="00605A03"/>
    <w:rsid w:val="0060636F"/>
    <w:rsid w:val="00606E77"/>
    <w:rsid w:val="0060771C"/>
    <w:rsid w:val="00607AC3"/>
    <w:rsid w:val="006106FD"/>
    <w:rsid w:val="00610E83"/>
    <w:rsid w:val="006112B7"/>
    <w:rsid w:val="00611DCF"/>
    <w:rsid w:val="00612625"/>
    <w:rsid w:val="00612774"/>
    <w:rsid w:val="00612B2E"/>
    <w:rsid w:val="00612F26"/>
    <w:rsid w:val="00614415"/>
    <w:rsid w:val="00614923"/>
    <w:rsid w:val="00614F1D"/>
    <w:rsid w:val="00614F64"/>
    <w:rsid w:val="00615192"/>
    <w:rsid w:val="00615E67"/>
    <w:rsid w:val="00616406"/>
    <w:rsid w:val="00616509"/>
    <w:rsid w:val="00616AA4"/>
    <w:rsid w:val="00616AAA"/>
    <w:rsid w:val="00616B11"/>
    <w:rsid w:val="00616B80"/>
    <w:rsid w:val="00617190"/>
    <w:rsid w:val="006171A3"/>
    <w:rsid w:val="006174EE"/>
    <w:rsid w:val="00617B6C"/>
    <w:rsid w:val="00617F2E"/>
    <w:rsid w:val="006200E5"/>
    <w:rsid w:val="00620C04"/>
    <w:rsid w:val="00620DB8"/>
    <w:rsid w:val="00621177"/>
    <w:rsid w:val="006213F2"/>
    <w:rsid w:val="00621CD7"/>
    <w:rsid w:val="00621FF1"/>
    <w:rsid w:val="0062230B"/>
    <w:rsid w:val="0062242F"/>
    <w:rsid w:val="006224E8"/>
    <w:rsid w:val="00622557"/>
    <w:rsid w:val="0062255A"/>
    <w:rsid w:val="006228B8"/>
    <w:rsid w:val="00622A71"/>
    <w:rsid w:val="006238BA"/>
    <w:rsid w:val="00623BDF"/>
    <w:rsid w:val="00623D62"/>
    <w:rsid w:val="0062441C"/>
    <w:rsid w:val="00624873"/>
    <w:rsid w:val="00624B32"/>
    <w:rsid w:val="00624CBC"/>
    <w:rsid w:val="00624F02"/>
    <w:rsid w:val="00625106"/>
    <w:rsid w:val="006257EB"/>
    <w:rsid w:val="00625B00"/>
    <w:rsid w:val="00625D97"/>
    <w:rsid w:val="00626A87"/>
    <w:rsid w:val="00626AD2"/>
    <w:rsid w:val="00627110"/>
    <w:rsid w:val="006273DF"/>
    <w:rsid w:val="00627446"/>
    <w:rsid w:val="0062779E"/>
    <w:rsid w:val="00627D30"/>
    <w:rsid w:val="006302F8"/>
    <w:rsid w:val="00630803"/>
    <w:rsid w:val="00630A14"/>
    <w:rsid w:val="00630CAA"/>
    <w:rsid w:val="00630E71"/>
    <w:rsid w:val="006314ED"/>
    <w:rsid w:val="006319F6"/>
    <w:rsid w:val="00631E9D"/>
    <w:rsid w:val="00632100"/>
    <w:rsid w:val="00632211"/>
    <w:rsid w:val="0063265A"/>
    <w:rsid w:val="00632A73"/>
    <w:rsid w:val="00632E97"/>
    <w:rsid w:val="00633084"/>
    <w:rsid w:val="006332CE"/>
    <w:rsid w:val="00633BD6"/>
    <w:rsid w:val="0063403A"/>
    <w:rsid w:val="0063416B"/>
    <w:rsid w:val="00634591"/>
    <w:rsid w:val="006349DE"/>
    <w:rsid w:val="00635412"/>
    <w:rsid w:val="00635A42"/>
    <w:rsid w:val="00635DE7"/>
    <w:rsid w:val="0063634E"/>
    <w:rsid w:val="00636BC8"/>
    <w:rsid w:val="00637726"/>
    <w:rsid w:val="00637898"/>
    <w:rsid w:val="0064014E"/>
    <w:rsid w:val="00640763"/>
    <w:rsid w:val="00640AE4"/>
    <w:rsid w:val="00641835"/>
    <w:rsid w:val="00641895"/>
    <w:rsid w:val="0064296F"/>
    <w:rsid w:val="00642A4A"/>
    <w:rsid w:val="00642AAC"/>
    <w:rsid w:val="006430AE"/>
    <w:rsid w:val="006436CA"/>
    <w:rsid w:val="006439B3"/>
    <w:rsid w:val="00643DE1"/>
    <w:rsid w:val="006442C1"/>
    <w:rsid w:val="006454D4"/>
    <w:rsid w:val="00645E2F"/>
    <w:rsid w:val="00645E92"/>
    <w:rsid w:val="00646EA3"/>
    <w:rsid w:val="00647340"/>
    <w:rsid w:val="006473BB"/>
    <w:rsid w:val="006473F7"/>
    <w:rsid w:val="006476E4"/>
    <w:rsid w:val="00647D5F"/>
    <w:rsid w:val="00647FF8"/>
    <w:rsid w:val="0065026B"/>
    <w:rsid w:val="00650A92"/>
    <w:rsid w:val="006511EB"/>
    <w:rsid w:val="006513E1"/>
    <w:rsid w:val="00651648"/>
    <w:rsid w:val="00652590"/>
    <w:rsid w:val="00652704"/>
    <w:rsid w:val="00653028"/>
    <w:rsid w:val="0065307A"/>
    <w:rsid w:val="00653190"/>
    <w:rsid w:val="00653A20"/>
    <w:rsid w:val="00653DC8"/>
    <w:rsid w:val="00653E31"/>
    <w:rsid w:val="00653FF8"/>
    <w:rsid w:val="0065434A"/>
    <w:rsid w:val="0065459A"/>
    <w:rsid w:val="00654F82"/>
    <w:rsid w:val="00654F96"/>
    <w:rsid w:val="00655B1C"/>
    <w:rsid w:val="00655B9C"/>
    <w:rsid w:val="006567B9"/>
    <w:rsid w:val="00656BDA"/>
    <w:rsid w:val="00656D56"/>
    <w:rsid w:val="00656D57"/>
    <w:rsid w:val="006570DC"/>
    <w:rsid w:val="0065724D"/>
    <w:rsid w:val="0065753C"/>
    <w:rsid w:val="00657C61"/>
    <w:rsid w:val="00660101"/>
    <w:rsid w:val="00660167"/>
    <w:rsid w:val="00660DA5"/>
    <w:rsid w:val="00660EDF"/>
    <w:rsid w:val="006617D4"/>
    <w:rsid w:val="0066192D"/>
    <w:rsid w:val="00661F3C"/>
    <w:rsid w:val="0066224C"/>
    <w:rsid w:val="00662BDD"/>
    <w:rsid w:val="00662F7A"/>
    <w:rsid w:val="00663025"/>
    <w:rsid w:val="00663A01"/>
    <w:rsid w:val="00663D8A"/>
    <w:rsid w:val="0066423D"/>
    <w:rsid w:val="006646C0"/>
    <w:rsid w:val="00664A3E"/>
    <w:rsid w:val="00664FE9"/>
    <w:rsid w:val="006652A5"/>
    <w:rsid w:val="00665681"/>
    <w:rsid w:val="00665C46"/>
    <w:rsid w:val="00665E35"/>
    <w:rsid w:val="006662D9"/>
    <w:rsid w:val="00666FF5"/>
    <w:rsid w:val="00667060"/>
    <w:rsid w:val="006673AA"/>
    <w:rsid w:val="0066766B"/>
    <w:rsid w:val="006676B9"/>
    <w:rsid w:val="006679EA"/>
    <w:rsid w:val="00667C27"/>
    <w:rsid w:val="006700AF"/>
    <w:rsid w:val="006701C6"/>
    <w:rsid w:val="0067033F"/>
    <w:rsid w:val="0067055D"/>
    <w:rsid w:val="006706D4"/>
    <w:rsid w:val="00670BD9"/>
    <w:rsid w:val="00670EC5"/>
    <w:rsid w:val="0067115B"/>
    <w:rsid w:val="006718DF"/>
    <w:rsid w:val="00671C03"/>
    <w:rsid w:val="006720E5"/>
    <w:rsid w:val="0067277E"/>
    <w:rsid w:val="00672B40"/>
    <w:rsid w:val="00672B6A"/>
    <w:rsid w:val="0067416D"/>
    <w:rsid w:val="006745BA"/>
    <w:rsid w:val="006749E8"/>
    <w:rsid w:val="00674BE8"/>
    <w:rsid w:val="00674ECE"/>
    <w:rsid w:val="00675F46"/>
    <w:rsid w:val="006761A2"/>
    <w:rsid w:val="00676B47"/>
    <w:rsid w:val="00676E5F"/>
    <w:rsid w:val="006776D5"/>
    <w:rsid w:val="006779DE"/>
    <w:rsid w:val="0068066B"/>
    <w:rsid w:val="006807C0"/>
    <w:rsid w:val="00680CDF"/>
    <w:rsid w:val="00681132"/>
    <w:rsid w:val="00681271"/>
    <w:rsid w:val="00681856"/>
    <w:rsid w:val="00681A0F"/>
    <w:rsid w:val="00681BA7"/>
    <w:rsid w:val="00681E22"/>
    <w:rsid w:val="00681F64"/>
    <w:rsid w:val="006827C4"/>
    <w:rsid w:val="0068281D"/>
    <w:rsid w:val="00682829"/>
    <w:rsid w:val="0068310B"/>
    <w:rsid w:val="006831D4"/>
    <w:rsid w:val="006838D8"/>
    <w:rsid w:val="006839DC"/>
    <w:rsid w:val="00684BCA"/>
    <w:rsid w:val="00684D0F"/>
    <w:rsid w:val="00685889"/>
    <w:rsid w:val="00685CB5"/>
    <w:rsid w:val="00686034"/>
    <w:rsid w:val="00686A21"/>
    <w:rsid w:val="00686C66"/>
    <w:rsid w:val="00686CDA"/>
    <w:rsid w:val="00686DB6"/>
    <w:rsid w:val="00686E6D"/>
    <w:rsid w:val="00687506"/>
    <w:rsid w:val="00687584"/>
    <w:rsid w:val="006903A2"/>
    <w:rsid w:val="006905AD"/>
    <w:rsid w:val="00690792"/>
    <w:rsid w:val="006914D5"/>
    <w:rsid w:val="006918FA"/>
    <w:rsid w:val="006920F2"/>
    <w:rsid w:val="00692845"/>
    <w:rsid w:val="00692CA5"/>
    <w:rsid w:val="00692D83"/>
    <w:rsid w:val="00692DD2"/>
    <w:rsid w:val="0069317F"/>
    <w:rsid w:val="00694180"/>
    <w:rsid w:val="006941E4"/>
    <w:rsid w:val="00694703"/>
    <w:rsid w:val="00695497"/>
    <w:rsid w:val="0069563A"/>
    <w:rsid w:val="006957E3"/>
    <w:rsid w:val="00695E1A"/>
    <w:rsid w:val="00695F9E"/>
    <w:rsid w:val="006964C7"/>
    <w:rsid w:val="00696705"/>
    <w:rsid w:val="00696AE8"/>
    <w:rsid w:val="00696C9F"/>
    <w:rsid w:val="00696E55"/>
    <w:rsid w:val="00697D0C"/>
    <w:rsid w:val="006A0039"/>
    <w:rsid w:val="006A0939"/>
    <w:rsid w:val="006A093B"/>
    <w:rsid w:val="006A0A16"/>
    <w:rsid w:val="006A0A18"/>
    <w:rsid w:val="006A0B87"/>
    <w:rsid w:val="006A0FB2"/>
    <w:rsid w:val="006A10DE"/>
    <w:rsid w:val="006A192A"/>
    <w:rsid w:val="006A204D"/>
    <w:rsid w:val="006A22C2"/>
    <w:rsid w:val="006A269C"/>
    <w:rsid w:val="006A2DD1"/>
    <w:rsid w:val="006A335A"/>
    <w:rsid w:val="006A34FA"/>
    <w:rsid w:val="006A3A5C"/>
    <w:rsid w:val="006A46C7"/>
    <w:rsid w:val="006A482A"/>
    <w:rsid w:val="006A4EB0"/>
    <w:rsid w:val="006A4F43"/>
    <w:rsid w:val="006A5338"/>
    <w:rsid w:val="006A555D"/>
    <w:rsid w:val="006A5B26"/>
    <w:rsid w:val="006A5B33"/>
    <w:rsid w:val="006A5CDA"/>
    <w:rsid w:val="006A60FA"/>
    <w:rsid w:val="006A671A"/>
    <w:rsid w:val="006A6CC8"/>
    <w:rsid w:val="006A6E2F"/>
    <w:rsid w:val="006A70EE"/>
    <w:rsid w:val="006B000B"/>
    <w:rsid w:val="006B0068"/>
    <w:rsid w:val="006B00F5"/>
    <w:rsid w:val="006B01D2"/>
    <w:rsid w:val="006B077B"/>
    <w:rsid w:val="006B07DC"/>
    <w:rsid w:val="006B0F7F"/>
    <w:rsid w:val="006B14E0"/>
    <w:rsid w:val="006B1533"/>
    <w:rsid w:val="006B1861"/>
    <w:rsid w:val="006B1935"/>
    <w:rsid w:val="006B1F07"/>
    <w:rsid w:val="006B208B"/>
    <w:rsid w:val="006B280D"/>
    <w:rsid w:val="006B2B88"/>
    <w:rsid w:val="006B2EC3"/>
    <w:rsid w:val="006B2FB9"/>
    <w:rsid w:val="006B3341"/>
    <w:rsid w:val="006B3AF3"/>
    <w:rsid w:val="006B4976"/>
    <w:rsid w:val="006B4FAA"/>
    <w:rsid w:val="006B51D9"/>
    <w:rsid w:val="006B5972"/>
    <w:rsid w:val="006B5D5F"/>
    <w:rsid w:val="006B6554"/>
    <w:rsid w:val="006B67AF"/>
    <w:rsid w:val="006B67DF"/>
    <w:rsid w:val="006B6D7C"/>
    <w:rsid w:val="006B6F31"/>
    <w:rsid w:val="006B784E"/>
    <w:rsid w:val="006B7DCF"/>
    <w:rsid w:val="006C051F"/>
    <w:rsid w:val="006C0583"/>
    <w:rsid w:val="006C05AF"/>
    <w:rsid w:val="006C1CDA"/>
    <w:rsid w:val="006C22BD"/>
    <w:rsid w:val="006C2512"/>
    <w:rsid w:val="006C281F"/>
    <w:rsid w:val="006C2A5E"/>
    <w:rsid w:val="006C2D36"/>
    <w:rsid w:val="006C3853"/>
    <w:rsid w:val="006C3900"/>
    <w:rsid w:val="006C5119"/>
    <w:rsid w:val="006C5334"/>
    <w:rsid w:val="006C58B8"/>
    <w:rsid w:val="006C6535"/>
    <w:rsid w:val="006C668C"/>
    <w:rsid w:val="006C696E"/>
    <w:rsid w:val="006C6B98"/>
    <w:rsid w:val="006C6C14"/>
    <w:rsid w:val="006C71BD"/>
    <w:rsid w:val="006C741E"/>
    <w:rsid w:val="006C7BBC"/>
    <w:rsid w:val="006D050B"/>
    <w:rsid w:val="006D10E3"/>
    <w:rsid w:val="006D1136"/>
    <w:rsid w:val="006D1235"/>
    <w:rsid w:val="006D137E"/>
    <w:rsid w:val="006D1A06"/>
    <w:rsid w:val="006D2263"/>
    <w:rsid w:val="006D229C"/>
    <w:rsid w:val="006D3F2A"/>
    <w:rsid w:val="006D3F55"/>
    <w:rsid w:val="006D3F8F"/>
    <w:rsid w:val="006D4002"/>
    <w:rsid w:val="006D4309"/>
    <w:rsid w:val="006D4783"/>
    <w:rsid w:val="006D4A46"/>
    <w:rsid w:val="006D4CD8"/>
    <w:rsid w:val="006D4EAF"/>
    <w:rsid w:val="006D4F8F"/>
    <w:rsid w:val="006D5014"/>
    <w:rsid w:val="006D5FC3"/>
    <w:rsid w:val="006D6211"/>
    <w:rsid w:val="006D6404"/>
    <w:rsid w:val="006D6780"/>
    <w:rsid w:val="006D68FB"/>
    <w:rsid w:val="006D6FA8"/>
    <w:rsid w:val="006D7455"/>
    <w:rsid w:val="006D75C5"/>
    <w:rsid w:val="006D7ABD"/>
    <w:rsid w:val="006D7B55"/>
    <w:rsid w:val="006E00B6"/>
    <w:rsid w:val="006E073C"/>
    <w:rsid w:val="006E0971"/>
    <w:rsid w:val="006E0CE3"/>
    <w:rsid w:val="006E1B0A"/>
    <w:rsid w:val="006E1F2E"/>
    <w:rsid w:val="006E239A"/>
    <w:rsid w:val="006E2A72"/>
    <w:rsid w:val="006E2CB5"/>
    <w:rsid w:val="006E3CC6"/>
    <w:rsid w:val="006E3D79"/>
    <w:rsid w:val="006E3E57"/>
    <w:rsid w:val="006E42B0"/>
    <w:rsid w:val="006E435E"/>
    <w:rsid w:val="006E4457"/>
    <w:rsid w:val="006E4D56"/>
    <w:rsid w:val="006E5253"/>
    <w:rsid w:val="006E580D"/>
    <w:rsid w:val="006E6031"/>
    <w:rsid w:val="006E6759"/>
    <w:rsid w:val="006E7C68"/>
    <w:rsid w:val="006E815E"/>
    <w:rsid w:val="006F01D7"/>
    <w:rsid w:val="006F0371"/>
    <w:rsid w:val="006F0486"/>
    <w:rsid w:val="006F0845"/>
    <w:rsid w:val="006F0998"/>
    <w:rsid w:val="006F0E0A"/>
    <w:rsid w:val="006F1060"/>
    <w:rsid w:val="006F1555"/>
    <w:rsid w:val="006F1E27"/>
    <w:rsid w:val="006F1E91"/>
    <w:rsid w:val="006F2026"/>
    <w:rsid w:val="006F25C9"/>
    <w:rsid w:val="006F2D95"/>
    <w:rsid w:val="006F30C8"/>
    <w:rsid w:val="006F35EE"/>
    <w:rsid w:val="006F3A12"/>
    <w:rsid w:val="006F3CD8"/>
    <w:rsid w:val="006F3EE8"/>
    <w:rsid w:val="006F4020"/>
    <w:rsid w:val="006F45DF"/>
    <w:rsid w:val="006F47D6"/>
    <w:rsid w:val="006F47F3"/>
    <w:rsid w:val="006F4AF1"/>
    <w:rsid w:val="006F4CD4"/>
    <w:rsid w:val="006F520C"/>
    <w:rsid w:val="006F562E"/>
    <w:rsid w:val="006F59D4"/>
    <w:rsid w:val="006F60B9"/>
    <w:rsid w:val="006F6562"/>
    <w:rsid w:val="006F68D8"/>
    <w:rsid w:val="006F6926"/>
    <w:rsid w:val="006F6974"/>
    <w:rsid w:val="006F6ABC"/>
    <w:rsid w:val="006F7823"/>
    <w:rsid w:val="007002A2"/>
    <w:rsid w:val="007015AD"/>
    <w:rsid w:val="007015B6"/>
    <w:rsid w:val="00701E5E"/>
    <w:rsid w:val="00702320"/>
    <w:rsid w:val="007023AB"/>
    <w:rsid w:val="007023F8"/>
    <w:rsid w:val="00702747"/>
    <w:rsid w:val="0070317D"/>
    <w:rsid w:val="0070333A"/>
    <w:rsid w:val="00703826"/>
    <w:rsid w:val="00703EDE"/>
    <w:rsid w:val="0070487D"/>
    <w:rsid w:val="00704F56"/>
    <w:rsid w:val="0070590B"/>
    <w:rsid w:val="00705E73"/>
    <w:rsid w:val="0070618C"/>
    <w:rsid w:val="0070681A"/>
    <w:rsid w:val="00706BF0"/>
    <w:rsid w:val="00707207"/>
    <w:rsid w:val="007075DC"/>
    <w:rsid w:val="00707882"/>
    <w:rsid w:val="00707E1A"/>
    <w:rsid w:val="007103A1"/>
    <w:rsid w:val="00710655"/>
    <w:rsid w:val="00710676"/>
    <w:rsid w:val="0071099C"/>
    <w:rsid w:val="00710D8F"/>
    <w:rsid w:val="00711737"/>
    <w:rsid w:val="00711B14"/>
    <w:rsid w:val="00711DDD"/>
    <w:rsid w:val="007129C2"/>
    <w:rsid w:val="00712B07"/>
    <w:rsid w:val="00712FAD"/>
    <w:rsid w:val="0071389D"/>
    <w:rsid w:val="00713C5D"/>
    <w:rsid w:val="007142C6"/>
    <w:rsid w:val="00714569"/>
    <w:rsid w:val="00714748"/>
    <w:rsid w:val="00714DA6"/>
    <w:rsid w:val="00714FC2"/>
    <w:rsid w:val="0071506C"/>
    <w:rsid w:val="00715077"/>
    <w:rsid w:val="00715420"/>
    <w:rsid w:val="00715619"/>
    <w:rsid w:val="00715E05"/>
    <w:rsid w:val="007174B7"/>
    <w:rsid w:val="0071778A"/>
    <w:rsid w:val="00720161"/>
    <w:rsid w:val="0072019B"/>
    <w:rsid w:val="00720A13"/>
    <w:rsid w:val="00720AAE"/>
    <w:rsid w:val="00720EAB"/>
    <w:rsid w:val="00721F6C"/>
    <w:rsid w:val="00722137"/>
    <w:rsid w:val="007223AF"/>
    <w:rsid w:val="007223C4"/>
    <w:rsid w:val="00722A77"/>
    <w:rsid w:val="00722AFF"/>
    <w:rsid w:val="00722BF5"/>
    <w:rsid w:val="00722EC7"/>
    <w:rsid w:val="0072316C"/>
    <w:rsid w:val="0072485F"/>
    <w:rsid w:val="00724EB8"/>
    <w:rsid w:val="00725319"/>
    <w:rsid w:val="0072545C"/>
    <w:rsid w:val="007257C8"/>
    <w:rsid w:val="00725DBB"/>
    <w:rsid w:val="00725E7C"/>
    <w:rsid w:val="0072603F"/>
    <w:rsid w:val="007264F4"/>
    <w:rsid w:val="00726F4E"/>
    <w:rsid w:val="00727330"/>
    <w:rsid w:val="0072771D"/>
    <w:rsid w:val="00727847"/>
    <w:rsid w:val="00727FC4"/>
    <w:rsid w:val="007301B0"/>
    <w:rsid w:val="00730C5C"/>
    <w:rsid w:val="00730F8E"/>
    <w:rsid w:val="00731151"/>
    <w:rsid w:val="007315D4"/>
    <w:rsid w:val="007317E4"/>
    <w:rsid w:val="00731FF4"/>
    <w:rsid w:val="0073201C"/>
    <w:rsid w:val="00732268"/>
    <w:rsid w:val="00733126"/>
    <w:rsid w:val="0073318E"/>
    <w:rsid w:val="00733528"/>
    <w:rsid w:val="00733692"/>
    <w:rsid w:val="00733DA6"/>
    <w:rsid w:val="007346B9"/>
    <w:rsid w:val="00734DE4"/>
    <w:rsid w:val="007352E4"/>
    <w:rsid w:val="007356FC"/>
    <w:rsid w:val="007361B1"/>
    <w:rsid w:val="00736982"/>
    <w:rsid w:val="007379AE"/>
    <w:rsid w:val="00737B1A"/>
    <w:rsid w:val="00737B62"/>
    <w:rsid w:val="00737FFC"/>
    <w:rsid w:val="0074006C"/>
    <w:rsid w:val="00740094"/>
    <w:rsid w:val="007400C3"/>
    <w:rsid w:val="007400D0"/>
    <w:rsid w:val="007406E0"/>
    <w:rsid w:val="0074093A"/>
    <w:rsid w:val="00740A7A"/>
    <w:rsid w:val="00740D5A"/>
    <w:rsid w:val="00740DA8"/>
    <w:rsid w:val="00741C62"/>
    <w:rsid w:val="00741F8D"/>
    <w:rsid w:val="00742291"/>
    <w:rsid w:val="00742888"/>
    <w:rsid w:val="00742CFF"/>
    <w:rsid w:val="007431E8"/>
    <w:rsid w:val="0074343A"/>
    <w:rsid w:val="00743A5F"/>
    <w:rsid w:val="00744BA6"/>
    <w:rsid w:val="007461A1"/>
    <w:rsid w:val="00746674"/>
    <w:rsid w:val="00746905"/>
    <w:rsid w:val="007469D0"/>
    <w:rsid w:val="00746FC1"/>
    <w:rsid w:val="007475D6"/>
    <w:rsid w:val="00747894"/>
    <w:rsid w:val="00747B0B"/>
    <w:rsid w:val="00747DF6"/>
    <w:rsid w:val="00751206"/>
    <w:rsid w:val="00751AF6"/>
    <w:rsid w:val="00751B99"/>
    <w:rsid w:val="00751C69"/>
    <w:rsid w:val="00751CFC"/>
    <w:rsid w:val="00751ED7"/>
    <w:rsid w:val="00752805"/>
    <w:rsid w:val="00753124"/>
    <w:rsid w:val="00753211"/>
    <w:rsid w:val="0075340E"/>
    <w:rsid w:val="00753873"/>
    <w:rsid w:val="00753AA7"/>
    <w:rsid w:val="00754EE2"/>
    <w:rsid w:val="007556DA"/>
    <w:rsid w:val="00755B17"/>
    <w:rsid w:val="00755C6F"/>
    <w:rsid w:val="007572C0"/>
    <w:rsid w:val="00757700"/>
    <w:rsid w:val="0075787D"/>
    <w:rsid w:val="0076006A"/>
    <w:rsid w:val="00760B96"/>
    <w:rsid w:val="00760DC4"/>
    <w:rsid w:val="00761691"/>
    <w:rsid w:val="00761717"/>
    <w:rsid w:val="00761AA9"/>
    <w:rsid w:val="00761EB8"/>
    <w:rsid w:val="007621EA"/>
    <w:rsid w:val="00762226"/>
    <w:rsid w:val="007623A4"/>
    <w:rsid w:val="00762670"/>
    <w:rsid w:val="00762BFC"/>
    <w:rsid w:val="007633B1"/>
    <w:rsid w:val="00763513"/>
    <w:rsid w:val="00763CE1"/>
    <w:rsid w:val="00763D71"/>
    <w:rsid w:val="00764295"/>
    <w:rsid w:val="00764B66"/>
    <w:rsid w:val="00765CC7"/>
    <w:rsid w:val="007662DA"/>
    <w:rsid w:val="00766333"/>
    <w:rsid w:val="007668E0"/>
    <w:rsid w:val="00766A51"/>
    <w:rsid w:val="00767478"/>
    <w:rsid w:val="00767A25"/>
    <w:rsid w:val="00770003"/>
    <w:rsid w:val="00770345"/>
    <w:rsid w:val="007703D5"/>
    <w:rsid w:val="00770C1C"/>
    <w:rsid w:val="007717B7"/>
    <w:rsid w:val="007719BF"/>
    <w:rsid w:val="00771D9E"/>
    <w:rsid w:val="00771F00"/>
    <w:rsid w:val="00772262"/>
    <w:rsid w:val="00772E16"/>
    <w:rsid w:val="00772E32"/>
    <w:rsid w:val="00773419"/>
    <w:rsid w:val="00773643"/>
    <w:rsid w:val="007737DD"/>
    <w:rsid w:val="00773D9E"/>
    <w:rsid w:val="00773F28"/>
    <w:rsid w:val="00774145"/>
    <w:rsid w:val="007748C6"/>
    <w:rsid w:val="00775074"/>
    <w:rsid w:val="00775AC2"/>
    <w:rsid w:val="00776181"/>
    <w:rsid w:val="00776504"/>
    <w:rsid w:val="0077663A"/>
    <w:rsid w:val="00776714"/>
    <w:rsid w:val="00776EA8"/>
    <w:rsid w:val="007770D2"/>
    <w:rsid w:val="0077760C"/>
    <w:rsid w:val="007777B7"/>
    <w:rsid w:val="00777B67"/>
    <w:rsid w:val="00777D07"/>
    <w:rsid w:val="0078013F"/>
    <w:rsid w:val="00780354"/>
    <w:rsid w:val="00780C2A"/>
    <w:rsid w:val="00780CF1"/>
    <w:rsid w:val="00780D91"/>
    <w:rsid w:val="007812F4"/>
    <w:rsid w:val="00781372"/>
    <w:rsid w:val="00781F86"/>
    <w:rsid w:val="00782108"/>
    <w:rsid w:val="00782951"/>
    <w:rsid w:val="00782AB8"/>
    <w:rsid w:val="00782E09"/>
    <w:rsid w:val="00783018"/>
    <w:rsid w:val="0078345C"/>
    <w:rsid w:val="00783C0F"/>
    <w:rsid w:val="0078475E"/>
    <w:rsid w:val="0078486B"/>
    <w:rsid w:val="00784BEE"/>
    <w:rsid w:val="007856B1"/>
    <w:rsid w:val="00785F11"/>
    <w:rsid w:val="00786145"/>
    <w:rsid w:val="00786665"/>
    <w:rsid w:val="0078689D"/>
    <w:rsid w:val="00786A0C"/>
    <w:rsid w:val="00786BC2"/>
    <w:rsid w:val="00786CF7"/>
    <w:rsid w:val="0078749A"/>
    <w:rsid w:val="00787B38"/>
    <w:rsid w:val="00787B81"/>
    <w:rsid w:val="00787E97"/>
    <w:rsid w:val="00787F96"/>
    <w:rsid w:val="0079002D"/>
    <w:rsid w:val="0079059B"/>
    <w:rsid w:val="00790EA1"/>
    <w:rsid w:val="0079169E"/>
    <w:rsid w:val="0079180C"/>
    <w:rsid w:val="00791977"/>
    <w:rsid w:val="00791B95"/>
    <w:rsid w:val="00791DA8"/>
    <w:rsid w:val="00792010"/>
    <w:rsid w:val="00792310"/>
    <w:rsid w:val="007923CF"/>
    <w:rsid w:val="00792501"/>
    <w:rsid w:val="00792A59"/>
    <w:rsid w:val="00793107"/>
    <w:rsid w:val="007946DB"/>
    <w:rsid w:val="0079475C"/>
    <w:rsid w:val="00795306"/>
    <w:rsid w:val="007957EB"/>
    <w:rsid w:val="007958F8"/>
    <w:rsid w:val="00795960"/>
    <w:rsid w:val="007959BE"/>
    <w:rsid w:val="00795ABC"/>
    <w:rsid w:val="00795B42"/>
    <w:rsid w:val="00795BB3"/>
    <w:rsid w:val="00795FB4"/>
    <w:rsid w:val="00795FC8"/>
    <w:rsid w:val="00796042"/>
    <w:rsid w:val="0079631A"/>
    <w:rsid w:val="00796451"/>
    <w:rsid w:val="007965DA"/>
    <w:rsid w:val="00796A2D"/>
    <w:rsid w:val="00797141"/>
    <w:rsid w:val="00797B8A"/>
    <w:rsid w:val="00797BA6"/>
    <w:rsid w:val="007A0F99"/>
    <w:rsid w:val="007A1075"/>
    <w:rsid w:val="007A1460"/>
    <w:rsid w:val="007A1B22"/>
    <w:rsid w:val="007A3263"/>
    <w:rsid w:val="007A33D6"/>
    <w:rsid w:val="007A352B"/>
    <w:rsid w:val="007A3B28"/>
    <w:rsid w:val="007A45D9"/>
    <w:rsid w:val="007A5135"/>
    <w:rsid w:val="007A55E9"/>
    <w:rsid w:val="007A5854"/>
    <w:rsid w:val="007A66C8"/>
    <w:rsid w:val="007A7516"/>
    <w:rsid w:val="007A758E"/>
    <w:rsid w:val="007A782D"/>
    <w:rsid w:val="007A784B"/>
    <w:rsid w:val="007A7DAB"/>
    <w:rsid w:val="007A7F24"/>
    <w:rsid w:val="007B0283"/>
    <w:rsid w:val="007B09C3"/>
    <w:rsid w:val="007B0A10"/>
    <w:rsid w:val="007B0F65"/>
    <w:rsid w:val="007B14A2"/>
    <w:rsid w:val="007B15BF"/>
    <w:rsid w:val="007B1816"/>
    <w:rsid w:val="007B1B91"/>
    <w:rsid w:val="007B2452"/>
    <w:rsid w:val="007B2FAE"/>
    <w:rsid w:val="007B2FE6"/>
    <w:rsid w:val="007B3B90"/>
    <w:rsid w:val="007B47A6"/>
    <w:rsid w:val="007B4BD3"/>
    <w:rsid w:val="007B4C1B"/>
    <w:rsid w:val="007B4E58"/>
    <w:rsid w:val="007B5B7E"/>
    <w:rsid w:val="007B67C2"/>
    <w:rsid w:val="007B6EA2"/>
    <w:rsid w:val="007B7014"/>
    <w:rsid w:val="007B7211"/>
    <w:rsid w:val="007B734A"/>
    <w:rsid w:val="007B7414"/>
    <w:rsid w:val="007B751F"/>
    <w:rsid w:val="007B781F"/>
    <w:rsid w:val="007B7B7E"/>
    <w:rsid w:val="007C11A1"/>
    <w:rsid w:val="007C12BB"/>
    <w:rsid w:val="007C1823"/>
    <w:rsid w:val="007C1C8C"/>
    <w:rsid w:val="007C2614"/>
    <w:rsid w:val="007C2C03"/>
    <w:rsid w:val="007C2D65"/>
    <w:rsid w:val="007C30E4"/>
    <w:rsid w:val="007C3618"/>
    <w:rsid w:val="007C395E"/>
    <w:rsid w:val="007C39B8"/>
    <w:rsid w:val="007C3BA3"/>
    <w:rsid w:val="007C3C6C"/>
    <w:rsid w:val="007C3D58"/>
    <w:rsid w:val="007C3DC8"/>
    <w:rsid w:val="007C3EED"/>
    <w:rsid w:val="007C433A"/>
    <w:rsid w:val="007C43A8"/>
    <w:rsid w:val="007C441E"/>
    <w:rsid w:val="007C44BA"/>
    <w:rsid w:val="007C4A46"/>
    <w:rsid w:val="007C56C1"/>
    <w:rsid w:val="007C5F67"/>
    <w:rsid w:val="007C626A"/>
    <w:rsid w:val="007C6F0F"/>
    <w:rsid w:val="007C775F"/>
    <w:rsid w:val="007D0704"/>
    <w:rsid w:val="007D135C"/>
    <w:rsid w:val="007D13E1"/>
    <w:rsid w:val="007D1B44"/>
    <w:rsid w:val="007D214D"/>
    <w:rsid w:val="007D2259"/>
    <w:rsid w:val="007D23B0"/>
    <w:rsid w:val="007D2F75"/>
    <w:rsid w:val="007D315E"/>
    <w:rsid w:val="007D4010"/>
    <w:rsid w:val="007D4DB0"/>
    <w:rsid w:val="007D4DDA"/>
    <w:rsid w:val="007D5FC9"/>
    <w:rsid w:val="007D67DA"/>
    <w:rsid w:val="007D72D2"/>
    <w:rsid w:val="007D7AAC"/>
    <w:rsid w:val="007D7E6F"/>
    <w:rsid w:val="007E0AFF"/>
    <w:rsid w:val="007E0D6B"/>
    <w:rsid w:val="007E0D8E"/>
    <w:rsid w:val="007E0EF2"/>
    <w:rsid w:val="007E104E"/>
    <w:rsid w:val="007E1077"/>
    <w:rsid w:val="007E18DC"/>
    <w:rsid w:val="007E18F9"/>
    <w:rsid w:val="007E1956"/>
    <w:rsid w:val="007E19C2"/>
    <w:rsid w:val="007E20BB"/>
    <w:rsid w:val="007E221B"/>
    <w:rsid w:val="007E260C"/>
    <w:rsid w:val="007E27DB"/>
    <w:rsid w:val="007E3409"/>
    <w:rsid w:val="007E3613"/>
    <w:rsid w:val="007E367D"/>
    <w:rsid w:val="007E43B2"/>
    <w:rsid w:val="007E46A5"/>
    <w:rsid w:val="007E46C9"/>
    <w:rsid w:val="007E4ACB"/>
    <w:rsid w:val="007E4C6F"/>
    <w:rsid w:val="007E57B0"/>
    <w:rsid w:val="007E65BF"/>
    <w:rsid w:val="007E68BC"/>
    <w:rsid w:val="007E6CA7"/>
    <w:rsid w:val="007E79CF"/>
    <w:rsid w:val="007E7E6C"/>
    <w:rsid w:val="007F0A33"/>
    <w:rsid w:val="007F0E06"/>
    <w:rsid w:val="007F0F47"/>
    <w:rsid w:val="007F0FF9"/>
    <w:rsid w:val="007F1414"/>
    <w:rsid w:val="007F14AE"/>
    <w:rsid w:val="007F17FD"/>
    <w:rsid w:val="007F18DE"/>
    <w:rsid w:val="007F1E52"/>
    <w:rsid w:val="007F1EF8"/>
    <w:rsid w:val="007F2327"/>
    <w:rsid w:val="007F2976"/>
    <w:rsid w:val="007F30B6"/>
    <w:rsid w:val="007F35E8"/>
    <w:rsid w:val="007F3B0F"/>
    <w:rsid w:val="007F413F"/>
    <w:rsid w:val="007F47EE"/>
    <w:rsid w:val="007F4CD7"/>
    <w:rsid w:val="007F57C7"/>
    <w:rsid w:val="007F6350"/>
    <w:rsid w:val="007F6582"/>
    <w:rsid w:val="007F66B5"/>
    <w:rsid w:val="007F6BA5"/>
    <w:rsid w:val="007F70B7"/>
    <w:rsid w:val="007F74BA"/>
    <w:rsid w:val="007F76FE"/>
    <w:rsid w:val="007F7DF6"/>
    <w:rsid w:val="00800A07"/>
    <w:rsid w:val="00800F45"/>
    <w:rsid w:val="00801119"/>
    <w:rsid w:val="008014B1"/>
    <w:rsid w:val="00801581"/>
    <w:rsid w:val="00801E21"/>
    <w:rsid w:val="0080201A"/>
    <w:rsid w:val="008024AD"/>
    <w:rsid w:val="008029F3"/>
    <w:rsid w:val="00802B08"/>
    <w:rsid w:val="00802EDE"/>
    <w:rsid w:val="008030A1"/>
    <w:rsid w:val="00803334"/>
    <w:rsid w:val="0080359E"/>
    <w:rsid w:val="00803ACC"/>
    <w:rsid w:val="00803C34"/>
    <w:rsid w:val="00804AC6"/>
    <w:rsid w:val="008052DD"/>
    <w:rsid w:val="00805C45"/>
    <w:rsid w:val="00806247"/>
    <w:rsid w:val="00806BE4"/>
    <w:rsid w:val="00807852"/>
    <w:rsid w:val="0081057D"/>
    <w:rsid w:val="008110C0"/>
    <w:rsid w:val="0081148F"/>
    <w:rsid w:val="00812219"/>
    <w:rsid w:val="008122B7"/>
    <w:rsid w:val="00812977"/>
    <w:rsid w:val="00812CB0"/>
    <w:rsid w:val="0081343B"/>
    <w:rsid w:val="00813FA2"/>
    <w:rsid w:val="008144BB"/>
    <w:rsid w:val="0081469F"/>
    <w:rsid w:val="008149E8"/>
    <w:rsid w:val="00814B51"/>
    <w:rsid w:val="00814F78"/>
    <w:rsid w:val="0081506B"/>
    <w:rsid w:val="00815499"/>
    <w:rsid w:val="0081597D"/>
    <w:rsid w:val="00816462"/>
    <w:rsid w:val="00816B43"/>
    <w:rsid w:val="0081787D"/>
    <w:rsid w:val="00817CBD"/>
    <w:rsid w:val="00817CD2"/>
    <w:rsid w:val="00820197"/>
    <w:rsid w:val="008202DE"/>
    <w:rsid w:val="0082055B"/>
    <w:rsid w:val="00820A11"/>
    <w:rsid w:val="008216EE"/>
    <w:rsid w:val="00822638"/>
    <w:rsid w:val="00822E0D"/>
    <w:rsid w:val="00822EE9"/>
    <w:rsid w:val="008231C5"/>
    <w:rsid w:val="00823CA1"/>
    <w:rsid w:val="00824B4A"/>
    <w:rsid w:val="00824C1A"/>
    <w:rsid w:val="00824C34"/>
    <w:rsid w:val="0082501C"/>
    <w:rsid w:val="00826045"/>
    <w:rsid w:val="00826071"/>
    <w:rsid w:val="008261CB"/>
    <w:rsid w:val="008261EA"/>
    <w:rsid w:val="00827565"/>
    <w:rsid w:val="00827AAD"/>
    <w:rsid w:val="00827C70"/>
    <w:rsid w:val="00830048"/>
    <w:rsid w:val="00830E0F"/>
    <w:rsid w:val="00830EAF"/>
    <w:rsid w:val="00831462"/>
    <w:rsid w:val="0083180A"/>
    <w:rsid w:val="00831F7B"/>
    <w:rsid w:val="0083266F"/>
    <w:rsid w:val="00832A20"/>
    <w:rsid w:val="00832CC3"/>
    <w:rsid w:val="00832D32"/>
    <w:rsid w:val="00832EF6"/>
    <w:rsid w:val="0083306F"/>
    <w:rsid w:val="00833D5F"/>
    <w:rsid w:val="00833F73"/>
    <w:rsid w:val="00834599"/>
    <w:rsid w:val="00834806"/>
    <w:rsid w:val="00834D15"/>
    <w:rsid w:val="00835102"/>
    <w:rsid w:val="00835211"/>
    <w:rsid w:val="00835E10"/>
    <w:rsid w:val="00835EF5"/>
    <w:rsid w:val="0083612B"/>
    <w:rsid w:val="008369E1"/>
    <w:rsid w:val="00836E44"/>
    <w:rsid w:val="008379E1"/>
    <w:rsid w:val="00837D06"/>
    <w:rsid w:val="008406DA"/>
    <w:rsid w:val="008406E3"/>
    <w:rsid w:val="0084206A"/>
    <w:rsid w:val="00842355"/>
    <w:rsid w:val="00842CD8"/>
    <w:rsid w:val="00843343"/>
    <w:rsid w:val="0084340B"/>
    <w:rsid w:val="008436AA"/>
    <w:rsid w:val="00843C38"/>
    <w:rsid w:val="00843CD2"/>
    <w:rsid w:val="008440DC"/>
    <w:rsid w:val="008444C7"/>
    <w:rsid w:val="00844DB3"/>
    <w:rsid w:val="00844F0C"/>
    <w:rsid w:val="00845B05"/>
    <w:rsid w:val="00845C29"/>
    <w:rsid w:val="00846497"/>
    <w:rsid w:val="008464DF"/>
    <w:rsid w:val="00846DF6"/>
    <w:rsid w:val="00846E7A"/>
    <w:rsid w:val="00847286"/>
    <w:rsid w:val="00847A26"/>
    <w:rsid w:val="008502D8"/>
    <w:rsid w:val="008502F8"/>
    <w:rsid w:val="00850613"/>
    <w:rsid w:val="00850E08"/>
    <w:rsid w:val="008513B9"/>
    <w:rsid w:val="008517E1"/>
    <w:rsid w:val="00851981"/>
    <w:rsid w:val="00851A75"/>
    <w:rsid w:val="0085227A"/>
    <w:rsid w:val="008526C3"/>
    <w:rsid w:val="00852F91"/>
    <w:rsid w:val="00853269"/>
    <w:rsid w:val="008538E6"/>
    <w:rsid w:val="00853B33"/>
    <w:rsid w:val="00853D6E"/>
    <w:rsid w:val="00855309"/>
    <w:rsid w:val="00855B1E"/>
    <w:rsid w:val="00855C73"/>
    <w:rsid w:val="00856232"/>
    <w:rsid w:val="0085625F"/>
    <w:rsid w:val="008562D1"/>
    <w:rsid w:val="00856852"/>
    <w:rsid w:val="00856AA2"/>
    <w:rsid w:val="00856B41"/>
    <w:rsid w:val="00857307"/>
    <w:rsid w:val="00857549"/>
    <w:rsid w:val="00857627"/>
    <w:rsid w:val="008604C3"/>
    <w:rsid w:val="008606C0"/>
    <w:rsid w:val="0086092A"/>
    <w:rsid w:val="00860AC4"/>
    <w:rsid w:val="0086140D"/>
    <w:rsid w:val="008619D2"/>
    <w:rsid w:val="00862256"/>
    <w:rsid w:val="00862A88"/>
    <w:rsid w:val="00862B2F"/>
    <w:rsid w:val="00862F6E"/>
    <w:rsid w:val="00863081"/>
    <w:rsid w:val="00863DC7"/>
    <w:rsid w:val="00863ED2"/>
    <w:rsid w:val="0086477F"/>
    <w:rsid w:val="0086488B"/>
    <w:rsid w:val="008651B0"/>
    <w:rsid w:val="008652A5"/>
    <w:rsid w:val="0086532B"/>
    <w:rsid w:val="00865464"/>
    <w:rsid w:val="008655C4"/>
    <w:rsid w:val="0086570F"/>
    <w:rsid w:val="0086575F"/>
    <w:rsid w:val="00865CA5"/>
    <w:rsid w:val="008664AF"/>
    <w:rsid w:val="00866BF3"/>
    <w:rsid w:val="0086710A"/>
    <w:rsid w:val="00867233"/>
    <w:rsid w:val="008705AA"/>
    <w:rsid w:val="00870A12"/>
    <w:rsid w:val="00871338"/>
    <w:rsid w:val="008716BE"/>
    <w:rsid w:val="008717C3"/>
    <w:rsid w:val="00871FB5"/>
    <w:rsid w:val="0087250C"/>
    <w:rsid w:val="008726E1"/>
    <w:rsid w:val="008729DB"/>
    <w:rsid w:val="008738D3"/>
    <w:rsid w:val="00873BCA"/>
    <w:rsid w:val="008743D8"/>
    <w:rsid w:val="00874791"/>
    <w:rsid w:val="00874829"/>
    <w:rsid w:val="00874B4C"/>
    <w:rsid w:val="008763DE"/>
    <w:rsid w:val="00876BDF"/>
    <w:rsid w:val="00877930"/>
    <w:rsid w:val="008779F3"/>
    <w:rsid w:val="00877BCE"/>
    <w:rsid w:val="00877CA7"/>
    <w:rsid w:val="00880B34"/>
    <w:rsid w:val="008812B8"/>
    <w:rsid w:val="0088196C"/>
    <w:rsid w:val="00881A59"/>
    <w:rsid w:val="00881C81"/>
    <w:rsid w:val="00882537"/>
    <w:rsid w:val="0088288E"/>
    <w:rsid w:val="00882EB1"/>
    <w:rsid w:val="008830B1"/>
    <w:rsid w:val="00883A60"/>
    <w:rsid w:val="00883D7D"/>
    <w:rsid w:val="008841D7"/>
    <w:rsid w:val="00884282"/>
    <w:rsid w:val="00884362"/>
    <w:rsid w:val="008844F3"/>
    <w:rsid w:val="008848AF"/>
    <w:rsid w:val="008848F4"/>
    <w:rsid w:val="00884983"/>
    <w:rsid w:val="00884C8E"/>
    <w:rsid w:val="008850D2"/>
    <w:rsid w:val="008853FA"/>
    <w:rsid w:val="00885483"/>
    <w:rsid w:val="00886351"/>
    <w:rsid w:val="00886608"/>
    <w:rsid w:val="008868AD"/>
    <w:rsid w:val="00886D25"/>
    <w:rsid w:val="0088707D"/>
    <w:rsid w:val="008872B2"/>
    <w:rsid w:val="00887FE6"/>
    <w:rsid w:val="00890434"/>
    <w:rsid w:val="0089089C"/>
    <w:rsid w:val="00890BDE"/>
    <w:rsid w:val="00890E61"/>
    <w:rsid w:val="00892FB2"/>
    <w:rsid w:val="00893138"/>
    <w:rsid w:val="008934B3"/>
    <w:rsid w:val="0089372E"/>
    <w:rsid w:val="00893891"/>
    <w:rsid w:val="00893E03"/>
    <w:rsid w:val="00894CC9"/>
    <w:rsid w:val="00894D50"/>
    <w:rsid w:val="00894FCE"/>
    <w:rsid w:val="00895348"/>
    <w:rsid w:val="00895B3C"/>
    <w:rsid w:val="00895C78"/>
    <w:rsid w:val="00895DCC"/>
    <w:rsid w:val="00895ED2"/>
    <w:rsid w:val="00895FA0"/>
    <w:rsid w:val="0089623B"/>
    <w:rsid w:val="008964A8"/>
    <w:rsid w:val="008968F7"/>
    <w:rsid w:val="00896CCD"/>
    <w:rsid w:val="0089749E"/>
    <w:rsid w:val="0089760E"/>
    <w:rsid w:val="008A0024"/>
    <w:rsid w:val="008A0DA0"/>
    <w:rsid w:val="008A0EAD"/>
    <w:rsid w:val="008A10EA"/>
    <w:rsid w:val="008A195F"/>
    <w:rsid w:val="008A1986"/>
    <w:rsid w:val="008A1D42"/>
    <w:rsid w:val="008A28A7"/>
    <w:rsid w:val="008A28FA"/>
    <w:rsid w:val="008A2F0A"/>
    <w:rsid w:val="008A41FE"/>
    <w:rsid w:val="008A489E"/>
    <w:rsid w:val="008A526F"/>
    <w:rsid w:val="008A54BF"/>
    <w:rsid w:val="008A56B9"/>
    <w:rsid w:val="008A60F7"/>
    <w:rsid w:val="008A62FB"/>
    <w:rsid w:val="008A6624"/>
    <w:rsid w:val="008A6813"/>
    <w:rsid w:val="008A6A52"/>
    <w:rsid w:val="008A6E4E"/>
    <w:rsid w:val="008A6EAB"/>
    <w:rsid w:val="008A7252"/>
    <w:rsid w:val="008A75FC"/>
    <w:rsid w:val="008A79ED"/>
    <w:rsid w:val="008A7BB5"/>
    <w:rsid w:val="008A7C17"/>
    <w:rsid w:val="008B0553"/>
    <w:rsid w:val="008B0707"/>
    <w:rsid w:val="008B0EDE"/>
    <w:rsid w:val="008B0F38"/>
    <w:rsid w:val="008B107E"/>
    <w:rsid w:val="008B1515"/>
    <w:rsid w:val="008B17A9"/>
    <w:rsid w:val="008B1853"/>
    <w:rsid w:val="008B1E84"/>
    <w:rsid w:val="008B2A8D"/>
    <w:rsid w:val="008B2C49"/>
    <w:rsid w:val="008B3636"/>
    <w:rsid w:val="008B3C8E"/>
    <w:rsid w:val="008B4783"/>
    <w:rsid w:val="008B4A20"/>
    <w:rsid w:val="008B4CF4"/>
    <w:rsid w:val="008B5168"/>
    <w:rsid w:val="008B519E"/>
    <w:rsid w:val="008B5255"/>
    <w:rsid w:val="008B549D"/>
    <w:rsid w:val="008B5F41"/>
    <w:rsid w:val="008B64F4"/>
    <w:rsid w:val="008B6D0F"/>
    <w:rsid w:val="008B738D"/>
    <w:rsid w:val="008B781F"/>
    <w:rsid w:val="008B7A4B"/>
    <w:rsid w:val="008B7E1C"/>
    <w:rsid w:val="008C0426"/>
    <w:rsid w:val="008C04F7"/>
    <w:rsid w:val="008C0953"/>
    <w:rsid w:val="008C0D07"/>
    <w:rsid w:val="008C14FF"/>
    <w:rsid w:val="008C16AB"/>
    <w:rsid w:val="008C1842"/>
    <w:rsid w:val="008C2408"/>
    <w:rsid w:val="008C2469"/>
    <w:rsid w:val="008C2750"/>
    <w:rsid w:val="008C2974"/>
    <w:rsid w:val="008C2AF0"/>
    <w:rsid w:val="008C2B67"/>
    <w:rsid w:val="008C2DA7"/>
    <w:rsid w:val="008C2F93"/>
    <w:rsid w:val="008C308F"/>
    <w:rsid w:val="008C3A57"/>
    <w:rsid w:val="008C4447"/>
    <w:rsid w:val="008C4547"/>
    <w:rsid w:val="008C4753"/>
    <w:rsid w:val="008C4A9A"/>
    <w:rsid w:val="008C4EBA"/>
    <w:rsid w:val="008C5A07"/>
    <w:rsid w:val="008C5B76"/>
    <w:rsid w:val="008C5E04"/>
    <w:rsid w:val="008C600F"/>
    <w:rsid w:val="008C6681"/>
    <w:rsid w:val="008C67A2"/>
    <w:rsid w:val="008C6A82"/>
    <w:rsid w:val="008C6FFC"/>
    <w:rsid w:val="008C7207"/>
    <w:rsid w:val="008C7B2E"/>
    <w:rsid w:val="008C7FE5"/>
    <w:rsid w:val="008D07AB"/>
    <w:rsid w:val="008D1179"/>
    <w:rsid w:val="008D198D"/>
    <w:rsid w:val="008D19E4"/>
    <w:rsid w:val="008D24B7"/>
    <w:rsid w:val="008D25E0"/>
    <w:rsid w:val="008D2821"/>
    <w:rsid w:val="008D3380"/>
    <w:rsid w:val="008D3739"/>
    <w:rsid w:val="008D37C3"/>
    <w:rsid w:val="008D38A3"/>
    <w:rsid w:val="008D3FA5"/>
    <w:rsid w:val="008D4382"/>
    <w:rsid w:val="008D447D"/>
    <w:rsid w:val="008D4621"/>
    <w:rsid w:val="008D48D4"/>
    <w:rsid w:val="008D5842"/>
    <w:rsid w:val="008D59EB"/>
    <w:rsid w:val="008D5B78"/>
    <w:rsid w:val="008D5C18"/>
    <w:rsid w:val="008D5D95"/>
    <w:rsid w:val="008D6009"/>
    <w:rsid w:val="008D6023"/>
    <w:rsid w:val="008D6CFB"/>
    <w:rsid w:val="008D722F"/>
    <w:rsid w:val="008D73A0"/>
    <w:rsid w:val="008D74F6"/>
    <w:rsid w:val="008D7A0C"/>
    <w:rsid w:val="008D7BA8"/>
    <w:rsid w:val="008D7EF4"/>
    <w:rsid w:val="008E01A1"/>
    <w:rsid w:val="008E0950"/>
    <w:rsid w:val="008E1A6E"/>
    <w:rsid w:val="008E1ABA"/>
    <w:rsid w:val="008E1C69"/>
    <w:rsid w:val="008E1E67"/>
    <w:rsid w:val="008E1F34"/>
    <w:rsid w:val="008E2E04"/>
    <w:rsid w:val="008E381D"/>
    <w:rsid w:val="008E38A0"/>
    <w:rsid w:val="008E45AE"/>
    <w:rsid w:val="008E4D5B"/>
    <w:rsid w:val="008E59AF"/>
    <w:rsid w:val="008E5F12"/>
    <w:rsid w:val="008E68DF"/>
    <w:rsid w:val="008E6D6B"/>
    <w:rsid w:val="008E6DA4"/>
    <w:rsid w:val="008E732E"/>
    <w:rsid w:val="008E79DC"/>
    <w:rsid w:val="008E7E21"/>
    <w:rsid w:val="008F052A"/>
    <w:rsid w:val="008F0D32"/>
    <w:rsid w:val="008F116D"/>
    <w:rsid w:val="008F12B7"/>
    <w:rsid w:val="008F161C"/>
    <w:rsid w:val="008F1EF6"/>
    <w:rsid w:val="008F2E09"/>
    <w:rsid w:val="008F300D"/>
    <w:rsid w:val="008F3435"/>
    <w:rsid w:val="008F4195"/>
    <w:rsid w:val="008F43D4"/>
    <w:rsid w:val="008F4E89"/>
    <w:rsid w:val="008F50C5"/>
    <w:rsid w:val="008F52EE"/>
    <w:rsid w:val="008F5ADD"/>
    <w:rsid w:val="008F60D2"/>
    <w:rsid w:val="008F6974"/>
    <w:rsid w:val="008F7455"/>
    <w:rsid w:val="008F756E"/>
    <w:rsid w:val="008F7863"/>
    <w:rsid w:val="008F7F65"/>
    <w:rsid w:val="009007FE"/>
    <w:rsid w:val="00900AC1"/>
    <w:rsid w:val="00900F0B"/>
    <w:rsid w:val="009012A5"/>
    <w:rsid w:val="009015D8"/>
    <w:rsid w:val="009030E3"/>
    <w:rsid w:val="0090318D"/>
    <w:rsid w:val="00903418"/>
    <w:rsid w:val="00903F0A"/>
    <w:rsid w:val="009042A5"/>
    <w:rsid w:val="0090431B"/>
    <w:rsid w:val="00905255"/>
    <w:rsid w:val="00905A80"/>
    <w:rsid w:val="00906BB1"/>
    <w:rsid w:val="00907925"/>
    <w:rsid w:val="00907EB3"/>
    <w:rsid w:val="0091068E"/>
    <w:rsid w:val="00910807"/>
    <w:rsid w:val="0091091D"/>
    <w:rsid w:val="00910C5E"/>
    <w:rsid w:val="009111B6"/>
    <w:rsid w:val="009117DF"/>
    <w:rsid w:val="00911897"/>
    <w:rsid w:val="00911B58"/>
    <w:rsid w:val="00911C7C"/>
    <w:rsid w:val="00911DB0"/>
    <w:rsid w:val="009138B2"/>
    <w:rsid w:val="009139D1"/>
    <w:rsid w:val="009140CC"/>
    <w:rsid w:val="00914145"/>
    <w:rsid w:val="009141FF"/>
    <w:rsid w:val="009142AF"/>
    <w:rsid w:val="00914C0D"/>
    <w:rsid w:val="0091551D"/>
    <w:rsid w:val="00915D07"/>
    <w:rsid w:val="00915EE2"/>
    <w:rsid w:val="009162D0"/>
    <w:rsid w:val="009163A5"/>
    <w:rsid w:val="00916B16"/>
    <w:rsid w:val="00916E33"/>
    <w:rsid w:val="009175F8"/>
    <w:rsid w:val="009200C2"/>
    <w:rsid w:val="00920566"/>
    <w:rsid w:val="00920A64"/>
    <w:rsid w:val="00920D1A"/>
    <w:rsid w:val="009218D7"/>
    <w:rsid w:val="00921B1C"/>
    <w:rsid w:val="00921DFF"/>
    <w:rsid w:val="00921FEE"/>
    <w:rsid w:val="0092202F"/>
    <w:rsid w:val="009223D7"/>
    <w:rsid w:val="00922677"/>
    <w:rsid w:val="00922690"/>
    <w:rsid w:val="00922C4E"/>
    <w:rsid w:val="00922FF4"/>
    <w:rsid w:val="00923165"/>
    <w:rsid w:val="009235ED"/>
    <w:rsid w:val="0092368A"/>
    <w:rsid w:val="0092424D"/>
    <w:rsid w:val="0092480F"/>
    <w:rsid w:val="0092495E"/>
    <w:rsid w:val="00924F87"/>
    <w:rsid w:val="009258C2"/>
    <w:rsid w:val="00925A08"/>
    <w:rsid w:val="00925DE6"/>
    <w:rsid w:val="00926123"/>
    <w:rsid w:val="00926D8A"/>
    <w:rsid w:val="00926DC9"/>
    <w:rsid w:val="00927198"/>
    <w:rsid w:val="009275B1"/>
    <w:rsid w:val="00927E3D"/>
    <w:rsid w:val="00927E77"/>
    <w:rsid w:val="00930365"/>
    <w:rsid w:val="009306ED"/>
    <w:rsid w:val="00930E53"/>
    <w:rsid w:val="00930FCD"/>
    <w:rsid w:val="009325C3"/>
    <w:rsid w:val="00932A7A"/>
    <w:rsid w:val="00933954"/>
    <w:rsid w:val="009339C3"/>
    <w:rsid w:val="00933DAA"/>
    <w:rsid w:val="00933F5F"/>
    <w:rsid w:val="00934A3B"/>
    <w:rsid w:val="00934AC3"/>
    <w:rsid w:val="00934BB5"/>
    <w:rsid w:val="00934F3E"/>
    <w:rsid w:val="00935240"/>
    <w:rsid w:val="009358A9"/>
    <w:rsid w:val="009359C6"/>
    <w:rsid w:val="00935AD4"/>
    <w:rsid w:val="00935F1F"/>
    <w:rsid w:val="009361A0"/>
    <w:rsid w:val="0093682B"/>
    <w:rsid w:val="00936D3B"/>
    <w:rsid w:val="009372D3"/>
    <w:rsid w:val="009376D2"/>
    <w:rsid w:val="009402B5"/>
    <w:rsid w:val="00940448"/>
    <w:rsid w:val="009405E1"/>
    <w:rsid w:val="00940AB6"/>
    <w:rsid w:val="00940EFA"/>
    <w:rsid w:val="00941A3A"/>
    <w:rsid w:val="0094233E"/>
    <w:rsid w:val="00942C55"/>
    <w:rsid w:val="00943306"/>
    <w:rsid w:val="0094354C"/>
    <w:rsid w:val="009436AF"/>
    <w:rsid w:val="009436F0"/>
    <w:rsid w:val="0094391F"/>
    <w:rsid w:val="00943B14"/>
    <w:rsid w:val="00943B8A"/>
    <w:rsid w:val="00944A1F"/>
    <w:rsid w:val="0094516D"/>
    <w:rsid w:val="0094550D"/>
    <w:rsid w:val="009457BC"/>
    <w:rsid w:val="009460E9"/>
    <w:rsid w:val="009461EC"/>
    <w:rsid w:val="00946761"/>
    <w:rsid w:val="00946C3B"/>
    <w:rsid w:val="00946D61"/>
    <w:rsid w:val="009479B3"/>
    <w:rsid w:val="009479D9"/>
    <w:rsid w:val="009479DA"/>
    <w:rsid w:val="0095012E"/>
    <w:rsid w:val="0095067E"/>
    <w:rsid w:val="009507BE"/>
    <w:rsid w:val="00950B4E"/>
    <w:rsid w:val="009512BF"/>
    <w:rsid w:val="00951B15"/>
    <w:rsid w:val="0095222D"/>
    <w:rsid w:val="009526C1"/>
    <w:rsid w:val="00952900"/>
    <w:rsid w:val="00952DD8"/>
    <w:rsid w:val="00953284"/>
    <w:rsid w:val="009538E1"/>
    <w:rsid w:val="00953C4C"/>
    <w:rsid w:val="00953EE6"/>
    <w:rsid w:val="009540A2"/>
    <w:rsid w:val="00954559"/>
    <w:rsid w:val="009547A7"/>
    <w:rsid w:val="00954906"/>
    <w:rsid w:val="00954FDB"/>
    <w:rsid w:val="009551F6"/>
    <w:rsid w:val="00955509"/>
    <w:rsid w:val="009556EB"/>
    <w:rsid w:val="00955B79"/>
    <w:rsid w:val="00955E28"/>
    <w:rsid w:val="0095634B"/>
    <w:rsid w:val="00956444"/>
    <w:rsid w:val="0095693D"/>
    <w:rsid w:val="00956D01"/>
    <w:rsid w:val="0095743E"/>
    <w:rsid w:val="0095755E"/>
    <w:rsid w:val="009577D2"/>
    <w:rsid w:val="00957D8E"/>
    <w:rsid w:val="00960DF7"/>
    <w:rsid w:val="009615F3"/>
    <w:rsid w:val="0096287E"/>
    <w:rsid w:val="009630BC"/>
    <w:rsid w:val="0096337C"/>
    <w:rsid w:val="0096341C"/>
    <w:rsid w:val="009634D6"/>
    <w:rsid w:val="009636DD"/>
    <w:rsid w:val="00963D8C"/>
    <w:rsid w:val="00964008"/>
    <w:rsid w:val="009641C4"/>
    <w:rsid w:val="0096438E"/>
    <w:rsid w:val="0096442E"/>
    <w:rsid w:val="00964469"/>
    <w:rsid w:val="00964523"/>
    <w:rsid w:val="00964E43"/>
    <w:rsid w:val="00964EB3"/>
    <w:rsid w:val="0096599E"/>
    <w:rsid w:val="00966465"/>
    <w:rsid w:val="009664A1"/>
    <w:rsid w:val="009665AA"/>
    <w:rsid w:val="009677F4"/>
    <w:rsid w:val="00967A2D"/>
    <w:rsid w:val="00967AAC"/>
    <w:rsid w:val="00967CFC"/>
    <w:rsid w:val="00967F74"/>
    <w:rsid w:val="009704AE"/>
    <w:rsid w:val="00970817"/>
    <w:rsid w:val="0097087A"/>
    <w:rsid w:val="00970D42"/>
    <w:rsid w:val="00970E70"/>
    <w:rsid w:val="009711FD"/>
    <w:rsid w:val="009716A8"/>
    <w:rsid w:val="009716AC"/>
    <w:rsid w:val="0097172E"/>
    <w:rsid w:val="00971899"/>
    <w:rsid w:val="00971F05"/>
    <w:rsid w:val="00972097"/>
    <w:rsid w:val="00972AC0"/>
    <w:rsid w:val="00973505"/>
    <w:rsid w:val="00974ADA"/>
    <w:rsid w:val="00974E47"/>
    <w:rsid w:val="00974F6D"/>
    <w:rsid w:val="00975387"/>
    <w:rsid w:val="00975988"/>
    <w:rsid w:val="00977350"/>
    <w:rsid w:val="00977EC7"/>
    <w:rsid w:val="00977F4D"/>
    <w:rsid w:val="00980333"/>
    <w:rsid w:val="00980BD8"/>
    <w:rsid w:val="00980CBA"/>
    <w:rsid w:val="00981378"/>
    <w:rsid w:val="009814A2"/>
    <w:rsid w:val="00981B0B"/>
    <w:rsid w:val="00981DF1"/>
    <w:rsid w:val="00982637"/>
    <w:rsid w:val="00982FDB"/>
    <w:rsid w:val="0098308B"/>
    <w:rsid w:val="00983183"/>
    <w:rsid w:val="00983371"/>
    <w:rsid w:val="009835BC"/>
    <w:rsid w:val="00983666"/>
    <w:rsid w:val="00983A02"/>
    <w:rsid w:val="00984288"/>
    <w:rsid w:val="009845E1"/>
    <w:rsid w:val="009849FB"/>
    <w:rsid w:val="00984A6E"/>
    <w:rsid w:val="00984B2F"/>
    <w:rsid w:val="00984E94"/>
    <w:rsid w:val="0098517E"/>
    <w:rsid w:val="00985A33"/>
    <w:rsid w:val="00985ED5"/>
    <w:rsid w:val="00986322"/>
    <w:rsid w:val="0098639A"/>
    <w:rsid w:val="00986457"/>
    <w:rsid w:val="0098662A"/>
    <w:rsid w:val="00986683"/>
    <w:rsid w:val="00986B4F"/>
    <w:rsid w:val="009872CD"/>
    <w:rsid w:val="0098765D"/>
    <w:rsid w:val="00987C79"/>
    <w:rsid w:val="00990C03"/>
    <w:rsid w:val="00991202"/>
    <w:rsid w:val="00991869"/>
    <w:rsid w:val="009926D7"/>
    <w:rsid w:val="00992A28"/>
    <w:rsid w:val="00992E8B"/>
    <w:rsid w:val="009934B5"/>
    <w:rsid w:val="00993D86"/>
    <w:rsid w:val="00994995"/>
    <w:rsid w:val="00994C3C"/>
    <w:rsid w:val="00994D56"/>
    <w:rsid w:val="009952EC"/>
    <w:rsid w:val="00995466"/>
    <w:rsid w:val="00995506"/>
    <w:rsid w:val="00995530"/>
    <w:rsid w:val="009959C8"/>
    <w:rsid w:val="00996392"/>
    <w:rsid w:val="009963D3"/>
    <w:rsid w:val="009963E7"/>
    <w:rsid w:val="00996616"/>
    <w:rsid w:val="009969B5"/>
    <w:rsid w:val="00996DD9"/>
    <w:rsid w:val="00997952"/>
    <w:rsid w:val="00997C46"/>
    <w:rsid w:val="009A02B3"/>
    <w:rsid w:val="009A0B31"/>
    <w:rsid w:val="009A0D16"/>
    <w:rsid w:val="009A0E0C"/>
    <w:rsid w:val="009A1307"/>
    <w:rsid w:val="009A18C5"/>
    <w:rsid w:val="009A1D79"/>
    <w:rsid w:val="009A1DA9"/>
    <w:rsid w:val="009A1F76"/>
    <w:rsid w:val="009A1FE9"/>
    <w:rsid w:val="009A23C0"/>
    <w:rsid w:val="009A2547"/>
    <w:rsid w:val="009A2DE9"/>
    <w:rsid w:val="009A307D"/>
    <w:rsid w:val="009A30CC"/>
    <w:rsid w:val="009A3826"/>
    <w:rsid w:val="009A3C70"/>
    <w:rsid w:val="009A40FE"/>
    <w:rsid w:val="009A412A"/>
    <w:rsid w:val="009A4341"/>
    <w:rsid w:val="009A458A"/>
    <w:rsid w:val="009A5524"/>
    <w:rsid w:val="009A5578"/>
    <w:rsid w:val="009A571F"/>
    <w:rsid w:val="009A5792"/>
    <w:rsid w:val="009A6221"/>
    <w:rsid w:val="009A6A34"/>
    <w:rsid w:val="009A725F"/>
    <w:rsid w:val="009A790E"/>
    <w:rsid w:val="009A7B0C"/>
    <w:rsid w:val="009A7F6E"/>
    <w:rsid w:val="009A7F8C"/>
    <w:rsid w:val="009B03BE"/>
    <w:rsid w:val="009B0965"/>
    <w:rsid w:val="009B098C"/>
    <w:rsid w:val="009B0C98"/>
    <w:rsid w:val="009B0F66"/>
    <w:rsid w:val="009B1174"/>
    <w:rsid w:val="009B143F"/>
    <w:rsid w:val="009B1AF3"/>
    <w:rsid w:val="009B1BE5"/>
    <w:rsid w:val="009B21E0"/>
    <w:rsid w:val="009B23F8"/>
    <w:rsid w:val="009B240E"/>
    <w:rsid w:val="009B2BF9"/>
    <w:rsid w:val="009B2D2D"/>
    <w:rsid w:val="009B2F9B"/>
    <w:rsid w:val="009B31EE"/>
    <w:rsid w:val="009B3888"/>
    <w:rsid w:val="009B3CFA"/>
    <w:rsid w:val="009B3DCE"/>
    <w:rsid w:val="009B3F91"/>
    <w:rsid w:val="009B4068"/>
    <w:rsid w:val="009B42A8"/>
    <w:rsid w:val="009B4BF1"/>
    <w:rsid w:val="009B5259"/>
    <w:rsid w:val="009B566A"/>
    <w:rsid w:val="009B5A26"/>
    <w:rsid w:val="009B5BD5"/>
    <w:rsid w:val="009B5C1D"/>
    <w:rsid w:val="009B6373"/>
    <w:rsid w:val="009B67E1"/>
    <w:rsid w:val="009B6AAE"/>
    <w:rsid w:val="009B6B4F"/>
    <w:rsid w:val="009B70BB"/>
    <w:rsid w:val="009B7614"/>
    <w:rsid w:val="009B785C"/>
    <w:rsid w:val="009C00F7"/>
    <w:rsid w:val="009C03B5"/>
    <w:rsid w:val="009C07A9"/>
    <w:rsid w:val="009C0846"/>
    <w:rsid w:val="009C08BA"/>
    <w:rsid w:val="009C0A60"/>
    <w:rsid w:val="009C0DAD"/>
    <w:rsid w:val="009C1A17"/>
    <w:rsid w:val="009C1B61"/>
    <w:rsid w:val="009C1C84"/>
    <w:rsid w:val="009C200E"/>
    <w:rsid w:val="009C247B"/>
    <w:rsid w:val="009C2965"/>
    <w:rsid w:val="009C2A54"/>
    <w:rsid w:val="009C2AC8"/>
    <w:rsid w:val="009C2C7E"/>
    <w:rsid w:val="009C4A04"/>
    <w:rsid w:val="009C4B55"/>
    <w:rsid w:val="009C4C8F"/>
    <w:rsid w:val="009C58AE"/>
    <w:rsid w:val="009C698E"/>
    <w:rsid w:val="009C6B89"/>
    <w:rsid w:val="009C79C3"/>
    <w:rsid w:val="009C7CDF"/>
    <w:rsid w:val="009C7EE1"/>
    <w:rsid w:val="009D04D3"/>
    <w:rsid w:val="009D082E"/>
    <w:rsid w:val="009D0C68"/>
    <w:rsid w:val="009D0C70"/>
    <w:rsid w:val="009D0CAA"/>
    <w:rsid w:val="009D125A"/>
    <w:rsid w:val="009D12F2"/>
    <w:rsid w:val="009D13F2"/>
    <w:rsid w:val="009D1983"/>
    <w:rsid w:val="009D2449"/>
    <w:rsid w:val="009D2969"/>
    <w:rsid w:val="009D2BA0"/>
    <w:rsid w:val="009D2DD8"/>
    <w:rsid w:val="009D2E6D"/>
    <w:rsid w:val="009D324E"/>
    <w:rsid w:val="009D3278"/>
    <w:rsid w:val="009D3392"/>
    <w:rsid w:val="009D4191"/>
    <w:rsid w:val="009D4694"/>
    <w:rsid w:val="009D476A"/>
    <w:rsid w:val="009D48AF"/>
    <w:rsid w:val="009D608E"/>
    <w:rsid w:val="009D61B9"/>
    <w:rsid w:val="009D636E"/>
    <w:rsid w:val="009D640D"/>
    <w:rsid w:val="009D6693"/>
    <w:rsid w:val="009D68C4"/>
    <w:rsid w:val="009D7478"/>
    <w:rsid w:val="009E04E5"/>
    <w:rsid w:val="009E0A41"/>
    <w:rsid w:val="009E1394"/>
    <w:rsid w:val="009E19F5"/>
    <w:rsid w:val="009E1B93"/>
    <w:rsid w:val="009E2B2D"/>
    <w:rsid w:val="009E2B68"/>
    <w:rsid w:val="009E33D6"/>
    <w:rsid w:val="009E3497"/>
    <w:rsid w:val="009E3610"/>
    <w:rsid w:val="009E3615"/>
    <w:rsid w:val="009E45A2"/>
    <w:rsid w:val="009E4E8A"/>
    <w:rsid w:val="009E4EE4"/>
    <w:rsid w:val="009E5430"/>
    <w:rsid w:val="009E5DEB"/>
    <w:rsid w:val="009E60A3"/>
    <w:rsid w:val="009E6D0C"/>
    <w:rsid w:val="009E6E5F"/>
    <w:rsid w:val="009E79C6"/>
    <w:rsid w:val="009F0499"/>
    <w:rsid w:val="009F05D9"/>
    <w:rsid w:val="009F0ADE"/>
    <w:rsid w:val="009F0FB0"/>
    <w:rsid w:val="009F1017"/>
    <w:rsid w:val="009F118A"/>
    <w:rsid w:val="009F11B8"/>
    <w:rsid w:val="009F11D0"/>
    <w:rsid w:val="009F1753"/>
    <w:rsid w:val="009F216C"/>
    <w:rsid w:val="009F2401"/>
    <w:rsid w:val="009F2587"/>
    <w:rsid w:val="009F271C"/>
    <w:rsid w:val="009F29DB"/>
    <w:rsid w:val="009F2F6E"/>
    <w:rsid w:val="009F306B"/>
    <w:rsid w:val="009F35D3"/>
    <w:rsid w:val="009F3651"/>
    <w:rsid w:val="009F38A2"/>
    <w:rsid w:val="009F3A06"/>
    <w:rsid w:val="009F3CA4"/>
    <w:rsid w:val="009F3F34"/>
    <w:rsid w:val="009F436B"/>
    <w:rsid w:val="009F4865"/>
    <w:rsid w:val="009F4C01"/>
    <w:rsid w:val="009F4C75"/>
    <w:rsid w:val="009F4F75"/>
    <w:rsid w:val="009F5342"/>
    <w:rsid w:val="009F5E62"/>
    <w:rsid w:val="009F5EAC"/>
    <w:rsid w:val="009F693C"/>
    <w:rsid w:val="009F6AC8"/>
    <w:rsid w:val="009F6B39"/>
    <w:rsid w:val="009F738A"/>
    <w:rsid w:val="009F771D"/>
    <w:rsid w:val="009F79E3"/>
    <w:rsid w:val="00A0047F"/>
    <w:rsid w:val="00A007F7"/>
    <w:rsid w:val="00A0086D"/>
    <w:rsid w:val="00A00D60"/>
    <w:rsid w:val="00A01064"/>
    <w:rsid w:val="00A01097"/>
    <w:rsid w:val="00A02377"/>
    <w:rsid w:val="00A0269B"/>
    <w:rsid w:val="00A02A17"/>
    <w:rsid w:val="00A02B42"/>
    <w:rsid w:val="00A02E18"/>
    <w:rsid w:val="00A03AAA"/>
    <w:rsid w:val="00A03BE6"/>
    <w:rsid w:val="00A040CB"/>
    <w:rsid w:val="00A04335"/>
    <w:rsid w:val="00A0483F"/>
    <w:rsid w:val="00A05371"/>
    <w:rsid w:val="00A0637F"/>
    <w:rsid w:val="00A06494"/>
    <w:rsid w:val="00A06C6F"/>
    <w:rsid w:val="00A07384"/>
    <w:rsid w:val="00A07F1F"/>
    <w:rsid w:val="00A10A21"/>
    <w:rsid w:val="00A11265"/>
    <w:rsid w:val="00A117BE"/>
    <w:rsid w:val="00A1192F"/>
    <w:rsid w:val="00A11A4E"/>
    <w:rsid w:val="00A11BA6"/>
    <w:rsid w:val="00A11DD8"/>
    <w:rsid w:val="00A12600"/>
    <w:rsid w:val="00A12C64"/>
    <w:rsid w:val="00A1335C"/>
    <w:rsid w:val="00A134CC"/>
    <w:rsid w:val="00A13A6A"/>
    <w:rsid w:val="00A13C73"/>
    <w:rsid w:val="00A13D2E"/>
    <w:rsid w:val="00A13F6A"/>
    <w:rsid w:val="00A142C2"/>
    <w:rsid w:val="00A143C2"/>
    <w:rsid w:val="00A14BF6"/>
    <w:rsid w:val="00A14C86"/>
    <w:rsid w:val="00A14E3F"/>
    <w:rsid w:val="00A15458"/>
    <w:rsid w:val="00A15481"/>
    <w:rsid w:val="00A154C8"/>
    <w:rsid w:val="00A171CC"/>
    <w:rsid w:val="00A17FB3"/>
    <w:rsid w:val="00A200E0"/>
    <w:rsid w:val="00A201D8"/>
    <w:rsid w:val="00A206D0"/>
    <w:rsid w:val="00A2084F"/>
    <w:rsid w:val="00A210F4"/>
    <w:rsid w:val="00A211F9"/>
    <w:rsid w:val="00A21530"/>
    <w:rsid w:val="00A219CF"/>
    <w:rsid w:val="00A21FD7"/>
    <w:rsid w:val="00A220EE"/>
    <w:rsid w:val="00A22A3F"/>
    <w:rsid w:val="00A22E8B"/>
    <w:rsid w:val="00A22ED2"/>
    <w:rsid w:val="00A23125"/>
    <w:rsid w:val="00A2359E"/>
    <w:rsid w:val="00A23CE2"/>
    <w:rsid w:val="00A24155"/>
    <w:rsid w:val="00A24297"/>
    <w:rsid w:val="00A246B9"/>
    <w:rsid w:val="00A2481B"/>
    <w:rsid w:val="00A25A58"/>
    <w:rsid w:val="00A25F0D"/>
    <w:rsid w:val="00A2605F"/>
    <w:rsid w:val="00A26358"/>
    <w:rsid w:val="00A2643E"/>
    <w:rsid w:val="00A2647D"/>
    <w:rsid w:val="00A26A2F"/>
    <w:rsid w:val="00A26A83"/>
    <w:rsid w:val="00A26D37"/>
    <w:rsid w:val="00A2728D"/>
    <w:rsid w:val="00A2765D"/>
    <w:rsid w:val="00A27F8E"/>
    <w:rsid w:val="00A30439"/>
    <w:rsid w:val="00A31403"/>
    <w:rsid w:val="00A31BDE"/>
    <w:rsid w:val="00A3247C"/>
    <w:rsid w:val="00A3297C"/>
    <w:rsid w:val="00A32B1E"/>
    <w:rsid w:val="00A33104"/>
    <w:rsid w:val="00A334A9"/>
    <w:rsid w:val="00A3398F"/>
    <w:rsid w:val="00A33C68"/>
    <w:rsid w:val="00A3409A"/>
    <w:rsid w:val="00A34275"/>
    <w:rsid w:val="00A34594"/>
    <w:rsid w:val="00A34BF6"/>
    <w:rsid w:val="00A35815"/>
    <w:rsid w:val="00A35ED6"/>
    <w:rsid w:val="00A35FB9"/>
    <w:rsid w:val="00A36980"/>
    <w:rsid w:val="00A36CCA"/>
    <w:rsid w:val="00A37DBB"/>
    <w:rsid w:val="00A37FD3"/>
    <w:rsid w:val="00A4000E"/>
    <w:rsid w:val="00A400C8"/>
    <w:rsid w:val="00A409DA"/>
    <w:rsid w:val="00A41807"/>
    <w:rsid w:val="00A418F9"/>
    <w:rsid w:val="00A4196C"/>
    <w:rsid w:val="00A41ECE"/>
    <w:rsid w:val="00A4204A"/>
    <w:rsid w:val="00A43567"/>
    <w:rsid w:val="00A43C36"/>
    <w:rsid w:val="00A440B8"/>
    <w:rsid w:val="00A449B9"/>
    <w:rsid w:val="00A45131"/>
    <w:rsid w:val="00A4552C"/>
    <w:rsid w:val="00A45715"/>
    <w:rsid w:val="00A4578F"/>
    <w:rsid w:val="00A46453"/>
    <w:rsid w:val="00A4689A"/>
    <w:rsid w:val="00A468A6"/>
    <w:rsid w:val="00A46A20"/>
    <w:rsid w:val="00A46EEA"/>
    <w:rsid w:val="00A46FA9"/>
    <w:rsid w:val="00A473E6"/>
    <w:rsid w:val="00A4765F"/>
    <w:rsid w:val="00A4766C"/>
    <w:rsid w:val="00A47A23"/>
    <w:rsid w:val="00A47AE8"/>
    <w:rsid w:val="00A5012A"/>
    <w:rsid w:val="00A504B5"/>
    <w:rsid w:val="00A51759"/>
    <w:rsid w:val="00A51D42"/>
    <w:rsid w:val="00A525B0"/>
    <w:rsid w:val="00A52969"/>
    <w:rsid w:val="00A52F65"/>
    <w:rsid w:val="00A536B9"/>
    <w:rsid w:val="00A53D16"/>
    <w:rsid w:val="00A53D62"/>
    <w:rsid w:val="00A53E33"/>
    <w:rsid w:val="00A54282"/>
    <w:rsid w:val="00A54377"/>
    <w:rsid w:val="00A54616"/>
    <w:rsid w:val="00A54742"/>
    <w:rsid w:val="00A54953"/>
    <w:rsid w:val="00A54B9F"/>
    <w:rsid w:val="00A55565"/>
    <w:rsid w:val="00A55587"/>
    <w:rsid w:val="00A556F7"/>
    <w:rsid w:val="00A5575F"/>
    <w:rsid w:val="00A55B3D"/>
    <w:rsid w:val="00A55CBE"/>
    <w:rsid w:val="00A564A2"/>
    <w:rsid w:val="00A56726"/>
    <w:rsid w:val="00A571AB"/>
    <w:rsid w:val="00A571DE"/>
    <w:rsid w:val="00A57245"/>
    <w:rsid w:val="00A575CC"/>
    <w:rsid w:val="00A600AB"/>
    <w:rsid w:val="00A60438"/>
    <w:rsid w:val="00A60462"/>
    <w:rsid w:val="00A606BE"/>
    <w:rsid w:val="00A610A8"/>
    <w:rsid w:val="00A614A1"/>
    <w:rsid w:val="00A6158B"/>
    <w:rsid w:val="00A61AD1"/>
    <w:rsid w:val="00A61C0C"/>
    <w:rsid w:val="00A63FB0"/>
    <w:rsid w:val="00A64CC8"/>
    <w:rsid w:val="00A65420"/>
    <w:rsid w:val="00A6543E"/>
    <w:rsid w:val="00A65EBA"/>
    <w:rsid w:val="00A66893"/>
    <w:rsid w:val="00A66F3E"/>
    <w:rsid w:val="00A67580"/>
    <w:rsid w:val="00A675A5"/>
    <w:rsid w:val="00A679F1"/>
    <w:rsid w:val="00A67EA9"/>
    <w:rsid w:val="00A70768"/>
    <w:rsid w:val="00A71530"/>
    <w:rsid w:val="00A71C50"/>
    <w:rsid w:val="00A71CA0"/>
    <w:rsid w:val="00A71EBA"/>
    <w:rsid w:val="00A71FFD"/>
    <w:rsid w:val="00A72726"/>
    <w:rsid w:val="00A73060"/>
    <w:rsid w:val="00A734EB"/>
    <w:rsid w:val="00A73508"/>
    <w:rsid w:val="00A7360D"/>
    <w:rsid w:val="00A73AE3"/>
    <w:rsid w:val="00A73C23"/>
    <w:rsid w:val="00A73DF1"/>
    <w:rsid w:val="00A74A36"/>
    <w:rsid w:val="00A7569F"/>
    <w:rsid w:val="00A75903"/>
    <w:rsid w:val="00A75DA8"/>
    <w:rsid w:val="00A772ED"/>
    <w:rsid w:val="00A77BDD"/>
    <w:rsid w:val="00A77D0D"/>
    <w:rsid w:val="00A820EC"/>
    <w:rsid w:val="00A82131"/>
    <w:rsid w:val="00A82F4B"/>
    <w:rsid w:val="00A836DB"/>
    <w:rsid w:val="00A839B3"/>
    <w:rsid w:val="00A83ED1"/>
    <w:rsid w:val="00A842F8"/>
    <w:rsid w:val="00A84D1C"/>
    <w:rsid w:val="00A85210"/>
    <w:rsid w:val="00A8542B"/>
    <w:rsid w:val="00A8553C"/>
    <w:rsid w:val="00A85F4F"/>
    <w:rsid w:val="00A85F9B"/>
    <w:rsid w:val="00A862A2"/>
    <w:rsid w:val="00A86483"/>
    <w:rsid w:val="00A86494"/>
    <w:rsid w:val="00A86D03"/>
    <w:rsid w:val="00A8747A"/>
    <w:rsid w:val="00A87891"/>
    <w:rsid w:val="00A87B8A"/>
    <w:rsid w:val="00A87EB5"/>
    <w:rsid w:val="00A900A1"/>
    <w:rsid w:val="00A904E3"/>
    <w:rsid w:val="00A908B5"/>
    <w:rsid w:val="00A90C32"/>
    <w:rsid w:val="00A90C89"/>
    <w:rsid w:val="00A9162A"/>
    <w:rsid w:val="00A91C20"/>
    <w:rsid w:val="00A923AD"/>
    <w:rsid w:val="00A924CD"/>
    <w:rsid w:val="00A92510"/>
    <w:rsid w:val="00A92AE6"/>
    <w:rsid w:val="00A92C66"/>
    <w:rsid w:val="00A92DCF"/>
    <w:rsid w:val="00A930F5"/>
    <w:rsid w:val="00A9346F"/>
    <w:rsid w:val="00A935A7"/>
    <w:rsid w:val="00A93743"/>
    <w:rsid w:val="00A946F6"/>
    <w:rsid w:val="00A951DA"/>
    <w:rsid w:val="00A957CC"/>
    <w:rsid w:val="00A95906"/>
    <w:rsid w:val="00A95CAC"/>
    <w:rsid w:val="00A95F1F"/>
    <w:rsid w:val="00A961D0"/>
    <w:rsid w:val="00A961D7"/>
    <w:rsid w:val="00A967C5"/>
    <w:rsid w:val="00A97678"/>
    <w:rsid w:val="00A9799A"/>
    <w:rsid w:val="00AA0F84"/>
    <w:rsid w:val="00AA1771"/>
    <w:rsid w:val="00AA1A39"/>
    <w:rsid w:val="00AA1D44"/>
    <w:rsid w:val="00AA1F16"/>
    <w:rsid w:val="00AA216B"/>
    <w:rsid w:val="00AA23E1"/>
    <w:rsid w:val="00AA30C0"/>
    <w:rsid w:val="00AA3E41"/>
    <w:rsid w:val="00AA4DA4"/>
    <w:rsid w:val="00AA4EB1"/>
    <w:rsid w:val="00AA5090"/>
    <w:rsid w:val="00AA5353"/>
    <w:rsid w:val="00AA53A5"/>
    <w:rsid w:val="00AA5B01"/>
    <w:rsid w:val="00AA5C65"/>
    <w:rsid w:val="00AA65D6"/>
    <w:rsid w:val="00AA6930"/>
    <w:rsid w:val="00AA73DC"/>
    <w:rsid w:val="00AA7697"/>
    <w:rsid w:val="00AA76E1"/>
    <w:rsid w:val="00AA78FE"/>
    <w:rsid w:val="00AA7C1F"/>
    <w:rsid w:val="00AA7EAE"/>
    <w:rsid w:val="00AB0355"/>
    <w:rsid w:val="00AB0F24"/>
    <w:rsid w:val="00AB1071"/>
    <w:rsid w:val="00AB14D9"/>
    <w:rsid w:val="00AB1724"/>
    <w:rsid w:val="00AB1930"/>
    <w:rsid w:val="00AB228C"/>
    <w:rsid w:val="00AB2518"/>
    <w:rsid w:val="00AB2709"/>
    <w:rsid w:val="00AB2954"/>
    <w:rsid w:val="00AB2CE9"/>
    <w:rsid w:val="00AB43E7"/>
    <w:rsid w:val="00AB49A3"/>
    <w:rsid w:val="00AB4A7F"/>
    <w:rsid w:val="00AB5053"/>
    <w:rsid w:val="00AB5161"/>
    <w:rsid w:val="00AB6AD5"/>
    <w:rsid w:val="00AB6DB5"/>
    <w:rsid w:val="00AB6DCE"/>
    <w:rsid w:val="00AB72FA"/>
    <w:rsid w:val="00AB7BAF"/>
    <w:rsid w:val="00AC060F"/>
    <w:rsid w:val="00AC0831"/>
    <w:rsid w:val="00AC09D6"/>
    <w:rsid w:val="00AC0D39"/>
    <w:rsid w:val="00AC116C"/>
    <w:rsid w:val="00AC1F72"/>
    <w:rsid w:val="00AC21F7"/>
    <w:rsid w:val="00AC2324"/>
    <w:rsid w:val="00AC26CB"/>
    <w:rsid w:val="00AC2749"/>
    <w:rsid w:val="00AC3493"/>
    <w:rsid w:val="00AC3CAB"/>
    <w:rsid w:val="00AC3ED6"/>
    <w:rsid w:val="00AC418E"/>
    <w:rsid w:val="00AC4369"/>
    <w:rsid w:val="00AC4752"/>
    <w:rsid w:val="00AC4803"/>
    <w:rsid w:val="00AC4B2E"/>
    <w:rsid w:val="00AC4F66"/>
    <w:rsid w:val="00AC5519"/>
    <w:rsid w:val="00AC5FFD"/>
    <w:rsid w:val="00AC61E9"/>
    <w:rsid w:val="00AC6A31"/>
    <w:rsid w:val="00AC6AF0"/>
    <w:rsid w:val="00AC7C77"/>
    <w:rsid w:val="00AD0227"/>
    <w:rsid w:val="00AD1056"/>
    <w:rsid w:val="00AD141C"/>
    <w:rsid w:val="00AD16C1"/>
    <w:rsid w:val="00AD27D4"/>
    <w:rsid w:val="00AD2A6A"/>
    <w:rsid w:val="00AD2C36"/>
    <w:rsid w:val="00AD30A3"/>
    <w:rsid w:val="00AD34A8"/>
    <w:rsid w:val="00AD377F"/>
    <w:rsid w:val="00AD391A"/>
    <w:rsid w:val="00AD3F4F"/>
    <w:rsid w:val="00AD432B"/>
    <w:rsid w:val="00AD48F3"/>
    <w:rsid w:val="00AD4B6D"/>
    <w:rsid w:val="00AD4CF6"/>
    <w:rsid w:val="00AD5594"/>
    <w:rsid w:val="00AD5690"/>
    <w:rsid w:val="00AD5A12"/>
    <w:rsid w:val="00AD602F"/>
    <w:rsid w:val="00AD6792"/>
    <w:rsid w:val="00AD6F8C"/>
    <w:rsid w:val="00AD740F"/>
    <w:rsid w:val="00AD75E2"/>
    <w:rsid w:val="00AD7BC1"/>
    <w:rsid w:val="00AD7DE4"/>
    <w:rsid w:val="00AD7FB7"/>
    <w:rsid w:val="00AE0447"/>
    <w:rsid w:val="00AE06E6"/>
    <w:rsid w:val="00AE09E7"/>
    <w:rsid w:val="00AE1999"/>
    <w:rsid w:val="00AE1EF6"/>
    <w:rsid w:val="00AE22E9"/>
    <w:rsid w:val="00AE267B"/>
    <w:rsid w:val="00AE2689"/>
    <w:rsid w:val="00AE2E39"/>
    <w:rsid w:val="00AE3385"/>
    <w:rsid w:val="00AE354F"/>
    <w:rsid w:val="00AE36B0"/>
    <w:rsid w:val="00AE3966"/>
    <w:rsid w:val="00AE3A2E"/>
    <w:rsid w:val="00AE3CF6"/>
    <w:rsid w:val="00AE43F3"/>
    <w:rsid w:val="00AE52EB"/>
    <w:rsid w:val="00AE5843"/>
    <w:rsid w:val="00AE5F05"/>
    <w:rsid w:val="00AE5F35"/>
    <w:rsid w:val="00AE5F8F"/>
    <w:rsid w:val="00AE5FE7"/>
    <w:rsid w:val="00AE608B"/>
    <w:rsid w:val="00AE70E9"/>
    <w:rsid w:val="00AE792C"/>
    <w:rsid w:val="00AF004A"/>
    <w:rsid w:val="00AF0069"/>
    <w:rsid w:val="00AF0930"/>
    <w:rsid w:val="00AF0BD4"/>
    <w:rsid w:val="00AF0C06"/>
    <w:rsid w:val="00AF0C4C"/>
    <w:rsid w:val="00AF1AD2"/>
    <w:rsid w:val="00AF1D58"/>
    <w:rsid w:val="00AF2552"/>
    <w:rsid w:val="00AF2E74"/>
    <w:rsid w:val="00AF40E1"/>
    <w:rsid w:val="00AF478E"/>
    <w:rsid w:val="00AF4802"/>
    <w:rsid w:val="00AF4A63"/>
    <w:rsid w:val="00AF4EAF"/>
    <w:rsid w:val="00AF5729"/>
    <w:rsid w:val="00AF5753"/>
    <w:rsid w:val="00AF5F8B"/>
    <w:rsid w:val="00AF69E2"/>
    <w:rsid w:val="00AF6CFF"/>
    <w:rsid w:val="00B004E3"/>
    <w:rsid w:val="00B0063F"/>
    <w:rsid w:val="00B00715"/>
    <w:rsid w:val="00B0110B"/>
    <w:rsid w:val="00B01A62"/>
    <w:rsid w:val="00B01AAD"/>
    <w:rsid w:val="00B02A40"/>
    <w:rsid w:val="00B03255"/>
    <w:rsid w:val="00B035C1"/>
    <w:rsid w:val="00B0364D"/>
    <w:rsid w:val="00B036A6"/>
    <w:rsid w:val="00B03747"/>
    <w:rsid w:val="00B037EA"/>
    <w:rsid w:val="00B03A3E"/>
    <w:rsid w:val="00B04129"/>
    <w:rsid w:val="00B04B4A"/>
    <w:rsid w:val="00B05F72"/>
    <w:rsid w:val="00B0604A"/>
    <w:rsid w:val="00B0642A"/>
    <w:rsid w:val="00B06821"/>
    <w:rsid w:val="00B06B9D"/>
    <w:rsid w:val="00B06DBF"/>
    <w:rsid w:val="00B06FFA"/>
    <w:rsid w:val="00B07620"/>
    <w:rsid w:val="00B1001C"/>
    <w:rsid w:val="00B1017A"/>
    <w:rsid w:val="00B10422"/>
    <w:rsid w:val="00B11E1D"/>
    <w:rsid w:val="00B12262"/>
    <w:rsid w:val="00B12541"/>
    <w:rsid w:val="00B12FD4"/>
    <w:rsid w:val="00B136B4"/>
    <w:rsid w:val="00B1383D"/>
    <w:rsid w:val="00B13AED"/>
    <w:rsid w:val="00B13E55"/>
    <w:rsid w:val="00B14010"/>
    <w:rsid w:val="00B147E0"/>
    <w:rsid w:val="00B14997"/>
    <w:rsid w:val="00B14A3A"/>
    <w:rsid w:val="00B14A46"/>
    <w:rsid w:val="00B14BBE"/>
    <w:rsid w:val="00B14E53"/>
    <w:rsid w:val="00B1508F"/>
    <w:rsid w:val="00B152A6"/>
    <w:rsid w:val="00B155A6"/>
    <w:rsid w:val="00B15E78"/>
    <w:rsid w:val="00B15EDF"/>
    <w:rsid w:val="00B1613C"/>
    <w:rsid w:val="00B16B8E"/>
    <w:rsid w:val="00B16D5F"/>
    <w:rsid w:val="00B16EA8"/>
    <w:rsid w:val="00B1718D"/>
    <w:rsid w:val="00B1761F"/>
    <w:rsid w:val="00B17838"/>
    <w:rsid w:val="00B1796F"/>
    <w:rsid w:val="00B20248"/>
    <w:rsid w:val="00B21255"/>
    <w:rsid w:val="00B21733"/>
    <w:rsid w:val="00B219CB"/>
    <w:rsid w:val="00B2244E"/>
    <w:rsid w:val="00B2248B"/>
    <w:rsid w:val="00B224EE"/>
    <w:rsid w:val="00B22B44"/>
    <w:rsid w:val="00B231FC"/>
    <w:rsid w:val="00B2465D"/>
    <w:rsid w:val="00B24901"/>
    <w:rsid w:val="00B24EDA"/>
    <w:rsid w:val="00B25047"/>
    <w:rsid w:val="00B256B3"/>
    <w:rsid w:val="00B25738"/>
    <w:rsid w:val="00B25976"/>
    <w:rsid w:val="00B261A9"/>
    <w:rsid w:val="00B26A7E"/>
    <w:rsid w:val="00B26C8F"/>
    <w:rsid w:val="00B26E18"/>
    <w:rsid w:val="00B27434"/>
    <w:rsid w:val="00B2765A"/>
    <w:rsid w:val="00B27E28"/>
    <w:rsid w:val="00B30860"/>
    <w:rsid w:val="00B308A3"/>
    <w:rsid w:val="00B30987"/>
    <w:rsid w:val="00B30A66"/>
    <w:rsid w:val="00B318A7"/>
    <w:rsid w:val="00B32295"/>
    <w:rsid w:val="00B323E5"/>
    <w:rsid w:val="00B3309E"/>
    <w:rsid w:val="00B3481A"/>
    <w:rsid w:val="00B34CE1"/>
    <w:rsid w:val="00B35DCD"/>
    <w:rsid w:val="00B36485"/>
    <w:rsid w:val="00B36D17"/>
    <w:rsid w:val="00B36E1C"/>
    <w:rsid w:val="00B37058"/>
    <w:rsid w:val="00B37647"/>
    <w:rsid w:val="00B3795A"/>
    <w:rsid w:val="00B37AB0"/>
    <w:rsid w:val="00B37DF8"/>
    <w:rsid w:val="00B37EDF"/>
    <w:rsid w:val="00B40103"/>
    <w:rsid w:val="00B403A1"/>
    <w:rsid w:val="00B40FBF"/>
    <w:rsid w:val="00B418AE"/>
    <w:rsid w:val="00B418DF"/>
    <w:rsid w:val="00B4194E"/>
    <w:rsid w:val="00B41A9E"/>
    <w:rsid w:val="00B41BBC"/>
    <w:rsid w:val="00B42240"/>
    <w:rsid w:val="00B42821"/>
    <w:rsid w:val="00B4313E"/>
    <w:rsid w:val="00B43E87"/>
    <w:rsid w:val="00B447A4"/>
    <w:rsid w:val="00B44ABE"/>
    <w:rsid w:val="00B4573A"/>
    <w:rsid w:val="00B458C5"/>
    <w:rsid w:val="00B45E6D"/>
    <w:rsid w:val="00B46005"/>
    <w:rsid w:val="00B4734B"/>
    <w:rsid w:val="00B474CC"/>
    <w:rsid w:val="00B475C4"/>
    <w:rsid w:val="00B47D34"/>
    <w:rsid w:val="00B47F5B"/>
    <w:rsid w:val="00B50D3F"/>
    <w:rsid w:val="00B50DB3"/>
    <w:rsid w:val="00B5189A"/>
    <w:rsid w:val="00B51AF2"/>
    <w:rsid w:val="00B51C3F"/>
    <w:rsid w:val="00B52A55"/>
    <w:rsid w:val="00B52A90"/>
    <w:rsid w:val="00B52C3F"/>
    <w:rsid w:val="00B52D99"/>
    <w:rsid w:val="00B52F5C"/>
    <w:rsid w:val="00B530BF"/>
    <w:rsid w:val="00B5363C"/>
    <w:rsid w:val="00B53B25"/>
    <w:rsid w:val="00B53ECE"/>
    <w:rsid w:val="00B54019"/>
    <w:rsid w:val="00B544B4"/>
    <w:rsid w:val="00B5471D"/>
    <w:rsid w:val="00B54A5C"/>
    <w:rsid w:val="00B54B49"/>
    <w:rsid w:val="00B553CE"/>
    <w:rsid w:val="00B55B14"/>
    <w:rsid w:val="00B55C40"/>
    <w:rsid w:val="00B562E0"/>
    <w:rsid w:val="00B56D6D"/>
    <w:rsid w:val="00B571AB"/>
    <w:rsid w:val="00B576C8"/>
    <w:rsid w:val="00B57BF7"/>
    <w:rsid w:val="00B57C5E"/>
    <w:rsid w:val="00B600F1"/>
    <w:rsid w:val="00B602C9"/>
    <w:rsid w:val="00B60490"/>
    <w:rsid w:val="00B604C8"/>
    <w:rsid w:val="00B6071D"/>
    <w:rsid w:val="00B60DB6"/>
    <w:rsid w:val="00B60EF4"/>
    <w:rsid w:val="00B613BD"/>
    <w:rsid w:val="00B6164D"/>
    <w:rsid w:val="00B62343"/>
    <w:rsid w:val="00B626FA"/>
    <w:rsid w:val="00B62E6D"/>
    <w:rsid w:val="00B6322A"/>
    <w:rsid w:val="00B63358"/>
    <w:rsid w:val="00B63616"/>
    <w:rsid w:val="00B63664"/>
    <w:rsid w:val="00B63947"/>
    <w:rsid w:val="00B63D1B"/>
    <w:rsid w:val="00B63FCB"/>
    <w:rsid w:val="00B6405D"/>
    <w:rsid w:val="00B64200"/>
    <w:rsid w:val="00B647D6"/>
    <w:rsid w:val="00B6495C"/>
    <w:rsid w:val="00B6498C"/>
    <w:rsid w:val="00B64ED3"/>
    <w:rsid w:val="00B654A7"/>
    <w:rsid w:val="00B65A8F"/>
    <w:rsid w:val="00B65E44"/>
    <w:rsid w:val="00B6604A"/>
    <w:rsid w:val="00B66FE6"/>
    <w:rsid w:val="00B6714E"/>
    <w:rsid w:val="00B6763A"/>
    <w:rsid w:val="00B67B2B"/>
    <w:rsid w:val="00B70190"/>
    <w:rsid w:val="00B70BB5"/>
    <w:rsid w:val="00B70CC1"/>
    <w:rsid w:val="00B70ED4"/>
    <w:rsid w:val="00B70EDE"/>
    <w:rsid w:val="00B7135D"/>
    <w:rsid w:val="00B71463"/>
    <w:rsid w:val="00B7148A"/>
    <w:rsid w:val="00B71FD3"/>
    <w:rsid w:val="00B7206B"/>
    <w:rsid w:val="00B722CA"/>
    <w:rsid w:val="00B72792"/>
    <w:rsid w:val="00B727AD"/>
    <w:rsid w:val="00B729FA"/>
    <w:rsid w:val="00B72A6B"/>
    <w:rsid w:val="00B72C8D"/>
    <w:rsid w:val="00B732C7"/>
    <w:rsid w:val="00B73CA1"/>
    <w:rsid w:val="00B7423A"/>
    <w:rsid w:val="00B743A0"/>
    <w:rsid w:val="00B746C5"/>
    <w:rsid w:val="00B7478D"/>
    <w:rsid w:val="00B74A50"/>
    <w:rsid w:val="00B7520F"/>
    <w:rsid w:val="00B75B3C"/>
    <w:rsid w:val="00B7624E"/>
    <w:rsid w:val="00B762BB"/>
    <w:rsid w:val="00B76697"/>
    <w:rsid w:val="00B76774"/>
    <w:rsid w:val="00B770B7"/>
    <w:rsid w:val="00B777E1"/>
    <w:rsid w:val="00B7795B"/>
    <w:rsid w:val="00B77CFD"/>
    <w:rsid w:val="00B77FC3"/>
    <w:rsid w:val="00B808B0"/>
    <w:rsid w:val="00B80D2B"/>
    <w:rsid w:val="00B80E91"/>
    <w:rsid w:val="00B8160D"/>
    <w:rsid w:val="00B817F7"/>
    <w:rsid w:val="00B81A55"/>
    <w:rsid w:val="00B82C82"/>
    <w:rsid w:val="00B833E7"/>
    <w:rsid w:val="00B835B9"/>
    <w:rsid w:val="00B83610"/>
    <w:rsid w:val="00B841D9"/>
    <w:rsid w:val="00B84918"/>
    <w:rsid w:val="00B849E1"/>
    <w:rsid w:val="00B849F0"/>
    <w:rsid w:val="00B84A25"/>
    <w:rsid w:val="00B84AC8"/>
    <w:rsid w:val="00B84CDD"/>
    <w:rsid w:val="00B854A2"/>
    <w:rsid w:val="00B85C0E"/>
    <w:rsid w:val="00B85C5E"/>
    <w:rsid w:val="00B861D2"/>
    <w:rsid w:val="00B86205"/>
    <w:rsid w:val="00B868E1"/>
    <w:rsid w:val="00B86E03"/>
    <w:rsid w:val="00B86F98"/>
    <w:rsid w:val="00B87141"/>
    <w:rsid w:val="00B8765D"/>
    <w:rsid w:val="00B877A3"/>
    <w:rsid w:val="00B87AF5"/>
    <w:rsid w:val="00B87D38"/>
    <w:rsid w:val="00B90322"/>
    <w:rsid w:val="00B9057F"/>
    <w:rsid w:val="00B90813"/>
    <w:rsid w:val="00B90969"/>
    <w:rsid w:val="00B90CFB"/>
    <w:rsid w:val="00B90EC3"/>
    <w:rsid w:val="00B91470"/>
    <w:rsid w:val="00B92122"/>
    <w:rsid w:val="00B92292"/>
    <w:rsid w:val="00B92591"/>
    <w:rsid w:val="00B92FC1"/>
    <w:rsid w:val="00B9359B"/>
    <w:rsid w:val="00B93795"/>
    <w:rsid w:val="00B9475D"/>
    <w:rsid w:val="00B948D0"/>
    <w:rsid w:val="00B948E2"/>
    <w:rsid w:val="00B94A26"/>
    <w:rsid w:val="00B94B20"/>
    <w:rsid w:val="00B95A36"/>
    <w:rsid w:val="00B95DAC"/>
    <w:rsid w:val="00B95F8E"/>
    <w:rsid w:val="00B96821"/>
    <w:rsid w:val="00B96880"/>
    <w:rsid w:val="00B971DD"/>
    <w:rsid w:val="00B9727B"/>
    <w:rsid w:val="00B97436"/>
    <w:rsid w:val="00B9754F"/>
    <w:rsid w:val="00B9793C"/>
    <w:rsid w:val="00B97998"/>
    <w:rsid w:val="00B97F5D"/>
    <w:rsid w:val="00BA0393"/>
    <w:rsid w:val="00BA04A7"/>
    <w:rsid w:val="00BA11E1"/>
    <w:rsid w:val="00BA1831"/>
    <w:rsid w:val="00BA1E42"/>
    <w:rsid w:val="00BA1E52"/>
    <w:rsid w:val="00BA2F71"/>
    <w:rsid w:val="00BA33A0"/>
    <w:rsid w:val="00BA3A21"/>
    <w:rsid w:val="00BA3B8F"/>
    <w:rsid w:val="00BA3F83"/>
    <w:rsid w:val="00BA401A"/>
    <w:rsid w:val="00BA4705"/>
    <w:rsid w:val="00BA4B61"/>
    <w:rsid w:val="00BA51A0"/>
    <w:rsid w:val="00BA5B3A"/>
    <w:rsid w:val="00BA5C46"/>
    <w:rsid w:val="00BA5DF7"/>
    <w:rsid w:val="00BA6248"/>
    <w:rsid w:val="00BA6DE3"/>
    <w:rsid w:val="00BA72E8"/>
    <w:rsid w:val="00BA747F"/>
    <w:rsid w:val="00BA761C"/>
    <w:rsid w:val="00BB096C"/>
    <w:rsid w:val="00BB0AB4"/>
    <w:rsid w:val="00BB0D5D"/>
    <w:rsid w:val="00BB0DA1"/>
    <w:rsid w:val="00BB19D5"/>
    <w:rsid w:val="00BB1E8D"/>
    <w:rsid w:val="00BB22AC"/>
    <w:rsid w:val="00BB25B4"/>
    <w:rsid w:val="00BB31BC"/>
    <w:rsid w:val="00BB3706"/>
    <w:rsid w:val="00BB4121"/>
    <w:rsid w:val="00BB447E"/>
    <w:rsid w:val="00BB4A52"/>
    <w:rsid w:val="00BB5771"/>
    <w:rsid w:val="00BB5B9B"/>
    <w:rsid w:val="00BB5C4B"/>
    <w:rsid w:val="00BB6809"/>
    <w:rsid w:val="00BB6FCC"/>
    <w:rsid w:val="00BB7208"/>
    <w:rsid w:val="00BB730E"/>
    <w:rsid w:val="00BB7BAF"/>
    <w:rsid w:val="00BB7DB6"/>
    <w:rsid w:val="00BC00E5"/>
    <w:rsid w:val="00BC05E1"/>
    <w:rsid w:val="00BC1653"/>
    <w:rsid w:val="00BC1809"/>
    <w:rsid w:val="00BC1CA6"/>
    <w:rsid w:val="00BC1DE7"/>
    <w:rsid w:val="00BC1F3C"/>
    <w:rsid w:val="00BC267D"/>
    <w:rsid w:val="00BC2856"/>
    <w:rsid w:val="00BC28C3"/>
    <w:rsid w:val="00BC2C90"/>
    <w:rsid w:val="00BC3BAF"/>
    <w:rsid w:val="00BC4A67"/>
    <w:rsid w:val="00BC5055"/>
    <w:rsid w:val="00BC53FB"/>
    <w:rsid w:val="00BC579C"/>
    <w:rsid w:val="00BC581D"/>
    <w:rsid w:val="00BC697E"/>
    <w:rsid w:val="00BC6EA9"/>
    <w:rsid w:val="00BC6F04"/>
    <w:rsid w:val="00BC79FE"/>
    <w:rsid w:val="00BC7A64"/>
    <w:rsid w:val="00BC7A81"/>
    <w:rsid w:val="00BC7D69"/>
    <w:rsid w:val="00BD05B2"/>
    <w:rsid w:val="00BD060A"/>
    <w:rsid w:val="00BD0EE3"/>
    <w:rsid w:val="00BD1926"/>
    <w:rsid w:val="00BD22C7"/>
    <w:rsid w:val="00BD23F1"/>
    <w:rsid w:val="00BD258C"/>
    <w:rsid w:val="00BD25EF"/>
    <w:rsid w:val="00BD26F8"/>
    <w:rsid w:val="00BD291E"/>
    <w:rsid w:val="00BD2BA8"/>
    <w:rsid w:val="00BD38B5"/>
    <w:rsid w:val="00BD39DF"/>
    <w:rsid w:val="00BD479C"/>
    <w:rsid w:val="00BD4974"/>
    <w:rsid w:val="00BD4B08"/>
    <w:rsid w:val="00BD4B63"/>
    <w:rsid w:val="00BD530D"/>
    <w:rsid w:val="00BD542D"/>
    <w:rsid w:val="00BD54A2"/>
    <w:rsid w:val="00BD688B"/>
    <w:rsid w:val="00BD6C3D"/>
    <w:rsid w:val="00BD724C"/>
    <w:rsid w:val="00BD7C54"/>
    <w:rsid w:val="00BE0262"/>
    <w:rsid w:val="00BE069A"/>
    <w:rsid w:val="00BE0768"/>
    <w:rsid w:val="00BE09FF"/>
    <w:rsid w:val="00BE137D"/>
    <w:rsid w:val="00BE19A4"/>
    <w:rsid w:val="00BE1E41"/>
    <w:rsid w:val="00BE20CC"/>
    <w:rsid w:val="00BE22E4"/>
    <w:rsid w:val="00BE2842"/>
    <w:rsid w:val="00BE28F8"/>
    <w:rsid w:val="00BE2E14"/>
    <w:rsid w:val="00BE2E78"/>
    <w:rsid w:val="00BE2FDD"/>
    <w:rsid w:val="00BE321C"/>
    <w:rsid w:val="00BE3493"/>
    <w:rsid w:val="00BE35CB"/>
    <w:rsid w:val="00BE3AF3"/>
    <w:rsid w:val="00BE3E39"/>
    <w:rsid w:val="00BE4049"/>
    <w:rsid w:val="00BE4356"/>
    <w:rsid w:val="00BE4B2C"/>
    <w:rsid w:val="00BE502B"/>
    <w:rsid w:val="00BE5D41"/>
    <w:rsid w:val="00BE5DE4"/>
    <w:rsid w:val="00BE5EB5"/>
    <w:rsid w:val="00BE614F"/>
    <w:rsid w:val="00BE65CF"/>
    <w:rsid w:val="00BE685B"/>
    <w:rsid w:val="00BE6A18"/>
    <w:rsid w:val="00BE7576"/>
    <w:rsid w:val="00BE76E6"/>
    <w:rsid w:val="00BE7B29"/>
    <w:rsid w:val="00BE7F63"/>
    <w:rsid w:val="00BF00E4"/>
    <w:rsid w:val="00BF0BCB"/>
    <w:rsid w:val="00BF0E85"/>
    <w:rsid w:val="00BF12E1"/>
    <w:rsid w:val="00BF1478"/>
    <w:rsid w:val="00BF1D8D"/>
    <w:rsid w:val="00BF1DE6"/>
    <w:rsid w:val="00BF20B0"/>
    <w:rsid w:val="00BF27D3"/>
    <w:rsid w:val="00BF4152"/>
    <w:rsid w:val="00BF4803"/>
    <w:rsid w:val="00BF489B"/>
    <w:rsid w:val="00BF4F2E"/>
    <w:rsid w:val="00BF511E"/>
    <w:rsid w:val="00BF53E3"/>
    <w:rsid w:val="00BF551F"/>
    <w:rsid w:val="00BF5552"/>
    <w:rsid w:val="00BF5572"/>
    <w:rsid w:val="00BF5AFD"/>
    <w:rsid w:val="00BF5ED6"/>
    <w:rsid w:val="00BF652E"/>
    <w:rsid w:val="00BF6AC8"/>
    <w:rsid w:val="00BF6F82"/>
    <w:rsid w:val="00BF718E"/>
    <w:rsid w:val="00BF721D"/>
    <w:rsid w:val="00BF7484"/>
    <w:rsid w:val="00BF75DA"/>
    <w:rsid w:val="00C001BD"/>
    <w:rsid w:val="00C00A80"/>
    <w:rsid w:val="00C0108E"/>
    <w:rsid w:val="00C010F6"/>
    <w:rsid w:val="00C02379"/>
    <w:rsid w:val="00C024A3"/>
    <w:rsid w:val="00C0320A"/>
    <w:rsid w:val="00C03365"/>
    <w:rsid w:val="00C03696"/>
    <w:rsid w:val="00C036BE"/>
    <w:rsid w:val="00C037DD"/>
    <w:rsid w:val="00C040E9"/>
    <w:rsid w:val="00C0499E"/>
    <w:rsid w:val="00C0569D"/>
    <w:rsid w:val="00C05D3E"/>
    <w:rsid w:val="00C062DB"/>
    <w:rsid w:val="00C0661C"/>
    <w:rsid w:val="00C06C0C"/>
    <w:rsid w:val="00C0717E"/>
    <w:rsid w:val="00C071BC"/>
    <w:rsid w:val="00C071BE"/>
    <w:rsid w:val="00C07692"/>
    <w:rsid w:val="00C078E3"/>
    <w:rsid w:val="00C07CF8"/>
    <w:rsid w:val="00C07D1E"/>
    <w:rsid w:val="00C10031"/>
    <w:rsid w:val="00C1009C"/>
    <w:rsid w:val="00C10718"/>
    <w:rsid w:val="00C109A4"/>
    <w:rsid w:val="00C11276"/>
    <w:rsid w:val="00C11298"/>
    <w:rsid w:val="00C11891"/>
    <w:rsid w:val="00C11944"/>
    <w:rsid w:val="00C11B12"/>
    <w:rsid w:val="00C11B8E"/>
    <w:rsid w:val="00C11BD1"/>
    <w:rsid w:val="00C11C2E"/>
    <w:rsid w:val="00C12383"/>
    <w:rsid w:val="00C12720"/>
    <w:rsid w:val="00C132CF"/>
    <w:rsid w:val="00C13500"/>
    <w:rsid w:val="00C13594"/>
    <w:rsid w:val="00C137D5"/>
    <w:rsid w:val="00C13AD8"/>
    <w:rsid w:val="00C140C4"/>
    <w:rsid w:val="00C14CC2"/>
    <w:rsid w:val="00C1577B"/>
    <w:rsid w:val="00C16186"/>
    <w:rsid w:val="00C16259"/>
    <w:rsid w:val="00C16613"/>
    <w:rsid w:val="00C166C7"/>
    <w:rsid w:val="00C1691F"/>
    <w:rsid w:val="00C16AA1"/>
    <w:rsid w:val="00C16DFB"/>
    <w:rsid w:val="00C174A1"/>
    <w:rsid w:val="00C176D2"/>
    <w:rsid w:val="00C178F9"/>
    <w:rsid w:val="00C2022E"/>
    <w:rsid w:val="00C20971"/>
    <w:rsid w:val="00C20A9B"/>
    <w:rsid w:val="00C20BDA"/>
    <w:rsid w:val="00C20D23"/>
    <w:rsid w:val="00C21259"/>
    <w:rsid w:val="00C21424"/>
    <w:rsid w:val="00C215A5"/>
    <w:rsid w:val="00C22328"/>
    <w:rsid w:val="00C2240D"/>
    <w:rsid w:val="00C22A8C"/>
    <w:rsid w:val="00C22EB0"/>
    <w:rsid w:val="00C22F98"/>
    <w:rsid w:val="00C23618"/>
    <w:rsid w:val="00C23772"/>
    <w:rsid w:val="00C23928"/>
    <w:rsid w:val="00C23A4A"/>
    <w:rsid w:val="00C23D85"/>
    <w:rsid w:val="00C23EE4"/>
    <w:rsid w:val="00C24838"/>
    <w:rsid w:val="00C252AC"/>
    <w:rsid w:val="00C26282"/>
    <w:rsid w:val="00C26476"/>
    <w:rsid w:val="00C26DD2"/>
    <w:rsid w:val="00C26EE6"/>
    <w:rsid w:val="00C27648"/>
    <w:rsid w:val="00C27CB2"/>
    <w:rsid w:val="00C27DB1"/>
    <w:rsid w:val="00C27E00"/>
    <w:rsid w:val="00C27EEA"/>
    <w:rsid w:val="00C301B0"/>
    <w:rsid w:val="00C30AC3"/>
    <w:rsid w:val="00C30B4B"/>
    <w:rsid w:val="00C3141A"/>
    <w:rsid w:val="00C322BA"/>
    <w:rsid w:val="00C328BC"/>
    <w:rsid w:val="00C329C6"/>
    <w:rsid w:val="00C32C4A"/>
    <w:rsid w:val="00C332FB"/>
    <w:rsid w:val="00C33B08"/>
    <w:rsid w:val="00C33B91"/>
    <w:rsid w:val="00C34161"/>
    <w:rsid w:val="00C348F5"/>
    <w:rsid w:val="00C34A99"/>
    <w:rsid w:val="00C34DC3"/>
    <w:rsid w:val="00C359A5"/>
    <w:rsid w:val="00C35BE9"/>
    <w:rsid w:val="00C35C8C"/>
    <w:rsid w:val="00C35FFA"/>
    <w:rsid w:val="00C361DD"/>
    <w:rsid w:val="00C36449"/>
    <w:rsid w:val="00C36712"/>
    <w:rsid w:val="00C36DA8"/>
    <w:rsid w:val="00C37527"/>
    <w:rsid w:val="00C3769F"/>
    <w:rsid w:val="00C378DB"/>
    <w:rsid w:val="00C406BB"/>
    <w:rsid w:val="00C40936"/>
    <w:rsid w:val="00C40B68"/>
    <w:rsid w:val="00C41FB1"/>
    <w:rsid w:val="00C41FD2"/>
    <w:rsid w:val="00C4207B"/>
    <w:rsid w:val="00C421A0"/>
    <w:rsid w:val="00C42446"/>
    <w:rsid w:val="00C42F9C"/>
    <w:rsid w:val="00C43767"/>
    <w:rsid w:val="00C438AC"/>
    <w:rsid w:val="00C43A62"/>
    <w:rsid w:val="00C43A9D"/>
    <w:rsid w:val="00C43B66"/>
    <w:rsid w:val="00C44002"/>
    <w:rsid w:val="00C447D6"/>
    <w:rsid w:val="00C44B27"/>
    <w:rsid w:val="00C44C38"/>
    <w:rsid w:val="00C44D1B"/>
    <w:rsid w:val="00C4504B"/>
    <w:rsid w:val="00C45138"/>
    <w:rsid w:val="00C45B59"/>
    <w:rsid w:val="00C460F7"/>
    <w:rsid w:val="00C46D57"/>
    <w:rsid w:val="00C47690"/>
    <w:rsid w:val="00C47A01"/>
    <w:rsid w:val="00C47CE6"/>
    <w:rsid w:val="00C47F07"/>
    <w:rsid w:val="00C502CA"/>
    <w:rsid w:val="00C50827"/>
    <w:rsid w:val="00C50985"/>
    <w:rsid w:val="00C50FDA"/>
    <w:rsid w:val="00C5118E"/>
    <w:rsid w:val="00C51DF5"/>
    <w:rsid w:val="00C52C77"/>
    <w:rsid w:val="00C52DCA"/>
    <w:rsid w:val="00C53121"/>
    <w:rsid w:val="00C53182"/>
    <w:rsid w:val="00C536AF"/>
    <w:rsid w:val="00C53A00"/>
    <w:rsid w:val="00C53B7B"/>
    <w:rsid w:val="00C53C58"/>
    <w:rsid w:val="00C54104"/>
    <w:rsid w:val="00C54128"/>
    <w:rsid w:val="00C5472C"/>
    <w:rsid w:val="00C54FA0"/>
    <w:rsid w:val="00C55E14"/>
    <w:rsid w:val="00C5601D"/>
    <w:rsid w:val="00C563C3"/>
    <w:rsid w:val="00C56558"/>
    <w:rsid w:val="00C565BA"/>
    <w:rsid w:val="00C56B44"/>
    <w:rsid w:val="00C56B55"/>
    <w:rsid w:val="00C56E7C"/>
    <w:rsid w:val="00C577D6"/>
    <w:rsid w:val="00C602D1"/>
    <w:rsid w:val="00C60C62"/>
    <w:rsid w:val="00C60F7E"/>
    <w:rsid w:val="00C61030"/>
    <w:rsid w:val="00C619AA"/>
    <w:rsid w:val="00C61ABF"/>
    <w:rsid w:val="00C61AF5"/>
    <w:rsid w:val="00C61F64"/>
    <w:rsid w:val="00C6224F"/>
    <w:rsid w:val="00C627C7"/>
    <w:rsid w:val="00C6356C"/>
    <w:rsid w:val="00C63C43"/>
    <w:rsid w:val="00C63E8A"/>
    <w:rsid w:val="00C6460B"/>
    <w:rsid w:val="00C646AC"/>
    <w:rsid w:val="00C64FAC"/>
    <w:rsid w:val="00C6599D"/>
    <w:rsid w:val="00C65DDE"/>
    <w:rsid w:val="00C65F41"/>
    <w:rsid w:val="00C66400"/>
    <w:rsid w:val="00C6649D"/>
    <w:rsid w:val="00C666BF"/>
    <w:rsid w:val="00C66790"/>
    <w:rsid w:val="00C6752A"/>
    <w:rsid w:val="00C70303"/>
    <w:rsid w:val="00C70F7A"/>
    <w:rsid w:val="00C714CC"/>
    <w:rsid w:val="00C71C8C"/>
    <w:rsid w:val="00C71CE8"/>
    <w:rsid w:val="00C71DA9"/>
    <w:rsid w:val="00C72678"/>
    <w:rsid w:val="00C72EC6"/>
    <w:rsid w:val="00C73A0B"/>
    <w:rsid w:val="00C73B20"/>
    <w:rsid w:val="00C73B9E"/>
    <w:rsid w:val="00C7426A"/>
    <w:rsid w:val="00C74342"/>
    <w:rsid w:val="00C74416"/>
    <w:rsid w:val="00C74C0C"/>
    <w:rsid w:val="00C75167"/>
    <w:rsid w:val="00C75F77"/>
    <w:rsid w:val="00C76467"/>
    <w:rsid w:val="00C76BC8"/>
    <w:rsid w:val="00C76D92"/>
    <w:rsid w:val="00C76EAA"/>
    <w:rsid w:val="00C7700F"/>
    <w:rsid w:val="00C7730A"/>
    <w:rsid w:val="00C779D9"/>
    <w:rsid w:val="00C77D1E"/>
    <w:rsid w:val="00C80483"/>
    <w:rsid w:val="00C80A0B"/>
    <w:rsid w:val="00C80DB5"/>
    <w:rsid w:val="00C80E9D"/>
    <w:rsid w:val="00C81820"/>
    <w:rsid w:val="00C81D57"/>
    <w:rsid w:val="00C81E2D"/>
    <w:rsid w:val="00C81FD5"/>
    <w:rsid w:val="00C8278A"/>
    <w:rsid w:val="00C827A6"/>
    <w:rsid w:val="00C828BB"/>
    <w:rsid w:val="00C82EE5"/>
    <w:rsid w:val="00C8372F"/>
    <w:rsid w:val="00C83BB4"/>
    <w:rsid w:val="00C8440E"/>
    <w:rsid w:val="00C84A24"/>
    <w:rsid w:val="00C85366"/>
    <w:rsid w:val="00C856BE"/>
    <w:rsid w:val="00C861B0"/>
    <w:rsid w:val="00C8622D"/>
    <w:rsid w:val="00C8646F"/>
    <w:rsid w:val="00C86598"/>
    <w:rsid w:val="00C86A40"/>
    <w:rsid w:val="00C86EE5"/>
    <w:rsid w:val="00C90397"/>
    <w:rsid w:val="00C90E28"/>
    <w:rsid w:val="00C912CE"/>
    <w:rsid w:val="00C91BB8"/>
    <w:rsid w:val="00C91DBB"/>
    <w:rsid w:val="00C91E8C"/>
    <w:rsid w:val="00C91F1A"/>
    <w:rsid w:val="00C92058"/>
    <w:rsid w:val="00C92213"/>
    <w:rsid w:val="00C9232C"/>
    <w:rsid w:val="00C92477"/>
    <w:rsid w:val="00C927B3"/>
    <w:rsid w:val="00C92858"/>
    <w:rsid w:val="00C928D0"/>
    <w:rsid w:val="00C92CD4"/>
    <w:rsid w:val="00C92E9A"/>
    <w:rsid w:val="00C93261"/>
    <w:rsid w:val="00C9341F"/>
    <w:rsid w:val="00C936B4"/>
    <w:rsid w:val="00C947E2"/>
    <w:rsid w:val="00C94B25"/>
    <w:rsid w:val="00C94C01"/>
    <w:rsid w:val="00C94DA6"/>
    <w:rsid w:val="00C953CD"/>
    <w:rsid w:val="00C9571E"/>
    <w:rsid w:val="00C95B32"/>
    <w:rsid w:val="00C964C9"/>
    <w:rsid w:val="00C96603"/>
    <w:rsid w:val="00C96F40"/>
    <w:rsid w:val="00C975E1"/>
    <w:rsid w:val="00C97765"/>
    <w:rsid w:val="00C97E9E"/>
    <w:rsid w:val="00CA05D7"/>
    <w:rsid w:val="00CA0E0B"/>
    <w:rsid w:val="00CA0EB2"/>
    <w:rsid w:val="00CA159E"/>
    <w:rsid w:val="00CA183A"/>
    <w:rsid w:val="00CA2472"/>
    <w:rsid w:val="00CA2F12"/>
    <w:rsid w:val="00CA2F86"/>
    <w:rsid w:val="00CA34CD"/>
    <w:rsid w:val="00CA3544"/>
    <w:rsid w:val="00CA3C7B"/>
    <w:rsid w:val="00CA3E8F"/>
    <w:rsid w:val="00CA431D"/>
    <w:rsid w:val="00CA439A"/>
    <w:rsid w:val="00CA44D4"/>
    <w:rsid w:val="00CA46B8"/>
    <w:rsid w:val="00CA51C8"/>
    <w:rsid w:val="00CA527F"/>
    <w:rsid w:val="00CA564F"/>
    <w:rsid w:val="00CA6589"/>
    <w:rsid w:val="00CA7123"/>
    <w:rsid w:val="00CA7941"/>
    <w:rsid w:val="00CA7A45"/>
    <w:rsid w:val="00CA7BB4"/>
    <w:rsid w:val="00CA7F68"/>
    <w:rsid w:val="00CB0838"/>
    <w:rsid w:val="00CB0971"/>
    <w:rsid w:val="00CB0A61"/>
    <w:rsid w:val="00CB2B77"/>
    <w:rsid w:val="00CB2ED8"/>
    <w:rsid w:val="00CB307A"/>
    <w:rsid w:val="00CB31A1"/>
    <w:rsid w:val="00CB48A9"/>
    <w:rsid w:val="00CB4C93"/>
    <w:rsid w:val="00CB4CEB"/>
    <w:rsid w:val="00CB4E8B"/>
    <w:rsid w:val="00CB5F5C"/>
    <w:rsid w:val="00CB6712"/>
    <w:rsid w:val="00CB774B"/>
    <w:rsid w:val="00CB788E"/>
    <w:rsid w:val="00CC05C2"/>
    <w:rsid w:val="00CC08A3"/>
    <w:rsid w:val="00CC0CDB"/>
    <w:rsid w:val="00CC12E8"/>
    <w:rsid w:val="00CC1517"/>
    <w:rsid w:val="00CC17A7"/>
    <w:rsid w:val="00CC1D2F"/>
    <w:rsid w:val="00CC1F58"/>
    <w:rsid w:val="00CC21F9"/>
    <w:rsid w:val="00CC2483"/>
    <w:rsid w:val="00CC2576"/>
    <w:rsid w:val="00CC3127"/>
    <w:rsid w:val="00CC37CA"/>
    <w:rsid w:val="00CC3EC3"/>
    <w:rsid w:val="00CC46AE"/>
    <w:rsid w:val="00CC5568"/>
    <w:rsid w:val="00CC5C73"/>
    <w:rsid w:val="00CC5F1D"/>
    <w:rsid w:val="00CC6077"/>
    <w:rsid w:val="00CC7040"/>
    <w:rsid w:val="00CC715D"/>
    <w:rsid w:val="00CC73E7"/>
    <w:rsid w:val="00CC74E0"/>
    <w:rsid w:val="00CC7594"/>
    <w:rsid w:val="00CC79A2"/>
    <w:rsid w:val="00CC7FB3"/>
    <w:rsid w:val="00CD0C89"/>
    <w:rsid w:val="00CD1076"/>
    <w:rsid w:val="00CD1527"/>
    <w:rsid w:val="00CD17E1"/>
    <w:rsid w:val="00CD19EB"/>
    <w:rsid w:val="00CD1B65"/>
    <w:rsid w:val="00CD20A1"/>
    <w:rsid w:val="00CD2DA4"/>
    <w:rsid w:val="00CD32D6"/>
    <w:rsid w:val="00CD3601"/>
    <w:rsid w:val="00CD3C78"/>
    <w:rsid w:val="00CD3D8C"/>
    <w:rsid w:val="00CD4079"/>
    <w:rsid w:val="00CD40FA"/>
    <w:rsid w:val="00CD434D"/>
    <w:rsid w:val="00CD44EE"/>
    <w:rsid w:val="00CD4989"/>
    <w:rsid w:val="00CD4F7E"/>
    <w:rsid w:val="00CD5445"/>
    <w:rsid w:val="00CD5B53"/>
    <w:rsid w:val="00CD6F22"/>
    <w:rsid w:val="00CD7636"/>
    <w:rsid w:val="00CD79D1"/>
    <w:rsid w:val="00CD7DDB"/>
    <w:rsid w:val="00CD7F5F"/>
    <w:rsid w:val="00CE0F2A"/>
    <w:rsid w:val="00CE1315"/>
    <w:rsid w:val="00CE15B2"/>
    <w:rsid w:val="00CE164F"/>
    <w:rsid w:val="00CE1A88"/>
    <w:rsid w:val="00CE326A"/>
    <w:rsid w:val="00CE3844"/>
    <w:rsid w:val="00CE3BDF"/>
    <w:rsid w:val="00CE3D90"/>
    <w:rsid w:val="00CE3E6A"/>
    <w:rsid w:val="00CE4078"/>
    <w:rsid w:val="00CE457C"/>
    <w:rsid w:val="00CE4A0B"/>
    <w:rsid w:val="00CE4C6B"/>
    <w:rsid w:val="00CE5856"/>
    <w:rsid w:val="00CE669A"/>
    <w:rsid w:val="00CE6A34"/>
    <w:rsid w:val="00CE707E"/>
    <w:rsid w:val="00CE70CE"/>
    <w:rsid w:val="00CE72D1"/>
    <w:rsid w:val="00CE73A1"/>
    <w:rsid w:val="00CE74EE"/>
    <w:rsid w:val="00CE769A"/>
    <w:rsid w:val="00CE785B"/>
    <w:rsid w:val="00CE7A36"/>
    <w:rsid w:val="00CE7B27"/>
    <w:rsid w:val="00CF0883"/>
    <w:rsid w:val="00CF0CD2"/>
    <w:rsid w:val="00CF10AB"/>
    <w:rsid w:val="00CF12CE"/>
    <w:rsid w:val="00CF13A0"/>
    <w:rsid w:val="00CF1892"/>
    <w:rsid w:val="00CF1DD1"/>
    <w:rsid w:val="00CF1F6E"/>
    <w:rsid w:val="00CF2182"/>
    <w:rsid w:val="00CF233F"/>
    <w:rsid w:val="00CF2717"/>
    <w:rsid w:val="00CF30C5"/>
    <w:rsid w:val="00CF33C6"/>
    <w:rsid w:val="00CF3827"/>
    <w:rsid w:val="00CF4290"/>
    <w:rsid w:val="00CF4525"/>
    <w:rsid w:val="00CF4A1F"/>
    <w:rsid w:val="00CF4BE4"/>
    <w:rsid w:val="00CF5039"/>
    <w:rsid w:val="00CF5672"/>
    <w:rsid w:val="00CF5C60"/>
    <w:rsid w:val="00CF622E"/>
    <w:rsid w:val="00CF6249"/>
    <w:rsid w:val="00CF63C1"/>
    <w:rsid w:val="00CF653B"/>
    <w:rsid w:val="00CF69E0"/>
    <w:rsid w:val="00CF6EDC"/>
    <w:rsid w:val="00CF7226"/>
    <w:rsid w:val="00CF756B"/>
    <w:rsid w:val="00CF7A56"/>
    <w:rsid w:val="00CF7E5F"/>
    <w:rsid w:val="00D000CB"/>
    <w:rsid w:val="00D00303"/>
    <w:rsid w:val="00D011B0"/>
    <w:rsid w:val="00D01206"/>
    <w:rsid w:val="00D0120D"/>
    <w:rsid w:val="00D016BA"/>
    <w:rsid w:val="00D0179A"/>
    <w:rsid w:val="00D01C5A"/>
    <w:rsid w:val="00D01F0C"/>
    <w:rsid w:val="00D02313"/>
    <w:rsid w:val="00D027E0"/>
    <w:rsid w:val="00D031DC"/>
    <w:rsid w:val="00D03451"/>
    <w:rsid w:val="00D0359C"/>
    <w:rsid w:val="00D03946"/>
    <w:rsid w:val="00D03CB7"/>
    <w:rsid w:val="00D04158"/>
    <w:rsid w:val="00D0431E"/>
    <w:rsid w:val="00D049AC"/>
    <w:rsid w:val="00D04CDF"/>
    <w:rsid w:val="00D04D28"/>
    <w:rsid w:val="00D04F26"/>
    <w:rsid w:val="00D05341"/>
    <w:rsid w:val="00D05818"/>
    <w:rsid w:val="00D05A82"/>
    <w:rsid w:val="00D062BB"/>
    <w:rsid w:val="00D06376"/>
    <w:rsid w:val="00D06538"/>
    <w:rsid w:val="00D06CF4"/>
    <w:rsid w:val="00D06FDC"/>
    <w:rsid w:val="00D074D8"/>
    <w:rsid w:val="00D07862"/>
    <w:rsid w:val="00D0788F"/>
    <w:rsid w:val="00D10182"/>
    <w:rsid w:val="00D11618"/>
    <w:rsid w:val="00D11D58"/>
    <w:rsid w:val="00D12168"/>
    <w:rsid w:val="00D1245F"/>
    <w:rsid w:val="00D1285D"/>
    <w:rsid w:val="00D12A6F"/>
    <w:rsid w:val="00D12E22"/>
    <w:rsid w:val="00D130EC"/>
    <w:rsid w:val="00D13346"/>
    <w:rsid w:val="00D1334E"/>
    <w:rsid w:val="00D1366A"/>
    <w:rsid w:val="00D1372F"/>
    <w:rsid w:val="00D13969"/>
    <w:rsid w:val="00D14C5B"/>
    <w:rsid w:val="00D14E14"/>
    <w:rsid w:val="00D15154"/>
    <w:rsid w:val="00D15590"/>
    <w:rsid w:val="00D15997"/>
    <w:rsid w:val="00D1601A"/>
    <w:rsid w:val="00D16023"/>
    <w:rsid w:val="00D161BA"/>
    <w:rsid w:val="00D16ACF"/>
    <w:rsid w:val="00D170C9"/>
    <w:rsid w:val="00D1737A"/>
    <w:rsid w:val="00D17B7F"/>
    <w:rsid w:val="00D17E76"/>
    <w:rsid w:val="00D20B0B"/>
    <w:rsid w:val="00D20E63"/>
    <w:rsid w:val="00D21557"/>
    <w:rsid w:val="00D217E7"/>
    <w:rsid w:val="00D21D84"/>
    <w:rsid w:val="00D22107"/>
    <w:rsid w:val="00D2253D"/>
    <w:rsid w:val="00D22585"/>
    <w:rsid w:val="00D22841"/>
    <w:rsid w:val="00D229DF"/>
    <w:rsid w:val="00D22A8E"/>
    <w:rsid w:val="00D23AF7"/>
    <w:rsid w:val="00D24027"/>
    <w:rsid w:val="00D24525"/>
    <w:rsid w:val="00D24DA0"/>
    <w:rsid w:val="00D260F3"/>
    <w:rsid w:val="00D2611E"/>
    <w:rsid w:val="00D264D1"/>
    <w:rsid w:val="00D265BD"/>
    <w:rsid w:val="00D2748B"/>
    <w:rsid w:val="00D275A5"/>
    <w:rsid w:val="00D27FB7"/>
    <w:rsid w:val="00D30127"/>
    <w:rsid w:val="00D3058D"/>
    <w:rsid w:val="00D30722"/>
    <w:rsid w:val="00D30CB9"/>
    <w:rsid w:val="00D31C27"/>
    <w:rsid w:val="00D31CA1"/>
    <w:rsid w:val="00D3245D"/>
    <w:rsid w:val="00D32669"/>
    <w:rsid w:val="00D332BE"/>
    <w:rsid w:val="00D334F2"/>
    <w:rsid w:val="00D33A7C"/>
    <w:rsid w:val="00D33D64"/>
    <w:rsid w:val="00D33F09"/>
    <w:rsid w:val="00D34069"/>
    <w:rsid w:val="00D34754"/>
    <w:rsid w:val="00D34989"/>
    <w:rsid w:val="00D349CB"/>
    <w:rsid w:val="00D34AEB"/>
    <w:rsid w:val="00D34EAE"/>
    <w:rsid w:val="00D34F3C"/>
    <w:rsid w:val="00D35083"/>
    <w:rsid w:val="00D35181"/>
    <w:rsid w:val="00D3521E"/>
    <w:rsid w:val="00D357E8"/>
    <w:rsid w:val="00D3604F"/>
    <w:rsid w:val="00D36234"/>
    <w:rsid w:val="00D3676C"/>
    <w:rsid w:val="00D36C04"/>
    <w:rsid w:val="00D36DF6"/>
    <w:rsid w:val="00D36E56"/>
    <w:rsid w:val="00D36EE1"/>
    <w:rsid w:val="00D3711F"/>
    <w:rsid w:val="00D3723B"/>
    <w:rsid w:val="00D37785"/>
    <w:rsid w:val="00D37952"/>
    <w:rsid w:val="00D3798C"/>
    <w:rsid w:val="00D37A8C"/>
    <w:rsid w:val="00D404D2"/>
    <w:rsid w:val="00D4050C"/>
    <w:rsid w:val="00D40688"/>
    <w:rsid w:val="00D40B9E"/>
    <w:rsid w:val="00D40D20"/>
    <w:rsid w:val="00D40F50"/>
    <w:rsid w:val="00D41021"/>
    <w:rsid w:val="00D4130B"/>
    <w:rsid w:val="00D41362"/>
    <w:rsid w:val="00D41BD4"/>
    <w:rsid w:val="00D424F1"/>
    <w:rsid w:val="00D430DE"/>
    <w:rsid w:val="00D4323A"/>
    <w:rsid w:val="00D439FF"/>
    <w:rsid w:val="00D43DDE"/>
    <w:rsid w:val="00D43E1B"/>
    <w:rsid w:val="00D44136"/>
    <w:rsid w:val="00D44347"/>
    <w:rsid w:val="00D44426"/>
    <w:rsid w:val="00D445B0"/>
    <w:rsid w:val="00D44D9B"/>
    <w:rsid w:val="00D45FAD"/>
    <w:rsid w:val="00D46F03"/>
    <w:rsid w:val="00D46FB5"/>
    <w:rsid w:val="00D473F7"/>
    <w:rsid w:val="00D47FAA"/>
    <w:rsid w:val="00D50463"/>
    <w:rsid w:val="00D50620"/>
    <w:rsid w:val="00D50C81"/>
    <w:rsid w:val="00D510DB"/>
    <w:rsid w:val="00D512F4"/>
    <w:rsid w:val="00D5176A"/>
    <w:rsid w:val="00D51B94"/>
    <w:rsid w:val="00D51C69"/>
    <w:rsid w:val="00D52545"/>
    <w:rsid w:val="00D53D2A"/>
    <w:rsid w:val="00D5401E"/>
    <w:rsid w:val="00D545C8"/>
    <w:rsid w:val="00D54984"/>
    <w:rsid w:val="00D54C14"/>
    <w:rsid w:val="00D54ECA"/>
    <w:rsid w:val="00D5521B"/>
    <w:rsid w:val="00D5528B"/>
    <w:rsid w:val="00D557E1"/>
    <w:rsid w:val="00D55D99"/>
    <w:rsid w:val="00D561C4"/>
    <w:rsid w:val="00D5631B"/>
    <w:rsid w:val="00D5649B"/>
    <w:rsid w:val="00D56608"/>
    <w:rsid w:val="00D5678C"/>
    <w:rsid w:val="00D5683C"/>
    <w:rsid w:val="00D572C9"/>
    <w:rsid w:val="00D575C4"/>
    <w:rsid w:val="00D57973"/>
    <w:rsid w:val="00D57A85"/>
    <w:rsid w:val="00D57AC3"/>
    <w:rsid w:val="00D57F39"/>
    <w:rsid w:val="00D60496"/>
    <w:rsid w:val="00D604C7"/>
    <w:rsid w:val="00D60B6B"/>
    <w:rsid w:val="00D60C11"/>
    <w:rsid w:val="00D61635"/>
    <w:rsid w:val="00D61B36"/>
    <w:rsid w:val="00D61CE8"/>
    <w:rsid w:val="00D6244C"/>
    <w:rsid w:val="00D62BEA"/>
    <w:rsid w:val="00D633B7"/>
    <w:rsid w:val="00D63888"/>
    <w:rsid w:val="00D63978"/>
    <w:rsid w:val="00D63A8D"/>
    <w:rsid w:val="00D63C97"/>
    <w:rsid w:val="00D63FBA"/>
    <w:rsid w:val="00D6456D"/>
    <w:rsid w:val="00D646D4"/>
    <w:rsid w:val="00D64AB9"/>
    <w:rsid w:val="00D64C3A"/>
    <w:rsid w:val="00D65125"/>
    <w:rsid w:val="00D65261"/>
    <w:rsid w:val="00D652F8"/>
    <w:rsid w:val="00D65CD5"/>
    <w:rsid w:val="00D66201"/>
    <w:rsid w:val="00D6627D"/>
    <w:rsid w:val="00D66500"/>
    <w:rsid w:val="00D66D36"/>
    <w:rsid w:val="00D66D83"/>
    <w:rsid w:val="00D67056"/>
    <w:rsid w:val="00D672CC"/>
    <w:rsid w:val="00D7071B"/>
    <w:rsid w:val="00D71433"/>
    <w:rsid w:val="00D7162C"/>
    <w:rsid w:val="00D722D7"/>
    <w:rsid w:val="00D726AF"/>
    <w:rsid w:val="00D7274F"/>
    <w:rsid w:val="00D727FC"/>
    <w:rsid w:val="00D72CF5"/>
    <w:rsid w:val="00D72D14"/>
    <w:rsid w:val="00D72D1F"/>
    <w:rsid w:val="00D730EA"/>
    <w:rsid w:val="00D735F9"/>
    <w:rsid w:val="00D7380C"/>
    <w:rsid w:val="00D742C1"/>
    <w:rsid w:val="00D74BB0"/>
    <w:rsid w:val="00D74BD0"/>
    <w:rsid w:val="00D750BE"/>
    <w:rsid w:val="00D75146"/>
    <w:rsid w:val="00D75FFF"/>
    <w:rsid w:val="00D76AF9"/>
    <w:rsid w:val="00D77280"/>
    <w:rsid w:val="00D77827"/>
    <w:rsid w:val="00D77A5B"/>
    <w:rsid w:val="00D77C5D"/>
    <w:rsid w:val="00D77E4D"/>
    <w:rsid w:val="00D802E6"/>
    <w:rsid w:val="00D80CC2"/>
    <w:rsid w:val="00D80F37"/>
    <w:rsid w:val="00D81023"/>
    <w:rsid w:val="00D817DF"/>
    <w:rsid w:val="00D8238F"/>
    <w:rsid w:val="00D828A8"/>
    <w:rsid w:val="00D835C0"/>
    <w:rsid w:val="00D83686"/>
    <w:rsid w:val="00D843A1"/>
    <w:rsid w:val="00D84853"/>
    <w:rsid w:val="00D85807"/>
    <w:rsid w:val="00D85871"/>
    <w:rsid w:val="00D85C60"/>
    <w:rsid w:val="00D86074"/>
    <w:rsid w:val="00D860FB"/>
    <w:rsid w:val="00D86188"/>
    <w:rsid w:val="00D8626F"/>
    <w:rsid w:val="00D865DB"/>
    <w:rsid w:val="00D8698E"/>
    <w:rsid w:val="00D869F5"/>
    <w:rsid w:val="00D86CDF"/>
    <w:rsid w:val="00D87D3B"/>
    <w:rsid w:val="00D87D67"/>
    <w:rsid w:val="00D901B0"/>
    <w:rsid w:val="00D9054F"/>
    <w:rsid w:val="00D90774"/>
    <w:rsid w:val="00D90BA6"/>
    <w:rsid w:val="00D90E33"/>
    <w:rsid w:val="00D90E8E"/>
    <w:rsid w:val="00D91211"/>
    <w:rsid w:val="00D913FC"/>
    <w:rsid w:val="00D9143E"/>
    <w:rsid w:val="00D91679"/>
    <w:rsid w:val="00D919E4"/>
    <w:rsid w:val="00D92275"/>
    <w:rsid w:val="00D925D5"/>
    <w:rsid w:val="00D9279E"/>
    <w:rsid w:val="00D92B02"/>
    <w:rsid w:val="00D92CC0"/>
    <w:rsid w:val="00D92ED6"/>
    <w:rsid w:val="00D93087"/>
    <w:rsid w:val="00D9321C"/>
    <w:rsid w:val="00D934EF"/>
    <w:rsid w:val="00D93D11"/>
    <w:rsid w:val="00D94649"/>
    <w:rsid w:val="00D94843"/>
    <w:rsid w:val="00D948ED"/>
    <w:rsid w:val="00D94DEF"/>
    <w:rsid w:val="00D9536E"/>
    <w:rsid w:val="00D9621F"/>
    <w:rsid w:val="00D9623D"/>
    <w:rsid w:val="00D96256"/>
    <w:rsid w:val="00D96BD7"/>
    <w:rsid w:val="00D973A8"/>
    <w:rsid w:val="00D97AE9"/>
    <w:rsid w:val="00DA00F5"/>
    <w:rsid w:val="00DA0704"/>
    <w:rsid w:val="00DA0802"/>
    <w:rsid w:val="00DA0994"/>
    <w:rsid w:val="00DA0B49"/>
    <w:rsid w:val="00DA114A"/>
    <w:rsid w:val="00DA1285"/>
    <w:rsid w:val="00DA1919"/>
    <w:rsid w:val="00DA1A2C"/>
    <w:rsid w:val="00DA1A49"/>
    <w:rsid w:val="00DA22F0"/>
    <w:rsid w:val="00DA298E"/>
    <w:rsid w:val="00DA2A75"/>
    <w:rsid w:val="00DA2DAA"/>
    <w:rsid w:val="00DA2EB1"/>
    <w:rsid w:val="00DA33B2"/>
    <w:rsid w:val="00DA3C6C"/>
    <w:rsid w:val="00DA45A1"/>
    <w:rsid w:val="00DA4762"/>
    <w:rsid w:val="00DA47E4"/>
    <w:rsid w:val="00DA4A6E"/>
    <w:rsid w:val="00DA4FD4"/>
    <w:rsid w:val="00DA5669"/>
    <w:rsid w:val="00DA612D"/>
    <w:rsid w:val="00DA72EE"/>
    <w:rsid w:val="00DA738D"/>
    <w:rsid w:val="00DA7A3B"/>
    <w:rsid w:val="00DA7C0E"/>
    <w:rsid w:val="00DB05FC"/>
    <w:rsid w:val="00DB12AA"/>
    <w:rsid w:val="00DB142C"/>
    <w:rsid w:val="00DB1C95"/>
    <w:rsid w:val="00DB1E70"/>
    <w:rsid w:val="00DB207D"/>
    <w:rsid w:val="00DB2128"/>
    <w:rsid w:val="00DB21CE"/>
    <w:rsid w:val="00DB22FC"/>
    <w:rsid w:val="00DB25DA"/>
    <w:rsid w:val="00DB2D3F"/>
    <w:rsid w:val="00DB2EF3"/>
    <w:rsid w:val="00DB31A7"/>
    <w:rsid w:val="00DB3399"/>
    <w:rsid w:val="00DB4136"/>
    <w:rsid w:val="00DB50D1"/>
    <w:rsid w:val="00DB50FB"/>
    <w:rsid w:val="00DB510C"/>
    <w:rsid w:val="00DB56B7"/>
    <w:rsid w:val="00DB5AE0"/>
    <w:rsid w:val="00DB5CF9"/>
    <w:rsid w:val="00DB5EA7"/>
    <w:rsid w:val="00DB63C3"/>
    <w:rsid w:val="00DB646C"/>
    <w:rsid w:val="00DB68D7"/>
    <w:rsid w:val="00DB69DF"/>
    <w:rsid w:val="00DB7180"/>
    <w:rsid w:val="00DB7478"/>
    <w:rsid w:val="00DB777D"/>
    <w:rsid w:val="00DB7A3A"/>
    <w:rsid w:val="00DC0C9D"/>
    <w:rsid w:val="00DC0DB6"/>
    <w:rsid w:val="00DC101B"/>
    <w:rsid w:val="00DC13E2"/>
    <w:rsid w:val="00DC1610"/>
    <w:rsid w:val="00DC161B"/>
    <w:rsid w:val="00DC171D"/>
    <w:rsid w:val="00DC1A58"/>
    <w:rsid w:val="00DC1AEB"/>
    <w:rsid w:val="00DC1DE0"/>
    <w:rsid w:val="00DC1F78"/>
    <w:rsid w:val="00DC2048"/>
    <w:rsid w:val="00DC2FC4"/>
    <w:rsid w:val="00DC3367"/>
    <w:rsid w:val="00DC41A6"/>
    <w:rsid w:val="00DC4551"/>
    <w:rsid w:val="00DC4824"/>
    <w:rsid w:val="00DC5365"/>
    <w:rsid w:val="00DC54CC"/>
    <w:rsid w:val="00DC576E"/>
    <w:rsid w:val="00DC6482"/>
    <w:rsid w:val="00DC6751"/>
    <w:rsid w:val="00DC6A0F"/>
    <w:rsid w:val="00DC6B1F"/>
    <w:rsid w:val="00DC6CCB"/>
    <w:rsid w:val="00DC782E"/>
    <w:rsid w:val="00DC7AE9"/>
    <w:rsid w:val="00DC7B06"/>
    <w:rsid w:val="00DD0936"/>
    <w:rsid w:val="00DD097D"/>
    <w:rsid w:val="00DD1306"/>
    <w:rsid w:val="00DD16E6"/>
    <w:rsid w:val="00DD16F3"/>
    <w:rsid w:val="00DD17DA"/>
    <w:rsid w:val="00DD1ED8"/>
    <w:rsid w:val="00DD24A6"/>
    <w:rsid w:val="00DD316C"/>
    <w:rsid w:val="00DD3528"/>
    <w:rsid w:val="00DD36BF"/>
    <w:rsid w:val="00DD4AF2"/>
    <w:rsid w:val="00DD4B08"/>
    <w:rsid w:val="00DD4C65"/>
    <w:rsid w:val="00DD4C6C"/>
    <w:rsid w:val="00DD557D"/>
    <w:rsid w:val="00DD5AB3"/>
    <w:rsid w:val="00DD5CB5"/>
    <w:rsid w:val="00DD6492"/>
    <w:rsid w:val="00DD70D8"/>
    <w:rsid w:val="00DD73CA"/>
    <w:rsid w:val="00DD7610"/>
    <w:rsid w:val="00DD7D47"/>
    <w:rsid w:val="00DD7DB1"/>
    <w:rsid w:val="00DE028D"/>
    <w:rsid w:val="00DE0F22"/>
    <w:rsid w:val="00DE0F57"/>
    <w:rsid w:val="00DE0FEC"/>
    <w:rsid w:val="00DE10BB"/>
    <w:rsid w:val="00DE13B8"/>
    <w:rsid w:val="00DE1BE7"/>
    <w:rsid w:val="00DE1C56"/>
    <w:rsid w:val="00DE1E0B"/>
    <w:rsid w:val="00DE24D8"/>
    <w:rsid w:val="00DE2B46"/>
    <w:rsid w:val="00DE308F"/>
    <w:rsid w:val="00DE38F9"/>
    <w:rsid w:val="00DE3D93"/>
    <w:rsid w:val="00DE4463"/>
    <w:rsid w:val="00DE4565"/>
    <w:rsid w:val="00DE4CF6"/>
    <w:rsid w:val="00DE5A52"/>
    <w:rsid w:val="00DE6170"/>
    <w:rsid w:val="00DE6322"/>
    <w:rsid w:val="00DE6388"/>
    <w:rsid w:val="00DE6C44"/>
    <w:rsid w:val="00DE7406"/>
    <w:rsid w:val="00DE742B"/>
    <w:rsid w:val="00DE7690"/>
    <w:rsid w:val="00DE7D7A"/>
    <w:rsid w:val="00DF0636"/>
    <w:rsid w:val="00DF07A3"/>
    <w:rsid w:val="00DF0A22"/>
    <w:rsid w:val="00DF0C3E"/>
    <w:rsid w:val="00DF0D4B"/>
    <w:rsid w:val="00DF0DCE"/>
    <w:rsid w:val="00DF1242"/>
    <w:rsid w:val="00DF14A5"/>
    <w:rsid w:val="00DF1666"/>
    <w:rsid w:val="00DF1794"/>
    <w:rsid w:val="00DF1B3C"/>
    <w:rsid w:val="00DF1E2A"/>
    <w:rsid w:val="00DF2295"/>
    <w:rsid w:val="00DF27D4"/>
    <w:rsid w:val="00DF28B4"/>
    <w:rsid w:val="00DF2C87"/>
    <w:rsid w:val="00DF2FEB"/>
    <w:rsid w:val="00DF3454"/>
    <w:rsid w:val="00DF3CE3"/>
    <w:rsid w:val="00DF4BD0"/>
    <w:rsid w:val="00DF502D"/>
    <w:rsid w:val="00DF50C5"/>
    <w:rsid w:val="00DF52BF"/>
    <w:rsid w:val="00DF54BA"/>
    <w:rsid w:val="00DF5B98"/>
    <w:rsid w:val="00DF5D9F"/>
    <w:rsid w:val="00DF6003"/>
    <w:rsid w:val="00DF6E31"/>
    <w:rsid w:val="00DF6E66"/>
    <w:rsid w:val="00DF72AD"/>
    <w:rsid w:val="00DF76FA"/>
    <w:rsid w:val="00DF772A"/>
    <w:rsid w:val="00DF7B11"/>
    <w:rsid w:val="00E00104"/>
    <w:rsid w:val="00E00352"/>
    <w:rsid w:val="00E00621"/>
    <w:rsid w:val="00E0068F"/>
    <w:rsid w:val="00E00DF2"/>
    <w:rsid w:val="00E00F44"/>
    <w:rsid w:val="00E0122F"/>
    <w:rsid w:val="00E01871"/>
    <w:rsid w:val="00E02403"/>
    <w:rsid w:val="00E02731"/>
    <w:rsid w:val="00E029AC"/>
    <w:rsid w:val="00E02E73"/>
    <w:rsid w:val="00E02E7E"/>
    <w:rsid w:val="00E03336"/>
    <w:rsid w:val="00E039D1"/>
    <w:rsid w:val="00E03C89"/>
    <w:rsid w:val="00E0424C"/>
    <w:rsid w:val="00E048D1"/>
    <w:rsid w:val="00E04919"/>
    <w:rsid w:val="00E04997"/>
    <w:rsid w:val="00E04B04"/>
    <w:rsid w:val="00E052B7"/>
    <w:rsid w:val="00E06250"/>
    <w:rsid w:val="00E06782"/>
    <w:rsid w:val="00E067EB"/>
    <w:rsid w:val="00E06C6D"/>
    <w:rsid w:val="00E07350"/>
    <w:rsid w:val="00E0788A"/>
    <w:rsid w:val="00E07D81"/>
    <w:rsid w:val="00E103A5"/>
    <w:rsid w:val="00E10556"/>
    <w:rsid w:val="00E1105F"/>
    <w:rsid w:val="00E1194F"/>
    <w:rsid w:val="00E11B32"/>
    <w:rsid w:val="00E11DAC"/>
    <w:rsid w:val="00E11F0C"/>
    <w:rsid w:val="00E12163"/>
    <w:rsid w:val="00E12310"/>
    <w:rsid w:val="00E123CA"/>
    <w:rsid w:val="00E1323B"/>
    <w:rsid w:val="00E134FF"/>
    <w:rsid w:val="00E1373A"/>
    <w:rsid w:val="00E13E81"/>
    <w:rsid w:val="00E14049"/>
    <w:rsid w:val="00E14625"/>
    <w:rsid w:val="00E146A9"/>
    <w:rsid w:val="00E14829"/>
    <w:rsid w:val="00E14D33"/>
    <w:rsid w:val="00E151D4"/>
    <w:rsid w:val="00E15206"/>
    <w:rsid w:val="00E1528E"/>
    <w:rsid w:val="00E1557E"/>
    <w:rsid w:val="00E156A5"/>
    <w:rsid w:val="00E15AC8"/>
    <w:rsid w:val="00E16043"/>
    <w:rsid w:val="00E1606E"/>
    <w:rsid w:val="00E162C6"/>
    <w:rsid w:val="00E16501"/>
    <w:rsid w:val="00E166FF"/>
    <w:rsid w:val="00E16CC9"/>
    <w:rsid w:val="00E172DD"/>
    <w:rsid w:val="00E17977"/>
    <w:rsid w:val="00E17B7D"/>
    <w:rsid w:val="00E21182"/>
    <w:rsid w:val="00E21253"/>
    <w:rsid w:val="00E21E8D"/>
    <w:rsid w:val="00E2209C"/>
    <w:rsid w:val="00E2271A"/>
    <w:rsid w:val="00E2279C"/>
    <w:rsid w:val="00E22B35"/>
    <w:rsid w:val="00E22C5F"/>
    <w:rsid w:val="00E2346E"/>
    <w:rsid w:val="00E2356F"/>
    <w:rsid w:val="00E23A10"/>
    <w:rsid w:val="00E23D40"/>
    <w:rsid w:val="00E23E29"/>
    <w:rsid w:val="00E2406B"/>
    <w:rsid w:val="00E24981"/>
    <w:rsid w:val="00E24FD0"/>
    <w:rsid w:val="00E25258"/>
    <w:rsid w:val="00E258B6"/>
    <w:rsid w:val="00E25900"/>
    <w:rsid w:val="00E25973"/>
    <w:rsid w:val="00E25A2C"/>
    <w:rsid w:val="00E25CB0"/>
    <w:rsid w:val="00E25D8A"/>
    <w:rsid w:val="00E26376"/>
    <w:rsid w:val="00E26805"/>
    <w:rsid w:val="00E26BBA"/>
    <w:rsid w:val="00E26EA4"/>
    <w:rsid w:val="00E27B76"/>
    <w:rsid w:val="00E3085B"/>
    <w:rsid w:val="00E308A7"/>
    <w:rsid w:val="00E30A35"/>
    <w:rsid w:val="00E30A98"/>
    <w:rsid w:val="00E30E75"/>
    <w:rsid w:val="00E315BF"/>
    <w:rsid w:val="00E319A0"/>
    <w:rsid w:val="00E31A17"/>
    <w:rsid w:val="00E33A89"/>
    <w:rsid w:val="00E33AD3"/>
    <w:rsid w:val="00E33B4A"/>
    <w:rsid w:val="00E33C99"/>
    <w:rsid w:val="00E33CD4"/>
    <w:rsid w:val="00E344EB"/>
    <w:rsid w:val="00E3478A"/>
    <w:rsid w:val="00E34855"/>
    <w:rsid w:val="00E349D2"/>
    <w:rsid w:val="00E34C61"/>
    <w:rsid w:val="00E350BE"/>
    <w:rsid w:val="00E35475"/>
    <w:rsid w:val="00E3587C"/>
    <w:rsid w:val="00E36423"/>
    <w:rsid w:val="00E36572"/>
    <w:rsid w:val="00E36638"/>
    <w:rsid w:val="00E369F2"/>
    <w:rsid w:val="00E36D0E"/>
    <w:rsid w:val="00E374E4"/>
    <w:rsid w:val="00E37A40"/>
    <w:rsid w:val="00E40071"/>
    <w:rsid w:val="00E402F0"/>
    <w:rsid w:val="00E40458"/>
    <w:rsid w:val="00E40A79"/>
    <w:rsid w:val="00E40B1A"/>
    <w:rsid w:val="00E40B2E"/>
    <w:rsid w:val="00E41A2A"/>
    <w:rsid w:val="00E41F5A"/>
    <w:rsid w:val="00E42576"/>
    <w:rsid w:val="00E42796"/>
    <w:rsid w:val="00E427CD"/>
    <w:rsid w:val="00E42E64"/>
    <w:rsid w:val="00E43662"/>
    <w:rsid w:val="00E4367C"/>
    <w:rsid w:val="00E43BD2"/>
    <w:rsid w:val="00E43BD8"/>
    <w:rsid w:val="00E43D94"/>
    <w:rsid w:val="00E43EA5"/>
    <w:rsid w:val="00E43EAC"/>
    <w:rsid w:val="00E44E17"/>
    <w:rsid w:val="00E45071"/>
    <w:rsid w:val="00E45167"/>
    <w:rsid w:val="00E4573A"/>
    <w:rsid w:val="00E464AF"/>
    <w:rsid w:val="00E466EB"/>
    <w:rsid w:val="00E471D3"/>
    <w:rsid w:val="00E473F5"/>
    <w:rsid w:val="00E476F3"/>
    <w:rsid w:val="00E47863"/>
    <w:rsid w:val="00E47C8C"/>
    <w:rsid w:val="00E503E2"/>
    <w:rsid w:val="00E50645"/>
    <w:rsid w:val="00E50C48"/>
    <w:rsid w:val="00E50F45"/>
    <w:rsid w:val="00E511A4"/>
    <w:rsid w:val="00E5172F"/>
    <w:rsid w:val="00E51877"/>
    <w:rsid w:val="00E51CA9"/>
    <w:rsid w:val="00E51D38"/>
    <w:rsid w:val="00E51FD8"/>
    <w:rsid w:val="00E5253C"/>
    <w:rsid w:val="00E534D9"/>
    <w:rsid w:val="00E53639"/>
    <w:rsid w:val="00E541BC"/>
    <w:rsid w:val="00E5429B"/>
    <w:rsid w:val="00E54B21"/>
    <w:rsid w:val="00E54E6D"/>
    <w:rsid w:val="00E55490"/>
    <w:rsid w:val="00E55749"/>
    <w:rsid w:val="00E559E0"/>
    <w:rsid w:val="00E55EE4"/>
    <w:rsid w:val="00E55F86"/>
    <w:rsid w:val="00E56354"/>
    <w:rsid w:val="00E56612"/>
    <w:rsid w:val="00E56795"/>
    <w:rsid w:val="00E56850"/>
    <w:rsid w:val="00E56B20"/>
    <w:rsid w:val="00E56DF3"/>
    <w:rsid w:val="00E56EE1"/>
    <w:rsid w:val="00E572A0"/>
    <w:rsid w:val="00E5743E"/>
    <w:rsid w:val="00E57CD8"/>
    <w:rsid w:val="00E57F08"/>
    <w:rsid w:val="00E60075"/>
    <w:rsid w:val="00E60325"/>
    <w:rsid w:val="00E60352"/>
    <w:rsid w:val="00E60850"/>
    <w:rsid w:val="00E60A21"/>
    <w:rsid w:val="00E60AC5"/>
    <w:rsid w:val="00E61840"/>
    <w:rsid w:val="00E6207D"/>
    <w:rsid w:val="00E623C5"/>
    <w:rsid w:val="00E6245C"/>
    <w:rsid w:val="00E626F8"/>
    <w:rsid w:val="00E6279C"/>
    <w:rsid w:val="00E62829"/>
    <w:rsid w:val="00E62E77"/>
    <w:rsid w:val="00E6373C"/>
    <w:rsid w:val="00E64023"/>
    <w:rsid w:val="00E640FE"/>
    <w:rsid w:val="00E6412B"/>
    <w:rsid w:val="00E64561"/>
    <w:rsid w:val="00E6474D"/>
    <w:rsid w:val="00E64C93"/>
    <w:rsid w:val="00E65FE5"/>
    <w:rsid w:val="00E661C0"/>
    <w:rsid w:val="00E66B14"/>
    <w:rsid w:val="00E67210"/>
    <w:rsid w:val="00E67298"/>
    <w:rsid w:val="00E674EE"/>
    <w:rsid w:val="00E67E39"/>
    <w:rsid w:val="00E70118"/>
    <w:rsid w:val="00E703A4"/>
    <w:rsid w:val="00E703C1"/>
    <w:rsid w:val="00E70647"/>
    <w:rsid w:val="00E70BEC"/>
    <w:rsid w:val="00E71248"/>
    <w:rsid w:val="00E71A6C"/>
    <w:rsid w:val="00E71C1D"/>
    <w:rsid w:val="00E72062"/>
    <w:rsid w:val="00E72083"/>
    <w:rsid w:val="00E72EFC"/>
    <w:rsid w:val="00E73069"/>
    <w:rsid w:val="00E74076"/>
    <w:rsid w:val="00E74919"/>
    <w:rsid w:val="00E75061"/>
    <w:rsid w:val="00E75748"/>
    <w:rsid w:val="00E7575E"/>
    <w:rsid w:val="00E75994"/>
    <w:rsid w:val="00E75FC2"/>
    <w:rsid w:val="00E76C2E"/>
    <w:rsid w:val="00E76DD3"/>
    <w:rsid w:val="00E77233"/>
    <w:rsid w:val="00E77DD0"/>
    <w:rsid w:val="00E805B0"/>
    <w:rsid w:val="00E805CF"/>
    <w:rsid w:val="00E80ED2"/>
    <w:rsid w:val="00E80F68"/>
    <w:rsid w:val="00E81639"/>
    <w:rsid w:val="00E8164A"/>
    <w:rsid w:val="00E816BB"/>
    <w:rsid w:val="00E8196E"/>
    <w:rsid w:val="00E81BE7"/>
    <w:rsid w:val="00E81E43"/>
    <w:rsid w:val="00E82414"/>
    <w:rsid w:val="00E82914"/>
    <w:rsid w:val="00E82CBB"/>
    <w:rsid w:val="00E83C5E"/>
    <w:rsid w:val="00E83E65"/>
    <w:rsid w:val="00E840EE"/>
    <w:rsid w:val="00E8472F"/>
    <w:rsid w:val="00E84BAC"/>
    <w:rsid w:val="00E8539C"/>
    <w:rsid w:val="00E853CD"/>
    <w:rsid w:val="00E8560A"/>
    <w:rsid w:val="00E85652"/>
    <w:rsid w:val="00E8579E"/>
    <w:rsid w:val="00E85A2D"/>
    <w:rsid w:val="00E85A5F"/>
    <w:rsid w:val="00E85BD9"/>
    <w:rsid w:val="00E864A4"/>
    <w:rsid w:val="00E868DF"/>
    <w:rsid w:val="00E869C6"/>
    <w:rsid w:val="00E869D5"/>
    <w:rsid w:val="00E86CF2"/>
    <w:rsid w:val="00E87C20"/>
    <w:rsid w:val="00E87CC6"/>
    <w:rsid w:val="00E90280"/>
    <w:rsid w:val="00E90291"/>
    <w:rsid w:val="00E905FD"/>
    <w:rsid w:val="00E90EB8"/>
    <w:rsid w:val="00E915BD"/>
    <w:rsid w:val="00E915E8"/>
    <w:rsid w:val="00E917D6"/>
    <w:rsid w:val="00E91832"/>
    <w:rsid w:val="00E91DCF"/>
    <w:rsid w:val="00E9227A"/>
    <w:rsid w:val="00E9262A"/>
    <w:rsid w:val="00E92A52"/>
    <w:rsid w:val="00E92F51"/>
    <w:rsid w:val="00E92F8E"/>
    <w:rsid w:val="00E93642"/>
    <w:rsid w:val="00E93C04"/>
    <w:rsid w:val="00E93F0F"/>
    <w:rsid w:val="00E94986"/>
    <w:rsid w:val="00E94E62"/>
    <w:rsid w:val="00E957CA"/>
    <w:rsid w:val="00E9583F"/>
    <w:rsid w:val="00E95C65"/>
    <w:rsid w:val="00E95D3A"/>
    <w:rsid w:val="00E95F5C"/>
    <w:rsid w:val="00E966AA"/>
    <w:rsid w:val="00E9681C"/>
    <w:rsid w:val="00E96AD1"/>
    <w:rsid w:val="00E96C0D"/>
    <w:rsid w:val="00E9785D"/>
    <w:rsid w:val="00E97C3E"/>
    <w:rsid w:val="00E97F26"/>
    <w:rsid w:val="00EA04E4"/>
    <w:rsid w:val="00EA057D"/>
    <w:rsid w:val="00EA0DD4"/>
    <w:rsid w:val="00EA10E5"/>
    <w:rsid w:val="00EA15B7"/>
    <w:rsid w:val="00EA1941"/>
    <w:rsid w:val="00EA25B0"/>
    <w:rsid w:val="00EA25C3"/>
    <w:rsid w:val="00EA2708"/>
    <w:rsid w:val="00EA29BB"/>
    <w:rsid w:val="00EA2E11"/>
    <w:rsid w:val="00EA33CD"/>
    <w:rsid w:val="00EA395A"/>
    <w:rsid w:val="00EA3A0B"/>
    <w:rsid w:val="00EA4108"/>
    <w:rsid w:val="00EA41CB"/>
    <w:rsid w:val="00EA4412"/>
    <w:rsid w:val="00EA4EF2"/>
    <w:rsid w:val="00EA5397"/>
    <w:rsid w:val="00EA5456"/>
    <w:rsid w:val="00EA54F7"/>
    <w:rsid w:val="00EA56B7"/>
    <w:rsid w:val="00EA5969"/>
    <w:rsid w:val="00EA6A21"/>
    <w:rsid w:val="00EA72A8"/>
    <w:rsid w:val="00EA783D"/>
    <w:rsid w:val="00EB0830"/>
    <w:rsid w:val="00EB1387"/>
    <w:rsid w:val="00EB1703"/>
    <w:rsid w:val="00EB18CF"/>
    <w:rsid w:val="00EB2D1F"/>
    <w:rsid w:val="00EB2F46"/>
    <w:rsid w:val="00EB34A5"/>
    <w:rsid w:val="00EB3571"/>
    <w:rsid w:val="00EB3A27"/>
    <w:rsid w:val="00EB3E6E"/>
    <w:rsid w:val="00EB3EDD"/>
    <w:rsid w:val="00EB3F51"/>
    <w:rsid w:val="00EB4244"/>
    <w:rsid w:val="00EB4294"/>
    <w:rsid w:val="00EB4EDB"/>
    <w:rsid w:val="00EB5635"/>
    <w:rsid w:val="00EB5808"/>
    <w:rsid w:val="00EB5C84"/>
    <w:rsid w:val="00EB5E56"/>
    <w:rsid w:val="00EB64B9"/>
    <w:rsid w:val="00EB65C9"/>
    <w:rsid w:val="00EB6F71"/>
    <w:rsid w:val="00EB7524"/>
    <w:rsid w:val="00EB7C30"/>
    <w:rsid w:val="00EC085D"/>
    <w:rsid w:val="00EC08C2"/>
    <w:rsid w:val="00EC0ECB"/>
    <w:rsid w:val="00EC1D24"/>
    <w:rsid w:val="00EC21A2"/>
    <w:rsid w:val="00EC2223"/>
    <w:rsid w:val="00EC23C3"/>
    <w:rsid w:val="00EC2E7C"/>
    <w:rsid w:val="00EC2E9D"/>
    <w:rsid w:val="00EC3129"/>
    <w:rsid w:val="00EC31D3"/>
    <w:rsid w:val="00EC3705"/>
    <w:rsid w:val="00EC5356"/>
    <w:rsid w:val="00EC5447"/>
    <w:rsid w:val="00EC558E"/>
    <w:rsid w:val="00EC5611"/>
    <w:rsid w:val="00EC5AE0"/>
    <w:rsid w:val="00EC5B96"/>
    <w:rsid w:val="00EC6E9B"/>
    <w:rsid w:val="00EC6ECD"/>
    <w:rsid w:val="00EC7089"/>
    <w:rsid w:val="00ED035F"/>
    <w:rsid w:val="00ED036B"/>
    <w:rsid w:val="00ED085F"/>
    <w:rsid w:val="00ED1524"/>
    <w:rsid w:val="00ED184A"/>
    <w:rsid w:val="00ED1960"/>
    <w:rsid w:val="00ED1CBD"/>
    <w:rsid w:val="00ED1DA1"/>
    <w:rsid w:val="00ED1FD5"/>
    <w:rsid w:val="00ED2023"/>
    <w:rsid w:val="00ED2B3D"/>
    <w:rsid w:val="00ED2B5D"/>
    <w:rsid w:val="00ED2CBA"/>
    <w:rsid w:val="00ED33CE"/>
    <w:rsid w:val="00ED3578"/>
    <w:rsid w:val="00ED398A"/>
    <w:rsid w:val="00ED3F80"/>
    <w:rsid w:val="00ED3FFB"/>
    <w:rsid w:val="00ED54DF"/>
    <w:rsid w:val="00ED6252"/>
    <w:rsid w:val="00ED640C"/>
    <w:rsid w:val="00ED6B07"/>
    <w:rsid w:val="00ED6D57"/>
    <w:rsid w:val="00ED6F0F"/>
    <w:rsid w:val="00ED7035"/>
    <w:rsid w:val="00ED7279"/>
    <w:rsid w:val="00ED737C"/>
    <w:rsid w:val="00ED7F5C"/>
    <w:rsid w:val="00ED7F7B"/>
    <w:rsid w:val="00ED7FCC"/>
    <w:rsid w:val="00EE03BF"/>
    <w:rsid w:val="00EE03DB"/>
    <w:rsid w:val="00EE0924"/>
    <w:rsid w:val="00EE1CE7"/>
    <w:rsid w:val="00EE2305"/>
    <w:rsid w:val="00EE24ED"/>
    <w:rsid w:val="00EE303F"/>
    <w:rsid w:val="00EE381C"/>
    <w:rsid w:val="00EE3E8B"/>
    <w:rsid w:val="00EE4295"/>
    <w:rsid w:val="00EE4640"/>
    <w:rsid w:val="00EE4F75"/>
    <w:rsid w:val="00EE51AF"/>
    <w:rsid w:val="00EE55AE"/>
    <w:rsid w:val="00EE5E84"/>
    <w:rsid w:val="00EE5F06"/>
    <w:rsid w:val="00EE5F2C"/>
    <w:rsid w:val="00EE6017"/>
    <w:rsid w:val="00EE614E"/>
    <w:rsid w:val="00EE6196"/>
    <w:rsid w:val="00EE666B"/>
    <w:rsid w:val="00EE6CEA"/>
    <w:rsid w:val="00EE70B6"/>
    <w:rsid w:val="00EE70EC"/>
    <w:rsid w:val="00EE7266"/>
    <w:rsid w:val="00EE75C2"/>
    <w:rsid w:val="00EE78D3"/>
    <w:rsid w:val="00EE7BB0"/>
    <w:rsid w:val="00EE7C2E"/>
    <w:rsid w:val="00EE7DA7"/>
    <w:rsid w:val="00EE7ED1"/>
    <w:rsid w:val="00EF0490"/>
    <w:rsid w:val="00EF1465"/>
    <w:rsid w:val="00EF17D0"/>
    <w:rsid w:val="00EF1B0F"/>
    <w:rsid w:val="00EF1BAE"/>
    <w:rsid w:val="00EF1CCD"/>
    <w:rsid w:val="00EF2098"/>
    <w:rsid w:val="00EF20D8"/>
    <w:rsid w:val="00EF2C75"/>
    <w:rsid w:val="00EF2DA0"/>
    <w:rsid w:val="00EF31E6"/>
    <w:rsid w:val="00EF342C"/>
    <w:rsid w:val="00EF3AD6"/>
    <w:rsid w:val="00EF3EAE"/>
    <w:rsid w:val="00EF41DC"/>
    <w:rsid w:val="00EF48DE"/>
    <w:rsid w:val="00EF48F5"/>
    <w:rsid w:val="00EF4B49"/>
    <w:rsid w:val="00EF5378"/>
    <w:rsid w:val="00EF54DA"/>
    <w:rsid w:val="00EF5893"/>
    <w:rsid w:val="00EF5AD8"/>
    <w:rsid w:val="00EF5C36"/>
    <w:rsid w:val="00EF6470"/>
    <w:rsid w:val="00EF68D9"/>
    <w:rsid w:val="00EF6A07"/>
    <w:rsid w:val="00EF6D87"/>
    <w:rsid w:val="00EF73C7"/>
    <w:rsid w:val="00EF7519"/>
    <w:rsid w:val="00F00141"/>
    <w:rsid w:val="00F0017E"/>
    <w:rsid w:val="00F00621"/>
    <w:rsid w:val="00F007F3"/>
    <w:rsid w:val="00F00B74"/>
    <w:rsid w:val="00F0109C"/>
    <w:rsid w:val="00F0110D"/>
    <w:rsid w:val="00F01CA7"/>
    <w:rsid w:val="00F02176"/>
    <w:rsid w:val="00F0261A"/>
    <w:rsid w:val="00F02837"/>
    <w:rsid w:val="00F02883"/>
    <w:rsid w:val="00F02FE7"/>
    <w:rsid w:val="00F0306E"/>
    <w:rsid w:val="00F0317E"/>
    <w:rsid w:val="00F0319C"/>
    <w:rsid w:val="00F03344"/>
    <w:rsid w:val="00F03392"/>
    <w:rsid w:val="00F03878"/>
    <w:rsid w:val="00F03DE3"/>
    <w:rsid w:val="00F04E38"/>
    <w:rsid w:val="00F04E70"/>
    <w:rsid w:val="00F051B6"/>
    <w:rsid w:val="00F05F0E"/>
    <w:rsid w:val="00F061E1"/>
    <w:rsid w:val="00F06326"/>
    <w:rsid w:val="00F066C9"/>
    <w:rsid w:val="00F066CE"/>
    <w:rsid w:val="00F068D3"/>
    <w:rsid w:val="00F0691C"/>
    <w:rsid w:val="00F06A00"/>
    <w:rsid w:val="00F06FC4"/>
    <w:rsid w:val="00F07770"/>
    <w:rsid w:val="00F07784"/>
    <w:rsid w:val="00F1065D"/>
    <w:rsid w:val="00F10CFF"/>
    <w:rsid w:val="00F111DF"/>
    <w:rsid w:val="00F1173D"/>
    <w:rsid w:val="00F11873"/>
    <w:rsid w:val="00F11E1B"/>
    <w:rsid w:val="00F121C2"/>
    <w:rsid w:val="00F12753"/>
    <w:rsid w:val="00F12850"/>
    <w:rsid w:val="00F128E0"/>
    <w:rsid w:val="00F12B60"/>
    <w:rsid w:val="00F12D16"/>
    <w:rsid w:val="00F12D17"/>
    <w:rsid w:val="00F12EE1"/>
    <w:rsid w:val="00F1351F"/>
    <w:rsid w:val="00F14345"/>
    <w:rsid w:val="00F1477E"/>
    <w:rsid w:val="00F14BA4"/>
    <w:rsid w:val="00F14E34"/>
    <w:rsid w:val="00F15080"/>
    <w:rsid w:val="00F16AED"/>
    <w:rsid w:val="00F1706C"/>
    <w:rsid w:val="00F17197"/>
    <w:rsid w:val="00F1757B"/>
    <w:rsid w:val="00F1791B"/>
    <w:rsid w:val="00F20006"/>
    <w:rsid w:val="00F2039D"/>
    <w:rsid w:val="00F20C43"/>
    <w:rsid w:val="00F20EA6"/>
    <w:rsid w:val="00F21925"/>
    <w:rsid w:val="00F21C4F"/>
    <w:rsid w:val="00F21FD5"/>
    <w:rsid w:val="00F22055"/>
    <w:rsid w:val="00F222C8"/>
    <w:rsid w:val="00F22887"/>
    <w:rsid w:val="00F22E68"/>
    <w:rsid w:val="00F23B62"/>
    <w:rsid w:val="00F23FAD"/>
    <w:rsid w:val="00F24444"/>
    <w:rsid w:val="00F24E79"/>
    <w:rsid w:val="00F258DD"/>
    <w:rsid w:val="00F25A5D"/>
    <w:rsid w:val="00F25B56"/>
    <w:rsid w:val="00F26407"/>
    <w:rsid w:val="00F26462"/>
    <w:rsid w:val="00F266FC"/>
    <w:rsid w:val="00F26F70"/>
    <w:rsid w:val="00F274E5"/>
    <w:rsid w:val="00F274F9"/>
    <w:rsid w:val="00F2767A"/>
    <w:rsid w:val="00F279FF"/>
    <w:rsid w:val="00F27AA6"/>
    <w:rsid w:val="00F27BB8"/>
    <w:rsid w:val="00F30477"/>
    <w:rsid w:val="00F30985"/>
    <w:rsid w:val="00F309CD"/>
    <w:rsid w:val="00F31899"/>
    <w:rsid w:val="00F31F81"/>
    <w:rsid w:val="00F321FA"/>
    <w:rsid w:val="00F329C6"/>
    <w:rsid w:val="00F330C8"/>
    <w:rsid w:val="00F33DEB"/>
    <w:rsid w:val="00F340CA"/>
    <w:rsid w:val="00F34C7B"/>
    <w:rsid w:val="00F35075"/>
    <w:rsid w:val="00F354A9"/>
    <w:rsid w:val="00F3574B"/>
    <w:rsid w:val="00F3598B"/>
    <w:rsid w:val="00F35DE9"/>
    <w:rsid w:val="00F3649F"/>
    <w:rsid w:val="00F365F5"/>
    <w:rsid w:val="00F36773"/>
    <w:rsid w:val="00F3693F"/>
    <w:rsid w:val="00F36B4C"/>
    <w:rsid w:val="00F36BAD"/>
    <w:rsid w:val="00F37FAE"/>
    <w:rsid w:val="00F4061E"/>
    <w:rsid w:val="00F410B5"/>
    <w:rsid w:val="00F413DB"/>
    <w:rsid w:val="00F41C5A"/>
    <w:rsid w:val="00F42B13"/>
    <w:rsid w:val="00F435B4"/>
    <w:rsid w:val="00F444BE"/>
    <w:rsid w:val="00F4498A"/>
    <w:rsid w:val="00F44E89"/>
    <w:rsid w:val="00F453A8"/>
    <w:rsid w:val="00F456F3"/>
    <w:rsid w:val="00F458EB"/>
    <w:rsid w:val="00F45B90"/>
    <w:rsid w:val="00F4608D"/>
    <w:rsid w:val="00F4651B"/>
    <w:rsid w:val="00F467F9"/>
    <w:rsid w:val="00F46874"/>
    <w:rsid w:val="00F46997"/>
    <w:rsid w:val="00F46C05"/>
    <w:rsid w:val="00F472CD"/>
    <w:rsid w:val="00F4782C"/>
    <w:rsid w:val="00F47FC6"/>
    <w:rsid w:val="00F505FF"/>
    <w:rsid w:val="00F509ED"/>
    <w:rsid w:val="00F50B74"/>
    <w:rsid w:val="00F51023"/>
    <w:rsid w:val="00F5175D"/>
    <w:rsid w:val="00F51902"/>
    <w:rsid w:val="00F52211"/>
    <w:rsid w:val="00F52AF4"/>
    <w:rsid w:val="00F52F5B"/>
    <w:rsid w:val="00F53262"/>
    <w:rsid w:val="00F532CA"/>
    <w:rsid w:val="00F532DE"/>
    <w:rsid w:val="00F53345"/>
    <w:rsid w:val="00F534DF"/>
    <w:rsid w:val="00F53829"/>
    <w:rsid w:val="00F54144"/>
    <w:rsid w:val="00F5419A"/>
    <w:rsid w:val="00F54262"/>
    <w:rsid w:val="00F54872"/>
    <w:rsid w:val="00F54C07"/>
    <w:rsid w:val="00F55ED4"/>
    <w:rsid w:val="00F56440"/>
    <w:rsid w:val="00F568B5"/>
    <w:rsid w:val="00F56C24"/>
    <w:rsid w:val="00F56EEC"/>
    <w:rsid w:val="00F57417"/>
    <w:rsid w:val="00F575EB"/>
    <w:rsid w:val="00F6030A"/>
    <w:rsid w:val="00F60BD9"/>
    <w:rsid w:val="00F60F71"/>
    <w:rsid w:val="00F60FD3"/>
    <w:rsid w:val="00F61830"/>
    <w:rsid w:val="00F618F5"/>
    <w:rsid w:val="00F61C80"/>
    <w:rsid w:val="00F62747"/>
    <w:rsid w:val="00F6365B"/>
    <w:rsid w:val="00F636B8"/>
    <w:rsid w:val="00F63A58"/>
    <w:rsid w:val="00F63B2F"/>
    <w:rsid w:val="00F63C27"/>
    <w:rsid w:val="00F63EAE"/>
    <w:rsid w:val="00F63FDF"/>
    <w:rsid w:val="00F64318"/>
    <w:rsid w:val="00F655A2"/>
    <w:rsid w:val="00F65681"/>
    <w:rsid w:val="00F65DAA"/>
    <w:rsid w:val="00F65E5E"/>
    <w:rsid w:val="00F65E69"/>
    <w:rsid w:val="00F660C2"/>
    <w:rsid w:val="00F6670E"/>
    <w:rsid w:val="00F6677C"/>
    <w:rsid w:val="00F672F2"/>
    <w:rsid w:val="00F70038"/>
    <w:rsid w:val="00F70479"/>
    <w:rsid w:val="00F70AE6"/>
    <w:rsid w:val="00F70D0A"/>
    <w:rsid w:val="00F717C3"/>
    <w:rsid w:val="00F71EC0"/>
    <w:rsid w:val="00F71F30"/>
    <w:rsid w:val="00F7222A"/>
    <w:rsid w:val="00F7244F"/>
    <w:rsid w:val="00F7248E"/>
    <w:rsid w:val="00F72BE9"/>
    <w:rsid w:val="00F72EF2"/>
    <w:rsid w:val="00F7333B"/>
    <w:rsid w:val="00F733FB"/>
    <w:rsid w:val="00F736DC"/>
    <w:rsid w:val="00F737B1"/>
    <w:rsid w:val="00F738AC"/>
    <w:rsid w:val="00F73E1A"/>
    <w:rsid w:val="00F740BB"/>
    <w:rsid w:val="00F741DC"/>
    <w:rsid w:val="00F74352"/>
    <w:rsid w:val="00F74759"/>
    <w:rsid w:val="00F7496E"/>
    <w:rsid w:val="00F74992"/>
    <w:rsid w:val="00F74EAB"/>
    <w:rsid w:val="00F758F4"/>
    <w:rsid w:val="00F7595B"/>
    <w:rsid w:val="00F75A1A"/>
    <w:rsid w:val="00F75DF7"/>
    <w:rsid w:val="00F75E41"/>
    <w:rsid w:val="00F75EBB"/>
    <w:rsid w:val="00F76420"/>
    <w:rsid w:val="00F765D0"/>
    <w:rsid w:val="00F76AA1"/>
    <w:rsid w:val="00F76CEB"/>
    <w:rsid w:val="00F76F03"/>
    <w:rsid w:val="00F77811"/>
    <w:rsid w:val="00F77C56"/>
    <w:rsid w:val="00F8031C"/>
    <w:rsid w:val="00F805CF"/>
    <w:rsid w:val="00F8094D"/>
    <w:rsid w:val="00F80AEC"/>
    <w:rsid w:val="00F80C0B"/>
    <w:rsid w:val="00F80DFA"/>
    <w:rsid w:val="00F8109F"/>
    <w:rsid w:val="00F81312"/>
    <w:rsid w:val="00F81645"/>
    <w:rsid w:val="00F8197F"/>
    <w:rsid w:val="00F81B1E"/>
    <w:rsid w:val="00F82771"/>
    <w:rsid w:val="00F82B92"/>
    <w:rsid w:val="00F82BE9"/>
    <w:rsid w:val="00F83058"/>
    <w:rsid w:val="00F832C0"/>
    <w:rsid w:val="00F83B5A"/>
    <w:rsid w:val="00F840D7"/>
    <w:rsid w:val="00F84453"/>
    <w:rsid w:val="00F84456"/>
    <w:rsid w:val="00F845CB"/>
    <w:rsid w:val="00F84860"/>
    <w:rsid w:val="00F84BC0"/>
    <w:rsid w:val="00F84EB7"/>
    <w:rsid w:val="00F85444"/>
    <w:rsid w:val="00F85610"/>
    <w:rsid w:val="00F85952"/>
    <w:rsid w:val="00F859DE"/>
    <w:rsid w:val="00F85E68"/>
    <w:rsid w:val="00F860DC"/>
    <w:rsid w:val="00F86676"/>
    <w:rsid w:val="00F87004"/>
    <w:rsid w:val="00F8708F"/>
    <w:rsid w:val="00F87573"/>
    <w:rsid w:val="00F87C85"/>
    <w:rsid w:val="00F904A3"/>
    <w:rsid w:val="00F90906"/>
    <w:rsid w:val="00F910FB"/>
    <w:rsid w:val="00F91450"/>
    <w:rsid w:val="00F91791"/>
    <w:rsid w:val="00F91B1B"/>
    <w:rsid w:val="00F91C3C"/>
    <w:rsid w:val="00F921E7"/>
    <w:rsid w:val="00F92A07"/>
    <w:rsid w:val="00F92FB3"/>
    <w:rsid w:val="00F939BC"/>
    <w:rsid w:val="00F93D65"/>
    <w:rsid w:val="00F946E4"/>
    <w:rsid w:val="00F946EC"/>
    <w:rsid w:val="00F9488E"/>
    <w:rsid w:val="00F94C02"/>
    <w:rsid w:val="00F9500A"/>
    <w:rsid w:val="00F95E22"/>
    <w:rsid w:val="00F95E44"/>
    <w:rsid w:val="00F96B56"/>
    <w:rsid w:val="00F97633"/>
    <w:rsid w:val="00F97FE9"/>
    <w:rsid w:val="00FA0250"/>
    <w:rsid w:val="00FA07A3"/>
    <w:rsid w:val="00FA0ACC"/>
    <w:rsid w:val="00FA0EEC"/>
    <w:rsid w:val="00FA0F09"/>
    <w:rsid w:val="00FA1106"/>
    <w:rsid w:val="00FA114A"/>
    <w:rsid w:val="00FA18C1"/>
    <w:rsid w:val="00FA18DA"/>
    <w:rsid w:val="00FA1BAB"/>
    <w:rsid w:val="00FA1EB3"/>
    <w:rsid w:val="00FA2601"/>
    <w:rsid w:val="00FA27BE"/>
    <w:rsid w:val="00FA2D7D"/>
    <w:rsid w:val="00FA3052"/>
    <w:rsid w:val="00FA32FE"/>
    <w:rsid w:val="00FA3494"/>
    <w:rsid w:val="00FA3891"/>
    <w:rsid w:val="00FA3AC2"/>
    <w:rsid w:val="00FA3CB1"/>
    <w:rsid w:val="00FA3D1E"/>
    <w:rsid w:val="00FA3F5A"/>
    <w:rsid w:val="00FA4493"/>
    <w:rsid w:val="00FA4C3B"/>
    <w:rsid w:val="00FA4E87"/>
    <w:rsid w:val="00FA4F4B"/>
    <w:rsid w:val="00FA4FD9"/>
    <w:rsid w:val="00FA5430"/>
    <w:rsid w:val="00FA557D"/>
    <w:rsid w:val="00FA559B"/>
    <w:rsid w:val="00FA5A39"/>
    <w:rsid w:val="00FA5D5D"/>
    <w:rsid w:val="00FA5EBD"/>
    <w:rsid w:val="00FA656C"/>
    <w:rsid w:val="00FA694B"/>
    <w:rsid w:val="00FA6D98"/>
    <w:rsid w:val="00FA6EB8"/>
    <w:rsid w:val="00FA6F70"/>
    <w:rsid w:val="00FA7581"/>
    <w:rsid w:val="00FA7BE6"/>
    <w:rsid w:val="00FB01FE"/>
    <w:rsid w:val="00FB0756"/>
    <w:rsid w:val="00FB0A0E"/>
    <w:rsid w:val="00FB0B94"/>
    <w:rsid w:val="00FB18FA"/>
    <w:rsid w:val="00FB1EEF"/>
    <w:rsid w:val="00FB2250"/>
    <w:rsid w:val="00FB294E"/>
    <w:rsid w:val="00FB2A08"/>
    <w:rsid w:val="00FB2B06"/>
    <w:rsid w:val="00FB34B2"/>
    <w:rsid w:val="00FB3C2C"/>
    <w:rsid w:val="00FB3C38"/>
    <w:rsid w:val="00FB3F04"/>
    <w:rsid w:val="00FB40C7"/>
    <w:rsid w:val="00FB4160"/>
    <w:rsid w:val="00FB4A38"/>
    <w:rsid w:val="00FB4EE4"/>
    <w:rsid w:val="00FB504D"/>
    <w:rsid w:val="00FB5A61"/>
    <w:rsid w:val="00FB5C3B"/>
    <w:rsid w:val="00FB662B"/>
    <w:rsid w:val="00FB7B12"/>
    <w:rsid w:val="00FB7FA8"/>
    <w:rsid w:val="00FC0119"/>
    <w:rsid w:val="00FC03E7"/>
    <w:rsid w:val="00FC0489"/>
    <w:rsid w:val="00FC0581"/>
    <w:rsid w:val="00FC0F38"/>
    <w:rsid w:val="00FC104F"/>
    <w:rsid w:val="00FC19EF"/>
    <w:rsid w:val="00FC1C3B"/>
    <w:rsid w:val="00FC2073"/>
    <w:rsid w:val="00FC22C3"/>
    <w:rsid w:val="00FC2488"/>
    <w:rsid w:val="00FC2F40"/>
    <w:rsid w:val="00FC3140"/>
    <w:rsid w:val="00FC360D"/>
    <w:rsid w:val="00FC3624"/>
    <w:rsid w:val="00FC4DCE"/>
    <w:rsid w:val="00FC56B5"/>
    <w:rsid w:val="00FC5700"/>
    <w:rsid w:val="00FC5779"/>
    <w:rsid w:val="00FC68F6"/>
    <w:rsid w:val="00FC6B2E"/>
    <w:rsid w:val="00FD0221"/>
    <w:rsid w:val="00FD02FD"/>
    <w:rsid w:val="00FD0B56"/>
    <w:rsid w:val="00FD0D85"/>
    <w:rsid w:val="00FD12DE"/>
    <w:rsid w:val="00FD14AA"/>
    <w:rsid w:val="00FD1617"/>
    <w:rsid w:val="00FD1A49"/>
    <w:rsid w:val="00FD1A56"/>
    <w:rsid w:val="00FD1BDB"/>
    <w:rsid w:val="00FD2895"/>
    <w:rsid w:val="00FD2F44"/>
    <w:rsid w:val="00FD301E"/>
    <w:rsid w:val="00FD401C"/>
    <w:rsid w:val="00FD4317"/>
    <w:rsid w:val="00FD47BC"/>
    <w:rsid w:val="00FD4F92"/>
    <w:rsid w:val="00FD523D"/>
    <w:rsid w:val="00FD5438"/>
    <w:rsid w:val="00FD5545"/>
    <w:rsid w:val="00FD5852"/>
    <w:rsid w:val="00FD599C"/>
    <w:rsid w:val="00FD5B9D"/>
    <w:rsid w:val="00FD5EC1"/>
    <w:rsid w:val="00FD5F4B"/>
    <w:rsid w:val="00FD6165"/>
    <w:rsid w:val="00FD61FC"/>
    <w:rsid w:val="00FD624C"/>
    <w:rsid w:val="00FD6725"/>
    <w:rsid w:val="00FD6746"/>
    <w:rsid w:val="00FD789E"/>
    <w:rsid w:val="00FD789F"/>
    <w:rsid w:val="00FD78D7"/>
    <w:rsid w:val="00FD78FA"/>
    <w:rsid w:val="00FD7EDC"/>
    <w:rsid w:val="00FE001B"/>
    <w:rsid w:val="00FE0ED3"/>
    <w:rsid w:val="00FE1469"/>
    <w:rsid w:val="00FE1558"/>
    <w:rsid w:val="00FE16E7"/>
    <w:rsid w:val="00FE1E45"/>
    <w:rsid w:val="00FE2459"/>
    <w:rsid w:val="00FE29D9"/>
    <w:rsid w:val="00FE29FD"/>
    <w:rsid w:val="00FE2C7F"/>
    <w:rsid w:val="00FE3375"/>
    <w:rsid w:val="00FE3DFB"/>
    <w:rsid w:val="00FE4076"/>
    <w:rsid w:val="00FE45EA"/>
    <w:rsid w:val="00FE4D27"/>
    <w:rsid w:val="00FE4EB1"/>
    <w:rsid w:val="00FE52A9"/>
    <w:rsid w:val="00FE56D7"/>
    <w:rsid w:val="00FE5772"/>
    <w:rsid w:val="00FE5C0F"/>
    <w:rsid w:val="00FE6791"/>
    <w:rsid w:val="00FE6BEA"/>
    <w:rsid w:val="00FE6C68"/>
    <w:rsid w:val="00FF0E23"/>
    <w:rsid w:val="00FF0F6A"/>
    <w:rsid w:val="00FF10F3"/>
    <w:rsid w:val="00FF12FF"/>
    <w:rsid w:val="00FF1381"/>
    <w:rsid w:val="00FF13C7"/>
    <w:rsid w:val="00FF17CC"/>
    <w:rsid w:val="00FF1DDF"/>
    <w:rsid w:val="00FF27DD"/>
    <w:rsid w:val="00FF2E31"/>
    <w:rsid w:val="00FF2F94"/>
    <w:rsid w:val="00FF525B"/>
    <w:rsid w:val="00FF53ED"/>
    <w:rsid w:val="00FF5913"/>
    <w:rsid w:val="00FF5C68"/>
    <w:rsid w:val="00FF5D23"/>
    <w:rsid w:val="00FF5D69"/>
    <w:rsid w:val="00FF6083"/>
    <w:rsid w:val="00FF638F"/>
    <w:rsid w:val="00FF7267"/>
    <w:rsid w:val="00FF7AC5"/>
    <w:rsid w:val="013DE520"/>
    <w:rsid w:val="017053D0"/>
    <w:rsid w:val="01B89EB0"/>
    <w:rsid w:val="01D2C407"/>
    <w:rsid w:val="01DD6FFD"/>
    <w:rsid w:val="021AE22F"/>
    <w:rsid w:val="0227C506"/>
    <w:rsid w:val="0228D22B"/>
    <w:rsid w:val="02295A66"/>
    <w:rsid w:val="026203E1"/>
    <w:rsid w:val="0276D795"/>
    <w:rsid w:val="02A9F696"/>
    <w:rsid w:val="02E835BC"/>
    <w:rsid w:val="030CA3CD"/>
    <w:rsid w:val="03121F38"/>
    <w:rsid w:val="0348732D"/>
    <w:rsid w:val="0374D6C5"/>
    <w:rsid w:val="0383584D"/>
    <w:rsid w:val="039C631D"/>
    <w:rsid w:val="03A878E0"/>
    <w:rsid w:val="03CFF9E0"/>
    <w:rsid w:val="03F35996"/>
    <w:rsid w:val="045C3556"/>
    <w:rsid w:val="046AE0D2"/>
    <w:rsid w:val="04C37C23"/>
    <w:rsid w:val="0521C0C4"/>
    <w:rsid w:val="05C7A9BD"/>
    <w:rsid w:val="05D54F02"/>
    <w:rsid w:val="06038392"/>
    <w:rsid w:val="063AE879"/>
    <w:rsid w:val="065D266A"/>
    <w:rsid w:val="06C7E7D2"/>
    <w:rsid w:val="06D5AFFE"/>
    <w:rsid w:val="07000D1A"/>
    <w:rsid w:val="071B91F4"/>
    <w:rsid w:val="074F2F25"/>
    <w:rsid w:val="07635322"/>
    <w:rsid w:val="0771A9C1"/>
    <w:rsid w:val="077C83CC"/>
    <w:rsid w:val="07891345"/>
    <w:rsid w:val="08126B8E"/>
    <w:rsid w:val="08346429"/>
    <w:rsid w:val="086F1D7A"/>
    <w:rsid w:val="08714AEC"/>
    <w:rsid w:val="0876A70E"/>
    <w:rsid w:val="08959F94"/>
    <w:rsid w:val="089611E9"/>
    <w:rsid w:val="08A8161E"/>
    <w:rsid w:val="08AD0696"/>
    <w:rsid w:val="08B7F39C"/>
    <w:rsid w:val="08EE0C47"/>
    <w:rsid w:val="091A68E3"/>
    <w:rsid w:val="0A0E7AE3"/>
    <w:rsid w:val="0A1510B9"/>
    <w:rsid w:val="0A1D6F28"/>
    <w:rsid w:val="0A7B2E75"/>
    <w:rsid w:val="0ABEECAE"/>
    <w:rsid w:val="0AE0DEB2"/>
    <w:rsid w:val="0B6D059B"/>
    <w:rsid w:val="0B8C77A6"/>
    <w:rsid w:val="0BE60A02"/>
    <w:rsid w:val="0BFC38EC"/>
    <w:rsid w:val="0C321BB8"/>
    <w:rsid w:val="0C38EF87"/>
    <w:rsid w:val="0C8624FE"/>
    <w:rsid w:val="0CF030F4"/>
    <w:rsid w:val="0D0BD9F6"/>
    <w:rsid w:val="0D28B186"/>
    <w:rsid w:val="0D36731A"/>
    <w:rsid w:val="0D4B9608"/>
    <w:rsid w:val="0D866DAD"/>
    <w:rsid w:val="0DAE8C7A"/>
    <w:rsid w:val="0DBE50AF"/>
    <w:rsid w:val="0DE6CF5F"/>
    <w:rsid w:val="0E2B925E"/>
    <w:rsid w:val="0E49384D"/>
    <w:rsid w:val="0E79E3A4"/>
    <w:rsid w:val="0E86CD44"/>
    <w:rsid w:val="0EBFDCAB"/>
    <w:rsid w:val="0ECD3A0A"/>
    <w:rsid w:val="0F23F240"/>
    <w:rsid w:val="0F813F0F"/>
    <w:rsid w:val="0FAB32CE"/>
    <w:rsid w:val="0FDD8DF4"/>
    <w:rsid w:val="10180F86"/>
    <w:rsid w:val="103955C1"/>
    <w:rsid w:val="1077CCED"/>
    <w:rsid w:val="108C24C1"/>
    <w:rsid w:val="108E2304"/>
    <w:rsid w:val="10B1E8E7"/>
    <w:rsid w:val="10F6EF9F"/>
    <w:rsid w:val="10F8ED1B"/>
    <w:rsid w:val="11A2C955"/>
    <w:rsid w:val="1212291E"/>
    <w:rsid w:val="1213DAB9"/>
    <w:rsid w:val="123041A9"/>
    <w:rsid w:val="12919FA0"/>
    <w:rsid w:val="12C1B277"/>
    <w:rsid w:val="130B19E6"/>
    <w:rsid w:val="131D34C6"/>
    <w:rsid w:val="13398249"/>
    <w:rsid w:val="13503049"/>
    <w:rsid w:val="135FA0CE"/>
    <w:rsid w:val="136BE1BB"/>
    <w:rsid w:val="13FA6CFC"/>
    <w:rsid w:val="1424F789"/>
    <w:rsid w:val="14729B2A"/>
    <w:rsid w:val="1501EB65"/>
    <w:rsid w:val="157B1DE6"/>
    <w:rsid w:val="158F365A"/>
    <w:rsid w:val="15F6A8EE"/>
    <w:rsid w:val="15FDA42C"/>
    <w:rsid w:val="16030125"/>
    <w:rsid w:val="1605CB48"/>
    <w:rsid w:val="161BF63C"/>
    <w:rsid w:val="165F5B13"/>
    <w:rsid w:val="16910486"/>
    <w:rsid w:val="16B5205B"/>
    <w:rsid w:val="16D432EC"/>
    <w:rsid w:val="1724AB57"/>
    <w:rsid w:val="17DEC911"/>
    <w:rsid w:val="17E871CD"/>
    <w:rsid w:val="18B16054"/>
    <w:rsid w:val="18F018F7"/>
    <w:rsid w:val="19A43B4E"/>
    <w:rsid w:val="19C1C46D"/>
    <w:rsid w:val="19DE29CD"/>
    <w:rsid w:val="1A111E7B"/>
    <w:rsid w:val="1A225474"/>
    <w:rsid w:val="1A31CCE5"/>
    <w:rsid w:val="1A73DBED"/>
    <w:rsid w:val="1A757D5F"/>
    <w:rsid w:val="1AA9812F"/>
    <w:rsid w:val="1AB8D2AF"/>
    <w:rsid w:val="1AF9CFE8"/>
    <w:rsid w:val="1AFB88E4"/>
    <w:rsid w:val="1B01685C"/>
    <w:rsid w:val="1B59EFD9"/>
    <w:rsid w:val="1B63202F"/>
    <w:rsid w:val="1B90A635"/>
    <w:rsid w:val="1BAD5799"/>
    <w:rsid w:val="1BDE2FF7"/>
    <w:rsid w:val="1BE03ED8"/>
    <w:rsid w:val="1BF30060"/>
    <w:rsid w:val="1C434403"/>
    <w:rsid w:val="1C58278A"/>
    <w:rsid w:val="1C63785E"/>
    <w:rsid w:val="1C6D288A"/>
    <w:rsid w:val="1C9E6E26"/>
    <w:rsid w:val="1CBB8110"/>
    <w:rsid w:val="1CC1E951"/>
    <w:rsid w:val="1CCE0CF5"/>
    <w:rsid w:val="1CF0D5EF"/>
    <w:rsid w:val="1D215C1E"/>
    <w:rsid w:val="1D34A42E"/>
    <w:rsid w:val="1D44C23C"/>
    <w:rsid w:val="1D9E3B27"/>
    <w:rsid w:val="1E05A4C9"/>
    <w:rsid w:val="1E0F8AFB"/>
    <w:rsid w:val="1E3EEFFA"/>
    <w:rsid w:val="1E6E972B"/>
    <w:rsid w:val="1E75AB62"/>
    <w:rsid w:val="1FDB8554"/>
    <w:rsid w:val="1FE4B654"/>
    <w:rsid w:val="200213FA"/>
    <w:rsid w:val="203CEC3E"/>
    <w:rsid w:val="205B6B98"/>
    <w:rsid w:val="20D2BC0D"/>
    <w:rsid w:val="20E67B02"/>
    <w:rsid w:val="20E791C7"/>
    <w:rsid w:val="20F2F2D3"/>
    <w:rsid w:val="2105C7F0"/>
    <w:rsid w:val="21A20EA6"/>
    <w:rsid w:val="21A36FBE"/>
    <w:rsid w:val="21A796F8"/>
    <w:rsid w:val="21D16864"/>
    <w:rsid w:val="21FBC8EA"/>
    <w:rsid w:val="2244A736"/>
    <w:rsid w:val="224E0F39"/>
    <w:rsid w:val="227857D8"/>
    <w:rsid w:val="227FA505"/>
    <w:rsid w:val="22AD835F"/>
    <w:rsid w:val="22BA0457"/>
    <w:rsid w:val="2325A61E"/>
    <w:rsid w:val="235B814C"/>
    <w:rsid w:val="2375050E"/>
    <w:rsid w:val="23AAA609"/>
    <w:rsid w:val="23ADFC5F"/>
    <w:rsid w:val="23B0F240"/>
    <w:rsid w:val="23E142AE"/>
    <w:rsid w:val="23FAAADE"/>
    <w:rsid w:val="24121EE4"/>
    <w:rsid w:val="242BB89D"/>
    <w:rsid w:val="24520826"/>
    <w:rsid w:val="24B13CAE"/>
    <w:rsid w:val="24BABECB"/>
    <w:rsid w:val="24C53CBC"/>
    <w:rsid w:val="24D9A16E"/>
    <w:rsid w:val="251FDC25"/>
    <w:rsid w:val="25B820AD"/>
    <w:rsid w:val="25EF8621"/>
    <w:rsid w:val="25F9D5FB"/>
    <w:rsid w:val="26402CA2"/>
    <w:rsid w:val="26E49D70"/>
    <w:rsid w:val="26F3501B"/>
    <w:rsid w:val="2727AF23"/>
    <w:rsid w:val="279E9589"/>
    <w:rsid w:val="27FDC8E8"/>
    <w:rsid w:val="2805A903"/>
    <w:rsid w:val="2811223C"/>
    <w:rsid w:val="281A3E20"/>
    <w:rsid w:val="282CBC90"/>
    <w:rsid w:val="2831BC36"/>
    <w:rsid w:val="28724C00"/>
    <w:rsid w:val="289AFC68"/>
    <w:rsid w:val="28B3840A"/>
    <w:rsid w:val="2922D371"/>
    <w:rsid w:val="294260DB"/>
    <w:rsid w:val="2975C665"/>
    <w:rsid w:val="29B419AB"/>
    <w:rsid w:val="29BDF750"/>
    <w:rsid w:val="29E606DA"/>
    <w:rsid w:val="29EE0D6B"/>
    <w:rsid w:val="2A8F4398"/>
    <w:rsid w:val="2A9A001A"/>
    <w:rsid w:val="2AB29F03"/>
    <w:rsid w:val="2B637F90"/>
    <w:rsid w:val="2B93A113"/>
    <w:rsid w:val="2BB8B212"/>
    <w:rsid w:val="2BE32BCC"/>
    <w:rsid w:val="2C649407"/>
    <w:rsid w:val="2CB13C7A"/>
    <w:rsid w:val="2CB13EF0"/>
    <w:rsid w:val="2CEEC38D"/>
    <w:rsid w:val="2D295948"/>
    <w:rsid w:val="2D2F9A82"/>
    <w:rsid w:val="2D33776E"/>
    <w:rsid w:val="2D426A46"/>
    <w:rsid w:val="2D88D67D"/>
    <w:rsid w:val="2D8A69E6"/>
    <w:rsid w:val="2DA9898E"/>
    <w:rsid w:val="2DDB7924"/>
    <w:rsid w:val="2DE12E9A"/>
    <w:rsid w:val="2EEB31DD"/>
    <w:rsid w:val="2F32B80A"/>
    <w:rsid w:val="2F4408B6"/>
    <w:rsid w:val="2F7B0D75"/>
    <w:rsid w:val="2FA3373F"/>
    <w:rsid w:val="2FBD7B4E"/>
    <w:rsid w:val="30028434"/>
    <w:rsid w:val="30224CDC"/>
    <w:rsid w:val="307352B1"/>
    <w:rsid w:val="30DC5249"/>
    <w:rsid w:val="30EA1288"/>
    <w:rsid w:val="314A2436"/>
    <w:rsid w:val="318FB8AC"/>
    <w:rsid w:val="31969E94"/>
    <w:rsid w:val="31A8901A"/>
    <w:rsid w:val="31AFCEE4"/>
    <w:rsid w:val="31C73D32"/>
    <w:rsid w:val="31ED4A16"/>
    <w:rsid w:val="31FF6303"/>
    <w:rsid w:val="3228DC98"/>
    <w:rsid w:val="32F92D66"/>
    <w:rsid w:val="339B3275"/>
    <w:rsid w:val="339E7EB3"/>
    <w:rsid w:val="33A59BE2"/>
    <w:rsid w:val="33C1F6B8"/>
    <w:rsid w:val="33EAAD4A"/>
    <w:rsid w:val="33EBFCCC"/>
    <w:rsid w:val="3427DEF8"/>
    <w:rsid w:val="348359E4"/>
    <w:rsid w:val="34909F97"/>
    <w:rsid w:val="3492D0C3"/>
    <w:rsid w:val="34937BC5"/>
    <w:rsid w:val="34C6D23C"/>
    <w:rsid w:val="34EE61E5"/>
    <w:rsid w:val="35114422"/>
    <w:rsid w:val="353120BA"/>
    <w:rsid w:val="3533B4E5"/>
    <w:rsid w:val="355ACE9E"/>
    <w:rsid w:val="3560AE9C"/>
    <w:rsid w:val="3563585D"/>
    <w:rsid w:val="3564875F"/>
    <w:rsid w:val="3591D138"/>
    <w:rsid w:val="35C643DF"/>
    <w:rsid w:val="35E290BA"/>
    <w:rsid w:val="364AAAF6"/>
    <w:rsid w:val="3654BB79"/>
    <w:rsid w:val="3655BD86"/>
    <w:rsid w:val="36735F64"/>
    <w:rsid w:val="3682493A"/>
    <w:rsid w:val="36D04983"/>
    <w:rsid w:val="36E39369"/>
    <w:rsid w:val="3741F686"/>
    <w:rsid w:val="376C87D0"/>
    <w:rsid w:val="37853683"/>
    <w:rsid w:val="37A7A69D"/>
    <w:rsid w:val="37E99BD3"/>
    <w:rsid w:val="38188B9A"/>
    <w:rsid w:val="381ACA88"/>
    <w:rsid w:val="381F3802"/>
    <w:rsid w:val="385349C0"/>
    <w:rsid w:val="38798DBB"/>
    <w:rsid w:val="38D4F2A6"/>
    <w:rsid w:val="391E4583"/>
    <w:rsid w:val="39631C86"/>
    <w:rsid w:val="39742EA4"/>
    <w:rsid w:val="397C9D75"/>
    <w:rsid w:val="3992E723"/>
    <w:rsid w:val="39B2B436"/>
    <w:rsid w:val="39EE0BD5"/>
    <w:rsid w:val="39F778B1"/>
    <w:rsid w:val="3A0FC4FB"/>
    <w:rsid w:val="3A46E071"/>
    <w:rsid w:val="3AA07AE5"/>
    <w:rsid w:val="3AB7E544"/>
    <w:rsid w:val="3AE63DC5"/>
    <w:rsid w:val="3B2F9138"/>
    <w:rsid w:val="3B4FCFC6"/>
    <w:rsid w:val="3B6671BA"/>
    <w:rsid w:val="3C524A07"/>
    <w:rsid w:val="3C67EC88"/>
    <w:rsid w:val="3C75F801"/>
    <w:rsid w:val="3C7E46D7"/>
    <w:rsid w:val="3CCBA9A0"/>
    <w:rsid w:val="3D077CF0"/>
    <w:rsid w:val="3D0A4327"/>
    <w:rsid w:val="3D164D9B"/>
    <w:rsid w:val="3D2466F4"/>
    <w:rsid w:val="3D576FD1"/>
    <w:rsid w:val="3DC6076B"/>
    <w:rsid w:val="3E1A2CCC"/>
    <w:rsid w:val="3E2C084A"/>
    <w:rsid w:val="3E3ECBAC"/>
    <w:rsid w:val="3E4C7BE0"/>
    <w:rsid w:val="3E7283BA"/>
    <w:rsid w:val="3E76E2EF"/>
    <w:rsid w:val="3E83E7FA"/>
    <w:rsid w:val="3EA637B1"/>
    <w:rsid w:val="3EA95176"/>
    <w:rsid w:val="3EB93190"/>
    <w:rsid w:val="3EDBE241"/>
    <w:rsid w:val="3EE25749"/>
    <w:rsid w:val="3EEE6A4F"/>
    <w:rsid w:val="3F444DDE"/>
    <w:rsid w:val="3F4747C1"/>
    <w:rsid w:val="3F73DA9A"/>
    <w:rsid w:val="3FDADAD2"/>
    <w:rsid w:val="401CB5C5"/>
    <w:rsid w:val="402C785F"/>
    <w:rsid w:val="4073FD3A"/>
    <w:rsid w:val="40848873"/>
    <w:rsid w:val="40A2B5A3"/>
    <w:rsid w:val="40B50837"/>
    <w:rsid w:val="40D01642"/>
    <w:rsid w:val="40D0FB27"/>
    <w:rsid w:val="4106FF51"/>
    <w:rsid w:val="4141438F"/>
    <w:rsid w:val="418EE5A4"/>
    <w:rsid w:val="4194AB77"/>
    <w:rsid w:val="41EC335D"/>
    <w:rsid w:val="421202A0"/>
    <w:rsid w:val="421CB25A"/>
    <w:rsid w:val="426F4AD1"/>
    <w:rsid w:val="427E2B82"/>
    <w:rsid w:val="429380E1"/>
    <w:rsid w:val="42EE3339"/>
    <w:rsid w:val="42FDED60"/>
    <w:rsid w:val="43130C5B"/>
    <w:rsid w:val="432AC305"/>
    <w:rsid w:val="434A3111"/>
    <w:rsid w:val="4383D775"/>
    <w:rsid w:val="43957712"/>
    <w:rsid w:val="43A651A6"/>
    <w:rsid w:val="43E07339"/>
    <w:rsid w:val="43E90DCA"/>
    <w:rsid w:val="442C8D09"/>
    <w:rsid w:val="4439DFE4"/>
    <w:rsid w:val="44D6CA8F"/>
    <w:rsid w:val="44E4C741"/>
    <w:rsid w:val="450627F4"/>
    <w:rsid w:val="452E60B8"/>
    <w:rsid w:val="45616D01"/>
    <w:rsid w:val="457C11FC"/>
    <w:rsid w:val="4584E605"/>
    <w:rsid w:val="45B2B156"/>
    <w:rsid w:val="45C19A7D"/>
    <w:rsid w:val="46792C66"/>
    <w:rsid w:val="468E1623"/>
    <w:rsid w:val="47269AC9"/>
    <w:rsid w:val="47548B31"/>
    <w:rsid w:val="475EB190"/>
    <w:rsid w:val="4783ECB0"/>
    <w:rsid w:val="47D09F98"/>
    <w:rsid w:val="47ED8894"/>
    <w:rsid w:val="47F14950"/>
    <w:rsid w:val="4801FA31"/>
    <w:rsid w:val="48196ACD"/>
    <w:rsid w:val="482D8A8D"/>
    <w:rsid w:val="484651BD"/>
    <w:rsid w:val="48DFAE61"/>
    <w:rsid w:val="49091C59"/>
    <w:rsid w:val="493EC9D5"/>
    <w:rsid w:val="494AF9DC"/>
    <w:rsid w:val="49EBF927"/>
    <w:rsid w:val="4A1594D9"/>
    <w:rsid w:val="4A6AB819"/>
    <w:rsid w:val="4A6C46FC"/>
    <w:rsid w:val="4A85EE94"/>
    <w:rsid w:val="4AB97A3E"/>
    <w:rsid w:val="4AC759FF"/>
    <w:rsid w:val="4AF95FC3"/>
    <w:rsid w:val="4B081432"/>
    <w:rsid w:val="4B3B1CF6"/>
    <w:rsid w:val="4B775E81"/>
    <w:rsid w:val="4B9FF725"/>
    <w:rsid w:val="4BA4A145"/>
    <w:rsid w:val="4C5B8CCC"/>
    <w:rsid w:val="4C729D0A"/>
    <w:rsid w:val="4CC04AC7"/>
    <w:rsid w:val="4CFDA3F3"/>
    <w:rsid w:val="4D54CACA"/>
    <w:rsid w:val="4D982F35"/>
    <w:rsid w:val="4DB114AA"/>
    <w:rsid w:val="4DC56418"/>
    <w:rsid w:val="4DC7779E"/>
    <w:rsid w:val="4DCDD05D"/>
    <w:rsid w:val="4DF43D9A"/>
    <w:rsid w:val="4E40A07D"/>
    <w:rsid w:val="4E6697D6"/>
    <w:rsid w:val="4EA1AB3B"/>
    <w:rsid w:val="4EA970B2"/>
    <w:rsid w:val="4EC1C74B"/>
    <w:rsid w:val="4ECA5EAE"/>
    <w:rsid w:val="4EE6A58F"/>
    <w:rsid w:val="4F0DCB0C"/>
    <w:rsid w:val="4F3AED90"/>
    <w:rsid w:val="50123418"/>
    <w:rsid w:val="50130EBA"/>
    <w:rsid w:val="5031D49D"/>
    <w:rsid w:val="50325BCE"/>
    <w:rsid w:val="508FA00C"/>
    <w:rsid w:val="50E94E1D"/>
    <w:rsid w:val="51091365"/>
    <w:rsid w:val="510F86A4"/>
    <w:rsid w:val="514E1791"/>
    <w:rsid w:val="51862D34"/>
    <w:rsid w:val="51B47429"/>
    <w:rsid w:val="5216B60A"/>
    <w:rsid w:val="5267DD53"/>
    <w:rsid w:val="528F2884"/>
    <w:rsid w:val="52909744"/>
    <w:rsid w:val="52D4C8AD"/>
    <w:rsid w:val="52E57E32"/>
    <w:rsid w:val="5308AE9A"/>
    <w:rsid w:val="5343C8E9"/>
    <w:rsid w:val="5344CF3F"/>
    <w:rsid w:val="536AFFC6"/>
    <w:rsid w:val="53909826"/>
    <w:rsid w:val="543E455F"/>
    <w:rsid w:val="546E2A7A"/>
    <w:rsid w:val="547FD402"/>
    <w:rsid w:val="54BF5E8F"/>
    <w:rsid w:val="54CDB3CB"/>
    <w:rsid w:val="54EFF4FE"/>
    <w:rsid w:val="54FAEA5C"/>
    <w:rsid w:val="5559D0CA"/>
    <w:rsid w:val="557142A7"/>
    <w:rsid w:val="557D428A"/>
    <w:rsid w:val="55CC0D3A"/>
    <w:rsid w:val="55F34B77"/>
    <w:rsid w:val="56499DE8"/>
    <w:rsid w:val="565BFC13"/>
    <w:rsid w:val="56CDF0B9"/>
    <w:rsid w:val="56DBA0F2"/>
    <w:rsid w:val="574786A7"/>
    <w:rsid w:val="5773E7E7"/>
    <w:rsid w:val="5799D768"/>
    <w:rsid w:val="579BBC95"/>
    <w:rsid w:val="57A86826"/>
    <w:rsid w:val="57C7E203"/>
    <w:rsid w:val="58077029"/>
    <w:rsid w:val="5881D0C1"/>
    <w:rsid w:val="588E8D22"/>
    <w:rsid w:val="58C3B290"/>
    <w:rsid w:val="59874CB0"/>
    <w:rsid w:val="5992B09D"/>
    <w:rsid w:val="59CF669D"/>
    <w:rsid w:val="59E5ED3C"/>
    <w:rsid w:val="59F8A47D"/>
    <w:rsid w:val="59FD8D93"/>
    <w:rsid w:val="5A143802"/>
    <w:rsid w:val="5A5E328A"/>
    <w:rsid w:val="5A64EF62"/>
    <w:rsid w:val="5B0EB27E"/>
    <w:rsid w:val="5B135E44"/>
    <w:rsid w:val="5B46D9C1"/>
    <w:rsid w:val="5B7F97F7"/>
    <w:rsid w:val="5B852107"/>
    <w:rsid w:val="5B864941"/>
    <w:rsid w:val="5C1EF045"/>
    <w:rsid w:val="5C2EC647"/>
    <w:rsid w:val="5C3F05EA"/>
    <w:rsid w:val="5C4941E8"/>
    <w:rsid w:val="5C896900"/>
    <w:rsid w:val="5C933D08"/>
    <w:rsid w:val="5CD26916"/>
    <w:rsid w:val="5D29ACC6"/>
    <w:rsid w:val="5D2C50B3"/>
    <w:rsid w:val="5D2E0A99"/>
    <w:rsid w:val="5D4352DA"/>
    <w:rsid w:val="5D60AC8B"/>
    <w:rsid w:val="5D643C47"/>
    <w:rsid w:val="5D6DC9B9"/>
    <w:rsid w:val="5DA5580C"/>
    <w:rsid w:val="5DA7A4F9"/>
    <w:rsid w:val="5DCE12D2"/>
    <w:rsid w:val="5DD6F8BA"/>
    <w:rsid w:val="5E325007"/>
    <w:rsid w:val="5E3D8D18"/>
    <w:rsid w:val="5E63BD79"/>
    <w:rsid w:val="5F1963D6"/>
    <w:rsid w:val="5F46D828"/>
    <w:rsid w:val="5FC37F21"/>
    <w:rsid w:val="5FD13B7E"/>
    <w:rsid w:val="5FDB44A7"/>
    <w:rsid w:val="60200EFA"/>
    <w:rsid w:val="60520EBF"/>
    <w:rsid w:val="606B9DD5"/>
    <w:rsid w:val="60E60DC8"/>
    <w:rsid w:val="60EDFD3D"/>
    <w:rsid w:val="60F35848"/>
    <w:rsid w:val="612F72B0"/>
    <w:rsid w:val="61448B18"/>
    <w:rsid w:val="615FE785"/>
    <w:rsid w:val="61719D35"/>
    <w:rsid w:val="61AAFC35"/>
    <w:rsid w:val="61D45D59"/>
    <w:rsid w:val="62049017"/>
    <w:rsid w:val="621610CF"/>
    <w:rsid w:val="626EE943"/>
    <w:rsid w:val="627448A4"/>
    <w:rsid w:val="6286A574"/>
    <w:rsid w:val="62B2ED1A"/>
    <w:rsid w:val="62B92BDE"/>
    <w:rsid w:val="62C3485F"/>
    <w:rsid w:val="62E161DB"/>
    <w:rsid w:val="633C4658"/>
    <w:rsid w:val="636E76A9"/>
    <w:rsid w:val="636F1866"/>
    <w:rsid w:val="63732CCF"/>
    <w:rsid w:val="637A5FC6"/>
    <w:rsid w:val="643F1071"/>
    <w:rsid w:val="644CCC03"/>
    <w:rsid w:val="6452F525"/>
    <w:rsid w:val="64A3D516"/>
    <w:rsid w:val="64D6660B"/>
    <w:rsid w:val="64FB62E3"/>
    <w:rsid w:val="6546EFD6"/>
    <w:rsid w:val="656DB7F9"/>
    <w:rsid w:val="6571A4A8"/>
    <w:rsid w:val="657AF805"/>
    <w:rsid w:val="65C3914B"/>
    <w:rsid w:val="65D4A242"/>
    <w:rsid w:val="65E9473C"/>
    <w:rsid w:val="65F142A0"/>
    <w:rsid w:val="66165BAE"/>
    <w:rsid w:val="667443D1"/>
    <w:rsid w:val="66BF7AD6"/>
    <w:rsid w:val="66CCCDB4"/>
    <w:rsid w:val="67A8F043"/>
    <w:rsid w:val="67E66F41"/>
    <w:rsid w:val="67F90973"/>
    <w:rsid w:val="67FAE35E"/>
    <w:rsid w:val="68075EF7"/>
    <w:rsid w:val="681A3B02"/>
    <w:rsid w:val="6859B667"/>
    <w:rsid w:val="6959C7DD"/>
    <w:rsid w:val="69833C46"/>
    <w:rsid w:val="69A2F81E"/>
    <w:rsid w:val="69E9AC50"/>
    <w:rsid w:val="6A1A5FC8"/>
    <w:rsid w:val="6A1E3201"/>
    <w:rsid w:val="6A264EFA"/>
    <w:rsid w:val="6A287DC5"/>
    <w:rsid w:val="6A573995"/>
    <w:rsid w:val="6A73057F"/>
    <w:rsid w:val="6ABAAE6F"/>
    <w:rsid w:val="6AF5EC29"/>
    <w:rsid w:val="6B440579"/>
    <w:rsid w:val="6B79B9BC"/>
    <w:rsid w:val="6BC53041"/>
    <w:rsid w:val="6C08C5FD"/>
    <w:rsid w:val="6C2B0A84"/>
    <w:rsid w:val="6C800371"/>
    <w:rsid w:val="6CA04F0B"/>
    <w:rsid w:val="6CC4977B"/>
    <w:rsid w:val="6D432625"/>
    <w:rsid w:val="6D65F259"/>
    <w:rsid w:val="6DCC6025"/>
    <w:rsid w:val="6DE7FD0D"/>
    <w:rsid w:val="6DE82354"/>
    <w:rsid w:val="6DEF4F7D"/>
    <w:rsid w:val="6EAD379D"/>
    <w:rsid w:val="6EAD9E71"/>
    <w:rsid w:val="6EB7A52D"/>
    <w:rsid w:val="6EC16F6F"/>
    <w:rsid w:val="6EC3A75E"/>
    <w:rsid w:val="6EDB95DD"/>
    <w:rsid w:val="6EF53FA3"/>
    <w:rsid w:val="6F15529E"/>
    <w:rsid w:val="6F1B12BA"/>
    <w:rsid w:val="6F5DE387"/>
    <w:rsid w:val="6FA4230B"/>
    <w:rsid w:val="7015ED1C"/>
    <w:rsid w:val="70893250"/>
    <w:rsid w:val="70B63EAB"/>
    <w:rsid w:val="70CA6D69"/>
    <w:rsid w:val="70F3AD84"/>
    <w:rsid w:val="710E8477"/>
    <w:rsid w:val="71137C65"/>
    <w:rsid w:val="71148903"/>
    <w:rsid w:val="711FB5CF"/>
    <w:rsid w:val="71A4800D"/>
    <w:rsid w:val="71BEB080"/>
    <w:rsid w:val="71CA4278"/>
    <w:rsid w:val="71E73E30"/>
    <w:rsid w:val="71FED5EF"/>
    <w:rsid w:val="72155ED8"/>
    <w:rsid w:val="723C5F4F"/>
    <w:rsid w:val="723F95EA"/>
    <w:rsid w:val="72962BAF"/>
    <w:rsid w:val="72D0C34E"/>
    <w:rsid w:val="732ADD40"/>
    <w:rsid w:val="732B61DD"/>
    <w:rsid w:val="7344C3D1"/>
    <w:rsid w:val="73465AB5"/>
    <w:rsid w:val="73988B86"/>
    <w:rsid w:val="73F5AADB"/>
    <w:rsid w:val="7409315B"/>
    <w:rsid w:val="74191493"/>
    <w:rsid w:val="748FFE70"/>
    <w:rsid w:val="74D6A37E"/>
    <w:rsid w:val="74F29637"/>
    <w:rsid w:val="7506CAE5"/>
    <w:rsid w:val="7556A920"/>
    <w:rsid w:val="75647B4F"/>
    <w:rsid w:val="75722276"/>
    <w:rsid w:val="7584CFF2"/>
    <w:rsid w:val="759BD30D"/>
    <w:rsid w:val="75B8A10C"/>
    <w:rsid w:val="75F7B529"/>
    <w:rsid w:val="75F9F6A1"/>
    <w:rsid w:val="764329F6"/>
    <w:rsid w:val="7660E06B"/>
    <w:rsid w:val="766932D5"/>
    <w:rsid w:val="7682ED58"/>
    <w:rsid w:val="76A41D48"/>
    <w:rsid w:val="77055BD2"/>
    <w:rsid w:val="77166164"/>
    <w:rsid w:val="7729A3A2"/>
    <w:rsid w:val="7750D02B"/>
    <w:rsid w:val="77927CA6"/>
    <w:rsid w:val="77A662A1"/>
    <w:rsid w:val="77D2224C"/>
    <w:rsid w:val="77F1EABB"/>
    <w:rsid w:val="7836C4BE"/>
    <w:rsid w:val="783AF395"/>
    <w:rsid w:val="785E2383"/>
    <w:rsid w:val="787F840B"/>
    <w:rsid w:val="78A23761"/>
    <w:rsid w:val="78D0CB32"/>
    <w:rsid w:val="79013056"/>
    <w:rsid w:val="7916B54F"/>
    <w:rsid w:val="793F7599"/>
    <w:rsid w:val="79634A9A"/>
    <w:rsid w:val="797176B5"/>
    <w:rsid w:val="79DE2FFC"/>
    <w:rsid w:val="79F233FE"/>
    <w:rsid w:val="7A00750A"/>
    <w:rsid w:val="7A2A401D"/>
    <w:rsid w:val="7A338308"/>
    <w:rsid w:val="7A51CDA1"/>
    <w:rsid w:val="7AC23CC6"/>
    <w:rsid w:val="7B299B55"/>
    <w:rsid w:val="7B2FF7B3"/>
    <w:rsid w:val="7B43ED5D"/>
    <w:rsid w:val="7B5EC7F3"/>
    <w:rsid w:val="7BE4FFEE"/>
    <w:rsid w:val="7BE7FE64"/>
    <w:rsid w:val="7BEF9199"/>
    <w:rsid w:val="7BFE5FAB"/>
    <w:rsid w:val="7C41850F"/>
    <w:rsid w:val="7C493069"/>
    <w:rsid w:val="7C656001"/>
    <w:rsid w:val="7C7534DB"/>
    <w:rsid w:val="7CB02083"/>
    <w:rsid w:val="7CF81EEB"/>
    <w:rsid w:val="7D0DEA32"/>
    <w:rsid w:val="7D105BAA"/>
    <w:rsid w:val="7D3582C3"/>
    <w:rsid w:val="7D8D2EB2"/>
    <w:rsid w:val="7DA3F243"/>
    <w:rsid w:val="7E9BF496"/>
    <w:rsid w:val="7EA53EE3"/>
    <w:rsid w:val="7EC1E829"/>
    <w:rsid w:val="7EF6F386"/>
    <w:rsid w:val="7F0615AE"/>
    <w:rsid w:val="7F0B0BBC"/>
    <w:rsid w:val="7F1DE3BA"/>
    <w:rsid w:val="7F4FF3D8"/>
    <w:rsid w:val="7F5FB226"/>
    <w:rsid w:val="7FA904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7E3FF6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371"/>
  </w:style>
  <w:style w:type="paragraph" w:styleId="Heading1">
    <w:name w:val="heading 1"/>
    <w:basedOn w:val="Normal"/>
    <w:next w:val="Normal"/>
    <w:link w:val="Heading1Char"/>
    <w:qFormat/>
    <w:rsid w:val="00EE5F2C"/>
    <w:pPr>
      <w:keepNext/>
      <w:numPr>
        <w:numId w:val="2"/>
      </w:numPr>
      <w:spacing w:before="240" w:after="240" w:line="240" w:lineRule="auto"/>
      <w:jc w:val="both"/>
      <w:outlineLvl w:val="0"/>
    </w:pPr>
    <w:rPr>
      <w:rFonts w:ascii="Times New Roman" w:eastAsia="Times New Roman" w:hAnsi="Times New Roman" w:cs="Times New Roman"/>
      <w:b/>
      <w:smallCaps/>
      <w:sz w:val="24"/>
      <w:szCs w:val="20"/>
    </w:rPr>
  </w:style>
  <w:style w:type="paragraph" w:styleId="Heading2">
    <w:name w:val="heading 2"/>
    <w:basedOn w:val="Normal"/>
    <w:next w:val="Normal"/>
    <w:link w:val="Heading2Char"/>
    <w:qFormat/>
    <w:rsid w:val="00EE5F2C"/>
    <w:pPr>
      <w:keepNext/>
      <w:numPr>
        <w:ilvl w:val="1"/>
        <w:numId w:val="2"/>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rsid w:val="00EE5F2C"/>
    <w:pPr>
      <w:keepNext/>
      <w:numPr>
        <w:ilvl w:val="2"/>
        <w:numId w:val="18"/>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rsid w:val="00EE5F2C"/>
    <w:pPr>
      <w:keepNext/>
      <w:numPr>
        <w:ilvl w:val="3"/>
        <w:numId w:val="18"/>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A159E"/>
    <w:rPr>
      <w:color w:val="0000FF"/>
      <w:shd w:val="clear" w:color="auto" w:fill="auto"/>
    </w:rPr>
  </w:style>
  <w:style w:type="paragraph" w:styleId="Header">
    <w:name w:val="header"/>
    <w:basedOn w:val="Normal"/>
    <w:link w:val="HeaderChar"/>
    <w:uiPriority w:val="99"/>
    <w:unhideWhenUsed/>
    <w:rsid w:val="00CA1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59E"/>
  </w:style>
  <w:style w:type="paragraph" w:styleId="Footer">
    <w:name w:val="footer"/>
    <w:basedOn w:val="Normal"/>
    <w:link w:val="FooterChar"/>
    <w:uiPriority w:val="99"/>
    <w:unhideWhenUsed/>
    <w:rsid w:val="00CA1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59E"/>
  </w:style>
  <w:style w:type="paragraph" w:customStyle="1" w:styleId="Pagedecouverture">
    <w:name w:val="Page de couverture"/>
    <w:basedOn w:val="Normal"/>
    <w:next w:val="Normal"/>
    <w:uiPriority w:val="1"/>
    <w:rsid w:val="00CA159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uiPriority w:val="1"/>
    <w:rsid w:val="00CA159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uiPriority w:val="1"/>
    <w:rsid w:val="00CA159E"/>
    <w:rPr>
      <w:rFonts w:ascii="Times New Roman" w:hAnsi="Times New Roman" w:cs="Times New Roman"/>
      <w:sz w:val="24"/>
    </w:rPr>
  </w:style>
  <w:style w:type="paragraph" w:customStyle="1" w:styleId="FooterSensitivity">
    <w:name w:val="Footer Sensitivity"/>
    <w:basedOn w:val="Normal"/>
    <w:link w:val="FooterSensitivityChar"/>
    <w:rsid w:val="00CA159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A159E"/>
    <w:rPr>
      <w:rFonts w:ascii="Times New Roman" w:hAnsi="Times New Roman" w:cs="Times New Roman"/>
      <w:b/>
      <w:sz w:val="32"/>
    </w:rPr>
  </w:style>
  <w:style w:type="paragraph" w:customStyle="1" w:styleId="HeaderCoverPage">
    <w:name w:val="Header Cover Page"/>
    <w:basedOn w:val="Normal"/>
    <w:link w:val="HeaderCoverPageChar"/>
    <w:rsid w:val="00CA159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A159E"/>
    <w:rPr>
      <w:rFonts w:ascii="Times New Roman" w:hAnsi="Times New Roman" w:cs="Times New Roman"/>
      <w:sz w:val="24"/>
    </w:rPr>
  </w:style>
  <w:style w:type="paragraph" w:customStyle="1" w:styleId="HeaderSensitivity">
    <w:name w:val="Header Sensitivity"/>
    <w:basedOn w:val="Normal"/>
    <w:link w:val="HeaderSensitivityChar"/>
    <w:rsid w:val="00CA159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A159E"/>
    <w:rPr>
      <w:rFonts w:ascii="Times New Roman" w:hAnsi="Times New Roman" w:cs="Times New Roman"/>
      <w:b/>
      <w:sz w:val="32"/>
    </w:rPr>
  </w:style>
  <w:style w:type="paragraph" w:customStyle="1" w:styleId="HeaderSensitivityRight">
    <w:name w:val="Header Sensitivity Right"/>
    <w:basedOn w:val="Normal"/>
    <w:link w:val="HeaderSensitivityRightChar"/>
    <w:rsid w:val="005A6A1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A159E"/>
    <w:rPr>
      <w:rFonts w:ascii="Times New Roman" w:hAnsi="Times New Roman" w:cs="Times New Roman"/>
      <w:sz w:val="28"/>
    </w:rPr>
  </w:style>
  <w:style w:type="paragraph" w:styleId="FootnoteText">
    <w:name w:val="footnote text"/>
    <w:basedOn w:val="Normal"/>
    <w:uiPriority w:val="99"/>
    <w:qFormat/>
    <w:rsid w:val="00CA159E"/>
    <w:pPr>
      <w:spacing w:after="0"/>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ußnote Char,Footnote Text Char Char Char,single space Char,FOOTNOTES Char,fn Char,Char Char Char Char,Note de bas de page2 Char,Footnotes Char Char,footnote text Char Char,Footnotes Char1,Char Char Char Char Char Char Char,Footn Char"/>
    <w:basedOn w:val="DefaultParagraphFont"/>
    <w:uiPriority w:val="99"/>
    <w:qFormat/>
    <w:rsid w:val="00CA159E"/>
    <w:rPr>
      <w:rFonts w:ascii="Times New Roman" w:eastAsia="Times New Roman" w:hAnsi="Times New Roman" w:cs="Times New Roman"/>
      <w:sz w:val="20"/>
      <w:szCs w:val="20"/>
      <w:lang w:val="ro-RO"/>
    </w:rPr>
  </w:style>
  <w:style w:type="character" w:styleId="Hyperlink">
    <w:name w:val="Hyperlink"/>
    <w:uiPriority w:val="99"/>
    <w:rsid w:val="00CA159E"/>
    <w:rPr>
      <w:color w:val="0000FF"/>
      <w:u w:val="single"/>
    </w:rPr>
  </w:style>
  <w:style w:type="character" w:styleId="FootnoteReference">
    <w:name w:val="footnote reference"/>
    <w:aliases w:val="Footnote Reference Superscript,BVI fnr, BVI fnr,Footnote symbol,Odwołanie przypisu,Footnote,Footnotes refss,SUPERS,Ref,de nota al pie,-E Fußnotenzeichen,Footnote reference number,Times 10 Point,Exposant 3 Point,E,E FNZ,footnote r,ftre"/>
    <w:link w:val="BVIfnrCarCarCarCarCharCharCharCharCar"/>
    <w:uiPriority w:val="99"/>
    <w:qFormat/>
    <w:rsid w:val="00CA159E"/>
    <w:rPr>
      <w:vertAlign w:val="superscript"/>
      <w:lang w:val="ro-RO"/>
    </w:rPr>
  </w:style>
  <w:style w:type="paragraph" w:customStyle="1" w:styleId="BVIfnrCarCarCarCarCharCharCharCharCar">
    <w:name w:val="BVI fnr Car Car Car Car Char Char Char Char Car"/>
    <w:basedOn w:val="Normal"/>
    <w:link w:val="FootnoteReference"/>
    <w:uiPriority w:val="99"/>
    <w:rsid w:val="00CA159E"/>
    <w:pPr>
      <w:spacing w:after="160" w:line="240" w:lineRule="exact"/>
      <w:jc w:val="both"/>
    </w:pPr>
    <w:rPr>
      <w:vertAlign w:val="superscript"/>
    </w:rPr>
  </w:style>
  <w:style w:type="character" w:customStyle="1" w:styleId="Heading1Char">
    <w:name w:val="Heading 1 Char"/>
    <w:basedOn w:val="DefaultParagraphFont"/>
    <w:link w:val="Heading1"/>
    <w:rsid w:val="00EE5F2C"/>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EE5F2C"/>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EE5F2C"/>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EE5F2C"/>
    <w:rPr>
      <w:rFonts w:ascii="Times New Roman" w:eastAsia="Times New Roman" w:hAnsi="Times New Roman" w:cs="Times New Roman"/>
      <w:sz w:val="24"/>
      <w:szCs w:val="20"/>
    </w:rPr>
  </w:style>
  <w:style w:type="paragraph" w:styleId="ListParagraph">
    <w:name w:val="List Paragraph"/>
    <w:basedOn w:val="Normal"/>
    <w:uiPriority w:val="34"/>
    <w:qFormat/>
    <w:rsid w:val="00EE5F2C"/>
    <w:pPr>
      <w:ind w:left="720"/>
      <w:contextualSpacing/>
    </w:pPr>
  </w:style>
  <w:style w:type="character" w:customStyle="1" w:styleId="UnresolvedMention">
    <w:name w:val="Unresolved Mention"/>
    <w:basedOn w:val="DefaultParagraphFont"/>
    <w:uiPriority w:val="99"/>
    <w:semiHidden/>
    <w:unhideWhenUsed/>
    <w:rsid w:val="008F7F65"/>
    <w:rPr>
      <w:color w:val="605E5C"/>
      <w:shd w:val="clear" w:color="auto" w:fill="E1DFDD"/>
    </w:rPr>
  </w:style>
  <w:style w:type="paragraph" w:styleId="Revision">
    <w:name w:val="Revision"/>
    <w:hidden/>
    <w:uiPriority w:val="99"/>
    <w:semiHidden/>
    <w:rsid w:val="00F84456"/>
    <w:pPr>
      <w:spacing w:after="0" w:line="240" w:lineRule="auto"/>
    </w:pPr>
  </w:style>
  <w:style w:type="character" w:styleId="CommentReference">
    <w:name w:val="annotation reference"/>
    <w:basedOn w:val="DefaultParagraphFont"/>
    <w:uiPriority w:val="99"/>
    <w:semiHidden/>
    <w:unhideWhenUsed/>
    <w:rsid w:val="00D011B0"/>
    <w:rPr>
      <w:sz w:val="16"/>
      <w:szCs w:val="16"/>
    </w:rPr>
  </w:style>
  <w:style w:type="paragraph" w:styleId="CommentText">
    <w:name w:val="annotation text"/>
    <w:basedOn w:val="Normal"/>
    <w:link w:val="CommentTextChar"/>
    <w:uiPriority w:val="99"/>
    <w:unhideWhenUsed/>
    <w:rsid w:val="00D011B0"/>
    <w:pPr>
      <w:spacing w:line="240" w:lineRule="auto"/>
    </w:pPr>
    <w:rPr>
      <w:sz w:val="20"/>
      <w:szCs w:val="20"/>
    </w:rPr>
  </w:style>
  <w:style w:type="character" w:customStyle="1" w:styleId="CommentTextChar">
    <w:name w:val="Comment Text Char"/>
    <w:basedOn w:val="DefaultParagraphFont"/>
    <w:link w:val="CommentText"/>
    <w:uiPriority w:val="99"/>
    <w:rsid w:val="00D011B0"/>
    <w:rPr>
      <w:sz w:val="20"/>
      <w:szCs w:val="20"/>
    </w:rPr>
  </w:style>
  <w:style w:type="paragraph" w:styleId="CommentSubject">
    <w:name w:val="annotation subject"/>
    <w:basedOn w:val="CommentText"/>
    <w:next w:val="CommentText"/>
    <w:link w:val="CommentSubjectChar"/>
    <w:uiPriority w:val="99"/>
    <w:semiHidden/>
    <w:unhideWhenUsed/>
    <w:rsid w:val="00D011B0"/>
    <w:rPr>
      <w:b/>
      <w:bCs/>
    </w:rPr>
  </w:style>
  <w:style w:type="character" w:customStyle="1" w:styleId="CommentSubjectChar">
    <w:name w:val="Comment Subject Char"/>
    <w:basedOn w:val="CommentTextChar"/>
    <w:link w:val="CommentSubject"/>
    <w:uiPriority w:val="99"/>
    <w:semiHidden/>
    <w:rsid w:val="00D011B0"/>
    <w:rPr>
      <w:b/>
      <w:bCs/>
      <w:sz w:val="20"/>
      <w:szCs w:val="20"/>
    </w:rPr>
  </w:style>
  <w:style w:type="character" w:styleId="FollowedHyperlink">
    <w:name w:val="FollowedHyperlink"/>
    <w:basedOn w:val="DefaultParagraphFont"/>
    <w:uiPriority w:val="99"/>
    <w:semiHidden/>
    <w:unhideWhenUsed/>
    <w:rsid w:val="00A02B42"/>
    <w:rPr>
      <w:color w:val="800080" w:themeColor="followedHyperlink"/>
      <w:u w:val="single"/>
    </w:rPr>
  </w:style>
  <w:style w:type="paragraph" w:customStyle="1" w:styleId="Languesfaisantfoi">
    <w:name w:val="Langues faisant foi"/>
    <w:basedOn w:val="Normal"/>
    <w:next w:val="Normal"/>
    <w:rsid w:val="00501E7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501E7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501E7D"/>
    <w:pPr>
      <w:spacing w:after="0"/>
    </w:pPr>
  </w:style>
  <w:style w:type="paragraph" w:customStyle="1" w:styleId="IntrtEEEPagedecouverture">
    <w:name w:val="Intérêt EEE (Page de couverture)"/>
    <w:basedOn w:val="IntrtEEE"/>
    <w:next w:val="Normal"/>
    <w:rsid w:val="00501E7D"/>
  </w:style>
  <w:style w:type="paragraph" w:styleId="NormalWeb">
    <w:name w:val="Normal (Web)"/>
    <w:basedOn w:val="Normal"/>
    <w:uiPriority w:val="99"/>
    <w:semiHidden/>
    <w:unhideWhenUsed/>
    <w:rsid w:val="006053D4"/>
    <w:rPr>
      <w:rFonts w:ascii="Times New Roman" w:hAnsi="Times New Roman" w:cs="Times New Roman"/>
      <w:sz w:val="24"/>
      <w:szCs w:val="24"/>
    </w:rPr>
  </w:style>
  <w:style w:type="character" w:customStyle="1" w:styleId="Mention">
    <w:name w:val="Mention"/>
    <w:basedOn w:val="DefaultParagraphFont"/>
    <w:uiPriority w:val="99"/>
    <w:unhideWhenUsed/>
    <w:rsid w:val="001A2B1E"/>
    <w:rPr>
      <w:color w:val="2B579A"/>
      <w:shd w:val="clear" w:color="auto" w:fill="E1DFDD"/>
    </w:rPr>
  </w:style>
  <w:style w:type="paragraph" w:customStyle="1" w:styleId="Point0number">
    <w:name w:val="Point 0 (number)"/>
    <w:basedOn w:val="Normal"/>
    <w:rsid w:val="008726E1"/>
    <w:pPr>
      <w:numPr>
        <w:numId w:val="8"/>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8726E1"/>
    <w:pPr>
      <w:numPr>
        <w:ilvl w:val="2"/>
        <w:numId w:val="8"/>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8726E1"/>
    <w:pPr>
      <w:numPr>
        <w:ilvl w:val="4"/>
        <w:numId w:val="8"/>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8726E1"/>
    <w:pPr>
      <w:numPr>
        <w:ilvl w:val="6"/>
        <w:numId w:val="8"/>
      </w:numPr>
      <w:spacing w:before="120" w:after="120" w:line="240" w:lineRule="auto"/>
      <w:jc w:val="both"/>
    </w:pPr>
    <w:rPr>
      <w:rFonts w:ascii="Times New Roman" w:hAnsi="Times New Roman" w:cs="Times New Roman"/>
      <w:sz w:val="24"/>
    </w:rPr>
  </w:style>
  <w:style w:type="paragraph" w:customStyle="1" w:styleId="Point0letter">
    <w:name w:val="Point 0 (letter)"/>
    <w:basedOn w:val="Normal"/>
    <w:rsid w:val="008726E1"/>
    <w:pPr>
      <w:numPr>
        <w:ilvl w:val="1"/>
        <w:numId w:val="8"/>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8726E1"/>
    <w:pPr>
      <w:numPr>
        <w:ilvl w:val="3"/>
        <w:numId w:val="8"/>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8726E1"/>
    <w:pPr>
      <w:numPr>
        <w:ilvl w:val="5"/>
        <w:numId w:val="8"/>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8726E1"/>
    <w:pPr>
      <w:numPr>
        <w:ilvl w:val="7"/>
        <w:numId w:val="8"/>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8726E1"/>
    <w:pPr>
      <w:numPr>
        <w:ilvl w:val="8"/>
        <w:numId w:val="8"/>
      </w:numPr>
      <w:spacing w:before="120" w:after="120" w:line="240" w:lineRule="auto"/>
      <w:jc w:val="both"/>
    </w:pPr>
    <w:rPr>
      <w:rFonts w:ascii="Times New Roman" w:hAnsi="Times New Roman" w:cs="Times New Roman"/>
      <w:sz w:val="24"/>
    </w:rPr>
  </w:style>
  <w:style w:type="character" w:customStyle="1" w:styleId="cf01">
    <w:name w:val="cf01"/>
    <w:basedOn w:val="DefaultParagraphFont"/>
    <w:rsid w:val="0082055B"/>
    <w:rPr>
      <w:rFonts w:ascii="Segoe UI" w:hAnsi="Segoe UI" w:cs="Segoe UI" w:hint="default"/>
      <w:sz w:val="18"/>
      <w:szCs w:val="18"/>
    </w:rPr>
  </w:style>
  <w:style w:type="paragraph" w:customStyle="1" w:styleId="Disclaimer">
    <w:name w:val="Disclaimer"/>
    <w:basedOn w:val="Normal"/>
    <w:rsid w:val="005A6A1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5A6A1E"/>
    <w:pPr>
      <w:spacing w:after="0"/>
      <w:ind w:left="5103"/>
    </w:pPr>
    <w:rPr>
      <w:rFonts w:ascii="Times New Roman" w:hAnsi="Times New Roman" w:cs="Times New Roman"/>
      <w:sz w:val="28"/>
    </w:rPr>
  </w:style>
  <w:style w:type="paragraph" w:customStyle="1" w:styleId="DateMarking">
    <w:name w:val="DateMarking"/>
    <w:basedOn w:val="Normal"/>
    <w:rsid w:val="005A6A1E"/>
    <w:pPr>
      <w:spacing w:after="0"/>
      <w:ind w:left="5103"/>
    </w:pPr>
    <w:rPr>
      <w:rFonts w:ascii="Times New Roman" w:hAnsi="Times New Roman" w:cs="Times New Roman"/>
      <w:i/>
      <w:sz w:val="28"/>
    </w:rPr>
  </w:style>
  <w:style w:type="paragraph" w:customStyle="1" w:styleId="ReleasableTo">
    <w:name w:val="ReleasableTo"/>
    <w:basedOn w:val="Normal"/>
    <w:rsid w:val="005A6A1E"/>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70206">
      <w:bodyDiv w:val="1"/>
      <w:marLeft w:val="0"/>
      <w:marRight w:val="0"/>
      <w:marTop w:val="0"/>
      <w:marBottom w:val="0"/>
      <w:divBdr>
        <w:top w:val="none" w:sz="0" w:space="0" w:color="auto"/>
        <w:left w:val="none" w:sz="0" w:space="0" w:color="auto"/>
        <w:bottom w:val="none" w:sz="0" w:space="0" w:color="auto"/>
        <w:right w:val="none" w:sz="0" w:space="0" w:color="auto"/>
      </w:divBdr>
      <w:divsChild>
        <w:div w:id="105664439">
          <w:marLeft w:val="0"/>
          <w:marRight w:val="0"/>
          <w:marTop w:val="0"/>
          <w:marBottom w:val="0"/>
          <w:divBdr>
            <w:top w:val="none" w:sz="0" w:space="0" w:color="auto"/>
            <w:left w:val="none" w:sz="0" w:space="0" w:color="auto"/>
            <w:bottom w:val="none" w:sz="0" w:space="0" w:color="auto"/>
            <w:right w:val="none" w:sz="0" w:space="0" w:color="auto"/>
          </w:divBdr>
          <w:divsChild>
            <w:div w:id="343676276">
              <w:marLeft w:val="0"/>
              <w:marRight w:val="0"/>
              <w:marTop w:val="0"/>
              <w:marBottom w:val="0"/>
              <w:divBdr>
                <w:top w:val="none" w:sz="0" w:space="0" w:color="auto"/>
                <w:left w:val="none" w:sz="0" w:space="0" w:color="auto"/>
                <w:bottom w:val="none" w:sz="0" w:space="0" w:color="auto"/>
                <w:right w:val="none" w:sz="0" w:space="0" w:color="auto"/>
              </w:divBdr>
              <w:divsChild>
                <w:div w:id="102809566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224418822">
      <w:bodyDiv w:val="1"/>
      <w:marLeft w:val="0"/>
      <w:marRight w:val="0"/>
      <w:marTop w:val="0"/>
      <w:marBottom w:val="0"/>
      <w:divBdr>
        <w:top w:val="none" w:sz="0" w:space="0" w:color="auto"/>
        <w:left w:val="none" w:sz="0" w:space="0" w:color="auto"/>
        <w:bottom w:val="none" w:sz="0" w:space="0" w:color="auto"/>
        <w:right w:val="none" w:sz="0" w:space="0" w:color="auto"/>
      </w:divBdr>
    </w:div>
    <w:div w:id="267545678">
      <w:bodyDiv w:val="1"/>
      <w:marLeft w:val="0"/>
      <w:marRight w:val="0"/>
      <w:marTop w:val="0"/>
      <w:marBottom w:val="0"/>
      <w:divBdr>
        <w:top w:val="none" w:sz="0" w:space="0" w:color="auto"/>
        <w:left w:val="none" w:sz="0" w:space="0" w:color="auto"/>
        <w:bottom w:val="none" w:sz="0" w:space="0" w:color="auto"/>
        <w:right w:val="none" w:sz="0" w:space="0" w:color="auto"/>
      </w:divBdr>
    </w:div>
    <w:div w:id="278880040">
      <w:bodyDiv w:val="1"/>
      <w:marLeft w:val="0"/>
      <w:marRight w:val="0"/>
      <w:marTop w:val="0"/>
      <w:marBottom w:val="0"/>
      <w:divBdr>
        <w:top w:val="none" w:sz="0" w:space="0" w:color="auto"/>
        <w:left w:val="none" w:sz="0" w:space="0" w:color="auto"/>
        <w:bottom w:val="none" w:sz="0" w:space="0" w:color="auto"/>
        <w:right w:val="none" w:sz="0" w:space="0" w:color="auto"/>
      </w:divBdr>
    </w:div>
    <w:div w:id="279537008">
      <w:bodyDiv w:val="1"/>
      <w:marLeft w:val="0"/>
      <w:marRight w:val="0"/>
      <w:marTop w:val="0"/>
      <w:marBottom w:val="0"/>
      <w:divBdr>
        <w:top w:val="none" w:sz="0" w:space="0" w:color="auto"/>
        <w:left w:val="none" w:sz="0" w:space="0" w:color="auto"/>
        <w:bottom w:val="none" w:sz="0" w:space="0" w:color="auto"/>
        <w:right w:val="none" w:sz="0" w:space="0" w:color="auto"/>
      </w:divBdr>
    </w:div>
    <w:div w:id="371615622">
      <w:bodyDiv w:val="1"/>
      <w:marLeft w:val="0"/>
      <w:marRight w:val="0"/>
      <w:marTop w:val="0"/>
      <w:marBottom w:val="0"/>
      <w:divBdr>
        <w:top w:val="none" w:sz="0" w:space="0" w:color="auto"/>
        <w:left w:val="none" w:sz="0" w:space="0" w:color="auto"/>
        <w:bottom w:val="none" w:sz="0" w:space="0" w:color="auto"/>
        <w:right w:val="none" w:sz="0" w:space="0" w:color="auto"/>
      </w:divBdr>
    </w:div>
    <w:div w:id="439186823">
      <w:bodyDiv w:val="1"/>
      <w:marLeft w:val="0"/>
      <w:marRight w:val="0"/>
      <w:marTop w:val="0"/>
      <w:marBottom w:val="0"/>
      <w:divBdr>
        <w:top w:val="none" w:sz="0" w:space="0" w:color="auto"/>
        <w:left w:val="none" w:sz="0" w:space="0" w:color="auto"/>
        <w:bottom w:val="none" w:sz="0" w:space="0" w:color="auto"/>
        <w:right w:val="none" w:sz="0" w:space="0" w:color="auto"/>
      </w:divBdr>
    </w:div>
    <w:div w:id="523057399">
      <w:bodyDiv w:val="1"/>
      <w:marLeft w:val="0"/>
      <w:marRight w:val="0"/>
      <w:marTop w:val="0"/>
      <w:marBottom w:val="0"/>
      <w:divBdr>
        <w:top w:val="none" w:sz="0" w:space="0" w:color="auto"/>
        <w:left w:val="none" w:sz="0" w:space="0" w:color="auto"/>
        <w:bottom w:val="none" w:sz="0" w:space="0" w:color="auto"/>
        <w:right w:val="none" w:sz="0" w:space="0" w:color="auto"/>
      </w:divBdr>
    </w:div>
    <w:div w:id="545802625">
      <w:bodyDiv w:val="1"/>
      <w:marLeft w:val="0"/>
      <w:marRight w:val="0"/>
      <w:marTop w:val="0"/>
      <w:marBottom w:val="0"/>
      <w:divBdr>
        <w:top w:val="none" w:sz="0" w:space="0" w:color="auto"/>
        <w:left w:val="none" w:sz="0" w:space="0" w:color="auto"/>
        <w:bottom w:val="none" w:sz="0" w:space="0" w:color="auto"/>
        <w:right w:val="none" w:sz="0" w:space="0" w:color="auto"/>
      </w:divBdr>
    </w:div>
    <w:div w:id="550658104">
      <w:bodyDiv w:val="1"/>
      <w:marLeft w:val="0"/>
      <w:marRight w:val="0"/>
      <w:marTop w:val="0"/>
      <w:marBottom w:val="0"/>
      <w:divBdr>
        <w:top w:val="none" w:sz="0" w:space="0" w:color="auto"/>
        <w:left w:val="none" w:sz="0" w:space="0" w:color="auto"/>
        <w:bottom w:val="none" w:sz="0" w:space="0" w:color="auto"/>
        <w:right w:val="none" w:sz="0" w:space="0" w:color="auto"/>
      </w:divBdr>
    </w:div>
    <w:div w:id="705981581">
      <w:bodyDiv w:val="1"/>
      <w:marLeft w:val="0"/>
      <w:marRight w:val="0"/>
      <w:marTop w:val="0"/>
      <w:marBottom w:val="0"/>
      <w:divBdr>
        <w:top w:val="none" w:sz="0" w:space="0" w:color="auto"/>
        <w:left w:val="none" w:sz="0" w:space="0" w:color="auto"/>
        <w:bottom w:val="none" w:sz="0" w:space="0" w:color="auto"/>
        <w:right w:val="none" w:sz="0" w:space="0" w:color="auto"/>
      </w:divBdr>
    </w:div>
    <w:div w:id="844519492">
      <w:bodyDiv w:val="1"/>
      <w:marLeft w:val="0"/>
      <w:marRight w:val="0"/>
      <w:marTop w:val="0"/>
      <w:marBottom w:val="0"/>
      <w:divBdr>
        <w:top w:val="none" w:sz="0" w:space="0" w:color="auto"/>
        <w:left w:val="none" w:sz="0" w:space="0" w:color="auto"/>
        <w:bottom w:val="none" w:sz="0" w:space="0" w:color="auto"/>
        <w:right w:val="none" w:sz="0" w:space="0" w:color="auto"/>
      </w:divBdr>
    </w:div>
    <w:div w:id="863440942">
      <w:bodyDiv w:val="1"/>
      <w:marLeft w:val="0"/>
      <w:marRight w:val="0"/>
      <w:marTop w:val="0"/>
      <w:marBottom w:val="0"/>
      <w:divBdr>
        <w:top w:val="none" w:sz="0" w:space="0" w:color="auto"/>
        <w:left w:val="none" w:sz="0" w:space="0" w:color="auto"/>
        <w:bottom w:val="none" w:sz="0" w:space="0" w:color="auto"/>
        <w:right w:val="none" w:sz="0" w:space="0" w:color="auto"/>
      </w:divBdr>
    </w:div>
    <w:div w:id="874005965">
      <w:bodyDiv w:val="1"/>
      <w:marLeft w:val="0"/>
      <w:marRight w:val="0"/>
      <w:marTop w:val="0"/>
      <w:marBottom w:val="0"/>
      <w:divBdr>
        <w:top w:val="none" w:sz="0" w:space="0" w:color="auto"/>
        <w:left w:val="none" w:sz="0" w:space="0" w:color="auto"/>
        <w:bottom w:val="none" w:sz="0" w:space="0" w:color="auto"/>
        <w:right w:val="none" w:sz="0" w:space="0" w:color="auto"/>
      </w:divBdr>
    </w:div>
    <w:div w:id="939140984">
      <w:bodyDiv w:val="1"/>
      <w:marLeft w:val="0"/>
      <w:marRight w:val="0"/>
      <w:marTop w:val="0"/>
      <w:marBottom w:val="0"/>
      <w:divBdr>
        <w:top w:val="none" w:sz="0" w:space="0" w:color="auto"/>
        <w:left w:val="none" w:sz="0" w:space="0" w:color="auto"/>
        <w:bottom w:val="none" w:sz="0" w:space="0" w:color="auto"/>
        <w:right w:val="none" w:sz="0" w:space="0" w:color="auto"/>
      </w:divBdr>
    </w:div>
    <w:div w:id="939947922">
      <w:bodyDiv w:val="1"/>
      <w:marLeft w:val="0"/>
      <w:marRight w:val="0"/>
      <w:marTop w:val="0"/>
      <w:marBottom w:val="0"/>
      <w:divBdr>
        <w:top w:val="none" w:sz="0" w:space="0" w:color="auto"/>
        <w:left w:val="none" w:sz="0" w:space="0" w:color="auto"/>
        <w:bottom w:val="none" w:sz="0" w:space="0" w:color="auto"/>
        <w:right w:val="none" w:sz="0" w:space="0" w:color="auto"/>
      </w:divBdr>
    </w:div>
    <w:div w:id="1010909741">
      <w:bodyDiv w:val="1"/>
      <w:marLeft w:val="0"/>
      <w:marRight w:val="0"/>
      <w:marTop w:val="0"/>
      <w:marBottom w:val="0"/>
      <w:divBdr>
        <w:top w:val="none" w:sz="0" w:space="0" w:color="auto"/>
        <w:left w:val="none" w:sz="0" w:space="0" w:color="auto"/>
        <w:bottom w:val="none" w:sz="0" w:space="0" w:color="auto"/>
        <w:right w:val="none" w:sz="0" w:space="0" w:color="auto"/>
      </w:divBdr>
    </w:div>
    <w:div w:id="1075787858">
      <w:bodyDiv w:val="1"/>
      <w:marLeft w:val="0"/>
      <w:marRight w:val="0"/>
      <w:marTop w:val="0"/>
      <w:marBottom w:val="0"/>
      <w:divBdr>
        <w:top w:val="none" w:sz="0" w:space="0" w:color="auto"/>
        <w:left w:val="none" w:sz="0" w:space="0" w:color="auto"/>
        <w:bottom w:val="none" w:sz="0" w:space="0" w:color="auto"/>
        <w:right w:val="none" w:sz="0" w:space="0" w:color="auto"/>
      </w:divBdr>
    </w:div>
    <w:div w:id="1165122501">
      <w:bodyDiv w:val="1"/>
      <w:marLeft w:val="0"/>
      <w:marRight w:val="0"/>
      <w:marTop w:val="0"/>
      <w:marBottom w:val="0"/>
      <w:divBdr>
        <w:top w:val="none" w:sz="0" w:space="0" w:color="auto"/>
        <w:left w:val="none" w:sz="0" w:space="0" w:color="auto"/>
        <w:bottom w:val="none" w:sz="0" w:space="0" w:color="auto"/>
        <w:right w:val="none" w:sz="0" w:space="0" w:color="auto"/>
      </w:divBdr>
    </w:div>
    <w:div w:id="1209949100">
      <w:bodyDiv w:val="1"/>
      <w:marLeft w:val="0"/>
      <w:marRight w:val="0"/>
      <w:marTop w:val="0"/>
      <w:marBottom w:val="0"/>
      <w:divBdr>
        <w:top w:val="none" w:sz="0" w:space="0" w:color="auto"/>
        <w:left w:val="none" w:sz="0" w:space="0" w:color="auto"/>
        <w:bottom w:val="none" w:sz="0" w:space="0" w:color="auto"/>
        <w:right w:val="none" w:sz="0" w:space="0" w:color="auto"/>
      </w:divBdr>
    </w:div>
    <w:div w:id="1227912203">
      <w:bodyDiv w:val="1"/>
      <w:marLeft w:val="0"/>
      <w:marRight w:val="0"/>
      <w:marTop w:val="0"/>
      <w:marBottom w:val="0"/>
      <w:divBdr>
        <w:top w:val="none" w:sz="0" w:space="0" w:color="auto"/>
        <w:left w:val="none" w:sz="0" w:space="0" w:color="auto"/>
        <w:bottom w:val="none" w:sz="0" w:space="0" w:color="auto"/>
        <w:right w:val="none" w:sz="0" w:space="0" w:color="auto"/>
      </w:divBdr>
    </w:div>
    <w:div w:id="1265721559">
      <w:bodyDiv w:val="1"/>
      <w:marLeft w:val="0"/>
      <w:marRight w:val="0"/>
      <w:marTop w:val="0"/>
      <w:marBottom w:val="0"/>
      <w:divBdr>
        <w:top w:val="none" w:sz="0" w:space="0" w:color="auto"/>
        <w:left w:val="none" w:sz="0" w:space="0" w:color="auto"/>
        <w:bottom w:val="none" w:sz="0" w:space="0" w:color="auto"/>
        <w:right w:val="none" w:sz="0" w:space="0" w:color="auto"/>
      </w:divBdr>
    </w:div>
    <w:div w:id="1268075328">
      <w:bodyDiv w:val="1"/>
      <w:marLeft w:val="0"/>
      <w:marRight w:val="0"/>
      <w:marTop w:val="0"/>
      <w:marBottom w:val="0"/>
      <w:divBdr>
        <w:top w:val="none" w:sz="0" w:space="0" w:color="auto"/>
        <w:left w:val="none" w:sz="0" w:space="0" w:color="auto"/>
        <w:bottom w:val="none" w:sz="0" w:space="0" w:color="auto"/>
        <w:right w:val="none" w:sz="0" w:space="0" w:color="auto"/>
      </w:divBdr>
    </w:div>
    <w:div w:id="1331521016">
      <w:bodyDiv w:val="1"/>
      <w:marLeft w:val="0"/>
      <w:marRight w:val="0"/>
      <w:marTop w:val="0"/>
      <w:marBottom w:val="0"/>
      <w:divBdr>
        <w:top w:val="none" w:sz="0" w:space="0" w:color="auto"/>
        <w:left w:val="none" w:sz="0" w:space="0" w:color="auto"/>
        <w:bottom w:val="none" w:sz="0" w:space="0" w:color="auto"/>
        <w:right w:val="none" w:sz="0" w:space="0" w:color="auto"/>
      </w:divBdr>
    </w:div>
    <w:div w:id="1382899141">
      <w:bodyDiv w:val="1"/>
      <w:marLeft w:val="0"/>
      <w:marRight w:val="0"/>
      <w:marTop w:val="0"/>
      <w:marBottom w:val="0"/>
      <w:divBdr>
        <w:top w:val="none" w:sz="0" w:space="0" w:color="auto"/>
        <w:left w:val="none" w:sz="0" w:space="0" w:color="auto"/>
        <w:bottom w:val="none" w:sz="0" w:space="0" w:color="auto"/>
        <w:right w:val="none" w:sz="0" w:space="0" w:color="auto"/>
      </w:divBdr>
    </w:div>
    <w:div w:id="1397321761">
      <w:bodyDiv w:val="1"/>
      <w:marLeft w:val="0"/>
      <w:marRight w:val="0"/>
      <w:marTop w:val="0"/>
      <w:marBottom w:val="0"/>
      <w:divBdr>
        <w:top w:val="none" w:sz="0" w:space="0" w:color="auto"/>
        <w:left w:val="none" w:sz="0" w:space="0" w:color="auto"/>
        <w:bottom w:val="none" w:sz="0" w:space="0" w:color="auto"/>
        <w:right w:val="none" w:sz="0" w:space="0" w:color="auto"/>
      </w:divBdr>
    </w:div>
    <w:div w:id="1419205537">
      <w:bodyDiv w:val="1"/>
      <w:marLeft w:val="0"/>
      <w:marRight w:val="0"/>
      <w:marTop w:val="0"/>
      <w:marBottom w:val="0"/>
      <w:divBdr>
        <w:top w:val="none" w:sz="0" w:space="0" w:color="auto"/>
        <w:left w:val="none" w:sz="0" w:space="0" w:color="auto"/>
        <w:bottom w:val="none" w:sz="0" w:space="0" w:color="auto"/>
        <w:right w:val="none" w:sz="0" w:space="0" w:color="auto"/>
      </w:divBdr>
      <w:divsChild>
        <w:div w:id="38214371">
          <w:marLeft w:val="0"/>
          <w:marRight w:val="0"/>
          <w:marTop w:val="0"/>
          <w:marBottom w:val="0"/>
          <w:divBdr>
            <w:top w:val="none" w:sz="0" w:space="0" w:color="auto"/>
            <w:left w:val="none" w:sz="0" w:space="0" w:color="auto"/>
            <w:bottom w:val="none" w:sz="0" w:space="0" w:color="auto"/>
            <w:right w:val="none" w:sz="0" w:space="0" w:color="auto"/>
          </w:divBdr>
          <w:divsChild>
            <w:div w:id="66462235">
              <w:marLeft w:val="0"/>
              <w:marRight w:val="0"/>
              <w:marTop w:val="0"/>
              <w:marBottom w:val="0"/>
              <w:divBdr>
                <w:top w:val="none" w:sz="0" w:space="0" w:color="auto"/>
                <w:left w:val="none" w:sz="0" w:space="0" w:color="auto"/>
                <w:bottom w:val="none" w:sz="0" w:space="0" w:color="auto"/>
                <w:right w:val="none" w:sz="0" w:space="0" w:color="auto"/>
              </w:divBdr>
              <w:divsChild>
                <w:div w:id="104460024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463421355">
      <w:bodyDiv w:val="1"/>
      <w:marLeft w:val="0"/>
      <w:marRight w:val="0"/>
      <w:marTop w:val="0"/>
      <w:marBottom w:val="0"/>
      <w:divBdr>
        <w:top w:val="none" w:sz="0" w:space="0" w:color="auto"/>
        <w:left w:val="none" w:sz="0" w:space="0" w:color="auto"/>
        <w:bottom w:val="none" w:sz="0" w:space="0" w:color="auto"/>
        <w:right w:val="none" w:sz="0" w:space="0" w:color="auto"/>
      </w:divBdr>
      <w:divsChild>
        <w:div w:id="13769522">
          <w:marLeft w:val="0"/>
          <w:marRight w:val="0"/>
          <w:marTop w:val="0"/>
          <w:marBottom w:val="0"/>
          <w:divBdr>
            <w:top w:val="none" w:sz="0" w:space="0" w:color="auto"/>
            <w:left w:val="none" w:sz="0" w:space="0" w:color="auto"/>
            <w:bottom w:val="none" w:sz="0" w:space="0" w:color="auto"/>
            <w:right w:val="none" w:sz="0" w:space="0" w:color="auto"/>
          </w:divBdr>
        </w:div>
        <w:div w:id="618222462">
          <w:marLeft w:val="0"/>
          <w:marRight w:val="0"/>
          <w:marTop w:val="0"/>
          <w:marBottom w:val="0"/>
          <w:divBdr>
            <w:top w:val="none" w:sz="0" w:space="0" w:color="auto"/>
            <w:left w:val="none" w:sz="0" w:space="0" w:color="auto"/>
            <w:bottom w:val="none" w:sz="0" w:space="0" w:color="auto"/>
            <w:right w:val="none" w:sz="0" w:space="0" w:color="auto"/>
          </w:divBdr>
        </w:div>
        <w:div w:id="769928819">
          <w:marLeft w:val="0"/>
          <w:marRight w:val="0"/>
          <w:marTop w:val="0"/>
          <w:marBottom w:val="0"/>
          <w:divBdr>
            <w:top w:val="none" w:sz="0" w:space="0" w:color="auto"/>
            <w:left w:val="none" w:sz="0" w:space="0" w:color="auto"/>
            <w:bottom w:val="none" w:sz="0" w:space="0" w:color="auto"/>
            <w:right w:val="none" w:sz="0" w:space="0" w:color="auto"/>
          </w:divBdr>
        </w:div>
        <w:div w:id="2135782475">
          <w:marLeft w:val="0"/>
          <w:marRight w:val="0"/>
          <w:marTop w:val="0"/>
          <w:marBottom w:val="0"/>
          <w:divBdr>
            <w:top w:val="none" w:sz="0" w:space="0" w:color="auto"/>
            <w:left w:val="none" w:sz="0" w:space="0" w:color="auto"/>
            <w:bottom w:val="none" w:sz="0" w:space="0" w:color="auto"/>
            <w:right w:val="none" w:sz="0" w:space="0" w:color="auto"/>
          </w:divBdr>
        </w:div>
      </w:divsChild>
    </w:div>
    <w:div w:id="1611275940">
      <w:bodyDiv w:val="1"/>
      <w:marLeft w:val="0"/>
      <w:marRight w:val="0"/>
      <w:marTop w:val="0"/>
      <w:marBottom w:val="0"/>
      <w:divBdr>
        <w:top w:val="none" w:sz="0" w:space="0" w:color="auto"/>
        <w:left w:val="none" w:sz="0" w:space="0" w:color="auto"/>
        <w:bottom w:val="none" w:sz="0" w:space="0" w:color="auto"/>
        <w:right w:val="none" w:sz="0" w:space="0" w:color="auto"/>
      </w:divBdr>
    </w:div>
    <w:div w:id="1614287827">
      <w:bodyDiv w:val="1"/>
      <w:marLeft w:val="0"/>
      <w:marRight w:val="0"/>
      <w:marTop w:val="0"/>
      <w:marBottom w:val="0"/>
      <w:divBdr>
        <w:top w:val="none" w:sz="0" w:space="0" w:color="auto"/>
        <w:left w:val="none" w:sz="0" w:space="0" w:color="auto"/>
        <w:bottom w:val="none" w:sz="0" w:space="0" w:color="auto"/>
        <w:right w:val="none" w:sz="0" w:space="0" w:color="auto"/>
      </w:divBdr>
    </w:div>
    <w:div w:id="1670522081">
      <w:bodyDiv w:val="1"/>
      <w:marLeft w:val="0"/>
      <w:marRight w:val="0"/>
      <w:marTop w:val="0"/>
      <w:marBottom w:val="0"/>
      <w:divBdr>
        <w:top w:val="none" w:sz="0" w:space="0" w:color="auto"/>
        <w:left w:val="none" w:sz="0" w:space="0" w:color="auto"/>
        <w:bottom w:val="none" w:sz="0" w:space="0" w:color="auto"/>
        <w:right w:val="none" w:sz="0" w:space="0" w:color="auto"/>
      </w:divBdr>
    </w:div>
    <w:div w:id="1746369333">
      <w:bodyDiv w:val="1"/>
      <w:marLeft w:val="0"/>
      <w:marRight w:val="0"/>
      <w:marTop w:val="0"/>
      <w:marBottom w:val="0"/>
      <w:divBdr>
        <w:top w:val="none" w:sz="0" w:space="0" w:color="auto"/>
        <w:left w:val="none" w:sz="0" w:space="0" w:color="auto"/>
        <w:bottom w:val="none" w:sz="0" w:space="0" w:color="auto"/>
        <w:right w:val="none" w:sz="0" w:space="0" w:color="auto"/>
      </w:divBdr>
      <w:divsChild>
        <w:div w:id="1512334295">
          <w:marLeft w:val="0"/>
          <w:marRight w:val="0"/>
          <w:marTop w:val="0"/>
          <w:marBottom w:val="0"/>
          <w:divBdr>
            <w:top w:val="none" w:sz="0" w:space="0" w:color="auto"/>
            <w:left w:val="none" w:sz="0" w:space="0" w:color="auto"/>
            <w:bottom w:val="none" w:sz="0" w:space="0" w:color="auto"/>
            <w:right w:val="none" w:sz="0" w:space="0" w:color="auto"/>
          </w:divBdr>
          <w:divsChild>
            <w:div w:id="187529881">
              <w:marLeft w:val="0"/>
              <w:marRight w:val="0"/>
              <w:marTop w:val="0"/>
              <w:marBottom w:val="0"/>
              <w:divBdr>
                <w:top w:val="none" w:sz="0" w:space="0" w:color="auto"/>
                <w:left w:val="none" w:sz="0" w:space="0" w:color="auto"/>
                <w:bottom w:val="none" w:sz="0" w:space="0" w:color="auto"/>
                <w:right w:val="none" w:sz="0" w:space="0" w:color="auto"/>
              </w:divBdr>
              <w:divsChild>
                <w:div w:id="1606227926">
                  <w:marLeft w:val="0"/>
                  <w:marRight w:val="0"/>
                  <w:marTop w:val="0"/>
                  <w:marBottom w:val="0"/>
                  <w:divBdr>
                    <w:top w:val="none" w:sz="0" w:space="0" w:color="auto"/>
                    <w:left w:val="none" w:sz="0" w:space="0" w:color="auto"/>
                    <w:bottom w:val="none" w:sz="0" w:space="0" w:color="auto"/>
                    <w:right w:val="none" w:sz="0" w:space="0" w:color="auto"/>
                  </w:divBdr>
                  <w:divsChild>
                    <w:div w:id="112094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975341">
      <w:bodyDiv w:val="1"/>
      <w:marLeft w:val="0"/>
      <w:marRight w:val="0"/>
      <w:marTop w:val="0"/>
      <w:marBottom w:val="0"/>
      <w:divBdr>
        <w:top w:val="none" w:sz="0" w:space="0" w:color="auto"/>
        <w:left w:val="none" w:sz="0" w:space="0" w:color="auto"/>
        <w:bottom w:val="none" w:sz="0" w:space="0" w:color="auto"/>
        <w:right w:val="none" w:sz="0" w:space="0" w:color="auto"/>
      </w:divBdr>
    </w:div>
    <w:div w:id="1860728767">
      <w:bodyDiv w:val="1"/>
      <w:marLeft w:val="0"/>
      <w:marRight w:val="0"/>
      <w:marTop w:val="0"/>
      <w:marBottom w:val="0"/>
      <w:divBdr>
        <w:top w:val="none" w:sz="0" w:space="0" w:color="auto"/>
        <w:left w:val="none" w:sz="0" w:space="0" w:color="auto"/>
        <w:bottom w:val="none" w:sz="0" w:space="0" w:color="auto"/>
        <w:right w:val="none" w:sz="0" w:space="0" w:color="auto"/>
      </w:divBdr>
    </w:div>
    <w:div w:id="1933590125">
      <w:bodyDiv w:val="1"/>
      <w:marLeft w:val="0"/>
      <w:marRight w:val="0"/>
      <w:marTop w:val="0"/>
      <w:marBottom w:val="0"/>
      <w:divBdr>
        <w:top w:val="none" w:sz="0" w:space="0" w:color="auto"/>
        <w:left w:val="none" w:sz="0" w:space="0" w:color="auto"/>
        <w:bottom w:val="none" w:sz="0" w:space="0" w:color="auto"/>
        <w:right w:val="none" w:sz="0" w:space="0" w:color="auto"/>
      </w:divBdr>
    </w:div>
    <w:div w:id="2002806754">
      <w:bodyDiv w:val="1"/>
      <w:marLeft w:val="0"/>
      <w:marRight w:val="0"/>
      <w:marTop w:val="0"/>
      <w:marBottom w:val="0"/>
      <w:divBdr>
        <w:top w:val="none" w:sz="0" w:space="0" w:color="auto"/>
        <w:left w:val="none" w:sz="0" w:space="0" w:color="auto"/>
        <w:bottom w:val="none" w:sz="0" w:space="0" w:color="auto"/>
        <w:right w:val="none" w:sz="0" w:space="0" w:color="auto"/>
      </w:divBdr>
      <w:divsChild>
        <w:div w:id="191504232">
          <w:marLeft w:val="0"/>
          <w:marRight w:val="0"/>
          <w:marTop w:val="0"/>
          <w:marBottom w:val="0"/>
          <w:divBdr>
            <w:top w:val="none" w:sz="0" w:space="0" w:color="auto"/>
            <w:left w:val="none" w:sz="0" w:space="0" w:color="auto"/>
            <w:bottom w:val="none" w:sz="0" w:space="0" w:color="auto"/>
            <w:right w:val="none" w:sz="0" w:space="0" w:color="auto"/>
          </w:divBdr>
        </w:div>
        <w:div w:id="720903597">
          <w:marLeft w:val="0"/>
          <w:marRight w:val="0"/>
          <w:marTop w:val="0"/>
          <w:marBottom w:val="0"/>
          <w:divBdr>
            <w:top w:val="none" w:sz="0" w:space="0" w:color="auto"/>
            <w:left w:val="none" w:sz="0" w:space="0" w:color="auto"/>
            <w:bottom w:val="none" w:sz="0" w:space="0" w:color="auto"/>
            <w:right w:val="none" w:sz="0" w:space="0" w:color="auto"/>
          </w:divBdr>
        </w:div>
        <w:div w:id="1037197190">
          <w:marLeft w:val="0"/>
          <w:marRight w:val="0"/>
          <w:marTop w:val="0"/>
          <w:marBottom w:val="0"/>
          <w:divBdr>
            <w:top w:val="none" w:sz="0" w:space="0" w:color="auto"/>
            <w:left w:val="none" w:sz="0" w:space="0" w:color="auto"/>
            <w:bottom w:val="none" w:sz="0" w:space="0" w:color="auto"/>
            <w:right w:val="none" w:sz="0" w:space="0" w:color="auto"/>
          </w:divBdr>
        </w:div>
        <w:div w:id="1261765226">
          <w:marLeft w:val="0"/>
          <w:marRight w:val="0"/>
          <w:marTop w:val="0"/>
          <w:marBottom w:val="0"/>
          <w:divBdr>
            <w:top w:val="none" w:sz="0" w:space="0" w:color="auto"/>
            <w:left w:val="none" w:sz="0" w:space="0" w:color="auto"/>
            <w:bottom w:val="none" w:sz="0" w:space="0" w:color="auto"/>
            <w:right w:val="none" w:sz="0" w:space="0" w:color="auto"/>
          </w:divBdr>
        </w:div>
      </w:divsChild>
    </w:div>
    <w:div w:id="2107337324">
      <w:bodyDiv w:val="1"/>
      <w:marLeft w:val="0"/>
      <w:marRight w:val="0"/>
      <w:marTop w:val="0"/>
      <w:marBottom w:val="0"/>
      <w:divBdr>
        <w:top w:val="none" w:sz="0" w:space="0" w:color="auto"/>
        <w:left w:val="none" w:sz="0" w:space="0" w:color="auto"/>
        <w:bottom w:val="none" w:sz="0" w:space="0" w:color="auto"/>
        <w:right w:val="none" w:sz="0" w:space="0" w:color="auto"/>
      </w:divBdr>
      <w:divsChild>
        <w:div w:id="42366042">
          <w:marLeft w:val="0"/>
          <w:marRight w:val="0"/>
          <w:marTop w:val="0"/>
          <w:marBottom w:val="0"/>
          <w:divBdr>
            <w:top w:val="none" w:sz="0" w:space="0" w:color="auto"/>
            <w:left w:val="none" w:sz="0" w:space="0" w:color="auto"/>
            <w:bottom w:val="none" w:sz="0" w:space="0" w:color="auto"/>
            <w:right w:val="none" w:sz="0" w:space="0" w:color="auto"/>
          </w:divBdr>
          <w:divsChild>
            <w:div w:id="1309673119">
              <w:marLeft w:val="0"/>
              <w:marRight w:val="0"/>
              <w:marTop w:val="0"/>
              <w:marBottom w:val="0"/>
              <w:divBdr>
                <w:top w:val="none" w:sz="0" w:space="0" w:color="auto"/>
                <w:left w:val="none" w:sz="0" w:space="0" w:color="auto"/>
                <w:bottom w:val="none" w:sz="0" w:space="0" w:color="auto"/>
                <w:right w:val="none" w:sz="0" w:space="0" w:color="auto"/>
              </w:divBdr>
              <w:divsChild>
                <w:div w:id="975337315">
                  <w:marLeft w:val="0"/>
                  <w:marRight w:val="0"/>
                  <w:marTop w:val="0"/>
                  <w:marBottom w:val="0"/>
                  <w:divBdr>
                    <w:top w:val="none" w:sz="0" w:space="0" w:color="auto"/>
                    <w:left w:val="none" w:sz="0" w:space="0" w:color="auto"/>
                    <w:bottom w:val="none" w:sz="0" w:space="0" w:color="auto"/>
                    <w:right w:val="none" w:sz="0" w:space="0" w:color="auto"/>
                  </w:divBdr>
                  <w:divsChild>
                    <w:div w:id="101013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sdgs.un.org/goals" TargetMode="External"/><Relationship Id="rId13" Type="http://schemas.openxmlformats.org/officeDocument/2006/relationships/hyperlink" Target="https://www.ohchr.org/en/instruments-mechanisms/instruments/convention-rights-persons-disabilities" TargetMode="External"/><Relationship Id="rId18" Type="http://schemas.openxmlformats.org/officeDocument/2006/relationships/hyperlink" Target="http://data.europa.eu/eli/dec_impl/2024/1158/oj" TargetMode="External"/><Relationship Id="rId3" Type="http://schemas.openxmlformats.org/officeDocument/2006/relationships/hyperlink" Target="https://www.europarl.europa.eu/doceo/document/TA-10-2025-0338_RO.html" TargetMode="External"/><Relationship Id="rId7" Type="http://schemas.openxmlformats.org/officeDocument/2006/relationships/hyperlink" Target="https://www.un.org/womenwatch/daw/beijing/pdf/BDPfA%20E.pdf" TargetMode="External"/><Relationship Id="rId12" Type="http://schemas.openxmlformats.org/officeDocument/2006/relationships/hyperlink" Target="https://sdgs.un.org/2030agenda" TargetMode="External"/><Relationship Id="rId17" Type="http://schemas.openxmlformats.org/officeDocument/2006/relationships/hyperlink" Target="https://www.europarl.europa.eu/doceo/document/TA-10-2025-0338_EN.html" TargetMode="External"/><Relationship Id="rId2" Type="http://schemas.openxmlformats.org/officeDocument/2006/relationships/hyperlink" Target="http://data.europa.eu/eli/dec_impl/2024/1158/oj" TargetMode="External"/><Relationship Id="rId16" Type="http://schemas.openxmlformats.org/officeDocument/2006/relationships/hyperlink" Target="https://www.ohchr.org/en/women/sexual-and-reproductive-health-and-rights" TargetMode="External"/><Relationship Id="rId1" Type="http://schemas.openxmlformats.org/officeDocument/2006/relationships/hyperlink" Target="https://citizens-initiative.europa.eu/initiatives/details/2024/000004_ro" TargetMode="External"/><Relationship Id="rId6" Type="http://schemas.openxmlformats.org/officeDocument/2006/relationships/hyperlink" Target="https://www.eesc.europa.eu/en/our-work/opinions-information-reports/opinions/my-voice-my-choice-safe-and-accessible-abortion" TargetMode="External"/><Relationship Id="rId11" Type="http://schemas.openxmlformats.org/officeDocument/2006/relationships/hyperlink" Target="https://sdgs.un.org/2030agenda" TargetMode="External"/><Relationship Id="rId5" Type="http://schemas.openxmlformats.org/officeDocument/2006/relationships/hyperlink" Target="https://www.eesc.europa.eu/en/our-work/opinions-information-reports/opinions/my-voice-my-choice-safe-and-accessible-abortion" TargetMode="External"/><Relationship Id="rId15" Type="http://schemas.openxmlformats.org/officeDocument/2006/relationships/hyperlink" Target="https://www.ohchr.org/en/women/sexual-and-reproductive-health-and-rights" TargetMode="External"/><Relationship Id="rId10" Type="http://schemas.openxmlformats.org/officeDocument/2006/relationships/hyperlink" Target="https://sdgs.un.org/2030agenda" TargetMode="External"/><Relationship Id="rId4" Type="http://schemas.openxmlformats.org/officeDocument/2006/relationships/hyperlink" Target="https://www.eesc.europa.eu/en/our-work/opinions-information-reports/opinions/my-voice-my-choice-safe-and-accessible-abortion" TargetMode="External"/><Relationship Id="rId9" Type="http://schemas.openxmlformats.org/officeDocument/2006/relationships/hyperlink" Target="https://sdgs.un.org/goals" TargetMode="External"/><Relationship Id="rId14" Type="http://schemas.openxmlformats.org/officeDocument/2006/relationships/hyperlink" Target="https://iris.who.int/server/api/core/bitstreams/dd3d3a9c-6446-4e79-a43c-093a41df46bd/cont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394DD-015F-42B8-9EC3-9BE1A6BC8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3960</Words>
  <Characters>22574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2026-02-25T15:27:00Z</dcterms:created>
  <dcterms:modified xsi:type="dcterms:W3CDTF">2026-02-26T12:15:00Z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2026-02-25T14:27:37Z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d138422c-9507-4f83-8f53-aef19a14277c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