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06756" w14:textId="20840ABD" w:rsidR="0022191F" w:rsidRDefault="00CA7B05" w:rsidP="00CA7B05">
      <w:pPr>
        <w:pStyle w:val="Pagedecouverture"/>
        <w:rPr>
          <w:noProof/>
        </w:rPr>
      </w:pPr>
      <w:bookmarkStart w:id="0" w:name="LW_BM_COVERPAGE"/>
      <w:r>
        <w:rPr>
          <w:noProof/>
        </w:rPr>
        <w:pict w14:anchorId="153A6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598F187-7CB1-4F7F-9704-31ABC57109EF" style="width:455.25pt;height:342pt">
            <v:imagedata r:id="rId7" o:title=""/>
          </v:shape>
        </w:pict>
      </w:r>
    </w:p>
    <w:bookmarkEnd w:id="0"/>
    <w:p w14:paraId="7EB90AB5" w14:textId="77777777" w:rsidR="0022191F" w:rsidRDefault="0022191F">
      <w:pPr>
        <w:rPr>
          <w:noProof/>
        </w:rPr>
        <w:sectPr w:rsidR="0022191F" w:rsidSect="00CA7B0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BDCB200" w14:textId="4A9AEDD4" w:rsidR="0022191F" w:rsidRDefault="00681186">
      <w:pPr>
        <w:spacing w:after="0" w:line="240" w:lineRule="auto"/>
        <w:jc w:val="center"/>
        <w:rPr>
          <w:rFonts w:ascii="Times New Roman" w:hAnsi="Times New Roman" w:cs="Times New Roman"/>
          <w:b/>
          <w:bCs/>
          <w:noProof/>
          <w:sz w:val="28"/>
          <w:szCs w:val="28"/>
        </w:rPr>
      </w:pPr>
      <w:bookmarkStart w:id="1" w:name="_Hlk148535905"/>
      <w:bookmarkStart w:id="2" w:name="_Hlk198059137"/>
      <w:bookmarkStart w:id="3" w:name="_GoBack"/>
      <w:bookmarkEnd w:id="3"/>
      <w:r>
        <w:rPr>
          <w:rFonts w:ascii="Times New Roman" w:hAnsi="Times New Roman"/>
          <w:b/>
          <w:noProof/>
          <w:sz w:val="28"/>
        </w:rPr>
        <w:lastRenderedPageBreak/>
        <w:t>COMUNICARE</w:t>
      </w:r>
      <w:r w:rsidR="006F3B4F">
        <w:rPr>
          <w:rFonts w:ascii="Times New Roman" w:hAnsi="Times New Roman"/>
          <w:b/>
          <w:noProof/>
          <w:sz w:val="28"/>
        </w:rPr>
        <w:t xml:space="preserve"> </w:t>
      </w:r>
      <w:r>
        <w:rPr>
          <w:rFonts w:ascii="Times New Roman" w:hAnsi="Times New Roman"/>
          <w:b/>
          <w:noProof/>
          <w:sz w:val="28"/>
        </w:rPr>
        <w:t>A COMISIEI</w:t>
      </w:r>
    </w:p>
    <w:p w14:paraId="7CA5784C" w14:textId="77777777" w:rsidR="0022191F" w:rsidRDefault="0022191F">
      <w:pPr>
        <w:spacing w:after="0" w:line="240" w:lineRule="auto"/>
        <w:jc w:val="center"/>
        <w:rPr>
          <w:rFonts w:ascii="Times New Roman" w:hAnsi="Times New Roman" w:cs="Times New Roman"/>
          <w:b/>
          <w:bCs/>
          <w:noProof/>
          <w:sz w:val="28"/>
          <w:szCs w:val="28"/>
        </w:rPr>
      </w:pPr>
    </w:p>
    <w:p w14:paraId="7304F4B1" w14:textId="77777777" w:rsidR="0022191F" w:rsidRDefault="00681186">
      <w:pPr>
        <w:pStyle w:val="Pagedecouverture"/>
        <w:jc w:val="center"/>
        <w:rPr>
          <w:noProof/>
          <w:sz w:val="28"/>
          <w:szCs w:val="28"/>
        </w:rPr>
      </w:pPr>
      <w:r>
        <w:rPr>
          <w:b/>
          <w:noProof/>
          <w:sz w:val="28"/>
        </w:rPr>
        <w:t>privind inițiativa cetățenească europeană intitulată „Interzicerea practicilor de conversie în Uniunea Europeană”</w:t>
      </w:r>
    </w:p>
    <w:p w14:paraId="202C1886" w14:textId="77777777" w:rsidR="0022191F" w:rsidRDefault="00681186">
      <w:pPr>
        <w:pStyle w:val="Heading1"/>
        <w:numPr>
          <w:ilvl w:val="0"/>
          <w:numId w:val="1"/>
        </w:numPr>
        <w:tabs>
          <w:tab w:val="num" w:pos="360"/>
        </w:tabs>
        <w:ind w:left="0" w:firstLine="0"/>
        <w:jc w:val="both"/>
        <w:rPr>
          <w:rFonts w:ascii="Times New Roman Bold" w:hAnsi="Times New Roman Bold"/>
          <w:b/>
          <w:smallCaps/>
          <w:noProof/>
          <w:color w:val="auto"/>
          <w:sz w:val="28"/>
        </w:rPr>
      </w:pPr>
      <w:r>
        <w:rPr>
          <w:rFonts w:ascii="Times New Roman Bold" w:hAnsi="Times New Roman Bold"/>
          <w:b/>
          <w:smallCaps/>
          <w:noProof/>
          <w:color w:val="auto"/>
          <w:sz w:val="28"/>
        </w:rPr>
        <w:t>Introducere: inițiativa cetățenească</w:t>
      </w:r>
    </w:p>
    <w:p w14:paraId="56B587A6"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„Interzicerea practicilor de conversie în Uniunea Europeană”</w:t>
      </w:r>
      <w:r>
        <w:rPr>
          <w:rStyle w:val="FootnoteReference"/>
          <w:rFonts w:ascii="Times New Roman" w:hAnsi="Times New Roman"/>
          <w:noProof/>
          <w:sz w:val="24"/>
          <w:szCs w:val="24"/>
        </w:rPr>
        <w:footnoteReference w:id="1"/>
      </w:r>
      <w:r>
        <w:rPr>
          <w:rFonts w:ascii="Times New Roman" w:hAnsi="Times New Roman"/>
          <w:noProof/>
          <w:sz w:val="24"/>
        </w:rPr>
        <w:t xml:space="preserve"> este cea de a 13-a inițiativă cetățenească europeană (ICE) prezentată Comisiei spre examinare după atingerea pragurilor</w:t>
      </w:r>
      <w:r>
        <w:rPr>
          <w:rStyle w:val="FootnoteReference"/>
          <w:rFonts w:ascii="Times New Roman" w:hAnsi="Times New Roman"/>
          <w:noProof/>
          <w:sz w:val="24"/>
          <w:szCs w:val="24"/>
        </w:rPr>
        <w:footnoteReference w:id="2"/>
      </w:r>
      <w:r>
        <w:rPr>
          <w:rFonts w:ascii="Times New Roman" w:hAnsi="Times New Roman"/>
          <w:noProof/>
          <w:sz w:val="24"/>
        </w:rPr>
        <w:t xml:space="preserve"> prevăzute de Tratatul privind Uniunea Europeană și de Regulamentul (UE) 2019/788</w:t>
      </w:r>
      <w:r>
        <w:rPr>
          <w:rStyle w:val="FootnoteReference"/>
          <w:rFonts w:ascii="Times New Roman" w:hAnsi="Times New Roman"/>
          <w:noProof/>
          <w:sz w:val="24"/>
          <w:szCs w:val="24"/>
        </w:rPr>
        <w:footnoteReference w:id="3"/>
      </w:r>
      <w:r>
        <w:rPr>
          <w:rFonts w:ascii="Times New Roman" w:hAnsi="Times New Roman"/>
          <w:noProof/>
          <w:sz w:val="24"/>
        </w:rPr>
        <w:t xml:space="preserve"> („Regulamentul privind ICE”).</w:t>
      </w:r>
    </w:p>
    <w:p w14:paraId="0D21C346" w14:textId="77777777" w:rsidR="0022191F" w:rsidRDefault="00681186">
      <w:pPr>
        <w:spacing w:after="200" w:line="240"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Organizatorii își descriu obiectivele după cum urmează:</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2191F" w14:paraId="36EF2233" w14:textId="77777777">
        <w:trPr>
          <w:trHeight w:val="416"/>
        </w:trPr>
        <w:tc>
          <w:tcPr>
            <w:tcW w:w="9072" w:type="dxa"/>
            <w:tcBorders>
              <w:top w:val="single" w:sz="4" w:space="0" w:color="auto"/>
              <w:left w:val="single" w:sz="4" w:space="0" w:color="auto"/>
              <w:bottom w:val="single" w:sz="4" w:space="0" w:color="auto"/>
              <w:right w:val="single" w:sz="4" w:space="0" w:color="auto"/>
            </w:tcBorders>
          </w:tcPr>
          <w:p w14:paraId="634D1158"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Invităm Comisia să propună interzicerea prin lege a practicilor de conversie care vizează cetățenii LGBTQ+ din Uniunea Europeană:</w:t>
            </w:r>
          </w:p>
          <w:p w14:paraId="1E9F50A9"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60E62840"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Practicile de conversie sunt intervenții care vizează schimbarea, reprimarea sau suprimarea orientării sexuale, a identității de gen și/sau a exprimării de gen a persoanelor LGBTQ+.</w:t>
            </w:r>
          </w:p>
          <w:p w14:paraId="78A31CAD"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24901B99"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Din cauza caracterului lor discriminatoriu, degradant, dăunător și fraudulos, astfel de practici au fost calificate drept tortură de către Organizația Națiunilor Unite și sunt în prezent interzise într-un număr tot mai mare de state.</w:t>
            </w:r>
          </w:p>
          <w:p w14:paraId="477F9512"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0486C13D"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UE joacă un rol esențial pentru protecția drepturilor fundamentale și ar trebui să ia măsuri pentru a combate toate practicile inumane. Comisia ar trebui să propună o directivă care să adauge practicile de conversie pe lista euroinfracțiunilor și/sau să modifice actuala directivă privind egalitatea (2008) pentru a include interzicerea acestor practici.</w:t>
            </w:r>
          </w:p>
          <w:p w14:paraId="40AFF1A4"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38D5E80F"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În plus, din cauza vidului legislativ, Comisia ar trebui, de asemenea, să pună în aplicare o rezoluție fără caracter obligatoriu prin care să se solicite interzicerea pe scară largă a practicilor de conversie pe teritoriul UE.</w:t>
            </w:r>
          </w:p>
          <w:p w14:paraId="01346C3B"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5328D2AC" w14:textId="77777777" w:rsidR="0022191F" w:rsidRDefault="00681186">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În cele din urmă, solicităm Comisiei să modifice Directiva privind drepturile victimelor pentru a stabili standarde minime privind drepturile, sprijinirea și protecția victimelor practicilor de conversie.</w:t>
            </w:r>
          </w:p>
          <w:p w14:paraId="6026F603" w14:textId="77777777" w:rsidR="0022191F" w:rsidRDefault="0022191F">
            <w:pPr>
              <w:spacing w:after="0" w:line="240" w:lineRule="auto"/>
              <w:jc w:val="both"/>
              <w:rPr>
                <w:rFonts w:ascii="Times New Roman" w:eastAsia="Calibri" w:hAnsi="Times New Roman" w:cs="Times New Roman"/>
                <w:i/>
                <w:iCs/>
                <w:noProof/>
                <w:kern w:val="0"/>
                <w:sz w:val="24"/>
                <w:szCs w:val="24"/>
                <w14:ligatures w14:val="none"/>
              </w:rPr>
            </w:pPr>
          </w:p>
          <w:p w14:paraId="51B8BB1D" w14:textId="77777777" w:rsidR="0022191F" w:rsidRDefault="00681186">
            <w:pPr>
              <w:spacing w:after="0" w:line="240" w:lineRule="auto"/>
              <w:jc w:val="both"/>
              <w:rPr>
                <w:rFonts w:ascii="Times New Roman" w:eastAsia="Calibri" w:hAnsi="Times New Roman" w:cs="Times New Roman"/>
                <w:noProof/>
                <w:kern w:val="0"/>
                <w14:ligatures w14:val="none"/>
              </w:rPr>
            </w:pPr>
            <w:r>
              <w:rPr>
                <w:rFonts w:ascii="Times New Roman" w:hAnsi="Times New Roman"/>
                <w:i/>
                <w:noProof/>
                <w:sz w:val="24"/>
              </w:rPr>
              <w:t>Toate statele membre ar trebui să introducă o interdicție a practicilor de conversie sau să revizuiască interdicțiile actuale.</w:t>
            </w:r>
          </w:p>
        </w:tc>
      </w:tr>
    </w:tbl>
    <w:p w14:paraId="0EFFD021" w14:textId="77777777" w:rsidR="0022191F" w:rsidRDefault="0022191F">
      <w:pPr>
        <w:spacing w:after="0" w:line="240" w:lineRule="auto"/>
        <w:jc w:val="both"/>
        <w:rPr>
          <w:rFonts w:ascii="Times New Roman" w:eastAsia="Calibri" w:hAnsi="Times New Roman" w:cs="Times New Roman"/>
          <w:noProof/>
          <w:kern w:val="0"/>
          <w14:ligatures w14:val="none"/>
        </w:rPr>
      </w:pPr>
    </w:p>
    <w:p w14:paraId="06E02E0D" w14:textId="77777777" w:rsidR="0022191F" w:rsidRDefault="00681186">
      <w:pPr>
        <w:rPr>
          <w:rFonts w:ascii="Times New Roman" w:hAnsi="Times New Roman"/>
          <w:noProof/>
        </w:rPr>
      </w:pPr>
      <w:r>
        <w:rPr>
          <w:noProof/>
        </w:rPr>
        <w:br w:type="page"/>
      </w:r>
    </w:p>
    <w:p w14:paraId="615354B4"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În urma solicitării prezentate de organizatori la 27 noiembrie 2023, Comisia a înregistrat inițiativa la 24 ianuarie 2024</w:t>
      </w:r>
      <w:r>
        <w:rPr>
          <w:rStyle w:val="FootnoteReference"/>
          <w:rFonts w:ascii="Times New Roman" w:hAnsi="Times New Roman"/>
          <w:noProof/>
          <w:sz w:val="24"/>
          <w:szCs w:val="24"/>
        </w:rPr>
        <w:footnoteReference w:id="4"/>
      </w:r>
      <w:r>
        <w:rPr>
          <w:rFonts w:ascii="Times New Roman" w:hAnsi="Times New Roman"/>
          <w:noProof/>
          <w:sz w:val="24"/>
        </w:rPr>
        <w:t>. O anexă depusă împreună cu cererea de înregistrare a inițiativei cetățenești europene oferă detalii suplimentare cu privire la subiectul, obiectivele și contextul inițiativei. În special, organizatorii enumeră recomandările pentru interzicerea practicilor de conversie formulate în raportul intitulat „Practici de conversie privind persoanele LGBT+”</w:t>
      </w:r>
      <w:r>
        <w:rPr>
          <w:rStyle w:val="FootnoteReference"/>
          <w:rFonts w:ascii="Times New Roman" w:hAnsi="Times New Roman"/>
          <w:noProof/>
          <w:sz w:val="24"/>
          <w:szCs w:val="24"/>
        </w:rPr>
        <w:footnoteReference w:id="5"/>
      </w:r>
      <w:r>
        <w:rPr>
          <w:rFonts w:ascii="Times New Roman" w:hAnsi="Times New Roman"/>
          <w:noProof/>
          <w:sz w:val="24"/>
        </w:rPr>
        <w:t>, solicitat de Comisia pentru libertăți civile, justiție și afaceri interne a Parlamentului European în 2023.</w:t>
      </w:r>
    </w:p>
    <w:p w14:paraId="54E56F21"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Organizatorii au colectat „declarațiile de susținere” (semnăturile) necesare între 17 mai 2024 și 17 mai 2025. La 17 noiembrie 2025, după ce autoritățile statelor membre au verificat declarațiile de susținere, organizatorii au prezentat Comisiei inițiativa. La aceeași dată, Comisia a publicat anunțul care confirmă valabilitatea inițiativei în registrul ICE.</w:t>
      </w:r>
    </w:p>
    <w:p w14:paraId="00E53ADB" w14:textId="1113376F" w:rsidR="0022191F" w:rsidRDefault="00681186">
      <w:pPr>
        <w:spacing w:line="240" w:lineRule="auto"/>
        <w:jc w:val="both"/>
        <w:rPr>
          <w:rFonts w:ascii="Times New Roman" w:hAnsi="Times New Roman"/>
          <w:noProof/>
          <w:sz w:val="24"/>
          <w:szCs w:val="24"/>
        </w:rPr>
      </w:pPr>
      <w:r>
        <w:rPr>
          <w:rFonts w:ascii="Times New Roman" w:hAnsi="Times New Roman"/>
          <w:noProof/>
          <w:sz w:val="24"/>
        </w:rPr>
        <w:t>Organizatorii au prezentat obiectivele inițiativei în cadrul unei reuniuni cu Comisia la 12</w:t>
      </w:r>
      <w:r w:rsidR="005B3CB5">
        <w:rPr>
          <w:rFonts w:ascii="Times New Roman" w:hAnsi="Times New Roman"/>
          <w:noProof/>
          <w:sz w:val="24"/>
        </w:rPr>
        <w:t> </w:t>
      </w:r>
      <w:r>
        <w:rPr>
          <w:rFonts w:ascii="Times New Roman" w:hAnsi="Times New Roman"/>
          <w:noProof/>
          <w:sz w:val="24"/>
        </w:rPr>
        <w:t>decembrie 2025</w:t>
      </w:r>
      <w:r>
        <w:rPr>
          <w:rStyle w:val="FootnoteReference"/>
          <w:rFonts w:ascii="Times New Roman" w:hAnsi="Times New Roman"/>
          <w:noProof/>
          <w:sz w:val="24"/>
          <w:szCs w:val="24"/>
        </w:rPr>
        <w:footnoteReference w:id="6"/>
      </w:r>
      <w:r>
        <w:rPr>
          <w:rFonts w:ascii="Times New Roman" w:hAnsi="Times New Roman"/>
          <w:noProof/>
          <w:sz w:val="24"/>
        </w:rPr>
        <w:t xml:space="preserve"> și al unei audieri publice organizate de Parlamentul European la 2 martie 2026. În cadrul audierii publice, organizatorii au precizat că din punctul lor de vedere ar fi binevenită adoptarea de către Comisia Europeană a unei recomandări care să încurajeze statele membre să ia măsuri pentru a pune capăt practicilor de conversie în contextele lor naționale</w:t>
      </w:r>
      <w:r>
        <w:rPr>
          <w:rStyle w:val="FootnoteReference"/>
          <w:rFonts w:ascii="Times New Roman" w:hAnsi="Times New Roman"/>
          <w:noProof/>
          <w:sz w:val="24"/>
          <w:szCs w:val="24"/>
        </w:rPr>
        <w:footnoteReference w:id="7"/>
      </w:r>
      <w:r>
        <w:rPr>
          <w:rFonts w:ascii="Times New Roman" w:hAnsi="Times New Roman"/>
          <w:noProof/>
          <w:sz w:val="24"/>
        </w:rPr>
        <w:t>.</w:t>
      </w:r>
    </w:p>
    <w:p w14:paraId="750F8C51"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Ulterior, la 25 martie 2026, Parlamentul a organizat o dezbatere în plen cu privire la inițiativa „Interzicerea practicilor de conversie”</w:t>
      </w:r>
      <w:r>
        <w:rPr>
          <w:rStyle w:val="FootnoteReference"/>
          <w:rFonts w:ascii="Times New Roman" w:hAnsi="Times New Roman"/>
          <w:noProof/>
          <w:sz w:val="24"/>
          <w:szCs w:val="24"/>
        </w:rPr>
        <w:footnoteReference w:id="8"/>
      </w:r>
      <w:r>
        <w:rPr>
          <w:rFonts w:ascii="Times New Roman" w:hAnsi="Times New Roman"/>
          <w:noProof/>
          <w:sz w:val="24"/>
        </w:rPr>
        <w:t>.</w:t>
      </w:r>
    </w:p>
    <w:p w14:paraId="7086F86F"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În prezenta comunicare, Comisia prezintă concluziile sale juridice și politice privind inițiativa, acțiunile pe care intenționează să le întreprindă, motivele acestei evaluări și calendarul preconizat, în conformitate cu articolul 15 alineatul (2) din Regulamentul privind ICE.</w:t>
      </w:r>
    </w:p>
    <w:p w14:paraId="04F5AD31" w14:textId="77777777" w:rsidR="0022191F" w:rsidRDefault="00681186">
      <w:pPr>
        <w:pStyle w:val="Heading1"/>
        <w:numPr>
          <w:ilvl w:val="0"/>
          <w:numId w:val="1"/>
        </w:numPr>
        <w:tabs>
          <w:tab w:val="num" w:pos="360"/>
        </w:tabs>
        <w:spacing w:line="240" w:lineRule="auto"/>
        <w:ind w:left="0" w:firstLine="0"/>
        <w:jc w:val="both"/>
        <w:rPr>
          <w:rFonts w:ascii="Times New Roman Bold" w:hAnsi="Times New Roman Bold" w:cs="Times New Roman"/>
          <w:b/>
          <w:bCs/>
          <w:smallCaps/>
          <w:noProof/>
          <w:color w:val="auto"/>
          <w:sz w:val="28"/>
          <w:szCs w:val="28"/>
        </w:rPr>
      </w:pPr>
      <w:r>
        <w:rPr>
          <w:rFonts w:ascii="Times New Roman Bold" w:hAnsi="Times New Roman Bold"/>
          <w:b/>
          <w:smallCaps/>
          <w:noProof/>
          <w:color w:val="auto"/>
          <w:sz w:val="28"/>
        </w:rPr>
        <w:t>Contextul</w:t>
      </w:r>
    </w:p>
    <w:p w14:paraId="6001F5CF" w14:textId="77777777" w:rsidR="0022191F" w:rsidRDefault="00681186">
      <w:pPr>
        <w:pStyle w:val="ListParagraph"/>
        <w:numPr>
          <w:ilvl w:val="1"/>
          <w:numId w:val="2"/>
        </w:numPr>
        <w:spacing w:line="240" w:lineRule="auto"/>
        <w:ind w:left="426" w:hanging="426"/>
        <w:rPr>
          <w:rFonts w:ascii="Times New Roman" w:hAnsi="Times New Roman"/>
          <w:b/>
          <w:bCs/>
          <w:noProof/>
          <w:sz w:val="26"/>
          <w:szCs w:val="26"/>
        </w:rPr>
      </w:pPr>
      <w:r>
        <w:rPr>
          <w:rFonts w:ascii="Times New Roman" w:hAnsi="Times New Roman"/>
          <w:b/>
          <w:noProof/>
          <w:sz w:val="26"/>
        </w:rPr>
        <w:t>Chestiunea în discuție</w:t>
      </w:r>
    </w:p>
    <w:p w14:paraId="463FEB34"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Practicile de conversie sunt „intervenții profund dăunătoare, bazate pe ideea falsă din punct de vedere medical că persoanele LGBT[IQ+] sunt persoane bolnave; aceste intervenții cauzează dureri și suferințe grave și conduc la daune psihologice și fizice de lungă durată”</w:t>
      </w:r>
      <w:r>
        <w:rPr>
          <w:rStyle w:val="FootnoteReference"/>
          <w:rFonts w:ascii="Times New Roman" w:hAnsi="Times New Roman"/>
          <w:noProof/>
          <w:sz w:val="24"/>
          <w:szCs w:val="24"/>
        </w:rPr>
        <w:footnoteReference w:id="9"/>
      </w:r>
      <w:r>
        <w:rPr>
          <w:rFonts w:ascii="Times New Roman" w:hAnsi="Times New Roman"/>
          <w:noProof/>
          <w:sz w:val="24"/>
        </w:rPr>
        <w:t>. Astfel de practici, care pot include abuzul verbal, constrângerea, izolarea, medicația forțată, șocurile electrice, abuzul fizic și sexual</w:t>
      </w:r>
      <w:r>
        <w:rPr>
          <w:rStyle w:val="FootnoteReference"/>
          <w:rFonts w:ascii="Times New Roman" w:hAnsi="Times New Roman"/>
          <w:noProof/>
          <w:sz w:val="24"/>
          <w:szCs w:val="24"/>
        </w:rPr>
        <w:footnoteReference w:id="10"/>
      </w:r>
      <w:r>
        <w:rPr>
          <w:rFonts w:ascii="Times New Roman" w:hAnsi="Times New Roman"/>
          <w:noProof/>
          <w:sz w:val="24"/>
        </w:rPr>
        <w:t>, nu au, de fapt, nicio valoare terapeutică, deoarece nu există nimic de „vindecat” sau de „suprimat”.</w:t>
      </w:r>
    </w:p>
    <w:p w14:paraId="1D2EFE0A" w14:textId="73CBAFFB" w:rsidR="0022191F" w:rsidRDefault="00681186">
      <w:pPr>
        <w:spacing w:line="240" w:lineRule="auto"/>
        <w:jc w:val="both"/>
        <w:rPr>
          <w:rFonts w:ascii="Times New Roman" w:hAnsi="Times New Roman"/>
          <w:noProof/>
          <w:sz w:val="24"/>
          <w:szCs w:val="24"/>
        </w:rPr>
      </w:pPr>
      <w:r>
        <w:rPr>
          <w:rFonts w:ascii="Times New Roman" w:hAnsi="Times New Roman"/>
          <w:noProof/>
          <w:sz w:val="24"/>
        </w:rPr>
        <w:t>Organizația Mondială a Sănătății (OMS) a încetat să mai clasifice „homosexualitatea” drept tulburare mintală în 1990, eliminând-o din cea de a 10-a revizuire a Clasificării internaționale a bolilor și a problemelor de sănătate înrudite (ICD-10). În 2019, OMS a eliminat, de asemenea, „tulburarea identității de gen” din capitolul „Tulburări mintale și comportamentale” al celei de a 11-a revizuiri a Clasificării internaționale a bolilor și a problemelor de sănătate înrudite (ICD</w:t>
      </w:r>
      <w:r w:rsidR="005B3CB5">
        <w:rPr>
          <w:rFonts w:ascii="Times New Roman" w:hAnsi="Times New Roman" w:cs="Times New Roman"/>
          <w:noProof/>
          <w:sz w:val="24"/>
        </w:rPr>
        <w:t>­</w:t>
      </w:r>
      <w:r>
        <w:rPr>
          <w:rFonts w:ascii="Times New Roman" w:hAnsi="Times New Roman"/>
          <w:noProof/>
          <w:sz w:val="24"/>
        </w:rPr>
        <w:t>11)</w:t>
      </w:r>
      <w:r>
        <w:rPr>
          <w:rStyle w:val="FootnoteReference"/>
          <w:rFonts w:ascii="Times New Roman" w:hAnsi="Times New Roman"/>
          <w:noProof/>
          <w:sz w:val="24"/>
          <w:szCs w:val="24"/>
        </w:rPr>
        <w:footnoteReference w:id="11"/>
      </w:r>
      <w:r>
        <w:rPr>
          <w:rFonts w:ascii="Times New Roman" w:hAnsi="Times New Roman"/>
          <w:noProof/>
          <w:sz w:val="24"/>
        </w:rPr>
        <w:t>.</w:t>
      </w:r>
    </w:p>
    <w:p w14:paraId="2ED47870"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De asemenea, principalele organisme europene și internaționale s-au opus public practicilor de conversie, inclusiv Asociația Medicală Mondială în 2013</w:t>
      </w:r>
      <w:r>
        <w:rPr>
          <w:rStyle w:val="FootnoteReference"/>
          <w:rFonts w:ascii="Times New Roman" w:hAnsi="Times New Roman"/>
          <w:noProof/>
          <w:sz w:val="24"/>
          <w:szCs w:val="24"/>
        </w:rPr>
        <w:footnoteReference w:id="12"/>
      </w:r>
      <w:r>
        <w:rPr>
          <w:rFonts w:ascii="Times New Roman" w:hAnsi="Times New Roman"/>
          <w:noProof/>
          <w:sz w:val="24"/>
        </w:rPr>
        <w:t>, Asociația Mondială de Psihiatrie în 2016</w:t>
      </w:r>
      <w:r>
        <w:rPr>
          <w:rStyle w:val="FootnoteReference"/>
          <w:rFonts w:ascii="Times New Roman" w:hAnsi="Times New Roman"/>
          <w:noProof/>
          <w:sz w:val="24"/>
          <w:szCs w:val="24"/>
        </w:rPr>
        <w:footnoteReference w:id="13"/>
      </w:r>
      <w:r>
        <w:rPr>
          <w:rFonts w:ascii="Times New Roman" w:hAnsi="Times New Roman"/>
          <w:noProof/>
          <w:sz w:val="24"/>
        </w:rPr>
        <w:t xml:space="preserve"> și Asociația Europeană de Psihiatrie în 2022</w:t>
      </w:r>
      <w:r>
        <w:rPr>
          <w:rStyle w:val="FootnoteReference"/>
          <w:rFonts w:ascii="Times New Roman" w:hAnsi="Times New Roman"/>
          <w:noProof/>
          <w:sz w:val="24"/>
          <w:szCs w:val="24"/>
        </w:rPr>
        <w:footnoteReference w:id="14"/>
      </w:r>
      <w:r>
        <w:rPr>
          <w:rFonts w:ascii="Times New Roman" w:hAnsi="Times New Roman"/>
          <w:noProof/>
          <w:sz w:val="24"/>
        </w:rPr>
        <w:t>.</w:t>
      </w:r>
    </w:p>
    <w:p w14:paraId="281D1A02"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Potrivit sondajului din 2023 privind persoanele LGBTIQ realizat de Agenția pentru Drepturi Fundamentale a Uniunii Europene</w:t>
      </w:r>
      <w:r>
        <w:rPr>
          <w:rStyle w:val="FootnoteReference"/>
          <w:rFonts w:ascii="Times New Roman" w:hAnsi="Times New Roman"/>
          <w:noProof/>
          <w:sz w:val="24"/>
          <w:szCs w:val="24"/>
        </w:rPr>
        <w:footnoteReference w:id="15"/>
      </w:r>
      <w:r>
        <w:rPr>
          <w:rFonts w:ascii="Times New Roman" w:hAnsi="Times New Roman"/>
          <w:noProof/>
          <w:sz w:val="24"/>
        </w:rPr>
        <w:t>, una din patru persoane LGBTIQ+ (24 %) s-a confruntat cu practici de conversie, inclusiv violență fizică și sexuală, abuz verbal și umilire. Această cifră aproape se dublează pentru persoanele transgen, ajungând la 47 % pentru femei și la 48 % pentru bărbați.</w:t>
      </w:r>
    </w:p>
    <w:p w14:paraId="7F7B96D7"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În plus, raportul expertului independent al ONU privind protecția împotriva violenței și a discriminării pe motive de orientare sexuală și identitate de gen indică faptul că fenomenul practicilor de conversie este global și afectează în mod disproporționat tinerii LGBTIQ+</w:t>
      </w:r>
      <w:r>
        <w:rPr>
          <w:rStyle w:val="FootnoteReference"/>
          <w:rFonts w:ascii="Times New Roman" w:hAnsi="Times New Roman"/>
          <w:noProof/>
          <w:sz w:val="24"/>
          <w:szCs w:val="24"/>
        </w:rPr>
        <w:footnoteReference w:id="16"/>
      </w:r>
      <w:r>
        <w:rPr>
          <w:rFonts w:ascii="Times New Roman" w:hAnsi="Times New Roman"/>
          <w:noProof/>
          <w:sz w:val="24"/>
        </w:rPr>
        <w:t>.</w:t>
      </w:r>
    </w:p>
    <w:p w14:paraId="4356A752" w14:textId="77777777" w:rsidR="0022191F" w:rsidRDefault="00681186">
      <w:pPr>
        <w:pStyle w:val="ListParagraph"/>
        <w:numPr>
          <w:ilvl w:val="1"/>
          <w:numId w:val="2"/>
        </w:numPr>
        <w:spacing w:line="240" w:lineRule="auto"/>
        <w:ind w:left="426" w:hanging="426"/>
        <w:rPr>
          <w:rFonts w:ascii="Times New Roman" w:hAnsi="Times New Roman"/>
          <w:b/>
          <w:bCs/>
          <w:noProof/>
          <w:sz w:val="26"/>
          <w:szCs w:val="26"/>
        </w:rPr>
      </w:pPr>
      <w:r>
        <w:rPr>
          <w:rFonts w:ascii="Times New Roman" w:hAnsi="Times New Roman"/>
          <w:b/>
          <w:noProof/>
          <w:sz w:val="26"/>
        </w:rPr>
        <w:t>Contextul politic european</w:t>
      </w:r>
    </w:p>
    <w:p w14:paraId="6E5DE04F"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Orice persoană din Uniunea Europeană ar trebui să se simtă în siguranță și liberă să fie ea însăși. Egalitatea și nediscriminarea sunt valori de bază și drepturi fundamentale consacrate în tratatele UE și în Carta drepturilor fundamentale a Uniunii Europene.</w:t>
      </w:r>
    </w:p>
    <w:p w14:paraId="227329A4"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Președinta Ursula von der Leyen a mandatat-o pe comisara Hadja Lahbib, în scrisoarea sa de misiune</w:t>
      </w:r>
      <w:r>
        <w:rPr>
          <w:rStyle w:val="FootnoteReference"/>
          <w:rFonts w:ascii="Times New Roman" w:hAnsi="Times New Roman"/>
          <w:noProof/>
          <w:sz w:val="24"/>
          <w:szCs w:val="24"/>
        </w:rPr>
        <w:footnoteReference w:id="17"/>
      </w:r>
      <w:r>
        <w:rPr>
          <w:rFonts w:ascii="Times New Roman" w:hAnsi="Times New Roman"/>
          <w:noProof/>
          <w:sz w:val="24"/>
        </w:rPr>
        <w:t>, să „propună o strategie reînnoită privind egalitatea pentru persoanele LGBTIQ pentru perioada de după 2025. Aceasta ar trebui să se axeze în special pe hărțuirea și violența continue și persistente motivate de ură, inclusiv online, și pe interzicerea practicării terapiilor de conversie.”</w:t>
      </w:r>
      <w:bookmarkStart w:id="4" w:name="_Hlk215401482"/>
    </w:p>
    <w:p w14:paraId="371144A2"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Strategia privind egalitatea pentru persoanele LGBTIQ+ 2026-2030</w:t>
      </w:r>
      <w:r>
        <w:rPr>
          <w:rStyle w:val="FootnoteReference"/>
          <w:rFonts w:ascii="Times New Roman" w:hAnsi="Times New Roman"/>
          <w:noProof/>
          <w:sz w:val="24"/>
          <w:szCs w:val="24"/>
        </w:rPr>
        <w:footnoteReference w:id="18"/>
      </w:r>
      <w:r>
        <w:rPr>
          <w:rFonts w:ascii="Times New Roman" w:hAnsi="Times New Roman"/>
          <w:noProof/>
          <w:sz w:val="24"/>
        </w:rPr>
        <w:t>, adoptată la 8 octombrie 2025, a anunțat: „Comisia va lua măsuri adecvate pentru combaterea practicilor de conversie, cu un accent deosebit pe sprijinirea statelor membre, care joacă un rol esențial în acest domeniu. [...] În elaborarea abordării sale privind combaterea practicilor de conversie, Comisia va ține seama, în special, de recenta inițiativă cetățenească europeană intitulată „Interzicerea practicilor de conversie în Uniunea Europeană”.</w:t>
      </w:r>
    </w:p>
    <w:p w14:paraId="2C82BC57"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Protejarea persoanelor LGBTIQ+ împotriva abuzurilor, a practicilor dăunătoare și a urii este o prioritate pentru Comisie și constituie un pilon esențial al acestei strategii. Prevenirea și combaterea tuturor formelor de violență și eliminarea discursurilor care incită la ură sunt esențiale pentru a susține valorile comune ale UE, și anume egalitatea, demnitatea umană și respectarea drepturilor fundamentale pentru toți.</w:t>
      </w:r>
    </w:p>
    <w:bookmarkEnd w:id="4"/>
    <w:p w14:paraId="2E802601" w14:textId="77777777" w:rsidR="0022191F" w:rsidRDefault="00681186">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rezoluția sa referitoare la situația drepturilor fundamentale în Uniunea Europeană, adoptată la 29 aprilie 2026</w:t>
      </w:r>
      <w:r>
        <w:rPr>
          <w:rStyle w:val="FootnoteReference"/>
          <w:rFonts w:ascii="Times New Roman" w:eastAsia="Times New Roman" w:hAnsi="Times New Roman" w:cs="Times New Roman"/>
          <w:noProof/>
          <w:kern w:val="0"/>
          <w:sz w:val="24"/>
          <w:szCs w:val="24"/>
          <w:lang w:eastAsia="en-IE"/>
        </w:rPr>
        <w:footnoteReference w:id="19"/>
      </w:r>
      <w:r>
        <w:rPr>
          <w:rFonts w:ascii="Times New Roman" w:hAnsi="Times New Roman"/>
          <w:noProof/>
          <w:sz w:val="24"/>
        </w:rPr>
        <w:t>, Parlamentul European „condamnă practicile de conversie, cum ar fi practicile care vizează schimbarea, reprimarea sau suprimarea orientării sexuale, a identității de gen și/sau a exprimării genului, ca încălcări ale drepturilor fundamentale și [...] îndeamnă de asemenea Comisia, în acest sens, să prezinte o propunere de act juridic ce instituie interzicerea la nivelul UE a practicilor de conversie în toate statele membre, ca acțiune întreprinsă în urma inițiativei cetățenești europene «Interzicerea practicilor de conversie în Uniunea Europeană»”. O solicitare similară a fost formulată în rezoluția sa referitoare la Raportul Comisiei din 2025 privind statul de drept, adoptată la 29 aprilie 2026</w:t>
      </w:r>
      <w:r>
        <w:rPr>
          <w:rStyle w:val="FootnoteReference"/>
          <w:rFonts w:ascii="Times New Roman" w:eastAsia="Times New Roman" w:hAnsi="Times New Roman" w:cs="Times New Roman"/>
          <w:noProof/>
          <w:kern w:val="0"/>
          <w:sz w:val="24"/>
          <w:szCs w:val="24"/>
          <w:lang w:eastAsia="en-IE"/>
        </w:rPr>
        <w:footnoteReference w:id="20"/>
      </w:r>
      <w:r>
        <w:rPr>
          <w:rFonts w:ascii="Times New Roman" w:hAnsi="Times New Roman"/>
          <w:noProof/>
          <w:sz w:val="24"/>
        </w:rPr>
        <w:t>, și în rezoluția referitoare la punerea în aplicare a Strategiei privind egalitatea pentru persoanele LGBTIQ 2020-2025, adoptată la 8 februarie 2024</w:t>
      </w:r>
      <w:r>
        <w:rPr>
          <w:rFonts w:ascii="Times New Roman" w:eastAsia="Times New Roman" w:hAnsi="Times New Roman" w:cs="Times New Roman"/>
          <w:noProof/>
          <w:kern w:val="0"/>
          <w:sz w:val="24"/>
          <w:szCs w:val="24"/>
          <w:vertAlign w:val="superscript"/>
          <w:lang w:eastAsia="en-IE"/>
        </w:rPr>
        <w:footnoteReference w:id="21"/>
      </w:r>
      <w:r>
        <w:rPr>
          <w:rFonts w:ascii="Times New Roman" w:hAnsi="Times New Roman"/>
          <w:noProof/>
          <w:sz w:val="24"/>
        </w:rPr>
        <w:t>.</w:t>
      </w:r>
    </w:p>
    <w:p w14:paraId="053ECA63"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Concluziile președinției Consiliului privind siguranța persoanelor LGBTI în Uniunea Europeană</w:t>
      </w:r>
      <w:r>
        <w:rPr>
          <w:rStyle w:val="FootnoteReference"/>
          <w:rFonts w:ascii="Times New Roman" w:eastAsia="Times New Roman" w:hAnsi="Times New Roman" w:cs="Times New Roman"/>
          <w:noProof/>
          <w:kern w:val="0"/>
          <w:sz w:val="24"/>
          <w:szCs w:val="24"/>
          <w:lang w:eastAsia="en-IE"/>
        </w:rPr>
        <w:footnoteReference w:id="22"/>
      </w:r>
      <w:r>
        <w:rPr>
          <w:rFonts w:ascii="Times New Roman" w:hAnsi="Times New Roman"/>
          <w:noProof/>
          <w:sz w:val="24"/>
        </w:rPr>
        <w:t>, adoptate la 9 iunie 2023 cu sprijinul a 25 de state membre, invită statele membre, în limitele competențelor lor naționale, „să protejeze persoanele LGBTI, atât online, cât și offline, împotriva [...] practicilor dăunătoare, inclusiv împotriva supunerii la «practici de conversie»”.</w:t>
      </w:r>
    </w:p>
    <w:p w14:paraId="54E6D928"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De asemenea, Comitetul Economic și Social European a adoptat, la 29 aprilie 2026, un aviz în sprijinul ICE, recomandând Comisiei introducerea „unei propuneri de interzicere obligatorie din punct de vedere juridic la nivelul UE a practicilor de conversie. Interdicția propusă ar trebui să vizeze toate activitățile care au ca scop schimbarea, suprimarea sau ștergerea orientării sexuale, a identității de gen și/sau a exprimării de gen a unei persoane și publicitatea pentru astfel de activități”</w:t>
      </w:r>
      <w:r>
        <w:rPr>
          <w:rStyle w:val="FootnoteReference"/>
          <w:rFonts w:ascii="Times New Roman" w:hAnsi="Times New Roman"/>
          <w:noProof/>
          <w:sz w:val="24"/>
          <w:szCs w:val="24"/>
        </w:rPr>
        <w:footnoteReference w:id="23"/>
      </w:r>
      <w:r>
        <w:rPr>
          <w:rFonts w:ascii="Times New Roman" w:hAnsi="Times New Roman"/>
          <w:noProof/>
          <w:sz w:val="24"/>
        </w:rPr>
        <w:t>.</w:t>
      </w:r>
    </w:p>
    <w:p w14:paraId="3725BF47" w14:textId="77777777" w:rsidR="0022191F" w:rsidRDefault="00681186">
      <w:pPr>
        <w:spacing w:line="240" w:lineRule="auto"/>
        <w:jc w:val="both"/>
        <w:rPr>
          <w:rFonts w:ascii="Times New Roman" w:hAnsi="Times New Roman"/>
          <w:noProof/>
          <w:sz w:val="24"/>
          <w:szCs w:val="24"/>
        </w:rPr>
      </w:pPr>
      <w:r>
        <w:rPr>
          <w:rFonts w:ascii="Times New Roman" w:hAnsi="Times New Roman"/>
          <w:noProof/>
          <w:sz w:val="24"/>
        </w:rPr>
        <w:t>De asemenea, la 29 ianuarie 2026, Adunarea Parlamentară a Consiliului Europei a adoptat o rezoluție</w:t>
      </w:r>
      <w:r>
        <w:rPr>
          <w:rFonts w:ascii="Times New Roman" w:hAnsi="Times New Roman" w:cs="Times New Roman"/>
          <w:noProof/>
          <w:sz w:val="24"/>
          <w:szCs w:val="24"/>
          <w:vertAlign w:val="superscript"/>
        </w:rPr>
        <w:footnoteReference w:id="24"/>
      </w:r>
      <w:r>
        <w:rPr>
          <w:rFonts w:ascii="Times New Roman" w:hAnsi="Times New Roman"/>
          <w:noProof/>
          <w:sz w:val="24"/>
        </w:rPr>
        <w:t xml:space="preserve"> prin care invită statele sale membre să interzică practicile de conversie care vizează schimbarea, reprimarea sau suprimarea sau eliminarea orientării sexuale sau a identității/exprimării de gen a unei persoane, prevăzând sancțiuni penale în acest sens. Rezoluția afirmă că măsurile de prevenire și combatere a prejudiciilor cauzate de practicile de conversie reprezintă un imperativ de sănătate publică și ține de respectarea drepturilor omului și a libertăților fundamentale, reafirmând importanța autonomiei personale, astfel cum este protejată în temeiul articolului 8 din Convenția europeană a drepturilor omului. Rezoluția propune și un set de măsuri privind sprijinirea și protecția victimelor, formarea și sensibilizarea publicului.</w:t>
      </w:r>
    </w:p>
    <w:p w14:paraId="3E27E846" w14:textId="77777777" w:rsidR="0022191F" w:rsidRDefault="00681186">
      <w:pPr>
        <w:pStyle w:val="ListParagraph"/>
        <w:keepNext/>
        <w:numPr>
          <w:ilvl w:val="1"/>
          <w:numId w:val="2"/>
        </w:numPr>
        <w:spacing w:line="240" w:lineRule="auto"/>
        <w:ind w:left="357" w:hanging="357"/>
        <w:rPr>
          <w:rFonts w:ascii="Times New Roman" w:hAnsi="Times New Roman"/>
          <w:b/>
          <w:bCs/>
          <w:noProof/>
          <w:sz w:val="26"/>
          <w:szCs w:val="26"/>
        </w:rPr>
      </w:pPr>
      <w:r>
        <w:rPr>
          <w:rFonts w:ascii="Times New Roman" w:hAnsi="Times New Roman"/>
          <w:b/>
          <w:noProof/>
          <w:sz w:val="26"/>
        </w:rPr>
        <w:t>Cadrul juridic național</w:t>
      </w:r>
    </w:p>
    <w:p w14:paraId="1C06AB56" w14:textId="77777777" w:rsidR="0022191F" w:rsidRDefault="00681186">
      <w:pPr>
        <w:pStyle w:val="pf0"/>
        <w:jc w:val="both"/>
        <w:rPr>
          <w:rFonts w:eastAsiaTheme="minorEastAsia"/>
          <w:noProof/>
          <w:kern w:val="2"/>
          <w14:ligatures w14:val="standardContextual"/>
        </w:rPr>
      </w:pPr>
      <w:r>
        <w:rPr>
          <w:noProof/>
        </w:rPr>
        <w:t>Până în prezent, opt state membre au adoptat dispoziții legale care interzic practicile de conversie</w:t>
      </w:r>
      <w:r>
        <w:rPr>
          <w:rStyle w:val="FootnoteReference"/>
          <w:rFonts w:eastAsiaTheme="minorEastAsia"/>
          <w:noProof/>
          <w:kern w:val="2"/>
          <w:lang w:eastAsia="en-US"/>
        </w:rPr>
        <w:footnoteReference w:id="25"/>
      </w:r>
      <w:r>
        <w:rPr>
          <w:noProof/>
        </w:rPr>
        <w:t>. Domeniul de aplicare al acestor dispoziții variază. În general, acestea incriminează sau interzic încercările de schimbare sau de suprimare a orientării sexuale sau a identității de gen a unei persoane și, în majoritatea cazurilor, și a exprimării genului, în temeiul dreptului administrativ. Majoritatea dispozițiilor naționale respective prevăd pedepse agravate pentru infracțiuni comise împotriva minorilor sau a adulților vulnerabili. Sancțiunile includ amenzi în toate cazurile menționate anterior și pedeapsa cu închisoarea în majoritatea cazurilor. Publicitatea practicilor de conversie este, de asemenea, interzisă de toate aceste dispoziții naționale.</w:t>
      </w:r>
    </w:p>
    <w:p w14:paraId="46E7B6EB" w14:textId="77777777" w:rsidR="0022191F" w:rsidRDefault="00681186">
      <w:pPr>
        <w:pStyle w:val="Heading1"/>
        <w:numPr>
          <w:ilvl w:val="0"/>
          <w:numId w:val="1"/>
        </w:numPr>
        <w:tabs>
          <w:tab w:val="num" w:pos="360"/>
        </w:tabs>
        <w:spacing w:line="240" w:lineRule="auto"/>
        <w:ind w:left="0" w:firstLine="0"/>
        <w:jc w:val="both"/>
        <w:rPr>
          <w:rFonts w:ascii="Times New Roman Bold" w:hAnsi="Times New Roman Bold" w:cs="Times New Roman"/>
          <w:b/>
          <w:bCs/>
          <w:noProof/>
          <w:sz w:val="24"/>
          <w:szCs w:val="24"/>
        </w:rPr>
      </w:pPr>
      <w:r>
        <w:rPr>
          <w:rFonts w:ascii="Times New Roman Bold" w:hAnsi="Times New Roman Bold"/>
          <w:b/>
          <w:smallCaps/>
          <w:noProof/>
          <w:color w:val="auto"/>
          <w:sz w:val="28"/>
        </w:rPr>
        <w:t>Răspunsul la inițiativa cetățenească europeană</w:t>
      </w:r>
    </w:p>
    <w:p w14:paraId="42612372"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Inițiativa cetățenească europeană invită Comisia: (i) „să propună o directivă care să adauge practicile de conversie pe lista euroinfracțiunilor și/sau să modifice actuala directivă privind egalitatea (2008) pentru a include interzicerea acestor practici”; (ii) să modifice Directiva privind drepturile victimelor pentru a stabili standarde minime privind drepturile, sprijinirea și protecția victimelor practicilor de conversie”; (iii) „să pună în aplicare o rezoluție fără caracter obligatoriu prin care se solicită interzicerea pe scară largă a practicilor de conversie” în UE.</w:t>
      </w:r>
    </w:p>
    <w:p w14:paraId="2399B098" w14:textId="77777777" w:rsidR="0022191F" w:rsidRDefault="00681186">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fine, ICE indică în mod clar că „toate statele membre ar trebui să introducă o interdicție privind practicile de conversie”.</w:t>
      </w:r>
    </w:p>
    <w:p w14:paraId="5A188B70" w14:textId="77777777" w:rsidR="0022191F" w:rsidRDefault="00681186">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Pentru a răspunde acestei inițiative, Comisia subliniază că:</w:t>
      </w:r>
    </w:p>
    <w:p w14:paraId="7AAA27D1" w14:textId="77777777" w:rsidR="0022191F" w:rsidRDefault="00681186">
      <w:pPr>
        <w:pStyle w:val="ListParagraph"/>
        <w:numPr>
          <w:ilvl w:val="0"/>
          <w:numId w:val="4"/>
        </w:num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intenționează să adopte o recomandare a Comisiei în 2027, cu scopul de a solicita statelor membre să introducă în cadrul lor juridic o interdicție a practicilor de conversie.</w:t>
      </w:r>
    </w:p>
    <w:p w14:paraId="6CC67ED9" w14:textId="77777777" w:rsidR="0022191F" w:rsidRDefault="00681186">
      <w:pPr>
        <w:pStyle w:val="ListParagraph"/>
        <w:numPr>
          <w:ilvl w:val="0"/>
          <w:numId w:val="4"/>
        </w:num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schimb, Comisia consideră că nu ar fi eficient, din motivele prezentate mai jos, să prezinte o propunere de act juridic al Uniunii în sensul articolului 11 alineatul (4) din TUE.</w:t>
      </w:r>
    </w:p>
    <w:p w14:paraId="15FD49D7" w14:textId="77777777" w:rsidR="0022191F" w:rsidRDefault="0022191F">
      <w:pPr>
        <w:pStyle w:val="ListParagraph"/>
        <w:spacing w:after="240" w:line="240" w:lineRule="auto"/>
        <w:jc w:val="both"/>
        <w:rPr>
          <w:rFonts w:ascii="Times New Roman" w:eastAsia="Times New Roman" w:hAnsi="Times New Roman" w:cs="Times New Roman"/>
          <w:noProof/>
          <w:kern w:val="0"/>
          <w:sz w:val="24"/>
          <w:szCs w:val="24"/>
          <w:lang w:eastAsia="en-IE"/>
          <w14:ligatures w14:val="none"/>
        </w:rPr>
      </w:pPr>
    </w:p>
    <w:p w14:paraId="31066C16" w14:textId="77777777" w:rsidR="0022191F" w:rsidRDefault="00681186">
      <w:pPr>
        <w:pStyle w:val="ListParagraph"/>
        <w:keepNext/>
        <w:numPr>
          <w:ilvl w:val="1"/>
          <w:numId w:val="6"/>
        </w:numPr>
        <w:spacing w:line="240" w:lineRule="auto"/>
        <w:rPr>
          <w:rFonts w:ascii="Times New Roman" w:hAnsi="Times New Roman"/>
          <w:b/>
          <w:bCs/>
          <w:noProof/>
          <w:sz w:val="26"/>
          <w:szCs w:val="26"/>
        </w:rPr>
      </w:pPr>
      <w:r>
        <w:rPr>
          <w:rFonts w:ascii="Times New Roman" w:hAnsi="Times New Roman"/>
          <w:b/>
          <w:noProof/>
          <w:sz w:val="26"/>
        </w:rPr>
        <w:t>Adoptarea unei recomandări a Comisiei pentru a atinge obiectivul inițiativei cetățenești europene</w:t>
      </w:r>
    </w:p>
    <w:p w14:paraId="5E6D5D8F" w14:textId="77777777" w:rsidR="0022191F" w:rsidRDefault="00681186">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Comisia intenționează să adopte o recomandare, act juridic întemeiat pe articolul 292 din TFUE, care să protejeze persoanele LGBTIQ+, în special pe cele mai vulnerabile, și să combată practicile de conversie care vizează schimbarea, reprimarea sau suprimarea orientării sexuale sau a identității/exprimării de gen a acestora. Se preconizează că o recomandare a Comisiei va îndeplini obiectivele de fond ale ICE.</w:t>
      </w:r>
    </w:p>
    <w:p w14:paraId="24AB216D" w14:textId="77777777" w:rsidR="0022191F" w:rsidRDefault="00681186">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Acționând prin intermediul unei recomandări, Comisia va recunoaște rolul esențial pe care îl joacă statele membre în acest domeniu și se va concentra pe sprijinirea acestora în vederea interzicerii practicilor de conversie, încurajând acțiunile naționale de extindere a interdicției prin lege în întreaga UE.</w:t>
      </w:r>
    </w:p>
    <w:p w14:paraId="542E0A58" w14:textId="77777777" w:rsidR="0022191F" w:rsidRDefault="00681186">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Se intenționează ca recomandarea să se bazeze pe bunele practici referitoare la interdicțiile deja adoptate de statele membre în privința practicilor de conversie, invitând toate statele membre să instituie interdicții. Comisia va lua în considerare și includerea în recomandare a unor propuneri privind alte măsuri complementare, cum ar fi acțiuni de facilitare a accesului la justiție și despăgubiri pentru victime și supraviețuitori, pe baza obligațiilor legale care decurg din Directiva privind drepturile victimelor, atunci când astfel de practici sunt incriminate; cursuri de formare pentru medici din domeniul sănătății mintale și din alte domenii relevante.</w:t>
      </w:r>
    </w:p>
    <w:p w14:paraId="054FB135" w14:textId="77777777" w:rsidR="0022191F" w:rsidRDefault="00681186">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Comisia intenționează să invite statele membre să furnizeze informații cu privire la modul în care recomandarea va fi pusă în aplicare în contextul lor național, permițând astfel evaluarea modului în care recomandarea este pusă în aplicare pe teren.</w:t>
      </w:r>
    </w:p>
    <w:p w14:paraId="5D4DEC8F" w14:textId="77777777" w:rsidR="0022191F" w:rsidRDefault="00681186">
      <w:pPr>
        <w:spacing w:after="0" w:line="240" w:lineRule="auto"/>
        <w:jc w:val="both"/>
        <w:rPr>
          <w:rFonts w:ascii="Times New Roman" w:hAnsi="Times New Roman"/>
          <w:noProof/>
          <w:sz w:val="24"/>
          <w:szCs w:val="24"/>
        </w:rPr>
      </w:pPr>
      <w:r>
        <w:rPr>
          <w:rFonts w:ascii="Times New Roman" w:hAnsi="Times New Roman"/>
          <w:noProof/>
          <w:sz w:val="24"/>
        </w:rPr>
        <w:t>Pregătirea recomandării va fi susținută de un dialog structurat pe această temă, pe care Comisia intenționează să îl promoveze prin intermediul Grupului de experți privind egalitatea pentru persoanele LGBTIQ+, care reunește statele membre, Comisia și părțile interesate în scopul de a consolida egalitatea pentru persoanele LGBTIQ+ în cadrul Grupului la nivel înalt pentru nediscriminare, egalitate și diversitate.</w:t>
      </w:r>
    </w:p>
    <w:p w14:paraId="11790D88" w14:textId="77777777" w:rsidR="0022191F" w:rsidRDefault="0022191F">
      <w:pPr>
        <w:spacing w:after="0" w:line="240" w:lineRule="auto"/>
        <w:jc w:val="both"/>
        <w:rPr>
          <w:rFonts w:ascii="Times New Roman" w:hAnsi="Times New Roman"/>
          <w:noProof/>
          <w:sz w:val="24"/>
          <w:szCs w:val="24"/>
        </w:rPr>
      </w:pPr>
    </w:p>
    <w:p w14:paraId="6C08DD3D" w14:textId="77777777" w:rsidR="0022191F" w:rsidRDefault="00681186">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plus, astfel cum s-a anunțat în Strategia privind egalitatea pentru persoanele LGBTIQ+, Comisia va înființa un forum de politici privind persoanele LGBTIQ+, împreună cu organizațiile societății civile LGBTIQ+. Prima ediție a acestui forum va avea loc înainte de sfârșitul anului 2026 la Bruxelles și se va axa pe practicile de conversie.</w:t>
      </w:r>
    </w:p>
    <w:p w14:paraId="2B1C6E43" w14:textId="77777777" w:rsidR="0022191F" w:rsidRDefault="0022191F">
      <w:pPr>
        <w:spacing w:after="0" w:line="240" w:lineRule="auto"/>
        <w:jc w:val="both"/>
        <w:rPr>
          <w:rFonts w:ascii="Times New Roman" w:eastAsia="Times New Roman" w:hAnsi="Times New Roman" w:cs="Times New Roman"/>
          <w:noProof/>
          <w:kern w:val="0"/>
          <w:sz w:val="24"/>
          <w:szCs w:val="24"/>
          <w:lang w:eastAsia="en-IE"/>
          <w14:ligatures w14:val="none"/>
        </w:rPr>
      </w:pPr>
    </w:p>
    <w:p w14:paraId="7CBED8FA" w14:textId="77777777" w:rsidR="0022191F" w:rsidRDefault="00681186">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cele din urmă, astfel cum s-a anunțat și în Strategia privind egalitatea pentru persoanele LGBTIQ+, Comisia a lansat un studiu privind practicile de conversie, care va sta la baza recomandării Comisiei, luând în considerare aspecte precum nivelul de constrângere și de presiune pe care îl implică astfel de practici.</w:t>
      </w:r>
    </w:p>
    <w:p w14:paraId="4096EA74" w14:textId="77777777" w:rsidR="0022191F" w:rsidRDefault="0022191F">
      <w:pPr>
        <w:spacing w:after="0" w:line="240" w:lineRule="auto"/>
        <w:jc w:val="both"/>
        <w:rPr>
          <w:rFonts w:ascii="Times New Roman" w:hAnsi="Times New Roman" w:cs="Times New Roman"/>
          <w:noProof/>
          <w:sz w:val="24"/>
          <w:szCs w:val="24"/>
        </w:rPr>
      </w:pPr>
    </w:p>
    <w:p w14:paraId="78AD32E3" w14:textId="77777777" w:rsidR="0022191F" w:rsidRDefault="00681186">
      <w:pPr>
        <w:pStyle w:val="ListParagraph"/>
        <w:numPr>
          <w:ilvl w:val="1"/>
          <w:numId w:val="6"/>
        </w:numPr>
        <w:spacing w:after="240" w:line="240" w:lineRule="auto"/>
        <w:jc w:val="both"/>
        <w:rPr>
          <w:rFonts w:ascii="Times New Roman" w:eastAsia="Times New Roman" w:hAnsi="Times New Roman" w:cs="Times New Roman"/>
          <w:b/>
          <w:bCs/>
          <w:noProof/>
          <w:kern w:val="0"/>
          <w:sz w:val="26"/>
          <w:szCs w:val="26"/>
          <w14:ligatures w14:val="none"/>
        </w:rPr>
      </w:pPr>
      <w:r>
        <w:rPr>
          <w:rFonts w:ascii="Times New Roman" w:hAnsi="Times New Roman"/>
          <w:b/>
          <w:noProof/>
          <w:sz w:val="26"/>
        </w:rPr>
        <w:t>Motive pentru neprezentarea unei propuneri de act juridic al Uniunii în sensul articolului 11 alineatul (4) din TUE</w:t>
      </w:r>
    </w:p>
    <w:p w14:paraId="27862AFF"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 xml:space="preserve">Comisia explică, în decizia sa de înregistrare, că „nu se poate exclude posibilitatea ca Comisia să propună adăugarea anumitor practici de conversie forțată pe </w:t>
      </w:r>
      <w:r>
        <w:rPr>
          <w:rFonts w:ascii="Times New Roman" w:hAnsi="Times New Roman"/>
          <w:b/>
          <w:noProof/>
          <w:sz w:val="24"/>
        </w:rPr>
        <w:t>lista infracțiunilor incriminate de UE în temeiul articolului 83 alineatul (1) din TFUE</w:t>
      </w:r>
      <w:r>
        <w:rPr>
          <w:rFonts w:ascii="Times New Roman" w:hAnsi="Times New Roman"/>
          <w:noProof/>
          <w:sz w:val="24"/>
        </w:rPr>
        <w:t>, cu condiția ca cerințele acestei dispoziții să fie justificate în mod corespunzător și, în special, ca astfel de practici de conversie să poată fi considerate drept infracțiuni «de o gravitate deosebită de dimensiune transfrontalieră ce rezultă din natura sau impactul acestor infracțiuni ori din nevoia specială de a le combate pornind de la o bază comună».”</w:t>
      </w:r>
    </w:p>
    <w:p w14:paraId="612C4E47"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O nouă propunere legislativă în temeiul acestei dispoziții ar necesita, într-o primă etapă, stabilirea unui nou temei juridic printr-o decizie unanimă a Consiliului de extindere a listei euroinfracțiunilor. Infracțiunile enumerate la articolul 83 alineatul (1) din TFUE se referă la domenii ale criminalității de o gravitate deosebită de dimensiune transfrontalieră. Numai în cazul în care Consiliul ar extinde lista euroinfracțiunilor, Comisia ar putea propune, într-o a doua etapă, o directivă în temeiul acestui nou temei juridic.</w:t>
      </w:r>
    </w:p>
    <w:p w14:paraId="7BC3EB3B"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Comisia consideră că lansarea unei astfel de inițiative de extindere a listei infracțiunilor prevăzute la articolul 83 alineatul (1) din TFUE nu ar combate în mod eficace fenomenul practicilor de conversie. Deși nu se poate exclude ca anumite practici de conversie forțată să îndeplinească criteriul referitor la domeniile criminalității de o gravitate deosebită de dimensiune transfrontalieră, numai o mică parte dintre aceste practici sunt susceptibile să îndeplinească acest criteriu.</w:t>
      </w:r>
    </w:p>
    <w:p w14:paraId="262436CA"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b/>
          <w:noProof/>
          <w:sz w:val="24"/>
        </w:rPr>
        <w:t>Propunerea de directivă privind egalitatea de tratament</w:t>
      </w:r>
      <w:r>
        <w:rPr>
          <w:rStyle w:val="FootnoteReference"/>
          <w:rFonts w:ascii="Times New Roman" w:hAnsi="Times New Roman" w:cs="Times New Roman"/>
          <w:bCs/>
          <w:noProof/>
          <w:sz w:val="24"/>
          <w:szCs w:val="24"/>
        </w:rPr>
        <w:footnoteReference w:id="26"/>
      </w:r>
      <w:r>
        <w:rPr>
          <w:rFonts w:ascii="Times New Roman" w:hAnsi="Times New Roman"/>
          <w:noProof/>
          <w:sz w:val="24"/>
        </w:rPr>
        <w:t xml:space="preserve"> prezentată de Comisie în 2008 vizează extinderea protecției împotriva discriminării pe motive de religie sau convingeri, handicap, vârstă sau orientare sexuală la alte domenii decât ocuparea forței de muncă. În urma intrării în vigoare a Tratatului de la Lisabona la 1 decembrie 2009, propunerea se bazează pe articolul 19 din TFUE, astfel încât este necesară unanimitatea în Consiliu, după obținerea aprobării Parlamentului European.</w:t>
      </w:r>
    </w:p>
    <w:p w14:paraId="56569CB4"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Deși propunerea se află în discuție în cadrul Consiliului de aproape 18 ani, iar marea majoritate a statelor membre sprijină adoptarea textului de compromis prezentat de președinția belgiană a Consiliului în prima jumătate a anului 2024</w:t>
      </w:r>
      <w:r>
        <w:rPr>
          <w:rStyle w:val="FootnoteReference"/>
          <w:rFonts w:ascii="Times New Roman" w:hAnsi="Times New Roman" w:cs="Times New Roman"/>
          <w:noProof/>
          <w:sz w:val="24"/>
          <w:szCs w:val="24"/>
        </w:rPr>
        <w:footnoteReference w:id="27"/>
      </w:r>
      <w:r>
        <w:rPr>
          <w:rFonts w:ascii="Times New Roman" w:hAnsi="Times New Roman"/>
          <w:noProof/>
          <w:sz w:val="24"/>
        </w:rPr>
        <w:t>, nu a fost încă posibil să se ajungă la un acord.</w:t>
      </w:r>
    </w:p>
    <w:p w14:paraId="53C67D81"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Orice noi modificări ale actualului text de compromis nu ar face parte din răspunsul Comisiei la inițiativa cetățenească europeană, deoarece instituția responsabilă de efectuarea unor astfel de modificări este Consiliul. În plus, impunerea unei interdicții privind practicile de conversie nu ar fi în concordanță cu obiectivul transversal și cu domeniul de aplicare al prezentei propuneri.</w:t>
      </w:r>
    </w:p>
    <w:p w14:paraId="00C9AF16"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 xml:space="preserve">Comisia reiterează faptul că o </w:t>
      </w:r>
      <w:r>
        <w:rPr>
          <w:rFonts w:ascii="Times New Roman" w:hAnsi="Times New Roman"/>
          <w:b/>
          <w:noProof/>
          <w:sz w:val="24"/>
        </w:rPr>
        <w:t>nouă propunere de măsuri legislative formulată în temeiul articolului 19 din TFUE</w:t>
      </w:r>
      <w:r>
        <w:rPr>
          <w:rFonts w:ascii="Times New Roman" w:hAnsi="Times New Roman"/>
          <w:noProof/>
          <w:sz w:val="24"/>
        </w:rPr>
        <w:t xml:space="preserve"> ar putea fi prezentată în cazul în care practicile de conversie ar constitui o discriminare pe criterii de sex sau de orientare sexuală în sensul articolului respectiv. Deși este probabil ca unele dintre practicile respective să îndeplinească această condiție, Comisia nu consideră că o nouă propunere formulată în temeiul articolului 19 TFUE este cea mai eficientă modalitate de a aborda obiectivele ICE, având în vedere în special dificultățile legate de adoptarea în unanimitate de către Consiliu.</w:t>
      </w:r>
    </w:p>
    <w:p w14:paraId="544E7DB6"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 xml:space="preserve">De asemenea, decizia de înregistrare explică: „În ceea ce privește stabilirea unor standarde minime privind drepturile, sprijinirea și protecția victimelor practicilor de conversie, Comisia ar putea propune </w:t>
      </w:r>
      <w:r>
        <w:rPr>
          <w:rFonts w:ascii="Times New Roman" w:hAnsi="Times New Roman"/>
          <w:b/>
          <w:noProof/>
          <w:sz w:val="24"/>
        </w:rPr>
        <w:t>modificări ale Directivei 2012/29/UE privind drepturile victimelor în temeiul articolului 82 alineatul (2) din TFUE</w:t>
      </w:r>
      <w:r>
        <w:rPr>
          <w:rFonts w:ascii="Times New Roman" w:hAnsi="Times New Roman"/>
          <w:noProof/>
          <w:sz w:val="24"/>
        </w:rPr>
        <w:t>.”</w:t>
      </w:r>
    </w:p>
    <w:p w14:paraId="62399B17"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Comisia nu consideră că este justificat să propună noi modificări ale Directivei privind drepturile victimelor</w:t>
      </w:r>
      <w:r>
        <w:rPr>
          <w:rStyle w:val="FootnoteReference"/>
          <w:rFonts w:ascii="Times New Roman" w:hAnsi="Times New Roman" w:cs="Times New Roman"/>
          <w:noProof/>
          <w:sz w:val="24"/>
          <w:szCs w:val="24"/>
        </w:rPr>
        <w:footnoteReference w:id="28"/>
      </w:r>
      <w:r>
        <w:rPr>
          <w:rFonts w:ascii="Times New Roman" w:hAnsi="Times New Roman"/>
          <w:noProof/>
          <w:sz w:val="24"/>
        </w:rPr>
        <w:t>. În urma propunerii de revizuire a Directivei privind drepturile victimelor care a fost prezentată de Comisie în iulie 2023</w:t>
      </w:r>
      <w:r>
        <w:rPr>
          <w:rStyle w:val="FootnoteReference"/>
          <w:rFonts w:ascii="Times New Roman" w:hAnsi="Times New Roman" w:cs="Times New Roman"/>
          <w:noProof/>
          <w:sz w:val="24"/>
          <w:szCs w:val="24"/>
        </w:rPr>
        <w:footnoteReference w:id="29"/>
      </w:r>
      <w:r>
        <w:rPr>
          <w:rFonts w:ascii="Times New Roman" w:hAnsi="Times New Roman"/>
          <w:noProof/>
          <w:sz w:val="24"/>
        </w:rPr>
        <w:t>, colegiuitorii au convenit provizoriu asupra unei directive revizuite în decembrie 2025</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Noile norme vor consolida drepturile tuturor victimelor, de exemplu prin îmbunătățirea accesului la informații și la sprijin, prin facilitarea denunțării infracțiunilor, printr-o protecție sporită a datelor cu caracter personal ale victimelor, prin consolidarea evaluării individuale a nevoilor victimelor, prin facilitarea accesului la despăgubiri din partea infractorului și printr-o mai bună coordonare și cooperare între persoanele care contactează victimele. Victimele violenței sexuale vor beneficia de servicii de sprijin specifice și integrate, inclusiv de acces la asistență medicală sexuală și reproductivă. </w:t>
      </w:r>
    </w:p>
    <w:p w14:paraId="56FF9CD8"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 xml:space="preserve">În măsura în care practicile de conversie sunt incriminate în temeiul dreptului intern, dispozițiile directivei, astfel cum au fost transpuse în dreptul intern, se vor aplica victimelor unor astfel de infracțiuni. </w:t>
      </w:r>
    </w:p>
    <w:p w14:paraId="2730DBFE"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Directiva subliniază că ar trebui să se acorde o atenție deosebită victimelor cu nevoi specifice, pentru a le proteja împotriva victimizării secundare și repetate, a intimidării și a represaliilor. Victimele trebuie să beneficieze de o evaluare individuală pentru a identifica nevoile specifice de protecție și pentru a stabili dacă și în ce măsură ar beneficia de măsuri speciale. În statele membre în care practicile de conversie sunt incriminate, victimele unor astfel de practici ar trebui, prin urmare, să beneficieze de cadrul de protecție și de sprijin prevăzut de directivă, inclusiv de evaluarea individuală și de accesul la servicii de sprijin adecvate.</w:t>
      </w:r>
    </w:p>
    <w:p w14:paraId="18746ABB" w14:textId="77777777" w:rsidR="0022191F" w:rsidRDefault="00681186">
      <w:pPr>
        <w:spacing w:line="240" w:lineRule="auto"/>
        <w:jc w:val="both"/>
        <w:rPr>
          <w:rFonts w:ascii="Times New Roman" w:eastAsia="Times New Roman" w:hAnsi="Times New Roman" w:cs="Times New Roman"/>
          <w:noProof/>
          <w:kern w:val="0"/>
          <w:sz w:val="24"/>
          <w:szCs w:val="24"/>
          <w14:ligatures w14:val="none"/>
        </w:rPr>
      </w:pPr>
      <w:bookmarkStart w:id="6" w:name="_Hlk224249291"/>
      <w:r>
        <w:rPr>
          <w:rFonts w:ascii="Times New Roman" w:hAnsi="Times New Roman"/>
          <w:noProof/>
          <w:sz w:val="24"/>
        </w:rPr>
        <w:t xml:space="preserve">În fine, Comisia consideră că </w:t>
      </w:r>
      <w:r>
        <w:rPr>
          <w:rFonts w:ascii="Times New Roman" w:hAnsi="Times New Roman"/>
          <w:b/>
          <w:noProof/>
          <w:sz w:val="24"/>
        </w:rPr>
        <w:t>adoptarea unei propuneri de recomandare a Consiliului</w:t>
      </w:r>
      <w:r>
        <w:rPr>
          <w:rFonts w:ascii="Times New Roman" w:hAnsi="Times New Roman"/>
          <w:noProof/>
          <w:sz w:val="24"/>
        </w:rPr>
        <w:t xml:space="preserve"> nu ar permite abordarea obiectivelor inițiativei cetățenești europene într-un mod cuprinzător și eficient</w:t>
      </w:r>
      <w:bookmarkEnd w:id="6"/>
      <w:r>
        <w:rPr>
          <w:rFonts w:ascii="Times New Roman" w:hAnsi="Times New Roman"/>
          <w:noProof/>
          <w:sz w:val="24"/>
        </w:rPr>
        <w:t>. În ceea ce privește propunerea unei recomandări a Consiliului în temeiul articolului 83 alineatul (1) din TFUE coroborat cu articolul 292 din TFUE, în prezent nu este posibil să se stabilească dacă anumite practici de conversie ar putea intra sub incidența unui domeniu al „criminalității de o gravitate deosebită de dimensiune transfrontalieră” în sensul articolului 83 alineatul (1) din TFUE. În ceea ce privește propunerea unei recomandări a Consiliului în temeiul articolului 19 din TFUE coroborat cu articolul 292 din TFUE, dificultățile prezentate mai sus în ceea ce privește acțiunea legislativă întreprinsă în temeiul articolului 19 din TFUE ar afecta, de asemenea, o astfel de recomandare.</w:t>
      </w:r>
    </w:p>
    <w:p w14:paraId="452F380A" w14:textId="77777777" w:rsidR="0022191F" w:rsidRDefault="00681186">
      <w:pPr>
        <w:pStyle w:val="Heading1"/>
        <w:numPr>
          <w:ilvl w:val="0"/>
          <w:numId w:val="1"/>
        </w:numPr>
        <w:tabs>
          <w:tab w:val="num" w:pos="360"/>
        </w:tabs>
        <w:spacing w:line="240" w:lineRule="auto"/>
        <w:ind w:left="0" w:firstLine="0"/>
        <w:jc w:val="both"/>
        <w:rPr>
          <w:rFonts w:ascii="Times New Roman" w:hAnsi="Times New Roman" w:cs="Times New Roman"/>
          <w:b/>
          <w:bCs/>
          <w:smallCaps/>
          <w:noProof/>
          <w:color w:val="auto"/>
          <w:sz w:val="28"/>
          <w:szCs w:val="28"/>
        </w:rPr>
      </w:pPr>
      <w:r>
        <w:rPr>
          <w:rFonts w:ascii="Times New Roman" w:hAnsi="Times New Roman"/>
          <w:b/>
          <w:smallCaps/>
          <w:noProof/>
          <w:color w:val="auto"/>
          <w:sz w:val="28"/>
        </w:rPr>
        <w:t>Concluzie și perspective</w:t>
      </w:r>
    </w:p>
    <w:p w14:paraId="3F85A2A3" w14:textId="77777777" w:rsidR="0022191F" w:rsidRDefault="00681186">
      <w:pPr>
        <w:spacing w:line="240" w:lineRule="auto"/>
        <w:jc w:val="both"/>
        <w:rPr>
          <w:rFonts w:ascii="Times New Roman" w:hAnsi="Times New Roman" w:cs="Times New Roman"/>
          <w:noProof/>
          <w:sz w:val="24"/>
          <w:szCs w:val="24"/>
        </w:rPr>
      </w:pPr>
      <w:r>
        <w:rPr>
          <w:rFonts w:ascii="Times New Roman" w:hAnsi="Times New Roman"/>
          <w:noProof/>
          <w:sz w:val="24"/>
        </w:rPr>
        <w:t xml:space="preserve">Ca răspuns la inițiativa cetățenească europeană intitulată „Interzicerea practicilor de conversie în UE”, Comisia </w:t>
      </w:r>
      <w:bookmarkEnd w:id="1"/>
      <w:bookmarkEnd w:id="2"/>
      <w:r>
        <w:rPr>
          <w:rFonts w:ascii="Times New Roman" w:hAnsi="Times New Roman"/>
          <w:noProof/>
          <w:sz w:val="24"/>
        </w:rPr>
        <w:t>intenționează să adopte în 2027 o recomandare, care ar trebui să permită îndeplinirea obiectivelor de fond ale inițiativei cetățenești europene.</w:t>
      </w:r>
    </w:p>
    <w:p w14:paraId="04BD1A3D" w14:textId="77777777" w:rsidR="0022191F" w:rsidRDefault="0068118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Se intenționează ca recomandarea să se bazeze pe bunele practici desprinse din interdicțiile deja adoptate de statele membre în privința practicilor de conversie. Aceasta se va baza pe un proces de consultare cuprinzător, inclusiv prin intermediul Grupului de experți privind egalitatea pentru persoanele LGBTIQ+ și al noului forum de politici privind persoanele LGBTIQ+. Concluziile unui studiu lansat de Comisie pe această temă vor sta, de asemenea, la baza recomandării.</w:t>
      </w:r>
    </w:p>
    <w:p w14:paraId="65A45386" w14:textId="77777777" w:rsidR="0022191F" w:rsidRDefault="00681186">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Se preconizează ca recomandarea Comisiei:</w:t>
      </w:r>
    </w:p>
    <w:p w14:paraId="6C2532D0" w14:textId="77777777" w:rsidR="0022191F" w:rsidRDefault="00681186">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să invite statele membre să interzică practicile de conversie în ordinile lor juridice naționale;</w:t>
      </w:r>
    </w:p>
    <w:p w14:paraId="6A1B4E6B" w14:textId="77777777" w:rsidR="0022191F" w:rsidRDefault="00681186">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să protejeze persoanele LGBTIQ+ și să combată practicile de conversie care vizează orientarea sexuală sau identitatea/exprimarea de gen a acestora;</w:t>
      </w:r>
    </w:p>
    <w:p w14:paraId="349C5EA0" w14:textId="77777777" w:rsidR="0022191F" w:rsidRDefault="00681186">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sz w:val="24"/>
        </w:rPr>
        <w:t>să completeze recomandarea privind interzicerea practicilor de conversie cu recomandări referitoare la alte măsuri, de exemplu, activități de formare pentru practicieni;</w:t>
      </w:r>
    </w:p>
    <w:p w14:paraId="6DE6EE59" w14:textId="77777777" w:rsidR="0022191F" w:rsidRDefault="00681186">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sz w:val="24"/>
        </w:rPr>
        <w:t>să invite statele membre să furnizeze informații cu privire la modul în care recomandarea este pusă în aplicare în contextul lor național, ca bază pentru evaluarea punerii în aplicare.</w:t>
      </w:r>
    </w:p>
    <w:sectPr w:rsidR="0022191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AFE40" w14:textId="77777777" w:rsidR="0022191F" w:rsidRDefault="00681186">
      <w:pPr>
        <w:spacing w:after="0" w:line="240" w:lineRule="auto"/>
      </w:pPr>
      <w:r>
        <w:separator/>
      </w:r>
    </w:p>
  </w:endnote>
  <w:endnote w:type="continuationSeparator" w:id="0">
    <w:p w14:paraId="079347FF" w14:textId="77777777" w:rsidR="0022191F" w:rsidRDefault="00681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Light">
    <w:altName w:val="Calibri"/>
    <w:charset w:val="00"/>
    <w:family w:val="swiss"/>
    <w:pitch w:val="variable"/>
    <w:sig w:usb0="20000287" w:usb1="00000001" w:usb2="00000000" w:usb3="00000000" w:csb0="0000019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BAD8D" w14:textId="63215F88" w:rsidR="00CA7B05" w:rsidRPr="00CA7B05" w:rsidRDefault="00CA7B05" w:rsidP="00CA7B05">
    <w:pPr>
      <w:pStyle w:val="FooterCoverPage"/>
      <w:rPr>
        <w:rFonts w:ascii="Arial" w:hAnsi="Arial" w:cs="Arial"/>
        <w:b/>
        <w:sz w:val="48"/>
      </w:rPr>
    </w:pPr>
    <w:r w:rsidRPr="00CA7B05">
      <w:rPr>
        <w:rFonts w:ascii="Arial" w:hAnsi="Arial" w:cs="Arial"/>
        <w:b/>
        <w:sz w:val="48"/>
      </w:rPr>
      <w:t>RO</w:t>
    </w:r>
    <w:r w:rsidRPr="00CA7B05">
      <w:rPr>
        <w:rFonts w:ascii="Arial" w:hAnsi="Arial" w:cs="Arial"/>
        <w:b/>
        <w:sz w:val="48"/>
      </w:rPr>
      <w:tab/>
    </w:r>
    <w:r w:rsidRPr="00CA7B05">
      <w:rPr>
        <w:rFonts w:ascii="Arial" w:hAnsi="Arial" w:cs="Arial"/>
        <w:b/>
        <w:sz w:val="48"/>
      </w:rPr>
      <w:tab/>
    </w:r>
    <w:r w:rsidRPr="00CA7B05">
      <w:tab/>
    </w:r>
    <w:r w:rsidRPr="00CA7B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91CA" w14:textId="788BA3B8" w:rsidR="00CA7B05" w:rsidRPr="00CA7B05" w:rsidRDefault="00CA7B05" w:rsidP="00CA7B05">
    <w:pPr>
      <w:pStyle w:val="FooterCoverPage"/>
      <w:rPr>
        <w:rFonts w:ascii="Arial" w:hAnsi="Arial" w:cs="Arial"/>
        <w:b/>
        <w:sz w:val="48"/>
      </w:rPr>
    </w:pPr>
    <w:r w:rsidRPr="00CA7B05">
      <w:rPr>
        <w:rFonts w:ascii="Arial" w:hAnsi="Arial" w:cs="Arial"/>
        <w:b/>
        <w:sz w:val="48"/>
      </w:rPr>
      <w:t>RO</w:t>
    </w:r>
    <w:r w:rsidRPr="00CA7B05">
      <w:rPr>
        <w:rFonts w:ascii="Arial" w:hAnsi="Arial" w:cs="Arial"/>
        <w:b/>
        <w:sz w:val="48"/>
      </w:rPr>
      <w:tab/>
    </w:r>
    <w:r w:rsidRPr="00CA7B05">
      <w:rPr>
        <w:rFonts w:ascii="Arial" w:hAnsi="Arial" w:cs="Arial"/>
        <w:b/>
        <w:sz w:val="48"/>
      </w:rPr>
      <w:tab/>
    </w:r>
    <w:r w:rsidRPr="00CA7B05">
      <w:tab/>
    </w:r>
    <w:r w:rsidRPr="00CA7B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DF222" w14:textId="77777777" w:rsidR="00CA7B05" w:rsidRPr="00CA7B05" w:rsidRDefault="00CA7B05" w:rsidP="00CA7B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1766B" w14:textId="77777777" w:rsidR="0022191F" w:rsidRDefault="002219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552726"/>
      <w:docPartObj>
        <w:docPartGallery w:val="Page Numbers (Bottom of Page)"/>
        <w:docPartUnique/>
      </w:docPartObj>
    </w:sdtPr>
    <w:sdtEndPr/>
    <w:sdtContent>
      <w:p w14:paraId="648468CD" w14:textId="42A3B61F" w:rsidR="0022191F" w:rsidRDefault="00681186">
        <w:pPr>
          <w:pStyle w:val="Footer"/>
          <w:jc w:val="center"/>
        </w:pPr>
        <w:r>
          <w:fldChar w:fldCharType="begin"/>
        </w:r>
        <w:r>
          <w:instrText xml:space="preserve"> PAGE   \* MERGEFORMAT </w:instrText>
        </w:r>
        <w:r>
          <w:fldChar w:fldCharType="separate"/>
        </w:r>
        <w:r w:rsidR="00CA7B05">
          <w:rPr>
            <w:noProof/>
          </w:rPr>
          <w:t>1</w:t>
        </w:r>
        <w:r>
          <w:fldChar w:fldCharType="end"/>
        </w:r>
      </w:p>
    </w:sdtContent>
  </w:sdt>
  <w:p w14:paraId="46B57536" w14:textId="77777777" w:rsidR="0022191F" w:rsidRDefault="002219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73F7C" w14:textId="77777777" w:rsidR="0022191F" w:rsidRDefault="00221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CC60D" w14:textId="77777777" w:rsidR="0022191F" w:rsidRDefault="00681186">
      <w:pPr>
        <w:spacing w:after="0" w:line="240" w:lineRule="auto"/>
      </w:pPr>
      <w:r>
        <w:separator/>
      </w:r>
    </w:p>
  </w:footnote>
  <w:footnote w:type="continuationSeparator" w:id="0">
    <w:p w14:paraId="44DDA0CB" w14:textId="77777777" w:rsidR="0022191F" w:rsidRDefault="00681186">
      <w:pPr>
        <w:spacing w:after="0" w:line="240" w:lineRule="auto"/>
      </w:pPr>
      <w:r>
        <w:continuationSeparator/>
      </w:r>
    </w:p>
  </w:footnote>
  <w:footnote w:id="1">
    <w:p w14:paraId="58AAC55C"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Interzicerea practicilor de conversie în Uniunea Europeană</w:t>
        </w:r>
      </w:hyperlink>
      <w:r>
        <w:rPr>
          <w:rFonts w:ascii="Times New Roman" w:hAnsi="Times New Roman"/>
        </w:rPr>
        <w:t>.</w:t>
      </w:r>
    </w:p>
  </w:footnote>
  <w:footnote w:id="2">
    <w:p w14:paraId="2A625229"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temeiul articolului 3 din Regulamentul privind ICE, o inițiativă este valabilă dacă: (a) este susținută de cel puțin un milion de cetățeni ai Uniunii (denumiți în continuare „semnatari”), în conformitate cu articolul 2 alineatul (1), din cel puțin un sfert din statele membre și (b) în cel puțin un sfert din statele membre, numărul de semnatari este cel puțin egal cu numărul minim prevăzut în anexa I, care corespunde rezultatului înmulțirii numărului de deputați în Parlamentul European aleși în fiecare stat membru cu numărul total de deputați în Parlamentul European, la data înregistrării inițiativei.</w:t>
      </w:r>
    </w:p>
  </w:footnote>
  <w:footnote w:id="3">
    <w:p w14:paraId="18F6AC6A"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Regulamentul (UE) 2019/788</w:t>
        </w:r>
      </w:hyperlink>
      <w:r>
        <w:rPr>
          <w:rFonts w:ascii="Times New Roman" w:hAnsi="Times New Roman"/>
        </w:rPr>
        <w:t xml:space="preserve"> al Parlamentului European și al Consiliului din 17 aprilie 2019 privind inițiativa cetățenească europeană (JO L 130, 17.5.2019, p. 55).</w:t>
      </w:r>
    </w:p>
  </w:footnote>
  <w:footnote w:id="4">
    <w:p w14:paraId="4A4116DB"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Decizia de punere în aplicare (UE) 2024/442</w:t>
        </w:r>
      </w:hyperlink>
      <w:r>
        <w:rPr>
          <w:rFonts w:ascii="Times New Roman" w:hAnsi="Times New Roman"/>
        </w:rPr>
        <w:t xml:space="preserve"> a Comisiei din 24 ianuarie 2024 privind cererea de înregistrare, în temeiul Regulamentului (UE) 2019/788 al Parlamentului European și al Consiliului, a inițiativei cetățenești europene intitulate Interzicerea practicilor de conversie în Uniunea Europeană.</w:t>
      </w:r>
    </w:p>
  </w:footnote>
  <w:footnote w:id="5">
    <w:p w14:paraId="3E1699D0"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Parlamentul European, „</w:t>
      </w:r>
      <w:hyperlink r:id="rId4" w:history="1">
        <w:r>
          <w:rPr>
            <w:rStyle w:val="Hyperlink"/>
            <w:rFonts w:ascii="Times New Roman" w:hAnsi="Times New Roman"/>
          </w:rPr>
          <w:t>Conversion Practices on LGBT + People</w:t>
        </w:r>
      </w:hyperlink>
      <w:r>
        <w:rPr>
          <w:rFonts w:ascii="Times New Roman" w:hAnsi="Times New Roman"/>
        </w:rPr>
        <w:t>” (Practici de conversie privind persoanele LGBT+), 2023.</w:t>
      </w:r>
    </w:p>
  </w:footnote>
  <w:footnote w:id="6">
    <w:p w14:paraId="04179AA1"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Reuniunea organizatorilor inițiativei cetățenești europene pentru „Interzicerea practicilor de conversie în UE”</w:t>
        </w:r>
      </w:hyperlink>
      <w:r>
        <w:rPr>
          <w:rFonts w:ascii="Times New Roman" w:hAnsi="Times New Roman"/>
        </w:rPr>
        <w:t xml:space="preserve"> cu Comisia Europeană.</w:t>
      </w:r>
    </w:p>
  </w:footnote>
  <w:footnote w:id="7">
    <w:p w14:paraId="1893D2B4"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Parlamentul European, </w:t>
      </w:r>
      <w:hyperlink r:id="rId6" w:history="1">
        <w:r>
          <w:rPr>
            <w:rStyle w:val="Hyperlink"/>
            <w:rFonts w:ascii="Times New Roman" w:hAnsi="Times New Roman"/>
          </w:rPr>
          <w:t>ședință ordinară a Comisiei pentru libertăți civile, justiție și afaceri interne</w:t>
        </w:r>
      </w:hyperlink>
      <w:r>
        <w:rPr>
          <w:rFonts w:ascii="Times New Roman" w:hAnsi="Times New Roman"/>
        </w:rPr>
        <w:t xml:space="preserve">, </w:t>
      </w:r>
      <w:hyperlink r:id="rId7" w:history="1">
        <w:r>
          <w:rPr>
            <w:rStyle w:val="Hyperlink"/>
            <w:rFonts w:ascii="Times New Roman" w:hAnsi="Times New Roman"/>
          </w:rPr>
          <w:t>audiere publică</w:t>
        </w:r>
      </w:hyperlink>
      <w:r>
        <w:rPr>
          <w:rFonts w:ascii="Times New Roman" w:hAnsi="Times New Roman"/>
        </w:rPr>
        <w:t>: Interzicerea practicilor de conversie în Uniunea Europeană, 2 martie 2026.</w:t>
      </w:r>
    </w:p>
  </w:footnote>
  <w:footnote w:id="8">
    <w:p w14:paraId="7A07106A"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Parlamentul European, </w:t>
      </w:r>
      <w:hyperlink r:id="rId8" w:history="1">
        <w:r>
          <w:rPr>
            <w:rStyle w:val="Hyperlink"/>
            <w:rFonts w:ascii="Times New Roman" w:hAnsi="Times New Roman"/>
          </w:rPr>
          <w:t>dezbaterea în plen din 25 martie 2026</w:t>
        </w:r>
      </w:hyperlink>
      <w:r>
        <w:rPr>
          <w:rFonts w:ascii="Times New Roman" w:hAnsi="Times New Roman"/>
        </w:rPr>
        <w:t>.</w:t>
      </w:r>
    </w:p>
  </w:footnote>
  <w:footnote w:id="9">
    <w:p w14:paraId="7C0DA838"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Expertul independent al Organizației Națiunilor Unite privind protecția împotriva violenței și a discriminării pe motive de orientare sexuală și identitate de gen, </w:t>
      </w:r>
      <w:hyperlink r:id="rId9" w:history="1">
        <w:r>
          <w:rPr>
            <w:rStyle w:val="Hyperlink"/>
            <w:rFonts w:ascii="Times New Roman" w:hAnsi="Times New Roman"/>
          </w:rPr>
          <w:t>Practices of so-called “conversion therapy”</w:t>
        </w:r>
      </w:hyperlink>
      <w:r>
        <w:rPr>
          <w:rFonts w:ascii="Times New Roman" w:hAnsi="Times New Roman"/>
        </w:rPr>
        <w:t xml:space="preserve"> (Practicile așa numitei „terapii de conversie”), 1 mai 2020.</w:t>
      </w:r>
    </w:p>
  </w:footnote>
  <w:footnote w:id="10">
    <w:p w14:paraId="32FB53F9"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Adunarea Parlamentară a Consiliului Europei, </w:t>
      </w:r>
      <w:hyperlink r:id="rId10" w:history="1">
        <w:r>
          <w:rPr>
            <w:rStyle w:val="Hyperlink"/>
            <w:rFonts w:ascii="Times New Roman" w:hAnsi="Times New Roman"/>
          </w:rPr>
          <w:t>Rezoluția 2534 (2026)</w:t>
        </w:r>
      </w:hyperlink>
      <w:r>
        <w:rPr>
          <w:rFonts w:ascii="Times New Roman" w:hAnsi="Times New Roman"/>
        </w:rPr>
        <w:t>: Protejarea persoanelor LGBTI împotriva „practicilor de conversie”, adoptată la 29 ianuarie 2026.</w:t>
      </w:r>
    </w:p>
  </w:footnote>
  <w:footnote w:id="11">
    <w:p w14:paraId="6ED13306"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Aceasta a fost înlocuită prin denumirea „incongruență de gen” în noul capitol „Afecțiuni legate de sănătatea sexuală” din a 11-a revizuire a </w:t>
      </w:r>
      <w:hyperlink r:id="rId11" w:history="1">
        <w:r>
          <w:rPr>
            <w:rStyle w:val="Hyperlink"/>
            <w:rFonts w:ascii="Times New Roman" w:hAnsi="Times New Roman"/>
          </w:rPr>
          <w:t>Clasificării internaționale a bolilor și a problemelor de sănătate înrudite (ICD-11)</w:t>
        </w:r>
      </w:hyperlink>
      <w:r>
        <w:rPr>
          <w:rFonts w:ascii="Times New Roman" w:hAnsi="Times New Roman"/>
        </w:rPr>
        <w:t>.</w:t>
      </w:r>
    </w:p>
  </w:footnote>
  <w:footnote w:id="12">
    <w:p w14:paraId="6A9F5687"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i/>
            <w:iCs/>
          </w:rPr>
          <w:t>World Medical Association statement on natural variations of human sexuality</w:t>
        </w:r>
      </w:hyperlink>
      <w:r>
        <w:rPr>
          <w:rFonts w:ascii="Times New Roman" w:hAnsi="Times New Roman"/>
        </w:rPr>
        <w:t>, adoptată de cea de a 64-a Adunare Generală a Asociației Medicale Mondiale, octombrie 2013.</w:t>
      </w:r>
    </w:p>
  </w:footnote>
  <w:footnote w:id="13">
    <w:p w14:paraId="7DC761DD"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i/>
            <w:iCs/>
          </w:rPr>
          <w:t>World Psychiatric Association position statement</w:t>
        </w:r>
      </w:hyperlink>
      <w:r>
        <w:rPr>
          <w:rFonts w:ascii="Times New Roman" w:hAnsi="Times New Roman"/>
          <w:i/>
          <w:iCs/>
        </w:rPr>
        <w:t xml:space="preserve"> on gender identity and same-sex orientation, attraction and behaviours</w:t>
      </w:r>
      <w:r>
        <w:rPr>
          <w:rFonts w:ascii="Times New Roman" w:hAnsi="Times New Roman"/>
        </w:rPr>
        <w:t xml:space="preserve">, septembrie 2016. </w:t>
      </w:r>
    </w:p>
  </w:footnote>
  <w:footnote w:id="14">
    <w:p w14:paraId="65025FE8"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i/>
            <w:iCs/>
          </w:rPr>
          <w:t>European Psychiatric Association statement</w:t>
        </w:r>
      </w:hyperlink>
      <w:r>
        <w:rPr>
          <w:rFonts w:ascii="Times New Roman" w:hAnsi="Times New Roman"/>
          <w:i/>
          <w:iCs/>
        </w:rPr>
        <w:t xml:space="preserve"> on conversion ‘therapies’ and LGBTQ patients</w:t>
      </w:r>
      <w:r>
        <w:rPr>
          <w:rFonts w:ascii="Times New Roman" w:hAnsi="Times New Roman"/>
        </w:rPr>
        <w:t>, ianuarie 2022.</w:t>
      </w:r>
    </w:p>
  </w:footnote>
  <w:footnote w:id="15">
    <w:p w14:paraId="2726349A"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Agenția pentru Drepturi Fundamentale a Uniunii Europene, </w:t>
      </w:r>
      <w:hyperlink r:id="rId15" w:history="1">
        <w:r>
          <w:rPr>
            <w:rStyle w:val="Hyperlink"/>
            <w:rFonts w:ascii="Times New Roman" w:hAnsi="Times New Roman"/>
            <w:i/>
            <w:iCs/>
          </w:rPr>
          <w:t>LGBTIQ equality at a crossroads – Progress and challenges</w:t>
        </w:r>
      </w:hyperlink>
      <w:r>
        <w:rPr>
          <w:rFonts w:ascii="Times New Roman" w:hAnsi="Times New Roman"/>
        </w:rPr>
        <w:t xml:space="preserve"> (Egalitatea pentru persoanele LGBTIQ la răscruce - Progrese și provocări), 2024.</w:t>
      </w:r>
    </w:p>
  </w:footnote>
  <w:footnote w:id="16">
    <w:p w14:paraId="7FBCD24E"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Expertul independent al Organizației Națiunilor Unite privind protecția împotriva violenței și a discriminării pe motive de orientare sexuală și identitate de gen, </w:t>
      </w:r>
      <w:hyperlink r:id="rId16" w:history="1">
        <w:r>
          <w:rPr>
            <w:rStyle w:val="Hyperlink"/>
            <w:rFonts w:ascii="Times New Roman" w:hAnsi="Times New Roman"/>
            <w:i/>
            <w:iCs/>
          </w:rPr>
          <w:t>Practices of so-called “conversion therapy”</w:t>
        </w:r>
      </w:hyperlink>
      <w:r>
        <w:rPr>
          <w:rFonts w:ascii="Times New Roman" w:hAnsi="Times New Roman"/>
        </w:rPr>
        <w:t xml:space="preserve"> (Practicile așa numitei „terapii de conversie”), 1 mai 2020.</w:t>
      </w:r>
    </w:p>
  </w:footnote>
  <w:footnote w:id="17">
    <w:p w14:paraId="09DCFCCA"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Președinta Ursula von der Leyen, </w:t>
      </w:r>
      <w:hyperlink r:id="rId17" w:history="1">
        <w:r>
          <w:rPr>
            <w:rStyle w:val="Hyperlink"/>
            <w:rFonts w:ascii="Times New Roman" w:hAnsi="Times New Roman"/>
          </w:rPr>
          <w:t>scrisoare de misiune</w:t>
        </w:r>
      </w:hyperlink>
      <w:r>
        <w:rPr>
          <w:rFonts w:ascii="Times New Roman" w:hAnsi="Times New Roman"/>
        </w:rPr>
        <w:t xml:space="preserve"> către Hadja Lahbib, comisară pentru egalitate și pentru pregătire și gestionarea crizelor, Comisia Europeană, 1 decembrie 2024.</w:t>
      </w:r>
    </w:p>
  </w:footnote>
  <w:footnote w:id="18">
    <w:p w14:paraId="7DDA8DFF" w14:textId="682B2F2F"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w:t>
      </w:r>
      <w:hyperlink r:id="rId18" w:history="1">
        <w:r>
          <w:rPr>
            <w:rStyle w:val="Hyperlink"/>
            <w:rFonts w:ascii="Times New Roman" w:hAnsi="Times New Roman"/>
          </w:rPr>
          <w:t>Uniunea egalității:</w:t>
        </w:r>
      </w:hyperlink>
      <w:r w:rsidR="005B3CB5">
        <w:t xml:space="preserve"> </w:t>
      </w:r>
      <w:hyperlink r:id="rId19" w:history="1">
        <w:r>
          <w:rPr>
            <w:rStyle w:val="Hyperlink"/>
            <w:rFonts w:ascii="Times New Roman" w:hAnsi="Times New Roman"/>
          </w:rPr>
          <w:t>Strategia privind egalitatea pentru persoanele LGBTIQ+ 2026-2030</w:t>
        </w:r>
      </w:hyperlink>
      <w:r>
        <w:rPr>
          <w:rFonts w:ascii="Times New Roman" w:hAnsi="Times New Roman"/>
        </w:rPr>
        <w:t>, COM(2025) 725 final.</w:t>
      </w:r>
    </w:p>
  </w:footnote>
  <w:footnote w:id="19">
    <w:p w14:paraId="44866DD1"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5" w:name="_Hlk228896535"/>
      <w:r>
        <w:rPr>
          <w:rFonts w:ascii="Times New Roman" w:hAnsi="Times New Roman"/>
        </w:rPr>
        <w:t xml:space="preserve">Rezoluția Parlamentului European din 29 aprilie 2026 referitoare la situația drepturilor fundamentale în Uniunea Europeană în 2024 și 2025 </w:t>
      </w:r>
      <w:bookmarkEnd w:id="5"/>
      <w:r>
        <w:rPr>
          <w:rFonts w:ascii="Times New Roman" w:hAnsi="Times New Roman"/>
        </w:rPr>
        <w:t>(</w:t>
      </w:r>
      <w:hyperlink r:id="rId20" w:history="1">
        <w:r>
          <w:rPr>
            <w:rStyle w:val="Hyperlink"/>
            <w:rFonts w:ascii="Times New Roman" w:hAnsi="Times New Roman"/>
          </w:rPr>
          <w:t>P10_TA (2026) 0146</w:t>
        </w:r>
      </w:hyperlink>
      <w:r>
        <w:rPr>
          <w:rFonts w:ascii="Times New Roman" w:hAnsi="Times New Roman"/>
        </w:rPr>
        <w:t>).</w:t>
      </w:r>
    </w:p>
  </w:footnote>
  <w:footnote w:id="20">
    <w:p w14:paraId="742FC044" w14:textId="77777777" w:rsidR="0022191F" w:rsidRDefault="00681186">
      <w:pPr>
        <w:pStyle w:val="FootnoteText"/>
        <w:jc w:val="both"/>
      </w:pPr>
      <w:r>
        <w:rPr>
          <w:rStyle w:val="FootnoteReference"/>
        </w:rPr>
        <w:footnoteRef/>
      </w:r>
      <w:r>
        <w:t xml:space="preserve"> </w:t>
      </w:r>
      <w:r>
        <w:rPr>
          <w:rFonts w:ascii="Times New Roman" w:hAnsi="Times New Roman"/>
        </w:rPr>
        <w:t>Rezoluția Parlamentului European din 29 aprilie 2026 referitor la Raportul Comisiei privind statul de drept (</w:t>
      </w:r>
      <w:hyperlink r:id="rId21" w:history="1">
        <w:r>
          <w:rPr>
            <w:rStyle w:val="Hyperlink"/>
            <w:rFonts w:ascii="Times New Roman" w:hAnsi="Times New Roman"/>
          </w:rPr>
          <w:t>P10_TA(2026)0147</w:t>
        </w:r>
      </w:hyperlink>
      <w:r>
        <w:rPr>
          <w:rFonts w:ascii="Times New Roman" w:hAnsi="Times New Roman"/>
        </w:rPr>
        <w:t>)</w:t>
      </w:r>
    </w:p>
  </w:footnote>
  <w:footnote w:id="21">
    <w:p w14:paraId="66EFECA2" w14:textId="77777777" w:rsidR="0022191F" w:rsidRDefault="00681186">
      <w:pPr>
        <w:pStyle w:val="FootnoteText"/>
        <w:jc w:val="both"/>
        <w:rPr>
          <w:rStyle w:val="Hyperlink"/>
          <w:rFonts w:ascii="Times New Roman" w:hAnsi="Times New Roman" w:cs="Times New Roman"/>
          <w:sz w:val="22"/>
          <w:szCs w:val="22"/>
        </w:rPr>
      </w:pPr>
      <w:r>
        <w:rPr>
          <w:rStyle w:val="FootnoteReference"/>
          <w:rFonts w:ascii="Times New Roman" w:hAnsi="Times New Roman" w:cs="Times New Roman"/>
        </w:rPr>
        <w:footnoteRef/>
      </w:r>
      <w:r>
        <w:rPr>
          <w:rFonts w:ascii="Times New Roman" w:hAnsi="Times New Roman"/>
        </w:rPr>
        <w:t xml:space="preserve"> Rezoluția Parlamentului European din 8 februarie 2024 referitoare la punerea în aplicare a Strategiei UE privind egalitatea persoanelor LGBTIQ 2020-2025 (</w:t>
      </w:r>
      <w:hyperlink r:id="rId22" w:history="1">
        <w:r>
          <w:rPr>
            <w:rStyle w:val="Hyperlink"/>
            <w:rFonts w:ascii="Times New Roman" w:hAnsi="Times New Roman"/>
          </w:rPr>
          <w:t>P9_TA(2024)0076</w:t>
        </w:r>
      </w:hyperlink>
      <w:r>
        <w:rPr>
          <w:rFonts w:ascii="Times New Roman" w:hAnsi="Times New Roman"/>
        </w:rPr>
        <w:t>).</w:t>
      </w:r>
    </w:p>
  </w:footnote>
  <w:footnote w:id="22">
    <w:p w14:paraId="1D55ED7A" w14:textId="77777777" w:rsidR="0022191F" w:rsidRDefault="00681186">
      <w:pPr>
        <w:pStyle w:val="FootnoteText"/>
        <w:jc w:val="both"/>
        <w:rPr>
          <w:rFonts w:ascii="Times New Roman" w:hAnsi="Times New Roman" w:cs="Times New Roman"/>
          <w:color w:val="0000FF"/>
          <w:u w:val="single"/>
        </w:rPr>
      </w:pPr>
      <w:r>
        <w:rPr>
          <w:rStyle w:val="FootnoteReference"/>
          <w:rFonts w:ascii="Times New Roman" w:hAnsi="Times New Roman" w:cs="Times New Roman"/>
        </w:rPr>
        <w:footnoteRef/>
      </w:r>
      <w:r>
        <w:rPr>
          <w:rFonts w:ascii="Times New Roman" w:hAnsi="Times New Roman"/>
        </w:rPr>
        <w:t xml:space="preserve"> Consiliul Uniunii Europene, </w:t>
      </w:r>
      <w:hyperlink r:id="rId23" w:history="1">
        <w:r>
          <w:rPr>
            <w:rStyle w:val="Hyperlink"/>
            <w:rFonts w:ascii="Times New Roman" w:hAnsi="Times New Roman"/>
          </w:rPr>
          <w:t>Concluziile președinției privind siguranța persoanelor LGBTI în Uniunea Europeană</w:t>
        </w:r>
      </w:hyperlink>
      <w:r>
        <w:rPr>
          <w:rFonts w:ascii="Times New Roman" w:hAnsi="Times New Roman"/>
        </w:rPr>
        <w:t>, 9 iunie 2023.</w:t>
      </w:r>
    </w:p>
  </w:footnote>
  <w:footnote w:id="23">
    <w:p w14:paraId="04842702"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Comitetul Economic și Social European, avizul intitulat „Interzicerea practicilor de conversie în Uniunea Europeană”, adoptat la 29 aprilie 2026 (</w:t>
      </w:r>
      <w:hyperlink r:id="rId24" w:history="1">
        <w:r>
          <w:rPr>
            <w:rStyle w:val="Hyperlink"/>
            <w:rFonts w:ascii="Times New Roman" w:hAnsi="Times New Roman"/>
          </w:rPr>
          <w:t>SOC/854-EESC-2025</w:t>
        </w:r>
      </w:hyperlink>
      <w:r>
        <w:rPr>
          <w:rFonts w:ascii="Times New Roman" w:hAnsi="Times New Roman"/>
        </w:rPr>
        <w:t>).</w:t>
      </w:r>
    </w:p>
  </w:footnote>
  <w:footnote w:id="24">
    <w:p w14:paraId="5CD9285B" w14:textId="77777777" w:rsidR="0022191F" w:rsidRDefault="00681186">
      <w:pPr>
        <w:pStyle w:val="FootnoteText"/>
        <w:jc w:val="both"/>
        <w:rPr>
          <w:rFonts w:ascii="Times New Roman" w:hAnsi="Times New Roman" w:cs="Times New Roman"/>
          <w:color w:val="0000FF"/>
          <w:sz w:val="18"/>
          <w:szCs w:val="18"/>
          <w:u w:val="single"/>
        </w:rPr>
      </w:pPr>
      <w:r>
        <w:rPr>
          <w:rStyle w:val="FootnoteReference"/>
          <w:rFonts w:ascii="Times New Roman" w:hAnsi="Times New Roman" w:cs="Times New Roman"/>
        </w:rPr>
        <w:footnoteRef/>
      </w:r>
      <w:r>
        <w:rPr>
          <w:rFonts w:ascii="Times New Roman" w:hAnsi="Times New Roman"/>
        </w:rPr>
        <w:t xml:space="preserve"> Adunarea Parlamentară a Consiliului Europei, </w:t>
      </w:r>
      <w:hyperlink r:id="rId25" w:history="1">
        <w:r>
          <w:rPr>
            <w:rStyle w:val="Hyperlink"/>
            <w:rFonts w:ascii="Times New Roman" w:hAnsi="Times New Roman"/>
          </w:rPr>
          <w:t>Rezoluția 2534 (2026)</w:t>
        </w:r>
      </w:hyperlink>
      <w:r>
        <w:rPr>
          <w:rFonts w:ascii="Times New Roman" w:hAnsi="Times New Roman"/>
        </w:rPr>
        <w:t>: Protejarea persoanelor LGBTI împotriva „practicilor de conversie”, adoptată la 29 ianuarie 2026.</w:t>
      </w:r>
    </w:p>
  </w:footnote>
  <w:footnote w:id="25">
    <w:p w14:paraId="11EE007B" w14:textId="77777777" w:rsidR="0022191F" w:rsidRDefault="00681186">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26">
        <w:r>
          <w:rPr>
            <w:rStyle w:val="Hyperlink"/>
            <w:rFonts w:ascii="Times New Roman" w:hAnsi="Times New Roman"/>
          </w:rPr>
          <w:t>Belgia</w:t>
        </w:r>
      </w:hyperlink>
      <w:r>
        <w:rPr>
          <w:rFonts w:ascii="Times New Roman" w:hAnsi="Times New Roman"/>
        </w:rPr>
        <w:t xml:space="preserve">, </w:t>
      </w:r>
      <w:hyperlink r:id="rId27">
        <w:r>
          <w:rPr>
            <w:rStyle w:val="Hyperlink"/>
            <w:rFonts w:ascii="Times New Roman" w:hAnsi="Times New Roman"/>
          </w:rPr>
          <w:t>Germania</w:t>
        </w:r>
      </w:hyperlink>
      <w:r>
        <w:rPr>
          <w:rFonts w:ascii="Times New Roman" w:hAnsi="Times New Roman"/>
        </w:rPr>
        <w:t xml:space="preserve">, </w:t>
      </w:r>
      <w:hyperlink r:id="rId28" w:anchor=":~:text=%CE%93%CE%B9%CE%B1%CF%84%CF%81%CF%8C%CF%82%20%CE%B3%CE%B9%CE%B1%20%CF%8C%CE%BB%CE%BF%CF%85%CF%82%2C%20%CE%B9%CF%83%CF%8C%CF%84%CE%B9%CE%BC%CE%B7%20%CE%BA%CE%B1%CE%B9,%CE%A5%CE%B3%CE%B5%CE%AF%CE%B1%CF%82%20%CE%BA%CE%B1%CE%B9%20%CE%AC%CE%BB%CE%BB%CE%B5%CF%82%20%CE%B5%CF%80%CE%B5%CE%AF%CE%B3%CE%BF%CF%85%CF%83%CE%B5%CF%82%20%CE%B4%CE%B9%CE%B1%CF%84%CE%AC%CE%BE%CE%B5%CE%B9%CF%82.&amp;amp;text=%CE%86%CF%81%CE%B8%CF%81%CE%BF%2063%20%CE%A4%CE%B5%CF%87%CE%BD%CE%B9%CE%BA%CE%AE%20%CF%85%CF%80%CE%BF%CF%83%CF%84%CE%AE%CF%81%CE%B9%CE%BE%CE%B7%20%CE%9F%CF%81%CE%B3%CE%B1%CE%BD%CE%B9%CF%83%CE%BC%CE%BF%CF%8D%20%CE%94%CE%B9%CE%B1%CF%83%CF%86%CE%AC%CE%BB%CE%B9%CF%83%CE%B7%CF%82%20%CF%84%CE%B7%CF%82%20%CE%A0%CE%BF%CE%B9%CF%8C%CF%84%CE%B7%CF%84%CE%B1%CF%82%20%CF%83%CF%84%CE%B7%CE%BD%20%CE%A5%CE%B3%CE%B5%CE%AF%CE%B1%20%CE%91.">
        <w:r>
          <w:rPr>
            <w:rStyle w:val="Hyperlink"/>
            <w:rFonts w:ascii="Times New Roman" w:hAnsi="Times New Roman"/>
          </w:rPr>
          <w:t>Grecia</w:t>
        </w:r>
      </w:hyperlink>
      <w:r>
        <w:rPr>
          <w:rFonts w:ascii="Times New Roman" w:hAnsi="Times New Roman"/>
        </w:rPr>
        <w:t xml:space="preserve">, </w:t>
      </w:r>
      <w:hyperlink r:id="rId29">
        <w:r>
          <w:rPr>
            <w:rStyle w:val="Hyperlink"/>
            <w:rFonts w:ascii="Times New Roman" w:hAnsi="Times New Roman"/>
          </w:rPr>
          <w:t>Spania</w:t>
        </w:r>
      </w:hyperlink>
      <w:r>
        <w:rPr>
          <w:rFonts w:ascii="Times New Roman" w:hAnsi="Times New Roman"/>
        </w:rPr>
        <w:t xml:space="preserve">, </w:t>
      </w:r>
      <w:hyperlink r:id="rId30">
        <w:r>
          <w:rPr>
            <w:rStyle w:val="Hyperlink"/>
            <w:rFonts w:ascii="Times New Roman" w:hAnsi="Times New Roman"/>
          </w:rPr>
          <w:t>Franța</w:t>
        </w:r>
      </w:hyperlink>
      <w:r>
        <w:rPr>
          <w:rFonts w:ascii="Times New Roman" w:hAnsi="Times New Roman"/>
        </w:rPr>
        <w:t xml:space="preserve">, </w:t>
      </w:r>
      <w:hyperlink r:id="rId31">
        <w:r>
          <w:rPr>
            <w:rStyle w:val="Hyperlink"/>
            <w:rFonts w:ascii="Times New Roman" w:hAnsi="Times New Roman"/>
          </w:rPr>
          <w:t>Cipru</w:t>
        </w:r>
      </w:hyperlink>
      <w:r>
        <w:rPr>
          <w:rFonts w:ascii="Times New Roman" w:hAnsi="Times New Roman"/>
        </w:rPr>
        <w:t xml:space="preserve">, </w:t>
      </w:r>
      <w:hyperlink r:id="rId32">
        <w:r>
          <w:rPr>
            <w:rStyle w:val="Hyperlink"/>
            <w:rFonts w:ascii="Times New Roman" w:hAnsi="Times New Roman"/>
          </w:rPr>
          <w:t>Malta</w:t>
        </w:r>
      </w:hyperlink>
      <w:r>
        <w:rPr>
          <w:rFonts w:ascii="Times New Roman" w:hAnsi="Times New Roman"/>
        </w:rPr>
        <w:t xml:space="preserve"> și </w:t>
      </w:r>
      <w:hyperlink r:id="rId33">
        <w:r>
          <w:rPr>
            <w:rStyle w:val="Hyperlink"/>
            <w:rFonts w:ascii="Times New Roman" w:hAnsi="Times New Roman"/>
          </w:rPr>
          <w:t>Portugalia</w:t>
        </w:r>
      </w:hyperlink>
      <w:r>
        <w:t>.</w:t>
      </w:r>
      <w:r>
        <w:rPr>
          <w:rFonts w:ascii="Times New Roman" w:hAnsi="Times New Roman"/>
        </w:rPr>
        <w:t xml:space="preserve"> </w:t>
      </w:r>
    </w:p>
  </w:footnote>
  <w:footnote w:id="26">
    <w:p w14:paraId="729524DB"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Consiliului cu privire la punerea în aplicare a principiului tratamentului egal al persoanelor indiferent de religie sau convingeri, handicap, vârstă sau orientare sexuală (</w:t>
      </w:r>
      <w:hyperlink r:id="rId34" w:history="1">
        <w:r>
          <w:rPr>
            <w:rStyle w:val="Hyperlink"/>
            <w:rFonts w:ascii="Times New Roman" w:hAnsi="Times New Roman"/>
          </w:rPr>
          <w:t>COM(2008) 0426 final</w:t>
        </w:r>
      </w:hyperlink>
      <w:r>
        <w:rPr>
          <w:rFonts w:ascii="Times New Roman" w:hAnsi="Times New Roman"/>
        </w:rPr>
        <w:t>).</w:t>
      </w:r>
    </w:p>
  </w:footnote>
  <w:footnote w:id="27">
    <w:p w14:paraId="5EB3CBE9" w14:textId="1AE84F84" w:rsidR="0022191F" w:rsidRDefault="00681186">
      <w:pPr>
        <w:pStyle w:val="FootnoteText"/>
      </w:pPr>
      <w:r>
        <w:rPr>
          <w:rStyle w:val="FootnoteReference"/>
        </w:rPr>
        <w:footnoteRef/>
      </w:r>
      <w:r>
        <w:t xml:space="preserve"> </w:t>
      </w:r>
      <w:r>
        <w:rPr>
          <w:rFonts w:ascii="Times New Roman" w:hAnsi="Times New Roman"/>
        </w:rPr>
        <w:t xml:space="preserve">Directiva privind punerea în aplicare a principiului egalității de tratament </w:t>
      </w:r>
      <w:r>
        <w:rPr>
          <w:rFonts w:ascii="Times New Roman" w:hAnsi="Times New Roman"/>
        </w:rPr>
        <w:cr/>
        <w:t xml:space="preserve">(articolul 19) – </w:t>
      </w:r>
      <w:r>
        <w:rPr>
          <w:rStyle w:val="Hyperlink"/>
          <w:rFonts w:ascii="Times New Roman" w:hAnsi="Times New Roman"/>
        </w:rPr>
        <w:t>Raport intermediar (</w:t>
      </w:r>
      <w:hyperlink r:id="rId35" w:history="1">
        <w:r>
          <w:rPr>
            <w:rStyle w:val="Hyperlink"/>
            <w:rFonts w:ascii="Times New Roman" w:hAnsi="Times New Roman"/>
          </w:rPr>
          <w:t>10817/24</w:t>
        </w:r>
      </w:hyperlink>
      <w:r>
        <w:rPr>
          <w:rStyle w:val="Hyperlink"/>
          <w:rFonts w:ascii="Times New Roman" w:hAnsi="Times New Roman"/>
        </w:rPr>
        <w:t>).</w:t>
      </w:r>
    </w:p>
  </w:footnote>
  <w:footnote w:id="28">
    <w:p w14:paraId="32A28848" w14:textId="77777777" w:rsidR="0022191F" w:rsidRDefault="006811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Directiva 2012/29/UE</w:t>
        </w:r>
      </w:hyperlink>
      <w:r>
        <w:rPr>
          <w:rFonts w:ascii="Times New Roman" w:hAnsi="Times New Roman"/>
        </w:rPr>
        <w:t xml:space="preserve"> de stabilire a unor norme minime privind drepturile, sprijinirea și protecția victimelor criminalității.</w:t>
      </w:r>
    </w:p>
  </w:footnote>
  <w:footnote w:id="29">
    <w:p w14:paraId="2052F572" w14:textId="77777777" w:rsidR="0022191F" w:rsidRDefault="00681186">
      <w:pPr>
        <w:pStyle w:val="FootnoteText"/>
        <w:jc w:val="both"/>
      </w:pPr>
      <w:r>
        <w:rPr>
          <w:rStyle w:val="FootnoteReference"/>
        </w:rPr>
        <w:footnoteRef/>
      </w:r>
      <w:r>
        <w:t xml:space="preserve"> </w:t>
      </w:r>
      <w:r>
        <w:rPr>
          <w:rFonts w:ascii="Times New Roman" w:hAnsi="Times New Roman"/>
        </w:rPr>
        <w:t>Propunere de directivă a Parlamentului European și a Consiliului de modificare a Directivei 2012/29/UE de stabilire a unor norme minime privind drepturile, sprijinirea și protecția victimelor criminalității și de înlocuire a Deciziei-cadru 2001/220/JAI a Consiliului (</w:t>
      </w:r>
      <w:hyperlink r:id="rId37" w:history="1">
        <w:r>
          <w:rPr>
            <w:rStyle w:val="Hyperlink"/>
            <w:rFonts w:ascii="Times New Roman" w:hAnsi="Times New Roman"/>
          </w:rPr>
          <w:t>COM/2023/424 final</w:t>
        </w:r>
      </w:hyperlink>
      <w:r>
        <w:rPr>
          <w:rFonts w:ascii="Times New Roman" w:hAnsi="Times New Roman"/>
        </w:rPr>
        <w:t>).</w:t>
      </w:r>
    </w:p>
  </w:footnote>
  <w:footnote w:id="30">
    <w:p w14:paraId="299ECE3D" w14:textId="77777777" w:rsidR="0022191F" w:rsidRDefault="00681186">
      <w:pPr>
        <w:pStyle w:val="FootnoteText"/>
      </w:pPr>
      <w:r>
        <w:rPr>
          <w:rStyle w:val="FootnoteReference"/>
        </w:rPr>
        <w:footnoteRef/>
      </w:r>
      <w:r>
        <w:t xml:space="preserve"> </w:t>
      </w:r>
      <w:hyperlink r:id="rId38">
        <w:r>
          <w:rPr>
            <w:rStyle w:val="Hyperlink"/>
            <w:rFonts w:ascii="Times New Roman" w:hAnsi="Times New Roman"/>
          </w:rPr>
          <w:t>Comunicatul de presă al Consiliului</w:t>
        </w:r>
      </w:hyperlink>
      <w:r>
        <w:rPr>
          <w:rFonts w:ascii="Times New Roman" w:hAnsi="Times New Roman"/>
        </w:rPr>
        <w:t>: UE consolidează protecția și sprijinul acordat victimelor criminalității, 10 decembrie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AE6BB" w14:textId="77777777" w:rsidR="00CA7B05" w:rsidRPr="00CA7B05" w:rsidRDefault="00CA7B05" w:rsidP="00CA7B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2A25" w14:textId="77777777" w:rsidR="00CA7B05" w:rsidRPr="00CA7B05" w:rsidRDefault="00CA7B05" w:rsidP="00CA7B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29779" w14:textId="77777777" w:rsidR="00CA7B05" w:rsidRPr="00CA7B05" w:rsidRDefault="00CA7B05" w:rsidP="00CA7B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9075" w14:textId="77777777" w:rsidR="0022191F" w:rsidRDefault="002219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8BF3E" w14:textId="77777777" w:rsidR="0022191F" w:rsidRDefault="002219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4046F" w14:textId="77777777" w:rsidR="0022191F" w:rsidRDefault="00221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72653"/>
    <w:multiLevelType w:val="hybridMultilevel"/>
    <w:tmpl w:val="0BA2A1EC"/>
    <w:lvl w:ilvl="0" w:tplc="0F14CC9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950C7"/>
    <w:multiLevelType w:val="hybridMultilevel"/>
    <w:tmpl w:val="1864FE3C"/>
    <w:lvl w:ilvl="0" w:tplc="CEAAE0C8">
      <w:start w:val="1"/>
      <w:numFmt w:val="bullet"/>
      <w:lvlText w:val="-"/>
      <w:lvlJc w:val="left"/>
      <w:pPr>
        <w:ind w:left="720" w:hanging="360"/>
      </w:pPr>
      <w:rPr>
        <w:rFonts w:ascii="EC Square Sans Pro Light" w:eastAsiaTheme="minorHAnsi" w:hAnsi="EC Square Sans Pr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CB84EBB"/>
    <w:multiLevelType w:val="hybridMultilevel"/>
    <w:tmpl w:val="A454923A"/>
    <w:lvl w:ilvl="0" w:tplc="793ED8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51A5A37"/>
    <w:multiLevelType w:val="multilevel"/>
    <w:tmpl w:val="78305A3E"/>
    <w:lvl w:ilvl="0">
      <w:start w:val="2"/>
      <w:numFmt w:val="decimal"/>
      <w:lvlText w:val="%1"/>
      <w:lvlJc w:val="left"/>
      <w:pPr>
        <w:ind w:left="360" w:hanging="360"/>
      </w:pPr>
      <w:rPr>
        <w:rFonts w:hint="default"/>
        <w:b w:val="0"/>
      </w:rPr>
    </w:lvl>
    <w:lvl w:ilvl="1">
      <w:start w:val="1"/>
      <w:numFmt w:val="decimal"/>
      <w:lvlText w:val="%1.%2"/>
      <w:lvlJc w:val="left"/>
      <w:pPr>
        <w:ind w:left="2629"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66323B5"/>
    <w:multiLevelType w:val="hybridMultilevel"/>
    <w:tmpl w:val="498851A0"/>
    <w:lvl w:ilvl="0" w:tplc="B88C524E">
      <w:start w:val="1"/>
      <w:numFmt w:val="decimal"/>
      <w:lvlText w:val="%1."/>
      <w:lvlJc w:val="left"/>
      <w:pPr>
        <w:ind w:left="720" w:hanging="360"/>
      </w:pPr>
      <w:rPr>
        <w:rFonts w:cs="Times New Roman" w:hint="default"/>
        <w:color w:val="auto"/>
        <w:sz w:val="28"/>
        <w:szCs w:val="2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9DE4A0B"/>
    <w:multiLevelType w:val="multilevel"/>
    <w:tmpl w:val="84B46D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598F187-7CB1-4F7F-9704-31ABC57109EF"/>
    <w:docVar w:name="LW_COVERPAGE_TYPE" w:val="1"/>
    <w:docVar w:name="LW_CROSSREFERENCE" w:val="&lt;UNUSED&gt;"/>
    <w:docVar w:name="LW_DocType" w:val="NORMAL"/>
    <w:docVar w:name="LW_EMISSION" w:val="13.5.2026"/>
    <w:docVar w:name="LW_EMISSION_ISODATE" w:val="2026-05-13"/>
    <w:docVar w:name="LW_EMISSION_LOCATION" w:val="BRX"/>
    <w:docVar w:name="LW_EMISSION_PREFIX" w:val="Bruxelles, "/>
    <w:docVar w:name="LW_EMISSION_SUFFIX" w:val=" "/>
    <w:docVar w:name="LW_ID_DOCTYPE_NONLW" w:val="CP-00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3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ini\u539?iativa cet\u259?\u539?eneasc\u259? european\u259? intitulat\u259? \u8222?Interzicerea practicilor de conversie în Uniunea European\u259?\u8221?_x000d__x000d__x000b__x000d__x000d__x000b__x000d__x000d__x000d__x000b__x000d__x000d__x000d__x000b_"/>
    <w:docVar w:name="LW_TYPE.DOC.CP" w:val="COMUNICARE A COMISIEI"/>
    <w:docVar w:name="LW_TYPE.DOC.CP.USERTEXT" w:val="&lt;EMPTY&gt;"/>
    <w:docVar w:name="LwApiVersions" w:val="LW4CoDe 1.24.5.0; LW 9.2, Build 20251112"/>
  </w:docVars>
  <w:rsids>
    <w:rsidRoot w:val="0022191F"/>
    <w:rsid w:val="001636C2"/>
    <w:rsid w:val="00215F20"/>
    <w:rsid w:val="0022191F"/>
    <w:rsid w:val="00257839"/>
    <w:rsid w:val="003342E6"/>
    <w:rsid w:val="00413382"/>
    <w:rsid w:val="005B3CB5"/>
    <w:rsid w:val="00681186"/>
    <w:rsid w:val="006F3B4F"/>
    <w:rsid w:val="00CA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22A9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6F3B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style>
  <w:style w:type="character" w:styleId="Hyperlink">
    <w:name w:val="Hyperlink"/>
    <w:uiPriority w:val="99"/>
    <w:rPr>
      <w:color w:val="0000FF"/>
      <w:u w:val="singl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character" w:customStyle="1" w:styleId="FootnoteTextChar">
    <w:name w:val="Footnote Text Char"/>
    <w:basedOn w:val="DefaultParagraphFont"/>
    <w:link w:val="FootnoteText"/>
    <w:rPr>
      <w:sz w:val="20"/>
      <w:szCs w:val="20"/>
      <w:lang w:val="ro-RO"/>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pPr>
      <w:spacing w:line="240" w:lineRule="exact"/>
      <w:jc w:val="both"/>
    </w:pPr>
    <w:rPr>
      <w:vertAlign w:val="superscript"/>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pPr>
      <w:spacing w:after="0" w:line="240" w:lineRule="auto"/>
    </w:p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rsid w:val="006F3B4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F3B4F"/>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F3B4F"/>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F3B4F"/>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plenary/ro/debate-details.html?date=20260325&amp;detailBy=date" TargetMode="External"/><Relationship Id="rId13" Type="http://schemas.openxmlformats.org/officeDocument/2006/relationships/hyperlink" Target="https://onlinelibrary.wiley.com/doi/10.1002/wps.20340" TargetMode="External"/><Relationship Id="rId18" Type="http://schemas.openxmlformats.org/officeDocument/2006/relationships/hyperlink" Target="https://eur-lex.europa.eu/legal-content/RO/TXT/?uri=CELEX%3A52025DC0725" TargetMode="External"/><Relationship Id="rId26" Type="http://schemas.openxmlformats.org/officeDocument/2006/relationships/hyperlink" Target="https://www.stradalex.com/fr/sl_src_publ_leg_be_moniteur/toc/leg_be_moniteur_fr_18102023_1/doc/mb2023045428" TargetMode="External"/><Relationship Id="rId3" Type="http://schemas.openxmlformats.org/officeDocument/2006/relationships/hyperlink" Target="https://eur-lex.europa.eu/legal-content/RO/TXT/?uri=CELEX:32024D0442" TargetMode="External"/><Relationship Id="rId21" Type="http://schemas.openxmlformats.org/officeDocument/2006/relationships/hyperlink" Target="https://www.europarl.europa.eu/doceo/document/TA-10-2026-0147_RO.html" TargetMode="External"/><Relationship Id="rId34" Type="http://schemas.openxmlformats.org/officeDocument/2006/relationships/hyperlink" Target="https://eur-lex.europa.eu/legal-content/RO/TXT/?uri=CELEX:52008PC0426" TargetMode="External"/><Relationship Id="rId7" Type="http://schemas.openxmlformats.org/officeDocument/2006/relationships/hyperlink" Target="https://www.europarl.europa.eu/committees/en/public-hearing-on-european-citizens-init/product-details/20260210CHE13622" TargetMode="External"/><Relationship Id="rId12" Type="http://schemas.openxmlformats.org/officeDocument/2006/relationships/hyperlink" Target="https://www.wma.net/wp-content/uploads/2013/10/S-2013-03-2013_OVE.pdf" TargetMode="External"/><Relationship Id="rId17" Type="http://schemas.openxmlformats.org/officeDocument/2006/relationships/hyperlink" Target="https://commission.europa.eu/document/download/e0f32937-9ce9-40d7-880c-416321d00dc9_en?filename=mission-letter-lahbib.pdf" TargetMode="External"/><Relationship Id="rId25" Type="http://schemas.openxmlformats.org/officeDocument/2006/relationships/hyperlink" Target="https://pace.coe.int/en/files/35883/html" TargetMode="External"/><Relationship Id="rId33" Type="http://schemas.openxmlformats.org/officeDocument/2006/relationships/hyperlink" Target="https://www.pgdlisboa.pt/leis/lei_mostra_articulado.php?ficha=1&amp;nid=3768&amp;pagina=1&amp;tabela=leis" TargetMode="External"/><Relationship Id="rId38" Type="http://schemas.openxmlformats.org/officeDocument/2006/relationships/hyperlink" Target="https://www.consilium.europa.eu/ro/press/press-releases/2025/12/10/the-eu-strengthens-the-protection-and-support-of-victims-of-crime/" TargetMode="External"/><Relationship Id="rId2" Type="http://schemas.openxmlformats.org/officeDocument/2006/relationships/hyperlink" Target="https://eur-lex.europa.eu/legal-content/ro/TXT/PDF/?uri=CELEX:32019R0788" TargetMode="External"/><Relationship Id="rId16" Type="http://schemas.openxmlformats.org/officeDocument/2006/relationships/hyperlink" Target="https://www.ohchr.org/en/documents/thematic-reports/ahrc4453-practices-so-called-conversion-therapy-report-independent" TargetMode="External"/><Relationship Id="rId20" Type="http://schemas.openxmlformats.org/officeDocument/2006/relationships/hyperlink" Target="https://www.europarl.europa.eu/doceo/document/TA-10-2026-0146_RO.html" TargetMode="External"/><Relationship Id="rId29" Type="http://schemas.openxmlformats.org/officeDocument/2006/relationships/hyperlink" Target="https://www.boe.es/buscar/act.php?id=BOE-A-2023-5366" TargetMode="External"/><Relationship Id="rId1" Type="http://schemas.openxmlformats.org/officeDocument/2006/relationships/hyperlink" Target="https://citizens-initiative.europa.eu/initiatives/details/2024/000001_ro" TargetMode="External"/><Relationship Id="rId6" Type="http://schemas.openxmlformats.org/officeDocument/2006/relationships/hyperlink" Target="https://multimedia.europarl.europa.eu/en/webstreaming/committee-on-civil-liberties-justice-and-home-affairs-ordinary-meeting_20260302-1500-COMMITTEE-LIBE" TargetMode="External"/><Relationship Id="rId11" Type="http://schemas.openxmlformats.org/officeDocument/2006/relationships/hyperlink" Target="https://www.who.int/standards/classifications/classification-of-diseases" TargetMode="External"/><Relationship Id="rId24" Type="http://schemas.openxmlformats.org/officeDocument/2006/relationships/hyperlink" Target="https://www.eesc.europa.eu/en/our-work/opinions-information-reports/opinions/ban-conversion-practices-european-union" TargetMode="External"/><Relationship Id="rId32" Type="http://schemas.openxmlformats.org/officeDocument/2006/relationships/hyperlink" Target="https://legislation.mt/eli/cap/567/mlt" TargetMode="External"/><Relationship Id="rId37" Type="http://schemas.openxmlformats.org/officeDocument/2006/relationships/hyperlink" Target="https://eur-lex.europa.eu/legal-content/RO/TXT/?uri=CELEX:52023PC0424" TargetMode="External"/><Relationship Id="rId5" Type="http://schemas.openxmlformats.org/officeDocument/2006/relationships/hyperlink" Target="https://audiovisual.ec.europa.eu/en/media/photo/P-068627" TargetMode="External"/><Relationship Id="rId15" Type="http://schemas.openxmlformats.org/officeDocument/2006/relationships/hyperlink" Target="https://fra.europa.eu/en/publication/2024/lgbtiq-equality-crossroads-progress-and-challenges" TargetMode="External"/><Relationship Id="rId23" Type="http://schemas.openxmlformats.org/officeDocument/2006/relationships/hyperlink" Target="https://data.consilium.europa.eu/doc/document/ST-9942-2023-INIT/ro/pdf" TargetMode="External"/><Relationship Id="rId28" Type="http://schemas.openxmlformats.org/officeDocument/2006/relationships/hyperlink" Target="https://www.kodiko.gr/nomothesia/document/790690/nomos-4931-2022" TargetMode="External"/><Relationship Id="rId36" Type="http://schemas.openxmlformats.org/officeDocument/2006/relationships/hyperlink" Target="https://eur-lex.europa.eu/eli/dir/2012/29/oj/eng" TargetMode="External"/><Relationship Id="rId10" Type="http://schemas.openxmlformats.org/officeDocument/2006/relationships/hyperlink" Target="https://pace.coe.int/en/files/35883/html" TargetMode="External"/><Relationship Id="rId19" Type="http://schemas.openxmlformats.org/officeDocument/2006/relationships/hyperlink" Target="https://eur-lex.europa.eu/legal-content/RO/TXT/?uri=CELEX%3A52025DC0725" TargetMode="External"/><Relationship Id="rId31" Type="http://schemas.openxmlformats.org/officeDocument/2006/relationships/hyperlink" Target="https://www.cylaw.org/nomoi/enop/non-ind/0_154/index.html" TargetMode="External"/><Relationship Id="rId4" Type="http://schemas.openxmlformats.org/officeDocument/2006/relationships/hyperlink" Target="https://op.europa.eu/en/publication-detail/-/publication/4dddcff4-2450-11ee-94cb-01aa75ed71a1" TargetMode="External"/><Relationship Id="rId9" Type="http://schemas.openxmlformats.org/officeDocument/2006/relationships/hyperlink" Target="https://www.ohchr.org/en/documents/thematic-reports/ahrc4453-practices-so-called-conversion-therapy-report-independent" TargetMode="External"/><Relationship Id="rId14" Type="http://schemas.openxmlformats.org/officeDocument/2006/relationships/hyperlink" Target="https://www.europsy.net/app/uploads/2022/01/EPA-statement-on-ban-on-conversion-therapy.pdf" TargetMode="External"/><Relationship Id="rId22" Type="http://schemas.openxmlformats.org/officeDocument/2006/relationships/hyperlink" Target="https://www.europarl.europa.eu/doceo/document/TA-9-2024-0076_RO.html" TargetMode="External"/><Relationship Id="rId27" Type="http://schemas.openxmlformats.org/officeDocument/2006/relationships/hyperlink" Target="https://www.gesetze-im-internet.de/konvbehschg/BJNR128500020.html" TargetMode="External"/><Relationship Id="rId30" Type="http://schemas.openxmlformats.org/officeDocument/2006/relationships/hyperlink" Target="https://www.legifrance.gouv.fr/jorf/id/JORFTEXT000045097703" TargetMode="External"/><Relationship Id="rId35" Type="http://schemas.openxmlformats.org/officeDocument/2006/relationships/hyperlink" Target="https://data.consilium.europa.eu/doc/document/ST-10817-2024-INIT/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3405</Words>
  <Characters>19411</Characters>
  <Application>Microsoft Office Word</Application>
  <DocSecurity>0</DocSecurity>
  <Lines>161</Lines>
  <Paragraphs>45</Paragraphs>
  <ScaleCrop>false</ScaleCrop>
  <Manager/>
  <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2026-05-08T14:13:00Z</dcterms:created>
  <dcterms:modified xsi:type="dcterms:W3CDTF">2026-05-22T18:32:00Z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2026-05-08T14:13:16Z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9e7b32ad-2d9d-4b95-bc1d-3edea708846e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