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A1085" w14:textId="1DEBF904" w:rsidR="00E32103" w:rsidRPr="004955D6" w:rsidRDefault="00F46A0D" w:rsidP="00F46A0D">
      <w:pPr>
        <w:pStyle w:val="Pagedecouverture"/>
        <w:rPr>
          <w:noProof/>
        </w:rPr>
      </w:pPr>
      <w:bookmarkStart w:id="0" w:name="LW_BM_COVERPAGE"/>
      <w:r>
        <w:rPr>
          <w:noProof/>
        </w:rPr>
        <w:pict w14:anchorId="148A3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CBD0C724-B236-4BBD-88E4-5240FDE6C47F" style="width:455.25pt;height:313.5pt">
            <v:imagedata r:id="rId8" o:title=""/>
          </v:shape>
        </w:pict>
      </w:r>
    </w:p>
    <w:bookmarkEnd w:id="0"/>
    <w:p w14:paraId="6348A232" w14:textId="77777777" w:rsidR="00E32103" w:rsidRPr="004955D6" w:rsidRDefault="00E32103" w:rsidP="00E32103">
      <w:pPr>
        <w:rPr>
          <w:noProof/>
        </w:rPr>
        <w:sectPr w:rsidR="00E32103" w:rsidRPr="004955D6" w:rsidSect="00F46A0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299"/>
        </w:sectPr>
      </w:pPr>
    </w:p>
    <w:p w14:paraId="748336DF" w14:textId="77777777" w:rsidR="000242DE" w:rsidRPr="004955D6" w:rsidRDefault="00741D01" w:rsidP="0034627C">
      <w:pPr>
        <w:pStyle w:val="ListParagraph"/>
        <w:numPr>
          <w:ilvl w:val="0"/>
          <w:numId w:val="14"/>
        </w:numPr>
        <w:rPr>
          <w:b/>
          <w:bCs/>
          <w:noProof/>
        </w:rPr>
      </w:pPr>
      <w:bookmarkStart w:id="1" w:name="_GoBack"/>
      <w:bookmarkEnd w:id="1"/>
      <w:r>
        <w:rPr>
          <w:b/>
          <w:noProof/>
        </w:rPr>
        <w:lastRenderedPageBreak/>
        <w:t>INTRODUCTION: L’INITIATIVE CITOYENNE EUROPÉENNE</w:t>
      </w:r>
    </w:p>
    <w:p w14:paraId="68DCF9A0" w14:textId="77777777" w:rsidR="000242DE" w:rsidRPr="004955D6" w:rsidRDefault="7DB91313" w:rsidP="00F777E6">
      <w:pPr>
        <w:pStyle w:val="BodyText"/>
        <w:spacing w:before="240"/>
        <w:ind w:left="23" w:right="17"/>
        <w:jc w:val="both"/>
        <w:rPr>
          <w:noProof/>
        </w:rPr>
      </w:pPr>
      <w:r>
        <w:rPr>
          <w:noProof/>
        </w:rPr>
        <w:t>«Stop Destroying Videogames» (Stop à la destruction des jeux vidéo) est la 14</w:t>
      </w:r>
      <w:r>
        <w:rPr>
          <w:noProof/>
          <w:vertAlign w:val="superscript"/>
        </w:rPr>
        <w:t>e</w:t>
      </w:r>
      <w:r>
        <w:rPr>
          <w:noProof/>
        </w:rPr>
        <w:t> initiative citoyenne européenne (ICE) présentée à la Commission pour examen après avoir atteint les seuils</w:t>
      </w:r>
      <w:r>
        <w:rPr>
          <w:rStyle w:val="FootnoteReference"/>
          <w:noProof/>
        </w:rPr>
        <w:footnoteReference w:id="1"/>
      </w:r>
      <w:r>
        <w:rPr>
          <w:noProof/>
        </w:rPr>
        <w:t xml:space="preserve"> requis par le traité sur l’Union européenne et le règlement (UE) 2019/788</w:t>
      </w:r>
      <w:r>
        <w:rPr>
          <w:rStyle w:val="FootnoteReference"/>
          <w:noProof/>
        </w:rPr>
        <w:footnoteReference w:id="2"/>
      </w:r>
      <w:r>
        <w:rPr>
          <w:noProof/>
        </w:rPr>
        <w:t xml:space="preserve"> (le «règlement ICE»).</w:t>
      </w:r>
    </w:p>
    <w:p w14:paraId="00616FA2" w14:textId="77777777" w:rsidR="000242DE" w:rsidRPr="004955D6" w:rsidRDefault="00741D01" w:rsidP="00F44C23">
      <w:pPr>
        <w:pStyle w:val="BodyText"/>
        <w:spacing w:before="199"/>
        <w:ind w:left="23"/>
        <w:jc w:val="both"/>
        <w:rPr>
          <w:noProof/>
          <w:spacing w:val="-2"/>
        </w:rPr>
      </w:pPr>
      <w:r>
        <w:rPr>
          <w:noProof/>
        </w:rPr>
        <w:t>Les organisateurs décrivent leurs objectifs comme suit:</w:t>
      </w:r>
    </w:p>
    <w:p w14:paraId="35043AAC" w14:textId="77777777" w:rsidR="00F44C23" w:rsidRPr="004955D6" w:rsidRDefault="00F44C23" w:rsidP="00F44C23">
      <w:pPr>
        <w:pStyle w:val="BodyText"/>
        <w:jc w:val="both"/>
        <w:rPr>
          <w:i/>
          <w:noProof/>
          <w:szCs w:val="22"/>
        </w:rPr>
      </w:pPr>
    </w:p>
    <w:p w14:paraId="7E4BA163" w14:textId="77777777" w:rsidR="00F44C23" w:rsidRPr="004955D6" w:rsidRDefault="00F44C23" w:rsidP="00F44C23">
      <w:pPr>
        <w:pStyle w:val="BodyText"/>
        <w:jc w:val="both"/>
        <w:rPr>
          <w:i/>
          <w:noProof/>
          <w:szCs w:val="22"/>
        </w:rPr>
      </w:pPr>
      <w:r>
        <w:rPr>
          <w:i/>
          <w:noProof/>
        </w:rPr>
        <w:t>Les jeux vidéo sont devenus un secteur économique comptant plusieurs milliards de clients pour une valeur de centaines de milliards d’euros. Une pratique commerciale particulière est apparue progressivement qui non seulement constitue une atteinte aux droits fondamentaux des consommateurs, mais détruit aussi le média lui-même.</w:t>
      </w:r>
    </w:p>
    <w:p w14:paraId="367B5770" w14:textId="77777777" w:rsidR="00F44C23" w:rsidRPr="004955D6" w:rsidRDefault="00F44C23" w:rsidP="00F44C23">
      <w:pPr>
        <w:pStyle w:val="BodyText"/>
        <w:jc w:val="both"/>
        <w:rPr>
          <w:i/>
          <w:noProof/>
          <w:szCs w:val="22"/>
        </w:rPr>
      </w:pPr>
    </w:p>
    <w:p w14:paraId="34D642EC" w14:textId="77777777" w:rsidR="00F44C23" w:rsidRPr="004955D6" w:rsidRDefault="1065ABE6" w:rsidP="12352CF2">
      <w:pPr>
        <w:pStyle w:val="BodyText"/>
        <w:jc w:val="both"/>
        <w:rPr>
          <w:i/>
          <w:iCs/>
          <w:noProof/>
        </w:rPr>
      </w:pPr>
      <w:r>
        <w:rPr>
          <w:i/>
          <w:noProof/>
        </w:rPr>
        <w:t>Un nombre croissant d’éditeurs vendent des jeux vidéo qui nécessitent une connexion à l’éditeur par internet − une fonction parfois appelée «phone home». S’il ne s’agit pas d’un problème en soi, lorsque l’assistance fournie pour ces types de jeux se termine, très souvent, les éditeurs coupent tout bonnement la connexion nécessaire au fonctionnement du jeu, détruisent toutes les copies opérationnelles du jeu et prennent des mesures considérables pour empêcher les clients de «réparer» le jeu de quelque manière que ce soit.</w:t>
      </w:r>
    </w:p>
    <w:p w14:paraId="1AD22C68" w14:textId="77777777" w:rsidR="00F44C23" w:rsidRPr="004955D6" w:rsidRDefault="00F44C23" w:rsidP="00F44C23">
      <w:pPr>
        <w:pStyle w:val="BodyText"/>
        <w:jc w:val="both"/>
        <w:rPr>
          <w:i/>
          <w:noProof/>
          <w:szCs w:val="22"/>
        </w:rPr>
      </w:pPr>
    </w:p>
    <w:p w14:paraId="0BFE4F00" w14:textId="77777777" w:rsidR="00F44C23" w:rsidRPr="004955D6" w:rsidRDefault="1065ABE6" w:rsidP="12352CF2">
      <w:pPr>
        <w:pStyle w:val="BodyText"/>
        <w:jc w:val="both"/>
        <w:rPr>
          <w:i/>
          <w:iCs/>
          <w:noProof/>
        </w:rPr>
      </w:pPr>
      <w:r>
        <w:rPr>
          <w:i/>
          <w:noProof/>
        </w:rPr>
        <w:t>Cette pratique revient à priver les clients de leurs achats et rend la remise en état impossible. Non seulement il s’agit d’une atteinte aux droits des consommateurs, mais les jeux vidéo constituent en eux-mêmes des œuvres créatives uniques. À l’instar d’un film ou d’une œuvre musicale, ils ne sont pas interchangeables. Leur destruction représente une perte créative pour tous les acteurs concernés et revient à effacer l’histoire d’une manière qui n’est pas possible avec d’autres médias.</w:t>
      </w:r>
    </w:p>
    <w:p w14:paraId="362975D6" w14:textId="77777777" w:rsidR="00F44C23" w:rsidRPr="004955D6" w:rsidRDefault="00F44C23" w:rsidP="00F44C23">
      <w:pPr>
        <w:pStyle w:val="BodyText"/>
        <w:jc w:val="both"/>
        <w:rPr>
          <w:i/>
          <w:noProof/>
          <w:szCs w:val="22"/>
        </w:rPr>
      </w:pPr>
    </w:p>
    <w:p w14:paraId="6F9A6D7A" w14:textId="77777777" w:rsidR="00F44C23" w:rsidRPr="004955D6" w:rsidRDefault="1065ABE6" w:rsidP="12352CF2">
      <w:pPr>
        <w:pStyle w:val="BodyText"/>
        <w:jc w:val="both"/>
        <w:rPr>
          <w:i/>
          <w:iCs/>
          <w:noProof/>
        </w:rPr>
      </w:pPr>
      <w:r>
        <w:rPr>
          <w:i/>
          <w:noProof/>
        </w:rPr>
        <w:t>La législation en vigueur et les organisations de défense des consommateurs ne sont pas à même de bien protéger les consommateurs contre cette pratique. Le fait pour une entreprise de pouvoir détruire longtemps après sa vente un article qu’elle a déjà vendu à des clients n’est pas une pratique normale dans d’autres secteurs. L’acceptation obligatoire d’un contrat de licence pour pouvoir ne serait-ce qu’exécuter le jeu permet aux éditeurs de contourner de nombreuses protections dont bénéficient les consommateurs. Cette pratique remet en cause la notion même de propriété, le consommateur se retrouvant sans rien après «l’achat» d’un jeu.</w:t>
      </w:r>
    </w:p>
    <w:p w14:paraId="1266E041" w14:textId="77777777" w:rsidR="00F44C23" w:rsidRPr="004955D6" w:rsidRDefault="00F44C23" w:rsidP="00F44C23">
      <w:pPr>
        <w:pStyle w:val="BodyText"/>
        <w:jc w:val="both"/>
        <w:rPr>
          <w:i/>
          <w:noProof/>
          <w:szCs w:val="22"/>
        </w:rPr>
      </w:pPr>
    </w:p>
    <w:p w14:paraId="0FB5C5B4" w14:textId="77777777" w:rsidR="00F44C23" w:rsidRPr="004955D6" w:rsidRDefault="1065ABE6" w:rsidP="12352CF2">
      <w:pPr>
        <w:pStyle w:val="BodyText"/>
        <w:jc w:val="both"/>
        <w:rPr>
          <w:i/>
          <w:iCs/>
          <w:noProof/>
        </w:rPr>
      </w:pPr>
      <w:r>
        <w:rPr>
          <w:i/>
          <w:noProof/>
        </w:rPr>
        <w:t>Cette initiative demande d’imposer aux éditeurs qui vendent ou accordent des licences pour des jeux vidéo (ou des fonctionnalités et ressources connexes vendues pour des jeux vidéo qu’ils exploitent) aux consommateurs de l’Union européenne l’obligation de laisser ces jeux vidéo dans un état fonctionnel (jouable).</w:t>
      </w:r>
    </w:p>
    <w:p w14:paraId="4B6E44AF" w14:textId="77777777" w:rsidR="00F44C23" w:rsidRPr="004955D6" w:rsidRDefault="00F44C23" w:rsidP="00F44C23">
      <w:pPr>
        <w:pStyle w:val="BodyText"/>
        <w:jc w:val="both"/>
        <w:rPr>
          <w:i/>
          <w:noProof/>
        </w:rPr>
      </w:pPr>
    </w:p>
    <w:p w14:paraId="604DD38D" w14:textId="77777777" w:rsidR="00F44C23" w:rsidRPr="004955D6" w:rsidRDefault="1065ABE6" w:rsidP="12352CF2">
      <w:pPr>
        <w:pStyle w:val="BodyText"/>
        <w:jc w:val="both"/>
        <w:rPr>
          <w:i/>
          <w:iCs/>
          <w:noProof/>
        </w:rPr>
      </w:pPr>
      <w:r>
        <w:rPr>
          <w:i/>
          <w:noProof/>
        </w:rPr>
        <w:t>Plus précisément, l’initiative vise à empêcher le blocage à distance des jeux vidéo par les éditeurs et à fournir ensuite des moyens raisonnables de faire en sorte que ces jeux continuent à fonctionner sans la participation de l’éditeur.</w:t>
      </w:r>
    </w:p>
    <w:p w14:paraId="24B9AA3B" w14:textId="77777777" w:rsidR="00F44C23" w:rsidRPr="004955D6" w:rsidRDefault="00F44C23" w:rsidP="00F44C23">
      <w:pPr>
        <w:pStyle w:val="BodyText"/>
        <w:jc w:val="both"/>
        <w:rPr>
          <w:i/>
          <w:noProof/>
        </w:rPr>
      </w:pPr>
    </w:p>
    <w:p w14:paraId="01C46364" w14:textId="77777777" w:rsidR="00F44C23" w:rsidRPr="004955D6" w:rsidRDefault="1065ABE6" w:rsidP="12352CF2">
      <w:pPr>
        <w:pStyle w:val="BodyText"/>
        <w:jc w:val="both"/>
        <w:rPr>
          <w:i/>
          <w:iCs/>
          <w:noProof/>
        </w:rPr>
      </w:pPr>
      <w:r>
        <w:rPr>
          <w:i/>
          <w:noProof/>
        </w:rPr>
        <w:t>Elle ne vise pas à acquérir la propriété de ces jeux vidéo, des droits intellectuels associés ou des droits de monétisation, pas plus qu’elle ne s’attend à ce que l’éditeur consacre des ressources aux jeux vidéo qu’il aura abandonnés tout en les laissant dans un état raisonnablement fonctionnel (jouable).</w:t>
      </w:r>
    </w:p>
    <w:p w14:paraId="6625B184" w14:textId="77777777" w:rsidR="005C0939" w:rsidRPr="004955D6" w:rsidRDefault="005C0939" w:rsidP="005C0939">
      <w:pPr>
        <w:pStyle w:val="BodyText"/>
        <w:jc w:val="both"/>
        <w:rPr>
          <w:i/>
          <w:noProof/>
        </w:rPr>
      </w:pPr>
    </w:p>
    <w:p w14:paraId="4F180C04" w14:textId="77777777" w:rsidR="000242DE" w:rsidRPr="004955D6" w:rsidRDefault="7DB91313" w:rsidP="00F777E6">
      <w:pPr>
        <w:pStyle w:val="BodyText"/>
        <w:ind w:left="23" w:right="19"/>
        <w:jc w:val="both"/>
        <w:rPr>
          <w:noProof/>
        </w:rPr>
      </w:pPr>
      <w:r>
        <w:rPr>
          <w:noProof/>
        </w:rPr>
        <w:t xml:space="preserve">À la suite de la demande présentée par les organisateurs le </w:t>
      </w:r>
      <w:r>
        <w:rPr>
          <w:noProof/>
          <w:color w:val="333333"/>
        </w:rPr>
        <w:t>4 mai 2024</w:t>
      </w:r>
      <w:r>
        <w:rPr>
          <w:noProof/>
        </w:rPr>
        <w:t>, la Commission a enregistré l’initiative le 19 juin 2024</w:t>
      </w:r>
      <w:r>
        <w:rPr>
          <w:rStyle w:val="FootnoteReference"/>
          <w:noProof/>
        </w:rPr>
        <w:footnoteReference w:id="3"/>
      </w:r>
      <w:r>
        <w:rPr>
          <w:noProof/>
        </w:rPr>
        <w:t>. Dans sa décision relative à l’enregistrement, la Commission a clairement indiqué que, même si elle «estime qu’aucune partie de l’initiative n’est manifestement en dehors du cadre de ses attributions en vertu desquelles elle peut présenter une proposition d’acte juridique de l’Union aux fins de l’application des traités[,] [c]ette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w:t>
      </w:r>
    </w:p>
    <w:p w14:paraId="6891D7FB" w14:textId="77777777" w:rsidR="000242DE" w:rsidRPr="004955D6" w:rsidRDefault="000242DE" w:rsidP="00F777E6">
      <w:pPr>
        <w:pStyle w:val="BodyText"/>
        <w:rPr>
          <w:noProof/>
        </w:rPr>
      </w:pPr>
    </w:p>
    <w:p w14:paraId="3E17B2EB" w14:textId="77777777" w:rsidR="000242DE" w:rsidRPr="004955D6" w:rsidRDefault="2982015A" w:rsidP="00F777E6">
      <w:pPr>
        <w:pStyle w:val="BodyText"/>
        <w:ind w:left="23" w:right="19"/>
        <w:jc w:val="both"/>
        <w:rPr>
          <w:noProof/>
        </w:rPr>
      </w:pPr>
      <w:r>
        <w:rPr>
          <w:noProof/>
        </w:rPr>
        <w:t>Les organisateurs ont recueilli les «déclarations de soutien» (signatures) requises entre le 31 juillet 2024 et le 31 juillet 2025. Le 26 janvier 2026, après que les autorités des États membres ont vérifié les déclarations de soutien, les organisateurs ont présenté l’initiative à la Commission. Le même jour, la Commission a publié un avis confirmant la validité de l’initiative dans le registre ICE.</w:t>
      </w:r>
    </w:p>
    <w:p w14:paraId="2E37A914" w14:textId="77777777" w:rsidR="000242DE" w:rsidRPr="004955D6" w:rsidRDefault="000242DE" w:rsidP="00F777E6">
      <w:pPr>
        <w:pStyle w:val="BodyText"/>
        <w:spacing w:before="1"/>
        <w:rPr>
          <w:noProof/>
        </w:rPr>
      </w:pPr>
    </w:p>
    <w:p w14:paraId="285E3796" w14:textId="77777777" w:rsidR="000242DE" w:rsidRPr="004955D6" w:rsidRDefault="2982015A" w:rsidP="005C0939">
      <w:pPr>
        <w:pStyle w:val="BodyText"/>
        <w:ind w:left="23" w:right="15"/>
        <w:jc w:val="both"/>
        <w:rPr>
          <w:noProof/>
        </w:rPr>
      </w:pPr>
      <w:r>
        <w:rPr>
          <w:noProof/>
        </w:rPr>
        <w:t>Les organisateurs ont exposé les objectifs de l’initiative lors d’une réunion avec la Commission, le 23 février 2026, et au cours d’une audition publique organisée par le Parlement européen, le 16 avril 2026. De plus, le Parlement a tenu un débat en plénière sur l’initiative le 21 mai 2026. Par ailleurs, le Comité économique et social européen a organisé une audition le 19 mai 2026. À ces occasions, les organisateurs ont souligné que leur initiative ne ciblait que les jeux qui n’avaient pas encore été conçus, et non ceux qui étaient déjà disponibles dans le commerce.</w:t>
      </w:r>
    </w:p>
    <w:p w14:paraId="41874EBB" w14:textId="77777777" w:rsidR="00B96D39" w:rsidRPr="004955D6" w:rsidRDefault="00B96D39" w:rsidP="00F777E6">
      <w:pPr>
        <w:pStyle w:val="BodyText"/>
        <w:ind w:left="23" w:right="19"/>
        <w:jc w:val="both"/>
        <w:rPr>
          <w:noProof/>
        </w:rPr>
      </w:pPr>
    </w:p>
    <w:p w14:paraId="7EE44295" w14:textId="77777777" w:rsidR="000242DE" w:rsidRPr="004955D6" w:rsidRDefault="5FF841FD" w:rsidP="00F777E6">
      <w:pPr>
        <w:pStyle w:val="BodyText"/>
        <w:ind w:left="23" w:right="19"/>
        <w:jc w:val="both"/>
        <w:rPr>
          <w:noProof/>
        </w:rPr>
      </w:pPr>
      <w:r>
        <w:rPr>
          <w:noProof/>
        </w:rPr>
        <w:t>La présente communication expose les conclusions juridiques et politiques de la Commission sur l’initiative, l’action qu’elle compte entreprendre, les raisons motivant ses choix ainsi que le calendrier prévu, conformément à l’article 15, paragraphe 2, du règlement ICE.</w:t>
      </w:r>
    </w:p>
    <w:p w14:paraId="15DB487D" w14:textId="77777777" w:rsidR="000242DE" w:rsidRPr="004955D6" w:rsidRDefault="000242DE" w:rsidP="00F777E6">
      <w:pPr>
        <w:pStyle w:val="BodyText"/>
        <w:spacing w:before="166"/>
        <w:rPr>
          <w:noProof/>
        </w:rPr>
      </w:pPr>
    </w:p>
    <w:p w14:paraId="1878AEB7" w14:textId="77777777" w:rsidR="000242DE" w:rsidRPr="004955D6" w:rsidRDefault="00741D01" w:rsidP="0034627C">
      <w:pPr>
        <w:pStyle w:val="ListParagraph"/>
        <w:numPr>
          <w:ilvl w:val="0"/>
          <w:numId w:val="14"/>
        </w:numPr>
        <w:rPr>
          <w:b/>
          <w:bCs/>
          <w:noProof/>
        </w:rPr>
      </w:pPr>
      <w:r>
        <w:rPr>
          <w:b/>
          <w:noProof/>
        </w:rPr>
        <w:t>CONTEXTE</w:t>
      </w:r>
    </w:p>
    <w:p w14:paraId="68D36B02" w14:textId="77777777" w:rsidR="0034627C" w:rsidRPr="004955D6" w:rsidRDefault="0034627C" w:rsidP="0034627C">
      <w:pPr>
        <w:rPr>
          <w:b/>
          <w:bCs/>
          <w:noProof/>
          <w:sz w:val="24"/>
          <w:szCs w:val="24"/>
        </w:rPr>
      </w:pPr>
    </w:p>
    <w:p w14:paraId="11BD2557" w14:textId="77777777" w:rsidR="00E013C9" w:rsidRPr="004955D6" w:rsidRDefault="0034627C" w:rsidP="00525EB5">
      <w:pPr>
        <w:spacing w:line="259" w:lineRule="auto"/>
        <w:rPr>
          <w:b/>
          <w:bCs/>
          <w:noProof/>
          <w:sz w:val="24"/>
          <w:szCs w:val="24"/>
        </w:rPr>
      </w:pPr>
      <w:r>
        <w:rPr>
          <w:b/>
          <w:noProof/>
          <w:sz w:val="24"/>
        </w:rPr>
        <w:t>2.1 Cadre d’action</w:t>
      </w:r>
    </w:p>
    <w:p w14:paraId="204E2684" w14:textId="77777777" w:rsidR="005E6895" w:rsidRPr="004955D6" w:rsidRDefault="005E6895" w:rsidP="005E6895">
      <w:pPr>
        <w:pStyle w:val="BodyText"/>
        <w:spacing w:before="200"/>
        <w:jc w:val="both"/>
        <w:rPr>
          <w:noProof/>
        </w:rPr>
      </w:pPr>
      <w:r>
        <w:rPr>
          <w:noProof/>
        </w:rPr>
        <w:t>La Commission est déterminée à garantir un niveau élevé de protection des consommateurs et à promouvoir des pratiques équitables, transparentes et fiables sur les marchés numériques, dans le respect des traités et de la législation de l’UE. Dans ce contexte, elle s’efforce de faire en sorte que les consommateurs soient correctement informés des caractéristiques et des conditions d’utilisation des produits numériques et qu’ils puissent effectivement exercer les droits que leur confère le droit de l’Union. En parallèle, la Commission est également résolue à garantir un niveau élevé de protection de la propriété intellectuelle, dans le respect du droit de l’Union, afin de favoriser l’investissement dans la créativité et l’innovation.</w:t>
      </w:r>
    </w:p>
    <w:p w14:paraId="71285A5C" w14:textId="77777777" w:rsidR="530AD9A3" w:rsidRDefault="530AD9A3" w:rsidP="5D975B7C">
      <w:pPr>
        <w:pStyle w:val="BodyText"/>
        <w:spacing w:before="200"/>
        <w:ind w:left="23" w:right="16"/>
        <w:jc w:val="both"/>
        <w:rPr>
          <w:noProof/>
        </w:rPr>
      </w:pPr>
      <w:r>
        <w:rPr>
          <w:noProof/>
        </w:rPr>
        <w:t>L’agenda du consommateur 2030</w:t>
      </w:r>
      <w:r>
        <w:rPr>
          <w:rStyle w:val="FootnoteReference"/>
          <w:noProof/>
        </w:rPr>
        <w:footnoteReference w:id="4"/>
      </w:r>
      <w:r>
        <w:rPr>
          <w:noProof/>
        </w:rPr>
        <w:t xml:space="preserve">, adopté par la Commission le 19 novembre 2025, définit le cadre stratégique pour la politique de l’UE en matière de protection des consommateurs pour la période 2025-2030. Celui-ci repose sur le postulat selon lequel la confiance des consommateurs est indispensable au bon fonctionnement des marchés et qu’un niveau élevé de protection des consommateurs contribue également à la compétitivité et aux résultats de l’économie. Il a notamment pour priorité de garantir l’équité numérique et la protection des consommateurs en ligne. </w:t>
      </w:r>
    </w:p>
    <w:p w14:paraId="341F7568" w14:textId="77777777" w:rsidR="530AD9A3" w:rsidRDefault="530AD9A3" w:rsidP="5D975B7C">
      <w:pPr>
        <w:pStyle w:val="BodyText"/>
        <w:spacing w:before="200"/>
        <w:ind w:left="23" w:right="16"/>
        <w:jc w:val="both"/>
        <w:rPr>
          <w:rFonts w:eastAsia="Calibri"/>
          <w:noProof/>
          <w:color w:val="000000" w:themeColor="text1"/>
          <w:vertAlign w:val="superscript"/>
        </w:rPr>
      </w:pPr>
    </w:p>
    <w:p w14:paraId="35E7E588" w14:textId="77777777" w:rsidR="000C6C87" w:rsidRDefault="000C6C87" w:rsidP="0034627C">
      <w:pPr>
        <w:jc w:val="both"/>
        <w:rPr>
          <w:rStyle w:val="CommentReference"/>
          <w:noProof/>
          <w:sz w:val="24"/>
          <w:szCs w:val="24"/>
        </w:rPr>
      </w:pPr>
    </w:p>
    <w:p w14:paraId="1C5D6894" w14:textId="77777777" w:rsidR="00E013C9" w:rsidRPr="004955D6" w:rsidRDefault="00A76529" w:rsidP="0034627C">
      <w:pPr>
        <w:jc w:val="both"/>
        <w:rPr>
          <w:noProof/>
          <w:sz w:val="24"/>
          <w:szCs w:val="24"/>
        </w:rPr>
      </w:pPr>
      <w:r>
        <w:rPr>
          <w:noProof/>
          <w:sz w:val="24"/>
        </w:rPr>
        <w:t xml:space="preserve">Dans sa recommandation sur la protection du consommateur dans le commerce électronique, l’Organisation de coopération et de développement économiques (OCDE) </w:t>
      </w:r>
      <w:r>
        <w:rPr>
          <w:noProof/>
          <w:color w:val="000000" w:themeColor="text1"/>
          <w:sz w:val="24"/>
        </w:rPr>
        <w:t>a souligné que la dépendance croissante des contenus numériques à l’égard des infrastructures et services en ligne contrôlés par les professionnels peut poser des problèmes aux consommateurs, notamment en ce qui concerne la transparence, la compréhension des conditions contractuelles et l’exercice effectif de leurs droits dans les environnements numériques</w:t>
      </w:r>
      <w:r>
        <w:rPr>
          <w:rStyle w:val="FootnoteReference"/>
          <w:noProof/>
          <w:sz w:val="24"/>
          <w:szCs w:val="24"/>
        </w:rPr>
        <w:footnoteReference w:id="5"/>
      </w:r>
      <w:r>
        <w:rPr>
          <w:noProof/>
          <w:sz w:val="24"/>
        </w:rPr>
        <w:t>.</w:t>
      </w:r>
    </w:p>
    <w:p w14:paraId="4681A4E5" w14:textId="77777777" w:rsidR="0034627C" w:rsidRPr="004955D6" w:rsidRDefault="0034627C" w:rsidP="0034627C">
      <w:pPr>
        <w:jc w:val="both"/>
        <w:rPr>
          <w:noProof/>
          <w:sz w:val="24"/>
          <w:szCs w:val="24"/>
        </w:rPr>
      </w:pPr>
    </w:p>
    <w:p w14:paraId="769FC8B1" w14:textId="77777777" w:rsidR="00E013C9" w:rsidRDefault="56E549FB" w:rsidP="0034627C">
      <w:pPr>
        <w:jc w:val="both"/>
        <w:rPr>
          <w:noProof/>
          <w:sz w:val="24"/>
          <w:szCs w:val="24"/>
        </w:rPr>
      </w:pPr>
      <w:r>
        <w:rPr>
          <w:noProof/>
          <w:sz w:val="24"/>
        </w:rPr>
        <w:t>L’Unesco a souligné l’importance grandissante des technologies numériques pour repenser la création, la distribution et l’accessibilité des contenus culturels, y compris dans des secteurs tels que celui du jeu vidéo</w:t>
      </w:r>
      <w:r>
        <w:rPr>
          <w:rStyle w:val="FootnoteReference"/>
          <w:noProof/>
          <w:sz w:val="24"/>
          <w:szCs w:val="24"/>
        </w:rPr>
        <w:footnoteReference w:id="6"/>
      </w:r>
      <w:r>
        <w:rPr>
          <w:noProof/>
          <w:sz w:val="24"/>
        </w:rPr>
        <w:t>. Dans ce contexte, les jeux vidéo sont de plus en plus considérés comme une forme d’expression culturelle et comme une composante de l’économie créative au sens large, contribuant à l’innovation, au développement des compétences et à la transmission de contenus culturels</w:t>
      </w:r>
      <w:r>
        <w:rPr>
          <w:rStyle w:val="FootnoteReference"/>
          <w:noProof/>
          <w:sz w:val="24"/>
          <w:szCs w:val="24"/>
        </w:rPr>
        <w:footnoteReference w:id="7"/>
      </w:r>
      <w:r>
        <w:rPr>
          <w:noProof/>
          <w:sz w:val="24"/>
        </w:rPr>
        <w:t>.</w:t>
      </w:r>
    </w:p>
    <w:p w14:paraId="6AE336E5" w14:textId="77777777" w:rsidR="00525EB5" w:rsidRPr="004955D6" w:rsidRDefault="00525EB5" w:rsidP="0034627C">
      <w:pPr>
        <w:jc w:val="both"/>
        <w:rPr>
          <w:noProof/>
          <w:sz w:val="24"/>
          <w:szCs w:val="24"/>
        </w:rPr>
      </w:pPr>
    </w:p>
    <w:p w14:paraId="29BDCE21" w14:textId="77777777" w:rsidR="00D26B33" w:rsidRPr="00525EB5" w:rsidRDefault="00D26B33" w:rsidP="00525EB5">
      <w:pPr>
        <w:jc w:val="both"/>
        <w:rPr>
          <w:noProof/>
          <w:sz w:val="24"/>
          <w:szCs w:val="24"/>
        </w:rPr>
      </w:pPr>
      <w:r>
        <w:rPr>
          <w:noProof/>
          <w:sz w:val="24"/>
        </w:rPr>
        <w:t>La campagne «Stop Killing Games» (Arrêtez de tuer les jeux), dont fait partie l’ICE «Stop Destroying Videogames», a également donné lieu à une réponse du gouvernement du Royaume-Uni en 2025. Dans sa réponse à une pétition, celui-ci a indiqué qu’«[i]l n’est pas prévu de modifier le droit de la consommation du Royaume-Uni pour y intégrer la désactivation des jeux vidéo» et a ajouté: «Les vendeurs de jeux doivent se conformer aux exigences existantes en matière de droit de la consommation et nous continuerons à suivre cette question»</w:t>
      </w:r>
      <w:r>
        <w:rPr>
          <w:rStyle w:val="FootnoteReference"/>
          <w:noProof/>
          <w:sz w:val="24"/>
          <w:szCs w:val="24"/>
        </w:rPr>
        <w:footnoteReference w:id="8"/>
      </w:r>
      <w:r>
        <w:rPr>
          <w:noProof/>
          <w:sz w:val="24"/>
        </w:rPr>
        <w:t>.</w:t>
      </w:r>
    </w:p>
    <w:p w14:paraId="719980DB" w14:textId="77777777" w:rsidR="0034627C" w:rsidRPr="00525EB5" w:rsidRDefault="0034627C" w:rsidP="00525EB5">
      <w:pPr>
        <w:jc w:val="both"/>
        <w:rPr>
          <w:noProof/>
          <w:sz w:val="24"/>
          <w:szCs w:val="24"/>
        </w:rPr>
      </w:pPr>
    </w:p>
    <w:p w14:paraId="28F14C98" w14:textId="77777777" w:rsidR="00DD5FCC" w:rsidRPr="004955D6" w:rsidRDefault="262E5E01" w:rsidP="00A99F81">
      <w:pPr>
        <w:jc w:val="both"/>
        <w:rPr>
          <w:noProof/>
          <w:sz w:val="24"/>
          <w:szCs w:val="24"/>
        </w:rPr>
      </w:pPr>
      <w:r>
        <w:rPr>
          <w:noProof/>
          <w:sz w:val="24"/>
        </w:rPr>
        <w:t>Les initiatives législatives récentes présentées aux États-Unis illustrent également l’attention croissante accordée aux questions liées aux modèles économiques axés sur les services et le numérique. Une loi adoptée en 2024 vise à améliorer la transparence sur les marchés numériques en exigeant des professionnels qu’ils informent clairement les consommateurs lorsque les achats numériques ne confèrent qu’une licence pour accéder au contenu, plutôt que des droits de propriété</w:t>
      </w:r>
      <w:r>
        <w:rPr>
          <w:rStyle w:val="FootnoteReference"/>
          <w:noProof/>
          <w:sz w:val="24"/>
          <w:szCs w:val="24"/>
        </w:rPr>
        <w:footnoteReference w:id="9"/>
      </w:r>
      <w:r>
        <w:rPr>
          <w:noProof/>
          <w:sz w:val="24"/>
        </w:rPr>
        <w:t>.</w:t>
      </w:r>
    </w:p>
    <w:p w14:paraId="4C142096" w14:textId="77777777" w:rsidR="0034627C" w:rsidRPr="004955D6" w:rsidRDefault="0034627C" w:rsidP="0034627C">
      <w:pPr>
        <w:rPr>
          <w:b/>
          <w:bCs/>
          <w:noProof/>
          <w:sz w:val="24"/>
          <w:szCs w:val="24"/>
        </w:rPr>
      </w:pPr>
    </w:p>
    <w:p w14:paraId="3B32EB44" w14:textId="77777777" w:rsidR="000242DE" w:rsidRPr="004955D6" w:rsidRDefault="3B0B35DA" w:rsidP="000C6C87">
      <w:pPr>
        <w:keepNext/>
        <w:rPr>
          <w:b/>
          <w:bCs/>
          <w:noProof/>
          <w:sz w:val="24"/>
          <w:szCs w:val="24"/>
        </w:rPr>
      </w:pPr>
      <w:r>
        <w:rPr>
          <w:b/>
          <w:noProof/>
          <w:sz w:val="24"/>
        </w:rPr>
        <w:t>2.2 Cadre juridique de l’UE</w:t>
      </w:r>
    </w:p>
    <w:p w14:paraId="2B786233" w14:textId="77777777" w:rsidR="3D665A66" w:rsidRPr="00525EB5" w:rsidRDefault="3D665A66" w:rsidP="000C6C87">
      <w:pPr>
        <w:pStyle w:val="ListParagraph"/>
        <w:keepNext/>
        <w:numPr>
          <w:ilvl w:val="0"/>
          <w:numId w:val="7"/>
        </w:numPr>
        <w:spacing w:before="200"/>
        <w:ind w:left="380" w:hanging="357"/>
        <w:jc w:val="both"/>
        <w:rPr>
          <w:i/>
          <w:iCs/>
          <w:noProof/>
          <w:sz w:val="24"/>
          <w:szCs w:val="24"/>
        </w:rPr>
      </w:pPr>
      <w:r>
        <w:rPr>
          <w:i/>
          <w:noProof/>
          <w:sz w:val="24"/>
        </w:rPr>
        <w:t>Principes généraux du droit de l’Union</w:t>
      </w:r>
    </w:p>
    <w:p w14:paraId="445C17D8" w14:textId="77777777" w:rsidR="5FF4063C" w:rsidRDefault="5FF4063C" w:rsidP="00525EB5">
      <w:pPr>
        <w:spacing w:before="200"/>
        <w:jc w:val="both"/>
        <w:rPr>
          <w:noProof/>
          <w:sz w:val="24"/>
          <w:szCs w:val="24"/>
        </w:rPr>
      </w:pPr>
      <w:r>
        <w:rPr>
          <w:noProof/>
          <w:sz w:val="24"/>
        </w:rPr>
        <w:t>Aux termes de l’article 5 du traité sur l’Union européenne (TUE), les principes de subsidiarité et de proportionnalité régissent l’exercice des compétences de l’Union. L’article 16 de la charte des droits fondamentaux de l’UE garantit la liberté d’entreprise.</w:t>
      </w:r>
    </w:p>
    <w:p w14:paraId="1C0B80BA" w14:textId="2D8F784C" w:rsidR="005B615B" w:rsidRPr="00525EB5" w:rsidRDefault="0BFE00EB" w:rsidP="00A99F81">
      <w:pPr>
        <w:spacing w:before="200"/>
        <w:ind w:left="23"/>
        <w:jc w:val="both"/>
        <w:rPr>
          <w:noProof/>
          <w:sz w:val="24"/>
          <w:szCs w:val="24"/>
        </w:rPr>
      </w:pPr>
      <w:r>
        <w:rPr>
          <w:noProof/>
          <w:sz w:val="24"/>
        </w:rPr>
        <w:t xml:space="preserve">L’article 169, paragraphe 1, du traité sur le fonctionnement de l’Union européenne (TFUE) prévoit qu’«[a]fin de promouvoir les intérêts des consommateurs et d’assurer un niveau élevé de protection des consommateurs, l’Union contribue à la protection de la santé, de la sécurité et des intérêts économiques des consommateurs ainsi qu’à la promotion de leur droit à l’information, à l’éducation et à s’organiser afin de préserver leurs intérêts». </w:t>
      </w:r>
    </w:p>
    <w:p w14:paraId="00562F73" w14:textId="77777777" w:rsidR="005B615B" w:rsidRPr="004955D6" w:rsidRDefault="0BFE00EB" w:rsidP="00525EB5">
      <w:pPr>
        <w:pStyle w:val="ListParagraph"/>
        <w:spacing w:before="200"/>
        <w:ind w:left="23" w:firstLine="0"/>
        <w:jc w:val="both"/>
        <w:rPr>
          <w:noProof/>
          <w:sz w:val="24"/>
          <w:szCs w:val="24"/>
        </w:rPr>
      </w:pPr>
      <w:r>
        <w:rPr>
          <w:noProof/>
          <w:sz w:val="24"/>
        </w:rPr>
        <w:t>En application de l’article 12 du TFUE, les exigences de la protection des consommateurs doivent être prises en considération dans la définition et la mise en œuvre des autres politiques et actions de l’Union. L’article 38 de la charte des droits fondamentaux de l’Union européenne (la «charte») prévoit également l’obligation que les politiques de l’Union assurent un niveau élevé de protection des consommateurs.</w:t>
      </w:r>
    </w:p>
    <w:p w14:paraId="0566F405" w14:textId="77777777" w:rsidR="007C2FF1" w:rsidRDefault="007C2FF1" w:rsidP="007C2FF1">
      <w:pPr>
        <w:pStyle w:val="ListParagraph"/>
        <w:numPr>
          <w:ilvl w:val="0"/>
          <w:numId w:val="4"/>
        </w:numPr>
        <w:spacing w:before="200"/>
        <w:jc w:val="both"/>
        <w:rPr>
          <w:i/>
          <w:noProof/>
          <w:sz w:val="24"/>
          <w:szCs w:val="24"/>
        </w:rPr>
      </w:pPr>
      <w:r>
        <w:rPr>
          <w:i/>
          <w:noProof/>
          <w:sz w:val="24"/>
        </w:rPr>
        <w:t>Règles en matière de protection des consommateurs</w:t>
      </w:r>
    </w:p>
    <w:p w14:paraId="59AC21DB" w14:textId="77777777" w:rsidR="007F48EE" w:rsidRDefault="710A48B2" w:rsidP="005E6732">
      <w:pPr>
        <w:spacing w:before="200"/>
        <w:jc w:val="both"/>
        <w:rPr>
          <w:noProof/>
          <w:sz w:val="24"/>
          <w:szCs w:val="24"/>
        </w:rPr>
      </w:pPr>
      <w:r>
        <w:rPr>
          <w:noProof/>
          <w:sz w:val="24"/>
        </w:rPr>
        <w:t xml:space="preserve">La législation de l’UE en matière de protection des consommateurs ne fixe pas d’exigences particulières quant à la durée de la fourniture des contenus et services numériques, y compris les jeux vidéo en ligne, et n’impose pas non plus aux professionnels de veiller à ce que les consommateurs puissent continuer à utiliser des contenus et services numériques une fois que leur fourniture commerciale a pris fin. </w:t>
      </w:r>
    </w:p>
    <w:p w14:paraId="3B9BC60E" w14:textId="77777777" w:rsidR="007F48EE" w:rsidRDefault="007F48EE" w:rsidP="00525EB5">
      <w:pPr>
        <w:jc w:val="both"/>
        <w:rPr>
          <w:noProof/>
          <w:sz w:val="24"/>
          <w:szCs w:val="24"/>
        </w:rPr>
      </w:pPr>
    </w:p>
    <w:p w14:paraId="6209E592" w14:textId="77777777" w:rsidR="00076EC6" w:rsidRDefault="1C3D6792" w:rsidP="00525EB5">
      <w:pPr>
        <w:jc w:val="both"/>
        <w:rPr>
          <w:noProof/>
          <w:sz w:val="24"/>
          <w:szCs w:val="24"/>
        </w:rPr>
      </w:pPr>
      <w:r>
        <w:rPr>
          <w:noProof/>
          <w:sz w:val="24"/>
        </w:rPr>
        <w:t xml:space="preserve">Les instruments du droit de l’UE en matière de protection des consommateurs visent à donner des moyens d’action à ces derniers grâce à des obligations de transparence. Ils protègent également les consommateurs contre les pratiques commerciales déloyales et les clauses contractuelles abusives et leur offre des voies de recours lorsque les contenus et services numériques ne sont pas conformes au contrat conclu entre le consommateur et le fournisseur. </w:t>
      </w:r>
    </w:p>
    <w:p w14:paraId="30B8EDC1" w14:textId="77777777" w:rsidR="00076EC6" w:rsidRDefault="00076EC6" w:rsidP="00525EB5">
      <w:pPr>
        <w:jc w:val="both"/>
        <w:rPr>
          <w:noProof/>
          <w:sz w:val="24"/>
          <w:szCs w:val="24"/>
        </w:rPr>
      </w:pPr>
    </w:p>
    <w:p w14:paraId="4185C52D" w14:textId="77777777" w:rsidR="0061035A" w:rsidRDefault="11E169F6" w:rsidP="00525EB5">
      <w:pPr>
        <w:jc w:val="both"/>
        <w:rPr>
          <w:noProof/>
          <w:sz w:val="24"/>
          <w:szCs w:val="24"/>
        </w:rPr>
      </w:pPr>
      <w:r>
        <w:rPr>
          <w:noProof/>
          <w:sz w:val="24"/>
        </w:rPr>
        <w:t>Plus précisément, la directive 2011/83/UE relative aux droits des consommateurs</w:t>
      </w:r>
      <w:r>
        <w:rPr>
          <w:rStyle w:val="FootnoteReference"/>
          <w:noProof/>
          <w:sz w:val="24"/>
          <w:szCs w:val="24"/>
        </w:rPr>
        <w:footnoteReference w:id="10"/>
      </w:r>
      <w:r>
        <w:rPr>
          <w:noProof/>
          <w:sz w:val="24"/>
        </w:rPr>
        <w:t xml:space="preserve"> (la «directive relative aux droits des consommateurs») impose aux professionnels, avant de conclure un contrat, de fournir aux consommateurs des informations claires et compréhensibles sur les principales caractéristiques et fonctionnalités des contenus et des services numériques, ainsi que sur la durée du contrat et les conditions de sa résiliation. </w:t>
      </w:r>
    </w:p>
    <w:p w14:paraId="43EA34CD" w14:textId="77777777" w:rsidR="0061035A" w:rsidRDefault="0061035A" w:rsidP="00525EB5">
      <w:pPr>
        <w:jc w:val="both"/>
        <w:rPr>
          <w:noProof/>
          <w:sz w:val="24"/>
          <w:szCs w:val="24"/>
        </w:rPr>
      </w:pPr>
    </w:p>
    <w:p w14:paraId="0AF87411" w14:textId="4979D021" w:rsidR="004A3961" w:rsidRDefault="4CF91251" w:rsidP="5EA8CE2E">
      <w:pPr>
        <w:jc w:val="both"/>
        <w:rPr>
          <w:noProof/>
          <w:sz w:val="24"/>
          <w:szCs w:val="24"/>
        </w:rPr>
      </w:pPr>
      <w:r>
        <w:rPr>
          <w:noProof/>
          <w:sz w:val="24"/>
        </w:rPr>
        <w:t>La directive 2005/29/CE relative aux pratiques commerciales déloyales</w:t>
      </w:r>
      <w:r>
        <w:rPr>
          <w:rStyle w:val="FootnoteReference"/>
          <w:noProof/>
          <w:sz w:val="24"/>
          <w:szCs w:val="24"/>
        </w:rPr>
        <w:footnoteReference w:id="11"/>
      </w:r>
      <w:r>
        <w:rPr>
          <w:noProof/>
          <w:sz w:val="24"/>
        </w:rPr>
        <w:t xml:space="preserve"> (la «directive sur les pratiques commerciales déloyales») impose aux professionnels de ne pas omettre d’information substantielle dont le consommateur moyen a besoin pour prendre des décisions commerciales en connaissance de cause tant avant que pendant l’utilisation d’un produit tel qu’un jeu vidéo. Cette directive interdit également les pratiques trompeuses susceptibles d’amener le consommateur moyen à prendre des décisions commerciales qu’il ne prendrait pas autrement. </w:t>
      </w:r>
    </w:p>
    <w:p w14:paraId="7889709C" w14:textId="77777777" w:rsidR="004A3961" w:rsidRDefault="004A3961" w:rsidP="00525EB5">
      <w:pPr>
        <w:jc w:val="both"/>
        <w:rPr>
          <w:noProof/>
          <w:sz w:val="24"/>
          <w:szCs w:val="24"/>
        </w:rPr>
      </w:pPr>
    </w:p>
    <w:p w14:paraId="4BB218F7" w14:textId="77777777" w:rsidR="00B7393A" w:rsidRDefault="7F521F92" w:rsidP="00525EB5">
      <w:pPr>
        <w:jc w:val="both"/>
        <w:rPr>
          <w:noProof/>
          <w:sz w:val="24"/>
          <w:szCs w:val="24"/>
        </w:rPr>
      </w:pPr>
      <w:r>
        <w:rPr>
          <w:noProof/>
          <w:sz w:val="24"/>
        </w:rPr>
        <w:t>La directive 93/13/CEE concernant les clauses abusives dans les contrats conclus avec les consommateurs</w:t>
      </w:r>
      <w:r>
        <w:rPr>
          <w:rStyle w:val="FootnoteReference"/>
          <w:noProof/>
          <w:sz w:val="24"/>
          <w:szCs w:val="24"/>
        </w:rPr>
        <w:footnoteReference w:id="12"/>
      </w:r>
      <w:r>
        <w:rPr>
          <w:noProof/>
          <w:sz w:val="24"/>
        </w:rPr>
        <w:t xml:space="preserve"> interdit les clauses qui, en dépit de l’exigence de bonne foi, créent un déséquilibre significatif entre les droits et obligations des parties, au détriment du consommateur. </w:t>
      </w:r>
    </w:p>
    <w:p w14:paraId="0A74A528" w14:textId="77777777" w:rsidR="00B7393A" w:rsidRDefault="00B7393A" w:rsidP="00525EB5">
      <w:pPr>
        <w:jc w:val="both"/>
        <w:rPr>
          <w:noProof/>
          <w:sz w:val="24"/>
          <w:szCs w:val="24"/>
        </w:rPr>
      </w:pPr>
    </w:p>
    <w:p w14:paraId="37F0B8D0" w14:textId="77777777" w:rsidR="00E64BE1" w:rsidRPr="004955D6" w:rsidRDefault="3B62E39E" w:rsidP="00525EB5">
      <w:pPr>
        <w:jc w:val="both"/>
        <w:rPr>
          <w:noProof/>
          <w:sz w:val="24"/>
          <w:szCs w:val="24"/>
        </w:rPr>
      </w:pPr>
      <w:r>
        <w:rPr>
          <w:noProof/>
          <w:sz w:val="24"/>
        </w:rPr>
        <w:t>La directive (UE) 2019/770 relative aux contenus numériques et aux services numériques</w:t>
      </w:r>
      <w:r>
        <w:rPr>
          <w:rStyle w:val="FootnoteReference"/>
          <w:noProof/>
          <w:sz w:val="24"/>
          <w:szCs w:val="24"/>
        </w:rPr>
        <w:footnoteReference w:id="13"/>
      </w:r>
      <w:r>
        <w:rPr>
          <w:noProof/>
          <w:sz w:val="24"/>
        </w:rPr>
        <w:t xml:space="preserve"> (la «directive sur les contrats numériques») établit des règles régissant la conformité des contenus numériques et des services numériques et prévoit des recours pour le consommateur.</w:t>
      </w:r>
    </w:p>
    <w:p w14:paraId="28EECFC4" w14:textId="77777777" w:rsidR="5356F330" w:rsidRDefault="07ED0E29" w:rsidP="6A4D87F8">
      <w:pPr>
        <w:spacing w:before="200"/>
        <w:ind w:left="23"/>
        <w:jc w:val="both"/>
        <w:rPr>
          <w:noProof/>
          <w:sz w:val="24"/>
          <w:szCs w:val="24"/>
        </w:rPr>
      </w:pPr>
      <w:r>
        <w:rPr>
          <w:noProof/>
          <w:sz w:val="24"/>
        </w:rPr>
        <w:t>L’application de ces instruments du droit de l’UE en matière de protection des consommateurs à l’arrêt des jeux vidéo par leurs fournisseurs est expliquée à la section 3.2.</w:t>
      </w:r>
    </w:p>
    <w:p w14:paraId="6CA561A0" w14:textId="61326771" w:rsidR="00C3180A" w:rsidRPr="00C3180A" w:rsidRDefault="00C3180A" w:rsidP="6A4D87F8">
      <w:pPr>
        <w:spacing w:before="200"/>
        <w:ind w:left="23"/>
        <w:jc w:val="both"/>
        <w:rPr>
          <w:noProof/>
          <w:sz w:val="24"/>
          <w:szCs w:val="24"/>
        </w:rPr>
      </w:pPr>
      <w:r>
        <w:rPr>
          <w:noProof/>
          <w:sz w:val="24"/>
        </w:rPr>
        <w:t>Par ailleurs, d’autres branches du droit de l’Union peuvent également être pertinentes dans ce domaine, comme le droit de la concurrence. L’article 102 du TFUE interdit aux entreprises d’exploiter de façon abusive une position dominante sur le marché intérieur de l’UE ou dans une partie substantielle de celui-ci, dans la mesure où le commerce entre États membres est susceptible d’en être affecté. Si un éditeur ou un distributeur de jeux vidéo occupe une position dominante sur le marché concerné d’un service de jeux vidéo et met fin à ce service sans justification objective, un recours peut être formé devant les autorités de concurrence et les juridictions nationales en vertu de l’article 102 du TFUE et/ou du droit national de la concurrence. </w:t>
      </w:r>
    </w:p>
    <w:p w14:paraId="1F9F25A6" w14:textId="77777777" w:rsidR="7FAFF242" w:rsidRPr="00525EB5" w:rsidRDefault="7FAFF242" w:rsidP="00525EB5">
      <w:pPr>
        <w:pStyle w:val="ListParagraph"/>
        <w:keepNext/>
        <w:numPr>
          <w:ilvl w:val="0"/>
          <w:numId w:val="5"/>
        </w:numPr>
        <w:spacing w:before="200"/>
        <w:ind w:left="714" w:hanging="357"/>
        <w:jc w:val="both"/>
        <w:rPr>
          <w:i/>
          <w:iCs/>
          <w:noProof/>
          <w:sz w:val="24"/>
          <w:szCs w:val="24"/>
        </w:rPr>
      </w:pPr>
      <w:r>
        <w:rPr>
          <w:i/>
          <w:noProof/>
          <w:sz w:val="24"/>
        </w:rPr>
        <w:t>Règles en matière de propriété intellectuelle</w:t>
      </w:r>
    </w:p>
    <w:p w14:paraId="377401C9" w14:textId="77777777" w:rsidR="5A79DA57" w:rsidRDefault="5A79DA57" w:rsidP="00525EB5">
      <w:pPr>
        <w:spacing w:before="200"/>
        <w:ind w:left="23"/>
        <w:jc w:val="both"/>
        <w:rPr>
          <w:noProof/>
          <w:sz w:val="24"/>
          <w:szCs w:val="24"/>
        </w:rPr>
      </w:pPr>
      <w:r>
        <w:rPr>
          <w:noProof/>
          <w:sz w:val="24"/>
        </w:rPr>
        <w:t>L’article 17 de la charte des droits fondamentaux de l’Union européenne dispose que toute personne a le droit de jouir de la propriété des biens qu’elle a acquis légalement, de les utiliser, d’en disposer et de les léguer, et garantit la protection de la propriété intellectuelle, y compris le droit d’auteur.</w:t>
      </w:r>
    </w:p>
    <w:p w14:paraId="7875437F" w14:textId="77777777" w:rsidR="5356F330" w:rsidRPr="004955D6" w:rsidRDefault="077B969D" w:rsidP="00CD1810">
      <w:pPr>
        <w:spacing w:before="200"/>
        <w:jc w:val="both"/>
        <w:rPr>
          <w:noProof/>
          <w:sz w:val="24"/>
          <w:szCs w:val="24"/>
        </w:rPr>
      </w:pPr>
      <w:r>
        <w:rPr>
          <w:noProof/>
          <w:sz w:val="24"/>
        </w:rPr>
        <w:t>Comme l’a rappelé la Cour de justice de l’Union européenne</w:t>
      </w:r>
      <w:r>
        <w:rPr>
          <w:rStyle w:val="FootnoteReference"/>
          <w:noProof/>
          <w:sz w:val="24"/>
          <w:szCs w:val="24"/>
        </w:rPr>
        <w:footnoteReference w:id="14"/>
      </w:r>
      <w:r>
        <w:rPr>
          <w:noProof/>
          <w:sz w:val="24"/>
        </w:rPr>
        <w:t>, les jeux vidéo constituent un matériel complexe comprenant non seulement un programme d’ordinateur protégé par la directive 2009/24/CE</w:t>
      </w:r>
      <w:r>
        <w:rPr>
          <w:rStyle w:val="FootnoteReference"/>
          <w:noProof/>
          <w:sz w:val="24"/>
          <w:szCs w:val="24"/>
        </w:rPr>
        <w:footnoteReference w:id="15"/>
      </w:r>
      <w:r>
        <w:rPr>
          <w:noProof/>
          <w:sz w:val="24"/>
        </w:rPr>
        <w:t>, mais également des éléments graphiques et sonores ayant une valeur créative propre et protégés par la directive 2001/29/CE</w:t>
      </w:r>
      <w:r>
        <w:rPr>
          <w:rStyle w:val="FootnoteReference"/>
          <w:noProof/>
          <w:sz w:val="24"/>
          <w:szCs w:val="24"/>
        </w:rPr>
        <w:footnoteReference w:id="16"/>
      </w:r>
      <w:r>
        <w:rPr>
          <w:noProof/>
          <w:sz w:val="24"/>
        </w:rPr>
        <w:t xml:space="preserve">. </w:t>
      </w:r>
    </w:p>
    <w:p w14:paraId="45AB6A47" w14:textId="77777777" w:rsidR="5356F330" w:rsidRPr="004955D6" w:rsidRDefault="5356F330" w:rsidP="00CD1810">
      <w:pPr>
        <w:jc w:val="both"/>
        <w:rPr>
          <w:noProof/>
        </w:rPr>
      </w:pPr>
    </w:p>
    <w:p w14:paraId="5C190B78" w14:textId="77777777" w:rsidR="5356F330" w:rsidRPr="004955D6" w:rsidRDefault="7999921C" w:rsidP="31DBE0D6">
      <w:pPr>
        <w:jc w:val="both"/>
        <w:rPr>
          <w:noProof/>
          <w:sz w:val="24"/>
          <w:szCs w:val="24"/>
        </w:rPr>
      </w:pPr>
      <w:r>
        <w:rPr>
          <w:noProof/>
          <w:sz w:val="24"/>
        </w:rPr>
        <w:t>En vertu de la législation de l’UE sur le droit d’auteur, les titulaires de droits jouissent de droits exclusifs sur leurs créations.  Dans la pratique, ils peuvent autoriser des tiers à exercer certains droits sur leurs œuvres protégées au moyen d’une licence, à moins que ne s’applique une exception, une limitation ou le principe de l’épuisement</w:t>
      </w:r>
      <w:r>
        <w:rPr>
          <w:rStyle w:val="FootnoteReference"/>
          <w:noProof/>
          <w:sz w:val="24"/>
          <w:szCs w:val="24"/>
        </w:rPr>
        <w:footnoteReference w:id="17"/>
      </w:r>
      <w:r>
        <w:rPr>
          <w:noProof/>
        </w:rPr>
        <w:t>.</w:t>
      </w:r>
    </w:p>
    <w:p w14:paraId="47D9E717" w14:textId="77777777" w:rsidR="5356F330" w:rsidRPr="004955D6" w:rsidRDefault="5356F330" w:rsidP="6A4D87F8">
      <w:pPr>
        <w:jc w:val="both"/>
        <w:rPr>
          <w:noProof/>
          <w:sz w:val="24"/>
          <w:szCs w:val="24"/>
        </w:rPr>
      </w:pPr>
    </w:p>
    <w:p w14:paraId="0D8337CC" w14:textId="77777777" w:rsidR="5356F330" w:rsidRPr="004955D6" w:rsidRDefault="4E0136AE" w:rsidP="6A4D87F8">
      <w:pPr>
        <w:jc w:val="both"/>
        <w:rPr>
          <w:noProof/>
          <w:sz w:val="24"/>
          <w:szCs w:val="24"/>
        </w:rPr>
      </w:pPr>
      <w:r>
        <w:rPr>
          <w:noProof/>
          <w:sz w:val="24"/>
        </w:rPr>
        <w:t>Le champ d’application des exceptions et des limitations doit être interprété de manière restrictive et uniquement dans des cas spéciaux qui ne portent pas atteinte à l’exploitation normale de l’œuvre ni ne causent un préjudice injustifié aux intérêts légitimes des titulaires de droits.</w:t>
      </w:r>
    </w:p>
    <w:p w14:paraId="7E0049CC" w14:textId="77777777" w:rsidR="5356F330" w:rsidRPr="004955D6" w:rsidRDefault="4DEE0AEA" w:rsidP="00CD1810">
      <w:pPr>
        <w:spacing w:before="200"/>
        <w:jc w:val="both"/>
        <w:rPr>
          <w:noProof/>
          <w:sz w:val="24"/>
          <w:szCs w:val="24"/>
        </w:rPr>
      </w:pPr>
      <w:r>
        <w:rPr>
          <w:noProof/>
          <w:sz w:val="24"/>
        </w:rPr>
        <w:t>Outre le droit d’auteur, d’autres droits de propriété intellectuelle peuvent également être pertinents, car ils peuvent protéger différents aspects visuels et technologiques d’un jeu vidéo. Les titulaires d’autres droits de propriété intellectuelle ont aussi le droit exclusif d’autoriser l’utilisation de leur propriété intellectuelle dans des services et produits physiques ou numériques. Dans l’UE, les marques nationales coexistent avec le système de la marque de l’Union européenne</w:t>
      </w:r>
      <w:r>
        <w:rPr>
          <w:rStyle w:val="FootnoteReference"/>
          <w:noProof/>
          <w:sz w:val="24"/>
          <w:szCs w:val="24"/>
        </w:rPr>
        <w:footnoteReference w:id="18"/>
      </w:r>
      <w:r>
        <w:rPr>
          <w:noProof/>
        </w:rPr>
        <w:t>.</w:t>
      </w:r>
      <w:r>
        <w:rPr>
          <w:noProof/>
          <w:sz w:val="24"/>
        </w:rPr>
        <w:t xml:space="preserve"> Tant ces marques nationales que celles de l’Union offrent une protection contre l’usage non autorisé dans les produits numériques tels que les jeux vidéo.</w:t>
      </w:r>
    </w:p>
    <w:p w14:paraId="6C1C1C41" w14:textId="77777777" w:rsidR="5356F330" w:rsidRPr="004955D6" w:rsidRDefault="7AF8E68B" w:rsidP="00415D76">
      <w:pPr>
        <w:spacing w:before="200"/>
        <w:ind w:left="23"/>
        <w:jc w:val="both"/>
        <w:rPr>
          <w:noProof/>
          <w:sz w:val="24"/>
          <w:szCs w:val="24"/>
        </w:rPr>
      </w:pPr>
      <w:r>
        <w:rPr>
          <w:noProof/>
          <w:sz w:val="24"/>
        </w:rPr>
        <w:t>De même que pour les marques, les dessins ou modèles nationaux coexistent avec les dessins ou modèles de l’UE dans le marché unique</w:t>
      </w:r>
      <w:r>
        <w:rPr>
          <w:rStyle w:val="FootnoteReference"/>
          <w:noProof/>
          <w:sz w:val="24"/>
          <w:szCs w:val="24"/>
        </w:rPr>
        <w:footnoteReference w:id="19"/>
      </w:r>
      <w:r>
        <w:rPr>
          <w:noProof/>
        </w:rPr>
        <w:t>.</w:t>
      </w:r>
      <w:r>
        <w:rPr>
          <w:noProof/>
          <w:sz w:val="24"/>
        </w:rPr>
        <w:t xml:space="preserve"> </w:t>
      </w:r>
    </w:p>
    <w:p w14:paraId="0D74E147" w14:textId="77777777" w:rsidR="5356F330" w:rsidRPr="004955D6" w:rsidRDefault="35D49D57" w:rsidP="00415D76">
      <w:pPr>
        <w:spacing w:before="200"/>
        <w:ind w:left="23"/>
        <w:jc w:val="both"/>
        <w:rPr>
          <w:noProof/>
          <w:sz w:val="24"/>
          <w:szCs w:val="24"/>
        </w:rPr>
      </w:pPr>
      <w:r>
        <w:rPr>
          <w:noProof/>
          <w:sz w:val="24"/>
        </w:rPr>
        <w:t>La directive (UE) 2016/943</w:t>
      </w:r>
      <w:r>
        <w:rPr>
          <w:rStyle w:val="FootnoteReference"/>
          <w:noProof/>
          <w:sz w:val="24"/>
          <w:szCs w:val="24"/>
        </w:rPr>
        <w:footnoteReference w:id="20"/>
      </w:r>
      <w:r>
        <w:rPr>
          <w:noProof/>
        </w:rPr>
        <w:t xml:space="preserve"> </w:t>
      </w:r>
      <w:r>
        <w:rPr>
          <w:noProof/>
          <w:sz w:val="24"/>
        </w:rPr>
        <w:t>harmonise les législations des États membres de l’UE afin d’offrir une protection contre l’obtention, l’utilisation et la divulgation illicites de secrets d’affaires. Elle introduit une définition uniforme des secrets d’affaires et prévoit des mécanismes de réparation au civil pour protéger le savoir-faire des entreprises.</w:t>
      </w:r>
    </w:p>
    <w:p w14:paraId="57F3176A" w14:textId="77777777" w:rsidR="5356F330" w:rsidRPr="004955D6" w:rsidRDefault="4ACA647C" w:rsidP="00415D76">
      <w:pPr>
        <w:spacing w:before="200"/>
        <w:jc w:val="both"/>
        <w:rPr>
          <w:noProof/>
          <w:sz w:val="24"/>
          <w:szCs w:val="24"/>
        </w:rPr>
      </w:pPr>
      <w:r>
        <w:rPr>
          <w:noProof/>
          <w:sz w:val="24"/>
        </w:rPr>
        <w:t>La directive 2004/48/CE</w:t>
      </w:r>
      <w:r>
        <w:rPr>
          <w:rStyle w:val="FootnoteReference"/>
          <w:noProof/>
          <w:sz w:val="24"/>
          <w:szCs w:val="24"/>
        </w:rPr>
        <w:footnoteReference w:id="21"/>
      </w:r>
      <w:r>
        <w:rPr>
          <w:noProof/>
        </w:rPr>
        <w:t xml:space="preserve"> </w:t>
      </w:r>
      <w:r>
        <w:rPr>
          <w:noProof/>
          <w:sz w:val="24"/>
        </w:rPr>
        <w:t>prévoit un ensemble minimal harmonisé de mesures, procédures et réparations civiles loyales et proportionnées visant à assurer le respect des droits de propriété intellectuelle et applicables à tous les titres de propriété intellectuelle nationaux et européens dans le marché unique.</w:t>
      </w:r>
    </w:p>
    <w:p w14:paraId="23D6274F" w14:textId="77777777" w:rsidR="291FE08A" w:rsidRPr="004955D6" w:rsidRDefault="291FE08A" w:rsidP="00415D76">
      <w:pPr>
        <w:jc w:val="both"/>
        <w:rPr>
          <w:noProof/>
        </w:rPr>
      </w:pPr>
    </w:p>
    <w:p w14:paraId="69AEC775" w14:textId="77777777" w:rsidR="000242DE" w:rsidRPr="004955D6" w:rsidRDefault="63317F98" w:rsidP="00CD1810">
      <w:pPr>
        <w:ind w:left="23"/>
        <w:rPr>
          <w:b/>
          <w:bCs/>
          <w:noProof/>
        </w:rPr>
      </w:pPr>
      <w:r>
        <w:rPr>
          <w:b/>
          <w:noProof/>
        </w:rPr>
        <w:t>2.3 Exposé du problème</w:t>
      </w:r>
    </w:p>
    <w:p w14:paraId="7126B176" w14:textId="77777777" w:rsidR="00E22778" w:rsidRPr="004955D6" w:rsidRDefault="00E22778" w:rsidP="002C0369">
      <w:pPr>
        <w:pStyle w:val="BodyText"/>
        <w:jc w:val="both"/>
        <w:rPr>
          <w:noProof/>
        </w:rPr>
      </w:pPr>
    </w:p>
    <w:p w14:paraId="7472F386" w14:textId="77777777" w:rsidR="4448336C" w:rsidRPr="009E05C9" w:rsidRDefault="33B75AA9" w:rsidP="009751B4">
      <w:pPr>
        <w:pStyle w:val="BodyText"/>
        <w:spacing w:after="120"/>
        <w:jc w:val="both"/>
        <w:rPr>
          <w:noProof/>
          <w:color w:val="000000"/>
        </w:rPr>
      </w:pPr>
      <w:r>
        <w:rPr>
          <w:noProof/>
          <w:color w:val="000000" w:themeColor="text1"/>
        </w:rPr>
        <w:t>L’industrie des jeux vidéo est le plus grand secteur culturel et créatif au monde sur le plan économique. Elle a connu une croissance rapide dans les années 2010 et pendant la pandémie de COVID-19, avec un chiffre d’affaires mondial de quelque 170 milliards d’EUR en 2023, dont plus de 22 milliards d’EUR pour le marché de l’UE</w:t>
      </w:r>
      <w:r>
        <w:rPr>
          <w:rStyle w:val="FootnoteReference"/>
          <w:noProof/>
          <w:color w:val="000000" w:themeColor="text1"/>
        </w:rPr>
        <w:footnoteReference w:id="22"/>
      </w:r>
      <w:r>
        <w:rPr>
          <w:noProof/>
          <w:color w:val="000000" w:themeColor="text1"/>
        </w:rPr>
        <w:t>. Au fil du temps, les technologies des jeux vidéo ont bénéficié à des secteurs économiques plus larges (par exemple, formation, défense et santé), et les jeux eux-mêmes sont devenus des bancs d’essai pour l’innovation technologique (par exemple, technologies de réalité étendue).</w:t>
      </w:r>
    </w:p>
    <w:p w14:paraId="78F55F07" w14:textId="77777777" w:rsidR="4448336C" w:rsidRPr="009E05C9" w:rsidRDefault="15FD15B8" w:rsidP="009751B4">
      <w:pPr>
        <w:pStyle w:val="BodyText"/>
        <w:spacing w:after="120"/>
        <w:jc w:val="both"/>
        <w:rPr>
          <w:noProof/>
          <w:color w:val="000000"/>
        </w:rPr>
      </w:pPr>
      <w:r>
        <w:rPr>
          <w:noProof/>
          <w:color w:val="000000"/>
        </w:rPr>
        <w:t xml:space="preserve">Alors qu’elle traverse une crise de l’investissement et de l’emploi, l’industrie européenne des jeux vidéo reste connue pour les styles artistiques distinctifs et la narration caractéristique de ses jeux, ainsi que pour sa scène indépendante dynamique. S’appuyant sur </w:t>
      </w:r>
      <w:r>
        <w:rPr>
          <w:noProof/>
          <w:color w:val="000000" w:themeColor="text1"/>
        </w:rPr>
        <w:t>des travaux de recherche consacrés aux jeux vidéo</w:t>
      </w:r>
      <w:r>
        <w:rPr>
          <w:rStyle w:val="FootnoteReference"/>
          <w:noProof/>
          <w:color w:val="000000" w:themeColor="text1"/>
        </w:rPr>
        <w:footnoteReference w:id="23"/>
      </w:r>
      <w:r>
        <w:rPr>
          <w:noProof/>
          <w:color w:val="000000" w:themeColor="text1"/>
        </w:rPr>
        <w:t xml:space="preserve">, </w:t>
      </w:r>
      <w:r>
        <w:rPr>
          <w:noProof/>
          <w:color w:val="000000"/>
        </w:rPr>
        <w:t>sur un appui financier pour les premières phases de développement</w:t>
      </w:r>
      <w:r>
        <w:rPr>
          <w:rStyle w:val="FootnoteReference"/>
          <w:noProof/>
          <w:color w:val="000000"/>
        </w:rPr>
        <w:footnoteReference w:id="24"/>
      </w:r>
      <w:r>
        <w:rPr>
          <w:noProof/>
          <w:color w:val="000000"/>
        </w:rPr>
        <w:t>, sur des véhicules d’investissement</w:t>
      </w:r>
      <w:r>
        <w:rPr>
          <w:rStyle w:val="FootnoteReference"/>
          <w:noProof/>
          <w:color w:val="000000"/>
        </w:rPr>
        <w:footnoteReference w:id="25"/>
      </w:r>
      <w:r>
        <w:rPr>
          <w:noProof/>
          <w:color w:val="000000"/>
        </w:rPr>
        <w:t xml:space="preserve"> et sur un suivi actif de l’industrie, la Commission européenne œuvre à soutenir la compétitivité du secteur en Europe, lequel emploie environ 100 000 personnes et compte quelque 5 500 studios et éditeurs.</w:t>
      </w:r>
    </w:p>
    <w:p w14:paraId="784B796A" w14:textId="77777777" w:rsidR="4448336C" w:rsidRPr="009E05C9" w:rsidRDefault="33B75AA9" w:rsidP="009751B4">
      <w:pPr>
        <w:pStyle w:val="BodyText"/>
        <w:spacing w:after="120"/>
        <w:jc w:val="both"/>
        <w:rPr>
          <w:noProof/>
          <w:color w:val="000000"/>
        </w:rPr>
      </w:pPr>
      <w:r>
        <w:rPr>
          <w:noProof/>
          <w:color w:val="000000"/>
        </w:rPr>
        <w:t>Au-delà des indicateurs économiques, le jeu vidéo s’est imposé comme une activité culturelle et de loisirs de premier plan dans l’Union européenne et dans le monde. Trois Européens sur quatre jouent à des jeux vidéo</w:t>
      </w:r>
      <w:r>
        <w:rPr>
          <w:rStyle w:val="FootnoteReference"/>
          <w:noProof/>
          <w:color w:val="000000" w:themeColor="text1"/>
        </w:rPr>
        <w:footnoteReference w:id="26"/>
      </w:r>
      <w:r>
        <w:rPr>
          <w:noProof/>
          <w:color w:val="000000"/>
        </w:rPr>
        <w:t>. Ces derniers sont de plus en plus nombreux à être déclinés en formats transmédia (séries télévisées et films, par exemple), occupant une place toujours plus importante dans la culture populaire. Enfin, avec le succès grandissant des jeux multijoueurs, y compris ceux qui reposent sur un modèle de service continu</w:t>
      </w:r>
      <w:r>
        <w:rPr>
          <w:rStyle w:val="FootnoteReference"/>
          <w:noProof/>
          <w:color w:val="000000" w:themeColor="text1"/>
        </w:rPr>
        <w:footnoteReference w:id="27"/>
      </w:r>
      <w:r>
        <w:rPr>
          <w:noProof/>
          <w:color w:val="000000"/>
        </w:rPr>
        <w:t>, les jeux vidéo s’imposent de plus en plus comme des espaces d’interaction sociale et d’échanges amicaux propres à favoriser le développement de communautés de joueurs actives.</w:t>
      </w:r>
    </w:p>
    <w:p w14:paraId="027DCAAD" w14:textId="77777777" w:rsidR="4448336C" w:rsidRPr="009E05C9" w:rsidRDefault="0F813673" w:rsidP="009751B4">
      <w:pPr>
        <w:pStyle w:val="BodyText"/>
        <w:spacing w:after="120"/>
        <w:jc w:val="both"/>
        <w:rPr>
          <w:noProof/>
          <w:color w:val="000000"/>
        </w:rPr>
      </w:pPr>
      <w:r>
        <w:rPr>
          <w:noProof/>
          <w:color w:val="000000" w:themeColor="text1"/>
        </w:rPr>
        <w:t>C’est dans ce contexte que l’initiative citoyenne européenne a trouvé un écho auprès des joueurs.</w:t>
      </w:r>
    </w:p>
    <w:p w14:paraId="2ED5095E" w14:textId="77777777" w:rsidR="00F10729" w:rsidRDefault="678D6819" w:rsidP="009751B4">
      <w:pPr>
        <w:spacing w:after="120"/>
        <w:jc w:val="both"/>
        <w:rPr>
          <w:noProof/>
          <w:color w:val="000000" w:themeColor="text1"/>
          <w:sz w:val="24"/>
          <w:szCs w:val="24"/>
        </w:rPr>
      </w:pPr>
      <w:r>
        <w:rPr>
          <w:noProof/>
          <w:color w:val="000000" w:themeColor="text1"/>
          <w:sz w:val="24"/>
        </w:rPr>
        <w:t>Les jeux vidéo de la fin des années 1990 et du début des années 2000 fonctionnaient principalement en environnement fermé, qu’ils soient solos ou multijoueurs [par exemple, multijoueur local ou réseaux locaux (LAN), ou serveurs autohébergés], ce qui rendait l’expérience de jeu tributaire de la puissance matérielle et de la latence de connexion du joueur. À cette époque déjà, les jeux vidéo étaient concédés sous licence aux consommateurs, et non vendus.</w:t>
      </w:r>
    </w:p>
    <w:p w14:paraId="3DD52FAC" w14:textId="77777777" w:rsidR="000A1498" w:rsidRDefault="4FFC4B51" w:rsidP="009751B4">
      <w:pPr>
        <w:spacing w:after="120"/>
        <w:jc w:val="both"/>
        <w:rPr>
          <w:noProof/>
          <w:color w:val="000000" w:themeColor="text1"/>
          <w:sz w:val="24"/>
          <w:szCs w:val="24"/>
        </w:rPr>
      </w:pPr>
      <w:r>
        <w:rPr>
          <w:noProof/>
          <w:color w:val="000000" w:themeColor="text1"/>
          <w:sz w:val="24"/>
        </w:rPr>
        <w:t xml:space="preserve">En revanche, les jeux vidéo modernes (qu’ils soient solos ou multijoueurs) reposent de plus en plus sur des serveurs gérés par l’entreprise dont la fermeture – si fermeture il y a – peut entraîner une perte d’accès à tout ou partie du jeu. Une part croissante de l’infrastructure utilisée pour le jeu est passée du côté client au côté serveur. Si certains jeux, en particulier les jeux solos et ceux aux fonctionnalités moins complexes, comprennent des exigences de présence en ligne permanente aux seules fins d’authentification et de protection du droit d’auteur et de la propriété intellectuelle au moyen de logiciels de gestion des droits numériques (GDN), de nombreux jeux modernes populaires reposent sur la connexion en ligne pour permettre à un plus grand nombre de joueurs de jouer ensemble, de proposer des événements spéciaux à caractère social ou organisés par les développeurs, ou de mettre le jeu à jour en continu. </w:t>
      </w:r>
    </w:p>
    <w:p w14:paraId="36929FC5" w14:textId="77777777" w:rsidR="516E6097" w:rsidRPr="009E05C9" w:rsidRDefault="356F3E88" w:rsidP="0169C846">
      <w:pPr>
        <w:spacing w:after="120" w:line="259" w:lineRule="auto"/>
        <w:jc w:val="both"/>
        <w:rPr>
          <w:noProof/>
          <w:color w:val="000000" w:themeColor="text1"/>
          <w:sz w:val="24"/>
          <w:szCs w:val="24"/>
        </w:rPr>
      </w:pPr>
      <w:r>
        <w:rPr>
          <w:noProof/>
          <w:color w:val="000000" w:themeColor="text1"/>
          <w:sz w:val="24"/>
        </w:rPr>
        <w:t>La connexion en ligne peut également corriger les bogues au moyen de correctifs ou de mises à jour côté serveur et peut mettre à jour les logiciels et les intergiciels afin de remédier aux vulnérabilités ou de s’adapter aux mises à jour du système d’exploitation</w:t>
      </w:r>
      <w:r>
        <w:rPr>
          <w:rStyle w:val="FootnoteReference"/>
          <w:noProof/>
          <w:color w:val="000000" w:themeColor="text1"/>
          <w:sz w:val="24"/>
          <w:szCs w:val="24"/>
        </w:rPr>
        <w:footnoteReference w:id="28"/>
      </w:r>
      <w:r>
        <w:rPr>
          <w:noProof/>
          <w:color w:val="000000" w:themeColor="text1"/>
          <w:sz w:val="24"/>
        </w:rPr>
        <w:t>. Elle offre des fonctionnalités améliorées qui sont au cœur des jeux multijoueurs compétitifs (par exemple, en permettant de mettre en relation les joueurs et de tenir à jour des tableaux de classement). Elle traduit également une évolution du secteur, avec notamment l’intégration d’intergiciels tiers et de services externes (par exemple, télémétrie, systèmes anti-triche, fonctionnalités sociales et sauvegardes dans le nuage), lesquels dépendent souvent d’infrastructures en ligne pour leur hébergement ou leur fonctionnement. L’infrastructure serveur est également devenue indispensable pour monétiser les jeux: dans le modèle économique du service continu, les mises à jour régulières du contenu (par exemple, événements et défis quotidiens) fidélisent les joueurs, tandis que les stratégies publicitaires ciblées contribuent également aux recettes.</w:t>
      </w:r>
    </w:p>
    <w:p w14:paraId="32080A94" w14:textId="77777777" w:rsidR="4448336C" w:rsidRPr="009E05C9" w:rsidRDefault="0656CED2" w:rsidP="009751B4">
      <w:pPr>
        <w:spacing w:after="120"/>
        <w:jc w:val="both"/>
        <w:rPr>
          <w:noProof/>
          <w:color w:val="000000"/>
          <w:sz w:val="24"/>
          <w:szCs w:val="24"/>
        </w:rPr>
      </w:pPr>
      <w:r>
        <w:rPr>
          <w:noProof/>
          <w:color w:val="000000"/>
          <w:sz w:val="24"/>
        </w:rPr>
        <w:t>Comme indiqué dans l’initiative «Stop Destroying Videogames», les éditeurs</w:t>
      </w:r>
      <w:r>
        <w:rPr>
          <w:rStyle w:val="FootnoteReference"/>
          <w:noProof/>
          <w:color w:val="000000"/>
          <w:sz w:val="24"/>
          <w:szCs w:val="24"/>
        </w:rPr>
        <w:footnoteReference w:id="29"/>
      </w:r>
      <w:r>
        <w:rPr>
          <w:noProof/>
          <w:color w:val="000000"/>
          <w:sz w:val="24"/>
        </w:rPr>
        <w:t xml:space="preserve"> peuvent décider de fermer leurs serveurs. Cette décision résulte souvent d’une analyse coûts-avantages</w:t>
      </w:r>
      <w:r>
        <w:rPr>
          <w:rStyle w:val="FootnoteReference"/>
          <w:noProof/>
          <w:color w:val="000000"/>
          <w:sz w:val="24"/>
          <w:szCs w:val="24"/>
        </w:rPr>
        <w:footnoteReference w:id="30"/>
      </w:r>
      <w:r>
        <w:rPr>
          <w:noProof/>
          <w:color w:val="000000"/>
          <w:sz w:val="24"/>
        </w:rPr>
        <w:t xml:space="preserve"> </w:t>
      </w:r>
      <w:r>
        <w:rPr>
          <w:noProof/>
          <w:sz w:val="24"/>
        </w:rPr>
        <w:t xml:space="preserve">réalisée par l’éditeur, </w:t>
      </w:r>
      <w:r>
        <w:rPr>
          <w:noProof/>
          <w:color w:val="000000" w:themeColor="text1"/>
          <w:sz w:val="24"/>
        </w:rPr>
        <w:t xml:space="preserve">par exemple </w:t>
      </w:r>
      <w:r>
        <w:rPr>
          <w:noProof/>
          <w:color w:val="000000"/>
          <w:sz w:val="24"/>
        </w:rPr>
        <w:t>lorsque le jeu est jugé insuffisamment rentable et que les coûts liés au maintien des dépendances en matière de licence (comme des intergiciels ou des ressources telles que des contenus protégés par le droit d’auteur ou des marques déposées) ou des serveurs pour les jeux multijoueurs sont considérés comme trop élevés, ou encore lorsque les équipes de développement doivent être réaffectées à d’autres projets.</w:t>
      </w:r>
    </w:p>
    <w:p w14:paraId="798AAA93" w14:textId="77777777" w:rsidR="4448336C" w:rsidRPr="009E05C9" w:rsidRDefault="0F813673" w:rsidP="009751B4">
      <w:pPr>
        <w:spacing w:after="120"/>
        <w:jc w:val="both"/>
        <w:rPr>
          <w:noProof/>
          <w:color w:val="000000"/>
          <w:sz w:val="24"/>
          <w:szCs w:val="24"/>
        </w:rPr>
      </w:pPr>
      <w:r>
        <w:rPr>
          <w:noProof/>
          <w:color w:val="000000" w:themeColor="text1"/>
          <w:sz w:val="24"/>
        </w:rPr>
        <w:t>Selon le type de jeu et son degré de dépendance vis-à-vis du serveur, l’arrêt du support par l’éditeur peut rendre le jeu partiellement ou totalement inutilisable, ce qui conduit les consommateurs à perdre l’accès à un jeu qu’ils ont acquis moyennant un paiement initial ou dans lequel ils ont investi du temps et de l’argent (par exemple, pour des objets dans le jeu). Cela peut également s’expliquer par la crainte que leur propriété intellectuelle ne soit compromise ou dégradée si le jeu est hébergé sur des serveurs privés faisant l’objet de contrôles de modération et de sécurité moins rigoureux.</w:t>
      </w:r>
    </w:p>
    <w:p w14:paraId="57BECF4C" w14:textId="77777777" w:rsidR="4448336C" w:rsidRPr="004955D6" w:rsidRDefault="33B75AA9" w:rsidP="5D975B7C">
      <w:pPr>
        <w:spacing w:after="120" w:line="259" w:lineRule="auto"/>
        <w:jc w:val="both"/>
        <w:rPr>
          <w:noProof/>
          <w:color w:val="000000" w:themeColor="text1"/>
          <w:sz w:val="24"/>
          <w:szCs w:val="24"/>
        </w:rPr>
      </w:pPr>
      <w:r>
        <w:rPr>
          <w:noProof/>
          <w:color w:val="000000"/>
          <w:sz w:val="24"/>
        </w:rPr>
        <w:t>La campagne «Stop Killing Games» (Arrêtez de tuer les jeux) a mis en lumière ce phénomène</w:t>
      </w:r>
      <w:r>
        <w:rPr>
          <w:noProof/>
          <w:color w:val="000000"/>
          <w:sz w:val="24"/>
          <w:vertAlign w:val="superscript"/>
        </w:rPr>
        <w:t xml:space="preserve"> </w:t>
      </w:r>
      <w:r>
        <w:rPr>
          <w:noProof/>
          <w:color w:val="000000"/>
          <w:sz w:val="24"/>
        </w:rPr>
        <w:t xml:space="preserve">et recensé des centaines de fermetures ces dernières années. Selon les données disponibles, peu d’éditeurs prennent des dispositions pour faire en sorte que les jeux restent jouables (par exemple </w:t>
      </w:r>
      <w:r>
        <w:rPr>
          <w:noProof/>
          <w:color w:val="000000" w:themeColor="text1"/>
          <w:sz w:val="24"/>
        </w:rPr>
        <w:t>en les convertissant en une version autonome hors ligne</w:t>
      </w:r>
      <w:r>
        <w:rPr>
          <w:noProof/>
          <w:color w:val="000000"/>
          <w:sz w:val="24"/>
        </w:rPr>
        <w:t xml:space="preserve">, en autorisant les joueurs à utiliser des serveurs autohébergés ou à se connecter en pair à pair (P2P), ou encore en publiant le code source et les ressources). Ce sont le plus souvent les communautés qui permettent aux jeux de rester jouables, par rétro-ingénierie ou par la mise en place de serveurs privés gérés par des fans. Les données montrent que les jeux issus de petits studios </w:t>
      </w:r>
      <w:r>
        <w:rPr>
          <w:noProof/>
          <w:color w:val="000000" w:themeColor="text1"/>
          <w:sz w:val="24"/>
        </w:rPr>
        <w:t xml:space="preserve">ont tendance </w:t>
      </w:r>
      <w:r>
        <w:rPr>
          <w:noProof/>
          <w:color w:val="000000"/>
          <w:sz w:val="24"/>
        </w:rPr>
        <w:t>à rester jouables, tandis que les jeux-services et de nombreux jeux mobiles sont plus fréquemment touchés par les fermetures</w:t>
      </w:r>
      <w:r>
        <w:rPr>
          <w:rStyle w:val="FootnoteReference"/>
          <w:noProof/>
          <w:color w:val="000000" w:themeColor="text1"/>
          <w:sz w:val="24"/>
          <w:szCs w:val="24"/>
        </w:rPr>
        <w:footnoteReference w:id="31"/>
      </w:r>
      <w:r>
        <w:rPr>
          <w:noProof/>
        </w:rPr>
        <w:t>.</w:t>
      </w:r>
    </w:p>
    <w:p w14:paraId="4E23873A" w14:textId="77777777" w:rsidR="5E90005A" w:rsidRDefault="5E90005A" w:rsidP="00525EB5">
      <w:pPr>
        <w:pStyle w:val="BodyText"/>
        <w:keepNext/>
        <w:spacing w:before="240" w:after="240"/>
        <w:jc w:val="both"/>
        <w:rPr>
          <w:b/>
          <w:bCs/>
          <w:i/>
          <w:iCs/>
          <w:noProof/>
        </w:rPr>
      </w:pPr>
      <w:r>
        <w:rPr>
          <w:b/>
          <w:noProof/>
        </w:rPr>
        <w:t>2.4 Position des parties prenantes</w:t>
      </w:r>
    </w:p>
    <w:p w14:paraId="44079622" w14:textId="77777777" w:rsidR="5E90005A" w:rsidRDefault="5E90005A" w:rsidP="5D975B7C">
      <w:pPr>
        <w:spacing w:before="240" w:after="240"/>
        <w:jc w:val="both"/>
        <w:rPr>
          <w:noProof/>
          <w:sz w:val="24"/>
          <w:szCs w:val="24"/>
        </w:rPr>
      </w:pPr>
      <w:r>
        <w:rPr>
          <w:noProof/>
          <w:sz w:val="24"/>
        </w:rPr>
        <w:t>Afin de mieux évaluer les implications techniques, économiques et juridiques des questions soulevées par l’initiative, la Commission a consulté des représentants du secteur des jeux vidéo, des organisations de consommateurs, des autorités de protection des consommateurs et d’autres parties prenantes.</w:t>
      </w:r>
    </w:p>
    <w:p w14:paraId="72177CED" w14:textId="77777777" w:rsidR="5E90005A" w:rsidRDefault="6FF19259" w:rsidP="5D975B7C">
      <w:pPr>
        <w:spacing w:before="240" w:after="240"/>
        <w:jc w:val="both"/>
        <w:rPr>
          <w:noProof/>
          <w:sz w:val="24"/>
          <w:szCs w:val="24"/>
        </w:rPr>
      </w:pPr>
      <w:r>
        <w:rPr>
          <w:b/>
          <w:noProof/>
          <w:sz w:val="24"/>
        </w:rPr>
        <w:t>Les représentants du secteur</w:t>
      </w:r>
      <w:r>
        <w:rPr>
          <w:noProof/>
          <w:sz w:val="24"/>
        </w:rPr>
        <w:t xml:space="preserve"> (Video Games Europe et la Fédération européenne des développeurs de jeux vidéo) ont exprimé de vives réserves quant à l’instauration d’une obligation légale générale visant à garantir que les jeux vidéo restent jouables après l’arrêt des services associés. Ils ont fait valoir qu’une telle obligation aurait une incidence considérable sur les modèles de développement et de gestion existants (par exemple, la vente de licences de jeux vidéo). Cela pourrait également entraîner des problèmes de cybersécurité et de sécurité pour les joueurs, car les environnements de jeu risqueraient de se détériorer une fois que les entreprises cesseraient d’assurer le support. Selon eux, une refonte technique en profondeur des jeux, comprenant la suppression des dépendances vis-à-vis des serveurs, des systèmes anti-triche et des structures de monétisation, pourrait s’avérer nécessaire. Ils ont également fait part de leurs inquiétudes concernant la propriété intellectuelle, car les jeux peuvent reposer sur des licences de tiers à durée limitée.</w:t>
      </w:r>
    </w:p>
    <w:p w14:paraId="0A20837E" w14:textId="77777777" w:rsidR="5E90005A" w:rsidRDefault="5E90005A" w:rsidP="5D975B7C">
      <w:pPr>
        <w:spacing w:before="240" w:after="240"/>
        <w:jc w:val="both"/>
        <w:rPr>
          <w:noProof/>
          <w:sz w:val="24"/>
          <w:szCs w:val="24"/>
        </w:rPr>
      </w:pPr>
      <w:r>
        <w:rPr>
          <w:b/>
          <w:noProof/>
          <w:sz w:val="24"/>
        </w:rPr>
        <w:t>Le Bureau européen des unions de consommateurs (BEUC)</w:t>
      </w:r>
      <w:r>
        <w:rPr>
          <w:noProof/>
          <w:sz w:val="24"/>
        </w:rPr>
        <w:t xml:space="preserve"> et son membre français Que Choisir Ensemble (anciennement UFC-Que Choisir) ont souligné le nombre croissant de plaintes liées à l’arrêt de jeux vidéo. Ils ont estimé que les consommateurs cherchaient avant tout à conserver l’accès aux jeux qu’ils avaient achetés plutôt qu’à obtenir une compensation financière pour les jeux qui sont arrêtés et pour lesquels ils avaient payé d’avance. Les représentants des consommateurs ont également souligné que certains jeux, notamment les jeux solos, ne nécessitent une connexion à l’internet et l’intervention du fournisseur de jeu que pour l’authentification du joueur. Ces jeux pourraient donc facilement rester fonctionnels, car ils ne nécessitent aucun support continu de la part de l’éditeur.</w:t>
      </w:r>
    </w:p>
    <w:p w14:paraId="1C6121C3" w14:textId="77777777" w:rsidR="5E90005A" w:rsidRDefault="5E90005A" w:rsidP="5D975B7C">
      <w:pPr>
        <w:spacing w:before="240" w:after="240"/>
        <w:jc w:val="both"/>
        <w:rPr>
          <w:noProof/>
          <w:sz w:val="24"/>
          <w:szCs w:val="24"/>
        </w:rPr>
      </w:pPr>
      <w:r>
        <w:rPr>
          <w:b/>
          <w:noProof/>
          <w:sz w:val="24"/>
        </w:rPr>
        <w:t>Les autorités nationales de protection des consommateurs</w:t>
      </w:r>
      <w:r>
        <w:rPr>
          <w:noProof/>
          <w:sz w:val="24"/>
        </w:rPr>
        <w:t>, au sein du réseau de coopération en matière de protection des consommateurs, ont largement souligné l’importance de garantir la transparence concernant la durée de vie prévue des jeux vidéo et les conditions de leur arrêt, y compris à l’égard des conséquences pour les consommateurs en cas de cessation du service. Lorsque ces informations revêtent de l’importance pour la décision d’achat du consommateur, le cadre juridique en vigueur exige qu’elles soient fournies de manière claire avant la conclusion du contrat. Les autorités ont également souligné la nécessité d’une approche coordonnée au niveau de l’UE pour traiter les cas où des problèmes surviennent.</w:t>
      </w:r>
    </w:p>
    <w:p w14:paraId="5558F707" w14:textId="77777777" w:rsidR="5E90005A" w:rsidRDefault="5E90005A" w:rsidP="5D975B7C">
      <w:pPr>
        <w:spacing w:before="240" w:after="240"/>
        <w:jc w:val="both"/>
        <w:rPr>
          <w:noProof/>
          <w:sz w:val="24"/>
          <w:szCs w:val="24"/>
        </w:rPr>
      </w:pPr>
      <w:r>
        <w:rPr>
          <w:noProof/>
          <w:sz w:val="24"/>
        </w:rPr>
        <w:t>Ces positions illustrent la complexité des enjeux soulevés par cette initiative et les divergences de points de vue entre les parties prenantes.</w:t>
      </w:r>
    </w:p>
    <w:p w14:paraId="5109A26E" w14:textId="77777777" w:rsidR="007B6547" w:rsidRPr="004955D6" w:rsidRDefault="007B6547" w:rsidP="00075EAB">
      <w:pPr>
        <w:pStyle w:val="BodyText"/>
        <w:jc w:val="both"/>
        <w:rPr>
          <w:noProof/>
        </w:rPr>
      </w:pPr>
    </w:p>
    <w:p w14:paraId="79A93C76" w14:textId="77777777" w:rsidR="000242DE" w:rsidRPr="004955D6" w:rsidRDefault="727EE6C5" w:rsidP="00997569">
      <w:pPr>
        <w:keepNext/>
        <w:rPr>
          <w:b/>
          <w:bCs/>
          <w:noProof/>
        </w:rPr>
      </w:pPr>
      <w:r>
        <w:rPr>
          <w:b/>
          <w:noProof/>
        </w:rPr>
        <w:t>3. RÉPONSE À L’INITIATIVE CITOYENNE EUROPÉENNE</w:t>
      </w:r>
    </w:p>
    <w:p w14:paraId="6C816749" w14:textId="77777777" w:rsidR="5D085765" w:rsidRPr="00525EB5" w:rsidRDefault="5D085765" w:rsidP="00C72327">
      <w:pPr>
        <w:pStyle w:val="BodyText"/>
        <w:keepNext/>
        <w:keepLines/>
        <w:spacing w:before="240"/>
        <w:rPr>
          <w:b/>
          <w:bCs/>
          <w:noProof/>
        </w:rPr>
      </w:pPr>
      <w:r>
        <w:rPr>
          <w:b/>
          <w:noProof/>
        </w:rPr>
        <w:t>3.1 Le droit de la propriété intellectuelle garantit la protection des titulaires de droits sur les jeux vidéo et une grande liberté quant aux choix des conditions de distribution</w:t>
      </w:r>
    </w:p>
    <w:p w14:paraId="3B64556E" w14:textId="77777777" w:rsidR="6BDF7D27" w:rsidRPr="005E6732" w:rsidRDefault="6BDF7D27" w:rsidP="002400DF">
      <w:pPr>
        <w:pStyle w:val="BodyText"/>
        <w:keepNext/>
        <w:spacing w:before="200"/>
        <w:ind w:left="23"/>
        <w:jc w:val="both"/>
        <w:rPr>
          <w:i/>
          <w:iCs/>
          <w:noProof/>
        </w:rPr>
      </w:pPr>
      <w:r>
        <w:rPr>
          <w:i/>
          <w:noProof/>
        </w:rPr>
        <w:t>3.1.1. Législation de l’UE relative au droit d’auteur</w:t>
      </w:r>
    </w:p>
    <w:p w14:paraId="132E24D2" w14:textId="65B731A4" w:rsidR="6BDF7D27" w:rsidRDefault="3BF281C2" w:rsidP="5D975B7C">
      <w:pPr>
        <w:pStyle w:val="BodyText"/>
        <w:spacing w:before="240"/>
        <w:ind w:left="23" w:right="29"/>
        <w:jc w:val="both"/>
        <w:rPr>
          <w:noProof/>
        </w:rPr>
      </w:pPr>
      <w:r>
        <w:rPr>
          <w:noProof/>
        </w:rPr>
        <w:t>La législation de l’UE relative au droit d’auteur assure aux créateurs un niveau élevé de protection de leurs créations intellectuelles en leur accordant des droits exclusifs de reproduction, de communication au public et de distribution de leurs œuvres. C’est aux titulaires des droits qu’il appartient de décider s’ils souhaitent distribuer ou mettre à disposition d’une autre manière une œuvre protégée, telle qu’un jeu vidéo, et selon quelles modalités, dans les limites fixées par le cadre juridique. Si les exceptions et les limitations contribuent à définir les limites de ces droits exclusifs</w:t>
      </w:r>
      <w:r>
        <w:rPr>
          <w:rStyle w:val="FootnoteReference"/>
          <w:noProof/>
        </w:rPr>
        <w:footnoteReference w:id="32"/>
      </w:r>
      <w:r>
        <w:rPr>
          <w:noProof/>
        </w:rPr>
        <w:t>, il n’appartient pas à la législation sur le droit d’auteur d’imposer une forme ou un mode de distribution spécifiques pour les œuvres protégées.</w:t>
      </w:r>
    </w:p>
    <w:p w14:paraId="6C47472E" w14:textId="77777777" w:rsidR="6BDF7D27" w:rsidRDefault="17538C1D" w:rsidP="5D975B7C">
      <w:pPr>
        <w:pStyle w:val="BodyText"/>
        <w:spacing w:before="240"/>
        <w:ind w:left="23" w:right="29"/>
        <w:jc w:val="both"/>
        <w:rPr>
          <w:noProof/>
        </w:rPr>
      </w:pPr>
      <w:r>
        <w:rPr>
          <w:noProof/>
        </w:rPr>
        <w:t xml:space="preserve">Les titulaires de droits restent en principe libres de déterminer si et comment leurs œuvres protégées peuvent être utilisées, notamment en imposant des limites temporelles ou d’autres conditions aux utilisations autorisées en vertu de licences accordées à des tiers, conformément à la législation de l’UE en matière de droit d’auteur. </w:t>
      </w:r>
    </w:p>
    <w:p w14:paraId="0582A713" w14:textId="77777777" w:rsidR="6BDF7D27" w:rsidRPr="005E6732" w:rsidRDefault="6BDF7D27" w:rsidP="5D975B7C">
      <w:pPr>
        <w:pStyle w:val="BodyText"/>
        <w:spacing w:before="240"/>
        <w:ind w:left="23" w:right="29"/>
        <w:jc w:val="both"/>
        <w:rPr>
          <w:i/>
          <w:iCs/>
          <w:noProof/>
        </w:rPr>
      </w:pPr>
      <w:r>
        <w:rPr>
          <w:i/>
          <w:noProof/>
        </w:rPr>
        <w:t>3.1.2 Autres droits de propriété intellectuelle</w:t>
      </w:r>
    </w:p>
    <w:p w14:paraId="00504505" w14:textId="6B24FF8F" w:rsidR="6BDF7D27" w:rsidRDefault="6BDF7D27" w:rsidP="5D975B7C">
      <w:pPr>
        <w:spacing w:before="200"/>
        <w:jc w:val="both"/>
        <w:rPr>
          <w:noProof/>
          <w:sz w:val="24"/>
          <w:szCs w:val="24"/>
        </w:rPr>
      </w:pPr>
      <w:r>
        <w:rPr>
          <w:noProof/>
          <w:sz w:val="24"/>
        </w:rPr>
        <w:t>Les jeux vidéo sont des produits numériques complexes, dans lesquels plusieurs droits de propriété intellectuelle peuvent se recouper et protéger différents aspects du produit final. Ils peuvent comporter des éléments protégés par des marques, des dessins ou modèles, des secrets d’affaires et des accords de licence avec des tiers. Les mesures visant à garantir que les jeux vidéo restent jouables après l’arrêt des services en ligne peuvent donc soulever des questions concernant la portée et l’exercice de ces droits.</w:t>
      </w:r>
    </w:p>
    <w:p w14:paraId="22747E60" w14:textId="0B386134" w:rsidR="6BDF7D27" w:rsidRDefault="6BDF7D27" w:rsidP="5D975B7C">
      <w:pPr>
        <w:spacing w:before="200"/>
        <w:jc w:val="both"/>
        <w:rPr>
          <w:noProof/>
          <w:sz w:val="24"/>
          <w:szCs w:val="24"/>
        </w:rPr>
      </w:pPr>
      <w:r>
        <w:rPr>
          <w:noProof/>
          <w:sz w:val="24"/>
        </w:rPr>
        <w:t>Les marques peuvent également jouer un rôle dans le domaine des jeux vidéo. Elles peuvent servir à protéger le titre du jeu, les logos, les noms des personnages ou même des slogans. Par ailleurs, les jeux vidéo peuvent également intégrer des marques de tiers dans le cadre d’accords de licence, par exemple dans les jeux de sport, les jeux de course ou d’autres produits comportant du contenu de marque. Aussi le maintien de l’exploitation ou la modification d’un jeu peut-elle donner lieu à des questions concernant l’utilisation autorisée de la marque. En conséquence, la poursuite de l’utilisation d’éléments protégés dans le but de préserver la jouabilité d’un jeu peut nécessiter une évaluation des droits de propriété intellectuelle concernés.</w:t>
      </w:r>
    </w:p>
    <w:p w14:paraId="6A20ED22" w14:textId="77777777" w:rsidR="6BDF7D27" w:rsidRDefault="6BDF7D27" w:rsidP="5D975B7C">
      <w:pPr>
        <w:spacing w:before="200"/>
        <w:jc w:val="both"/>
        <w:rPr>
          <w:noProof/>
          <w:sz w:val="24"/>
          <w:szCs w:val="24"/>
        </w:rPr>
      </w:pPr>
      <w:r>
        <w:rPr>
          <w:noProof/>
          <w:sz w:val="24"/>
        </w:rPr>
        <w:t>Par ailleurs, le fonctionnement de nombreux jeux vidéo en ligne repose sur une infrastructure de serveurs, des systèmes d’authentification ou des technologies anti-triche qui ne sont pas transférés aux consommateurs au moment de l’achat. Ces éléments peuvent être protégés par des secrets d’affaires et des restrictions contractuelles. Selon le plan de fin de vie, les obligations de divulgation ou de transfert de ces éléments pourraient donc porter atteinte à la protection des informations commerciales confidentielles et du savoir-faire.</w:t>
      </w:r>
    </w:p>
    <w:p w14:paraId="0C362BCA" w14:textId="1CDDB648" w:rsidR="6BDF7D27" w:rsidRDefault="6BDF7D27" w:rsidP="5D975B7C">
      <w:pPr>
        <w:spacing w:before="200"/>
        <w:jc w:val="both"/>
        <w:rPr>
          <w:noProof/>
          <w:sz w:val="24"/>
          <w:szCs w:val="24"/>
        </w:rPr>
      </w:pPr>
      <w:r>
        <w:rPr>
          <w:noProof/>
          <w:sz w:val="24"/>
        </w:rPr>
        <w:t xml:space="preserve">Dès lors, toute mesure réglementaire visant à garantir que les jeux vidéo continuent de fonctionner ou soient préservés après l’arrêt des services en ligne devrait être mise en balance avec les </w:t>
      </w:r>
      <w:r>
        <w:rPr>
          <w:noProof/>
          <w:sz w:val="24"/>
          <w:u w:val="single"/>
        </w:rPr>
        <w:t>droits des consommateurs et ceux du titulaire des droits de propriété intellectuelle concernés</w:t>
      </w:r>
      <w:r>
        <w:rPr>
          <w:noProof/>
          <w:sz w:val="24"/>
        </w:rPr>
        <w:t>, ainsi qu’avec les dispositions contractuelles applicables et les intérêts légitimes des titulaires de droits.</w:t>
      </w:r>
    </w:p>
    <w:p w14:paraId="153A9038" w14:textId="77777777" w:rsidR="2155DDD3" w:rsidRPr="004955D6" w:rsidRDefault="2155DDD3" w:rsidP="00525EB5">
      <w:pPr>
        <w:pStyle w:val="BodyText"/>
        <w:keepNext/>
        <w:spacing w:before="240"/>
        <w:jc w:val="both"/>
        <w:rPr>
          <w:b/>
          <w:bCs/>
          <w:noProof/>
        </w:rPr>
      </w:pPr>
      <w:r>
        <w:rPr>
          <w:b/>
          <w:noProof/>
        </w:rPr>
        <w:t xml:space="preserve">3.2.  Le droit en matière de protection des consommateurs offre des garanties aux consommateurs </w:t>
      </w:r>
    </w:p>
    <w:p w14:paraId="02BB71CA" w14:textId="77777777" w:rsidR="0083227D" w:rsidRPr="004955D6" w:rsidRDefault="68CFE3C6" w:rsidP="005E6732">
      <w:pPr>
        <w:pStyle w:val="BodyText"/>
        <w:spacing w:before="200"/>
        <w:ind w:left="23"/>
        <w:jc w:val="both"/>
        <w:rPr>
          <w:noProof/>
        </w:rPr>
      </w:pPr>
      <w:r>
        <w:rPr>
          <w:noProof/>
        </w:rPr>
        <w:t>Le cadre juridique de l’UE en matière de protection des consommateurs ne précise pas pendant combien de temps les contenus ou services numériques doivent être fournis, et ne prévoit pas non plus l’obligation de transférer ces contenus ou services aux utilisateurs dans un état fonctionnel une fois que la fourniture commerciale prend fin. Néanmoins, le cadre juridique existant comprend des règles importantes protégeant les consommateurs en tant qu’utilisateurs de contenus et services numériques, y compris les jeux vidéo. Il s’agit notamment des règles prévues par la directive relative aux droits des consommateurs et la directive sur les pratiques commerciales déloyales en matière de transparence vis-à-vis des consommateurs sur le lieu de vente des contenus et services numériques, ainsi que des règles énoncées dans la directive sur les contrats numériques concernant la conformité au contrat et les recours des consommateurs, et dans la directive CACC pour ce qui est des clauses abusives dans les contrats conclus avec les consommateurs.</w:t>
      </w:r>
    </w:p>
    <w:p w14:paraId="6C0903C2" w14:textId="77777777" w:rsidR="006639E6" w:rsidRPr="004955D6" w:rsidRDefault="006639E6" w:rsidP="5D975B7C">
      <w:pPr>
        <w:pStyle w:val="BodyText"/>
        <w:spacing w:before="200"/>
        <w:ind w:left="23"/>
        <w:jc w:val="both"/>
        <w:rPr>
          <w:i/>
          <w:iCs/>
          <w:noProof/>
        </w:rPr>
      </w:pPr>
      <w:r>
        <w:rPr>
          <w:i/>
          <w:noProof/>
        </w:rPr>
        <w:t>3.2.1 Obligations de transparence</w:t>
      </w:r>
    </w:p>
    <w:p w14:paraId="30E21E38" w14:textId="78D72F29" w:rsidR="00353E64" w:rsidRPr="004955D6" w:rsidRDefault="575D1A16" w:rsidP="006639E6">
      <w:pPr>
        <w:pStyle w:val="BodyText"/>
        <w:spacing w:before="200"/>
        <w:ind w:left="23"/>
        <w:jc w:val="both"/>
        <w:rPr>
          <w:noProof/>
        </w:rPr>
      </w:pPr>
      <w:r>
        <w:rPr>
          <w:noProof/>
        </w:rPr>
        <w:t>La directive relative aux droits des consommateurs impose aux professionnels de fournir aux consommateurs des informations claires et compréhensibles avant la conclusion d’un contrat portant sur des contenus ou services numériques. Cela inclut des informations concernant la durée du contrat. S’il s’agit d’un contrat à durée indéterminée ou à reconduction automatique, les professionnels doivent également fournir des informations sur les conditions de résiliation du contrat</w:t>
      </w:r>
      <w:r>
        <w:rPr>
          <w:rStyle w:val="FootnoteReference"/>
          <w:noProof/>
        </w:rPr>
        <w:footnoteReference w:id="33"/>
      </w:r>
      <w:r>
        <w:rPr>
          <w:noProof/>
        </w:rPr>
        <w:t>. Cela inclut des informations sur les conditions dans lesquelles le consommateur et/ou le professionnel peuvent résilier le contrat, y compris les délais de préavis applicables en cas de résiliation.</w:t>
      </w:r>
    </w:p>
    <w:p w14:paraId="6DAE14BF" w14:textId="3FF84761" w:rsidR="00FE7A1C" w:rsidRDefault="3F9F8FF7" w:rsidP="000C6C87">
      <w:pPr>
        <w:pStyle w:val="BodyText"/>
        <w:spacing w:before="200"/>
        <w:jc w:val="both"/>
        <w:rPr>
          <w:noProof/>
        </w:rPr>
      </w:pPr>
      <w:r>
        <w:rPr>
          <w:noProof/>
        </w:rPr>
        <w:t xml:space="preserve">De plus, les professionnels sont tenus d’informer les consommateurs sur </w:t>
      </w:r>
      <w:r>
        <w:rPr>
          <w:noProof/>
          <w:color w:val="333333"/>
        </w:rPr>
        <w:t>la capacité du contenu numérique ou du service numérique à remplir ses fonctions</w:t>
      </w:r>
      <w:r>
        <w:rPr>
          <w:rStyle w:val="FootnoteReference"/>
          <w:noProof/>
          <w:color w:val="333333"/>
        </w:rPr>
        <w:footnoteReference w:id="34"/>
      </w:r>
      <w:r>
        <w:rPr>
          <w:noProof/>
        </w:rPr>
        <w:t xml:space="preserve">. Les informations relatives à la durée du contrat, aux conditions de résiliation et aux restrictions de fonctionnalité revêtent de l’importance lorsque les consommateurs évaluent la valeur et la possibilité d’utilisation du contenu ou service numérique. </w:t>
      </w:r>
    </w:p>
    <w:p w14:paraId="4A5ECB63" w14:textId="72392D9B" w:rsidR="006639E6" w:rsidRPr="004955D6" w:rsidRDefault="58E4ABED" w:rsidP="006639E6">
      <w:pPr>
        <w:pStyle w:val="BodyText"/>
        <w:spacing w:before="200"/>
        <w:ind w:left="23"/>
        <w:jc w:val="both"/>
        <w:rPr>
          <w:noProof/>
        </w:rPr>
      </w:pPr>
      <w:r>
        <w:rPr>
          <w:noProof/>
        </w:rPr>
        <w:t>Les fournisseurs de contenus ou services numériques sont également soumis à la directive sur les pratiques commerciales déloyales, qui leur impose de ne pas omettre d’informations dont les consommateurs ont besoin pour prendre des décisions d’achat en connaissance de cause</w:t>
      </w:r>
      <w:r>
        <w:rPr>
          <w:rStyle w:val="FootnoteReference"/>
          <w:noProof/>
        </w:rPr>
        <w:footnoteReference w:id="35"/>
      </w:r>
      <w:r>
        <w:rPr>
          <w:noProof/>
        </w:rPr>
        <w:t>.  Ces exigences découlant de ladite directive s’appliquent également pendant toute la durée du contrat. Par exemple, dès lors qu’un fournisseur a décidé l’arrêt d’un jeu vidéo, la directive sur les pratiques commerciales déloyales lui impose d’en informer les consommateurs, car cette information pourrait influencer leurs décisions d’achat, par exemple en ce qui concerne les achats intégrés au jeu.</w:t>
      </w:r>
    </w:p>
    <w:p w14:paraId="31AD734D" w14:textId="77777777" w:rsidR="7D228B31" w:rsidRPr="004955D6" w:rsidRDefault="7D228B31" w:rsidP="5D975B7C">
      <w:pPr>
        <w:spacing w:before="200"/>
        <w:ind w:left="23"/>
        <w:jc w:val="both"/>
        <w:rPr>
          <w:i/>
          <w:iCs/>
          <w:noProof/>
          <w:sz w:val="24"/>
          <w:szCs w:val="24"/>
        </w:rPr>
      </w:pPr>
      <w:r>
        <w:rPr>
          <w:i/>
          <w:noProof/>
          <w:sz w:val="24"/>
        </w:rPr>
        <w:t>3.2.2 Clauses contractuelles équitables</w:t>
      </w:r>
    </w:p>
    <w:p w14:paraId="662D1EBF" w14:textId="77777777" w:rsidR="006639E6" w:rsidRPr="000C6C87" w:rsidRDefault="3B938B8D" w:rsidP="00525EB5">
      <w:pPr>
        <w:pStyle w:val="BodyText"/>
        <w:spacing w:before="200" w:line="259" w:lineRule="auto"/>
        <w:ind w:left="23"/>
        <w:jc w:val="both"/>
        <w:rPr>
          <w:noProof/>
        </w:rPr>
      </w:pPr>
      <w:r>
        <w:rPr>
          <w:noProof/>
        </w:rPr>
        <w:t>Les clauses contractuelles générales des fournisseurs de jeux prévoyant leur droit d’arrêter les jeux peuvent également soulever des préoccupations au regard de la directive CACC, sous réserve d’une évaluation au cas par cas. Cela pourrait notamment se produire lorsque ces clauses accordent au fournisseur une grande latitude pour mettre fin au service sans justification suffisamment claire et transparente ou sans délai de préavis raisonnable. De telles clauses peuvent créer un déséquilibre significatif entre les droits et les obligations des parties, au détriment du consommateur. Les clauses contractuelles créant un tel déséquilibre significatif ne lient pas le consommateur.</w:t>
      </w:r>
    </w:p>
    <w:p w14:paraId="6C01740E" w14:textId="77777777" w:rsidR="00887D6E" w:rsidRPr="004955D6" w:rsidRDefault="26709C21" w:rsidP="5D975B7C">
      <w:pPr>
        <w:pStyle w:val="BodyText"/>
        <w:spacing w:before="200"/>
        <w:ind w:left="23"/>
        <w:jc w:val="both"/>
        <w:rPr>
          <w:i/>
          <w:iCs/>
          <w:noProof/>
        </w:rPr>
      </w:pPr>
      <w:r>
        <w:rPr>
          <w:i/>
          <w:noProof/>
        </w:rPr>
        <w:t>3.2.3 Conformité au contrat</w:t>
      </w:r>
    </w:p>
    <w:p w14:paraId="0ECE21CB" w14:textId="77777777" w:rsidR="0065588C" w:rsidRPr="004955D6" w:rsidRDefault="434992E0" w:rsidP="0065588C">
      <w:pPr>
        <w:pStyle w:val="BodyText"/>
        <w:spacing w:before="200"/>
        <w:ind w:left="23"/>
        <w:jc w:val="both"/>
        <w:rPr>
          <w:noProof/>
        </w:rPr>
      </w:pPr>
      <w:r>
        <w:rPr>
          <w:noProof/>
        </w:rPr>
        <w:t>La directive sur les contrats numériques définit les exigences en matière de conformité des contenus et services numériques (tels que les jeux vidéo) au contrat, prévoit des recours pour le consommateur en cas de non-conformité et réglemente la modification des contenus ou services numériques.</w:t>
      </w:r>
    </w:p>
    <w:p w14:paraId="14F32105" w14:textId="77777777" w:rsidR="003838FC" w:rsidRPr="00C72327" w:rsidRDefault="471E81DD" w:rsidP="00F77246">
      <w:pPr>
        <w:pStyle w:val="BodyText"/>
        <w:spacing w:before="200"/>
        <w:ind w:left="23"/>
        <w:jc w:val="both"/>
        <w:rPr>
          <w:noProof/>
        </w:rPr>
      </w:pPr>
      <w:r>
        <w:rPr>
          <w:noProof/>
        </w:rPr>
        <w:t>Cette directive dispose que les contenus et services numériques doivent correspondre à la description, à la quantité et à la qualité et présenter la fonctionnalité, la compatibilité, l’interopérabilité et d’autres caractéristiques, comme prévu dans le contrat</w:t>
      </w:r>
      <w:r>
        <w:rPr>
          <w:rStyle w:val="FootnoteReference"/>
          <w:noProof/>
        </w:rPr>
        <w:footnoteReference w:id="36"/>
      </w:r>
      <w:r>
        <w:rPr>
          <w:noProof/>
        </w:rPr>
        <w:t>. En outre, le contenu ou service numérique doit être adapté aux finalités auxquelles servirait normalement un contenu ou service numérique de même type. Il doit également présenter les qualités et les caractéristiques de performance qui sont normales pour un tel contenu ou service et auxquelles le consommateur peut raisonnablement s’attendre</w:t>
      </w:r>
      <w:r>
        <w:rPr>
          <w:rStyle w:val="FootnoteReference"/>
          <w:noProof/>
        </w:rPr>
        <w:footnoteReference w:id="37"/>
      </w:r>
      <w:r>
        <w:rPr>
          <w:noProof/>
        </w:rPr>
        <w:t>.  Ces caractéristiques de performance comprennent également l’«accessibilité» et la «continuité» du contenu ou service numérique.</w:t>
      </w:r>
    </w:p>
    <w:p w14:paraId="4E46801A" w14:textId="77777777" w:rsidR="001452EF" w:rsidRDefault="50AA83C7" w:rsidP="24284D17">
      <w:pPr>
        <w:pStyle w:val="BodyText"/>
        <w:spacing w:before="200"/>
        <w:ind w:left="23"/>
        <w:jc w:val="both"/>
        <w:rPr>
          <w:noProof/>
        </w:rPr>
      </w:pPr>
      <w:r>
        <w:rPr>
          <w:noProof/>
        </w:rPr>
        <w:t xml:space="preserve">Pour évaluer la conformité de toute cessation de la fourniture d’un contenu ou service numérique, il convient de prendre en compte ces deux types de critères. En conséquence, une cessation de la fourniture du contenu ou service numérique peut constituer un défaut de conformité au contrat lorsque le professionnel met fin à la fourniture du contenu ou service numérique plus tôt que ce à quoi le consommateur pouvait raisonnablement s’attendre. L’évaluation de ce à quoi le consommateur pouvait raisonnablement s’attendre en termes de durée de fourniture est propre à chaque contenu ou service numérique. </w:t>
      </w:r>
    </w:p>
    <w:p w14:paraId="01AD43A2" w14:textId="77777777" w:rsidR="00887D6E" w:rsidRPr="004955D6" w:rsidRDefault="6B76F283" w:rsidP="24284D17">
      <w:pPr>
        <w:pStyle w:val="BodyText"/>
        <w:spacing w:before="200"/>
        <w:ind w:left="23"/>
        <w:jc w:val="both"/>
        <w:rPr>
          <w:noProof/>
        </w:rPr>
      </w:pPr>
      <w:r>
        <w:rPr>
          <w:noProof/>
        </w:rPr>
        <w:t>Les clauses contractuelles spécifiques relatives à la durée de fourniture du contenu ou service numérique, dont le consommateur a été dûment informé et dont il aurait dû raisonnablement avoir connaissance avant la conclusion du contrat, déterminent également ce que le consommateur pouvait raisonnablement attendre au regard des exigences objectives de conformité en matière d’accessibilité et de continuité. De manière générale, les limitations contractuelles affectant la fonctionnalité du contenu ou service numérique peuvent constituer un défaut de conformité lorsqu’elles portent sur des caractéristiques auxquelles les consommateurs peuvent raisonnablement s’attendre, à moins que le consommateur n’ait été spécifiquement informé d’un tel écart et y ait expressément consenti avant la conclusion du contrat</w:t>
      </w:r>
      <w:r>
        <w:rPr>
          <w:rStyle w:val="FootnoteReference"/>
          <w:noProof/>
        </w:rPr>
        <w:footnoteReference w:id="38"/>
      </w:r>
      <w:r>
        <w:rPr>
          <w:noProof/>
        </w:rPr>
        <w:t xml:space="preserve">. </w:t>
      </w:r>
    </w:p>
    <w:p w14:paraId="6F085DB0" w14:textId="77777777" w:rsidR="006160B7" w:rsidRDefault="3B610A21" w:rsidP="00CD1810">
      <w:pPr>
        <w:pStyle w:val="BodyText"/>
        <w:spacing w:before="200" w:line="259" w:lineRule="auto"/>
        <w:ind w:left="23"/>
        <w:jc w:val="both"/>
        <w:rPr>
          <w:noProof/>
        </w:rPr>
      </w:pPr>
      <w:r>
        <w:rPr>
          <w:noProof/>
        </w:rPr>
        <w:t>Lorsque la cessation de la fourniture du contenu ou service numérique par le fournisseur constitue un défaut de conformité, les consommateurs devraient informer le fournisseur de la résolution du contrat et demander un remboursement. Les consommateurs ont droit, sous certaines conditions, à un remboursement proportionnel du prix payé à l’avance pour le jeu vidéo</w:t>
      </w:r>
      <w:r>
        <w:rPr>
          <w:rStyle w:val="FootnoteReference"/>
          <w:noProof/>
        </w:rPr>
        <w:footnoteReference w:id="39"/>
      </w:r>
      <w:r>
        <w:rPr>
          <w:noProof/>
        </w:rPr>
        <w:t>. Le droit au remboursement s’applique aussi bien aux contrats à durée indéterminée qu’aux contrats à durée déterminée.</w:t>
      </w:r>
    </w:p>
    <w:p w14:paraId="2EFF1FDA" w14:textId="77777777" w:rsidR="006160B7" w:rsidRDefault="2BEBF9F2" w:rsidP="00525EB5">
      <w:pPr>
        <w:pStyle w:val="BodyText"/>
        <w:numPr>
          <w:ilvl w:val="0"/>
          <w:numId w:val="3"/>
        </w:numPr>
        <w:spacing w:before="200" w:line="259" w:lineRule="auto"/>
        <w:jc w:val="both"/>
        <w:rPr>
          <w:noProof/>
        </w:rPr>
      </w:pPr>
      <w:r>
        <w:rPr>
          <w:noProof/>
        </w:rPr>
        <w:t xml:space="preserve">Lorsque le </w:t>
      </w:r>
      <w:r>
        <w:rPr>
          <w:b/>
          <w:noProof/>
        </w:rPr>
        <w:t>contrat est à durée déterminée</w:t>
      </w:r>
      <w:r>
        <w:rPr>
          <w:noProof/>
        </w:rPr>
        <w:t xml:space="preserve">, le professionnel doit rembourser au consommateur la partie proportionnelle du prix payé d’avance par celui-ci pour toute période du contrat qui resterait à courir si le contrat n’avait pas été résolu. Par exemple, dans le cas d’un contrat de cinq ans, pour lequel le consommateur effectue un paiement à l’avance, si le fournisseur cesse la fourniture au bout de quatre ans, le consommateur a droit à un remboursement proportionnel du montant versé à l’avance pour la cinquième année du contrat. </w:t>
      </w:r>
    </w:p>
    <w:p w14:paraId="0C75C2CB" w14:textId="77777777" w:rsidR="00D926F8" w:rsidRPr="004955D6" w:rsidRDefault="179E3288" w:rsidP="00525EB5">
      <w:pPr>
        <w:pStyle w:val="BodyText"/>
        <w:numPr>
          <w:ilvl w:val="0"/>
          <w:numId w:val="3"/>
        </w:numPr>
        <w:spacing w:before="200" w:line="259" w:lineRule="auto"/>
        <w:jc w:val="both"/>
        <w:rPr>
          <w:noProof/>
        </w:rPr>
      </w:pPr>
      <w:r>
        <w:rPr>
          <w:noProof/>
        </w:rPr>
        <w:t xml:space="preserve">Lorsque le </w:t>
      </w:r>
      <w:r>
        <w:rPr>
          <w:b/>
          <w:noProof/>
        </w:rPr>
        <w:t>contrat est à durée indéterminée</w:t>
      </w:r>
      <w:r>
        <w:rPr>
          <w:noProof/>
        </w:rPr>
        <w:t>, le montant du remboursement dû doit être évalué au cas par cas, en fonction de la durée du contrat à laquelle le consommateur aurait pu raisonnablement s’attendre au regard des critères objectifs de continuité et d’accessibilité. L’évaluation de tout remboursement dû au consommateur dépendrait de facteurs tels que la nature du contenu ou service numérique, la manière dont il a été commercialisé, l’accessibilité et la continuité qui sont normales pour un contenu ou service numérique de même type, ainsi que la période pendant laquelle le contenu ou service numérique est resté disponible.</w:t>
      </w:r>
    </w:p>
    <w:p w14:paraId="1CBE9BFF" w14:textId="77777777" w:rsidR="00D926F8" w:rsidRPr="004955D6" w:rsidRDefault="32029030" w:rsidP="008A1976">
      <w:pPr>
        <w:pStyle w:val="BodyText"/>
        <w:spacing w:before="200" w:line="259" w:lineRule="auto"/>
        <w:jc w:val="both"/>
        <w:rPr>
          <w:noProof/>
        </w:rPr>
      </w:pPr>
      <w:r>
        <w:rPr>
          <w:noProof/>
        </w:rPr>
        <w:t>De plus, l’obligation de remboursement s’applique non seulement au prix payé en vertu du contrat pour le contenu ou service numérique principal, mais également aux paiements effectués au titre de tout contrat accessoire lié au contenu ou service numérique principal, c’est-à-dire aux achats intégrés au jeu qui prennent fin en même temps que le contrat principal. En tout état de cause, le consommateur doit être remboursé de tout montant converti en monnaies de jeu que le fournisseur aurait introduites et qui n’a pas encore été utilisé pour l’achat d’objets virtuels. Étant donné que le consommateur achète des monnaies de jeu dans le but de les utiliser pour acquérir des objets virtuels, ses attentes raisonnables ne seraient pas satisfaites si la cessation de la fourniture du contenu ou service numérique principal l’empêchait d’utiliser ces monnaies virtuelles pour acheter des objets virtuels</w:t>
      </w:r>
      <w:r>
        <w:rPr>
          <w:rStyle w:val="FootnoteReference"/>
          <w:noProof/>
        </w:rPr>
        <w:footnoteReference w:id="40"/>
      </w:r>
      <w:r>
        <w:rPr>
          <w:noProof/>
        </w:rPr>
        <w:t xml:space="preserve">.  </w:t>
      </w:r>
    </w:p>
    <w:p w14:paraId="57734C98" w14:textId="77777777" w:rsidR="00D926F8" w:rsidRPr="004955D6" w:rsidRDefault="4FECBE8A" w:rsidP="00CB5DE3">
      <w:pPr>
        <w:pStyle w:val="BodyText"/>
        <w:spacing w:before="200" w:line="259" w:lineRule="auto"/>
        <w:ind w:left="23"/>
        <w:jc w:val="both"/>
        <w:rPr>
          <w:noProof/>
        </w:rPr>
      </w:pPr>
      <w:r>
        <w:rPr>
          <w:noProof/>
        </w:rPr>
        <w:t>La directive sur les contrats numériques ne s’applique que depuis le 1</w:t>
      </w:r>
      <w:r>
        <w:rPr>
          <w:noProof/>
          <w:vertAlign w:val="superscript"/>
        </w:rPr>
        <w:t>er</w:t>
      </w:r>
      <w:r>
        <w:rPr>
          <w:noProof/>
        </w:rPr>
        <w:t> janvier 2022. À ce jour, il n’existe aucune décision de la Cour de justice de l’Union européenne fournissant d’interprétation juridiquement contraignante quant à son application</w:t>
      </w:r>
      <w:r>
        <w:rPr>
          <w:rStyle w:val="FootnoteReference"/>
          <w:noProof/>
        </w:rPr>
        <w:footnoteReference w:id="41"/>
      </w:r>
      <w:r>
        <w:rPr>
          <w:noProof/>
        </w:rPr>
        <w:t>. La Commission examine actuellement l’application de la directive sur les contrats numériques et prévoit de présenter son rapport d’ici la fin de l’année 2026. Celui-ci portera également sur son application à la cessation de la fourniture de contenus et services numériques.</w:t>
      </w:r>
    </w:p>
    <w:p w14:paraId="7D4E3D94" w14:textId="77777777" w:rsidR="7E08006A" w:rsidRDefault="7E08006A" w:rsidP="5D975B7C">
      <w:pPr>
        <w:pStyle w:val="BodyText"/>
        <w:spacing w:before="200"/>
        <w:ind w:left="23"/>
        <w:jc w:val="both"/>
        <w:rPr>
          <w:noProof/>
        </w:rPr>
      </w:pPr>
      <w:r>
        <w:rPr>
          <w:b/>
          <w:noProof/>
        </w:rPr>
        <w:t>3.3 Maintenir la jouabilité des futurs jeux vidéo après au terme de leur exploitation commerciale peut comporter des coûts et des risques</w:t>
      </w:r>
    </w:p>
    <w:p w14:paraId="3D9D5937" w14:textId="77777777" w:rsidR="00A734C8" w:rsidRDefault="56FB6186" w:rsidP="00FC496C">
      <w:pPr>
        <w:pStyle w:val="BodyText"/>
        <w:spacing w:before="200" w:line="259" w:lineRule="auto"/>
        <w:jc w:val="both"/>
        <w:rPr>
          <w:noProof/>
        </w:rPr>
      </w:pPr>
      <w:r>
        <w:rPr>
          <w:noProof/>
        </w:rPr>
        <w:t>Comme expliqué dans la section 3.1, exiger des éditeurs qu’ils maintiennent les jeux dans un état fonctionnel au terme de leur exploitation commerciale pourrait avoir des répercussions sur les droits de propriété intellectuelle. Cela pourrait également entraîner des coûts (par exemple, temps d’ingénierie, tests, renouvellement des licences, etc.) pour les fournisseurs de jeux vidéo. Il convient de prendre ces éléments en compte dans un contexte où 26 % des développeurs de jeux européens ont déjà été licenciés en l’espace de 12 mois au cours de la période 2024-2025</w:t>
      </w:r>
      <w:r>
        <w:rPr>
          <w:rStyle w:val="FootnoteReference"/>
          <w:noProof/>
        </w:rPr>
        <w:footnoteReference w:id="42"/>
      </w:r>
      <w:r>
        <w:rPr>
          <w:noProof/>
        </w:rPr>
        <w:t>. Une telle exigence pourrait également exposer les éditeurs à des risques de réputation une fois que les jeux vidéo ne relèvent plus de leur contrôle opérationnel</w:t>
      </w:r>
      <w:r>
        <w:rPr>
          <w:rStyle w:val="FootnoteReference"/>
          <w:noProof/>
        </w:rPr>
        <w:footnoteReference w:id="43"/>
      </w:r>
      <w:r>
        <w:rPr>
          <w:noProof/>
        </w:rPr>
        <w:t>.</w:t>
      </w:r>
    </w:p>
    <w:p w14:paraId="587475F6" w14:textId="77777777" w:rsidR="3E19ADEF" w:rsidRPr="000C6C87" w:rsidRDefault="4D606135" w:rsidP="000C6C87">
      <w:pPr>
        <w:pStyle w:val="BodyText"/>
        <w:spacing w:before="200"/>
        <w:jc w:val="both"/>
        <w:rPr>
          <w:b/>
          <w:bCs/>
          <w:noProof/>
        </w:rPr>
      </w:pPr>
      <w:r>
        <w:rPr>
          <w:b/>
          <w:noProof/>
        </w:rPr>
        <w:t>3.4 Voie à suivre</w:t>
      </w:r>
    </w:p>
    <w:p w14:paraId="06DE3630" w14:textId="32D7362C" w:rsidR="6D1C98AE" w:rsidRPr="007A0D22" w:rsidRDefault="1B5907EC" w:rsidP="00A734C8">
      <w:pPr>
        <w:pStyle w:val="BodyText"/>
        <w:spacing w:before="200"/>
        <w:ind w:left="23"/>
        <w:jc w:val="both"/>
        <w:rPr>
          <w:noProof/>
        </w:rPr>
      </w:pPr>
      <w:r>
        <w:rPr>
          <w:noProof/>
        </w:rPr>
        <w:t>Afin de répondre aux préoccupations soulevées par l’initiative, la Commission a l’intention d’étudier avec le secteur la possibilité d’élaborer un code de conduite fondé sur l’autoréglementation visant à promouvoir de meilleures normes en matière de fin de vie des jeux</w:t>
      </w:r>
      <w:r>
        <w:rPr>
          <w:rStyle w:val="FootnoteReference"/>
          <w:noProof/>
        </w:rPr>
        <w:footnoteReference w:id="44"/>
      </w:r>
      <w:r>
        <w:rPr>
          <w:noProof/>
        </w:rPr>
        <w:t xml:space="preserve">. Un tel cadre permettrait de répondre à la problématique concernée tout en tenant compte de la diversité des jeux vidéo et des pratiques de développement. Ce code pourrait également favoriser un étiquetage plus transparent indiquant le retrait potentiel du jeu des boutiques en ligne, et ouvrir la voie à davantage de partenariats entre les éditeurs et les institutions de gestion du patrimoine culturel en vue de la préservation des jeux vidéo. </w:t>
      </w:r>
      <w:r>
        <w:rPr>
          <w:noProof/>
          <w:color w:val="242424"/>
        </w:rPr>
        <w:t>À cet égard, la Commission estime qu’il est opportun d’associer à ce processus des représentants des consommateurs et d’autres services assurant l’accès aux jeux (par exemple, les distributeurs, les fabricants de matériel informatique)</w:t>
      </w:r>
      <w:r>
        <w:rPr>
          <w:noProof/>
        </w:rPr>
        <w:t>. En outre, la Commission examinera la question de la cessation de la fourniture des contenus et services numériques dans son prochain rapport sur l’application de la directive sur les contrats numériques. Elle collaborera également avec les autorités et organisations de protection des consommateurs afin de mieux faire connaître les droits des consommateurs applicables.</w:t>
      </w:r>
    </w:p>
    <w:p w14:paraId="15D17E6C" w14:textId="77777777" w:rsidR="000237C6" w:rsidRPr="007A0D22" w:rsidRDefault="2ED0C952" w:rsidP="31DBE0D6">
      <w:pPr>
        <w:pStyle w:val="BodyText"/>
        <w:keepNext/>
        <w:spacing w:before="200"/>
        <w:jc w:val="both"/>
        <w:rPr>
          <w:b/>
          <w:bCs/>
          <w:noProof/>
        </w:rPr>
      </w:pPr>
      <w:r>
        <w:rPr>
          <w:b/>
          <w:noProof/>
        </w:rPr>
        <w:t>4.  CONCLUSION</w:t>
      </w:r>
    </w:p>
    <w:p w14:paraId="20EBA471" w14:textId="77777777" w:rsidR="007F5A55" w:rsidRPr="007A0D22" w:rsidRDefault="009B1B46" w:rsidP="0052177B">
      <w:pPr>
        <w:pStyle w:val="BodyText"/>
        <w:spacing w:before="200"/>
        <w:ind w:left="23"/>
        <w:jc w:val="both"/>
        <w:rPr>
          <w:noProof/>
        </w:rPr>
      </w:pPr>
      <w:r>
        <w:rPr>
          <w:noProof/>
        </w:rPr>
        <w:t xml:space="preserve">La Commission a examiné avec soin la demande formulée au moyen de l’ICE à la lumière du droit de l’Union applicable.  Elle estime qu’une proposition d’acte législatif adressée au Parlement européen et au Conseil visant à imposer aux éditeurs qui vendent ou concèdent sous licence des jeux vidéo aux consommateurs dans l’Union européenne l’obligation de les maintenir dans un état jouable, comme demandé dans l’ICE, ne serait pas proportionnée. </w:t>
      </w:r>
    </w:p>
    <w:p w14:paraId="0B10472A" w14:textId="1E2B3118" w:rsidR="007B6DF1" w:rsidRDefault="03E72CD9" w:rsidP="007A0D22">
      <w:pPr>
        <w:pStyle w:val="BodyText"/>
        <w:spacing w:before="200"/>
        <w:ind w:left="23"/>
        <w:jc w:val="both"/>
        <w:rPr>
          <w:noProof/>
        </w:rPr>
      </w:pPr>
      <w:r>
        <w:rPr>
          <w:noProof/>
        </w:rPr>
        <w:t xml:space="preserve">Si la Commission est pleinement déterminée à garantir un niveau élevé de protection des consommateurs dans l’UE, les droits de propriété intellectuelle des professionnels doivent également être respectés. Ces droits risqueraient d’être compromis par une obligation légale de maintenir les jeux vidéo dans un état jouable au terme de leur exploitation commerciale. En vertu de la législation relative au droit d’auteur, les titulaires de droits sont habilités à fixer les conditions d’utilisation sous licence de leurs jeux vidéo, y compris les conditions de révocation de la licence. Une obligation de maintenir les jeux dans un état fonctionnel pourrait également porter atteinte à la protection des informations commerciales confidentielles et du savoir-faire, ainsi qu’aux modèles économiques des fournisseurs de jeux vidéo qui, en principe, tout comme les commerçants dans le monde hors ligne, ont le droit de mettre fin à leurs services. Le fait de maintenir la jouabilité des jeux vidéo peut également engendrer des coûts pour les éditeurs. </w:t>
      </w:r>
      <w:r>
        <w:rPr>
          <w:noProof/>
          <w:u w:val="single"/>
        </w:rPr>
        <w:t>En outre, des risques accrus en matière de cybersécurité et de sécurité pourraient surgir pour les joueurs une fois que les éditeurs cessent d’assurer le support de ces jeux (ce qui peut à son tour également créer des risques pour la réputation des éditeurs ou accroître ces risques).</w:t>
      </w:r>
      <w:r>
        <w:rPr>
          <w:noProof/>
        </w:rPr>
        <w:t xml:space="preserve"> Par ailleurs, le cadre juridique actuel de l’Union en matière de protection des consommateurs prévoit déjà d’importantes garanties protégeant les intérêts économiques des consommateurs. Ces instruments établissent des règles en matière de transparence, de conformité et de voies de recours concernant les contenus et services numériques. Ils imposent notamment aux fournisseurs de contenus et services numériques d’informer les consommateurs de la durée du contrat et des conditions de sa résiliation. Ils garantissent également aux consommateurs le droit d’être remboursés si l’arrêt du jeu vidéo n’est pas conforme au contrat, au regard des attentes raisonnables du consommateur. Ce faisant, ils préservent l’équilibre entre un niveau élevé de protection des consommateurs et les intérêts légitimes du secteur des jeux vidéo. L’exercice actif des droits à réparation par les consommateurs lésés et leurs représentants, ainsi que l’application de ces règles par les autorités et/ou juridictions nationales compétentes en matière de protection des consommateurs , peuvent également inciter les fournisseurs à proposer des jeux vidéo ayant une durée de vie plus longue et à étudier des solutions permettant de répondre aux attentes des consommateurs.</w:t>
      </w:r>
    </w:p>
    <w:p w14:paraId="0A86CE02" w14:textId="77777777" w:rsidR="007B6DF1" w:rsidRDefault="00AC7866" w:rsidP="093555AB">
      <w:pPr>
        <w:pStyle w:val="BodyText"/>
        <w:spacing w:before="240" w:line="259" w:lineRule="auto"/>
        <w:ind w:left="23" w:right="29"/>
        <w:jc w:val="both"/>
        <w:rPr>
          <w:noProof/>
        </w:rPr>
      </w:pPr>
      <w:r>
        <w:rPr>
          <w:noProof/>
        </w:rPr>
        <w:t xml:space="preserve">Bien qu’aucune initiative législative visant à imposer aux éditeurs qui vendent ou concèdent sous licence des jeux vidéo aux consommateurs dans l’Union européenne l’obligation de les maintenir dans un état jouable, comme demandé au moyen de l’ICE, ne soit envisagée, la Commission a l’intention d’entamer des échanges avec les parties prenantes d’ici la fin de 2026 afin d’étudier la possibilité d’élaborer un code de conduitefondé sur l’autoréglementation/piloté par le secteur, visant à améliorer la gestion de la fin de vie des jeux vidéo et à renforcer la transparence à l’égard des consommateurs. En outre, la Commission prévoit de présenter, d’ici la fin de l’année 2026, son rapport sur l’application de la directive (UE) 2019/770, qui portera également sur son application à la cessation de la fourniture des contenus et services numériques. Par ailleurs, elle continuera à collaborer avec les autorités et organisations de protection des consommateurs afin de sensibiliser ces derniers aux droits dont ils bénéficient, y compris aux voies de recours dont ils disposent. </w:t>
      </w:r>
    </w:p>
    <w:p w14:paraId="7099DB98" w14:textId="77777777" w:rsidR="001D3607" w:rsidRPr="00525EB5" w:rsidRDefault="001D3607" w:rsidP="00525EB5">
      <w:pPr>
        <w:jc w:val="both"/>
        <w:rPr>
          <w:noProof/>
          <w:sz w:val="24"/>
          <w:szCs w:val="24"/>
        </w:rPr>
      </w:pPr>
    </w:p>
    <w:p w14:paraId="598A5140" w14:textId="77777777" w:rsidR="000242DE" w:rsidRPr="004955D6" w:rsidRDefault="000242DE" w:rsidP="093555AB">
      <w:pPr>
        <w:pStyle w:val="BodyText"/>
        <w:spacing w:before="240"/>
        <w:ind w:right="18"/>
        <w:jc w:val="both"/>
        <w:rPr>
          <w:i/>
          <w:noProof/>
          <w:highlight w:val="yellow"/>
        </w:rPr>
      </w:pPr>
    </w:p>
    <w:tbl>
      <w:tblPr>
        <w:tblW w:w="0" w:type="auto"/>
        <w:tblInd w:w="4252" w:type="dxa"/>
        <w:tblCellMar>
          <w:top w:w="567" w:type="dxa"/>
          <w:left w:w="0" w:type="dxa"/>
          <w:right w:w="0" w:type="dxa"/>
        </w:tblCellMar>
        <w:tblLook w:val="0000" w:firstRow="0" w:lastRow="0" w:firstColumn="0" w:lastColumn="0" w:noHBand="0" w:noVBand="0"/>
      </w:tblPr>
      <w:tblGrid>
        <w:gridCol w:w="3761"/>
      </w:tblGrid>
      <w:tr w:rsidR="007B6DF1" w14:paraId="22DF58F5" w14:textId="77777777">
        <w:trPr>
          <w:cantSplit/>
        </w:trPr>
        <w:tc>
          <w:tcPr>
            <w:tcW w:w="0" w:type="auto"/>
            <w:shd w:val="clear" w:color="auto" w:fill="auto"/>
          </w:tcPr>
          <w:p w14:paraId="2A5BE7FB" w14:textId="77777777" w:rsidR="007B6DF1" w:rsidRDefault="00DA2BB7">
            <w:pPr>
              <w:rPr>
                <w:noProof/>
              </w:rPr>
            </w:pPr>
            <w:r>
              <w:rPr>
                <w:noProof/>
              </w:rPr>
              <w:pict w14:anchorId="0CFEED30">
                <v:shape id="_x0000_i1026" type="#_x0000_t75" style="width:188.25pt;height:102pt">
                  <v:imagedata r:id="rId15" o:title=""/>
                </v:shape>
              </w:pict>
            </w:r>
          </w:p>
        </w:tc>
      </w:tr>
    </w:tbl>
    <w:p w14:paraId="6D64817F" w14:textId="77777777" w:rsidR="00683DAB" w:rsidRDefault="00683DAB">
      <w:pPr>
        <w:rPr>
          <w:noProof/>
        </w:rPr>
      </w:pPr>
    </w:p>
    <w:sectPr w:rsidR="00683DAB" w:rsidSect="00E32103">
      <w:headerReference w:type="even" r:id="rId16"/>
      <w:headerReference w:type="default" r:id="rId17"/>
      <w:footerReference w:type="even" r:id="rId18"/>
      <w:footerReference w:type="default" r:id="rId19"/>
      <w:headerReference w:type="first" r:id="rId20"/>
      <w:footerReference w:type="first" r:id="rId21"/>
      <w:pgSz w:w="12240" w:h="15840"/>
      <w:pgMar w:top="1360" w:right="1417" w:bottom="1200" w:left="1417"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91F8E" w14:textId="77777777" w:rsidR="00633119" w:rsidRPr="004955D6" w:rsidRDefault="00633119">
      <w:r>
        <w:separator/>
      </w:r>
    </w:p>
  </w:endnote>
  <w:endnote w:type="continuationSeparator" w:id="0">
    <w:p w14:paraId="25FB817B" w14:textId="77777777" w:rsidR="00633119" w:rsidRPr="004955D6" w:rsidRDefault="0063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1C080" w14:textId="36A4626D" w:rsidR="00F46A0D" w:rsidRPr="00F46A0D" w:rsidRDefault="00F46A0D" w:rsidP="00F46A0D">
    <w:pPr>
      <w:pStyle w:val="FooterCoverPage"/>
      <w:rPr>
        <w:rFonts w:ascii="Arial" w:hAnsi="Arial" w:cs="Arial"/>
        <w:b/>
        <w:sz w:val="48"/>
      </w:rPr>
    </w:pPr>
    <w:r w:rsidRPr="00F46A0D">
      <w:rPr>
        <w:rFonts w:ascii="Arial" w:hAnsi="Arial" w:cs="Arial"/>
        <w:b/>
        <w:sz w:val="48"/>
      </w:rPr>
      <w:t>FR</w:t>
    </w:r>
    <w:r w:rsidRPr="00F46A0D">
      <w:rPr>
        <w:rFonts w:ascii="Arial" w:hAnsi="Arial" w:cs="Arial"/>
        <w:b/>
        <w:sz w:val="48"/>
      </w:rPr>
      <w:tab/>
    </w:r>
    <w:r w:rsidRPr="00F46A0D">
      <w:rPr>
        <w:rFonts w:ascii="Arial" w:hAnsi="Arial" w:cs="Arial"/>
        <w:b/>
        <w:sz w:val="48"/>
      </w:rPr>
      <w:tab/>
    </w:r>
    <w:r w:rsidRPr="00F46A0D">
      <w:tab/>
    </w:r>
    <w:r w:rsidRPr="00F46A0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F79DA" w14:textId="1BFAE88A" w:rsidR="00F46A0D" w:rsidRPr="00F46A0D" w:rsidRDefault="00F46A0D" w:rsidP="00F46A0D">
    <w:pPr>
      <w:pStyle w:val="FooterCoverPage"/>
      <w:rPr>
        <w:rFonts w:ascii="Arial" w:hAnsi="Arial" w:cs="Arial"/>
        <w:b/>
        <w:sz w:val="48"/>
      </w:rPr>
    </w:pPr>
    <w:r w:rsidRPr="00F46A0D">
      <w:rPr>
        <w:rFonts w:ascii="Arial" w:hAnsi="Arial" w:cs="Arial"/>
        <w:b/>
        <w:sz w:val="48"/>
      </w:rPr>
      <w:t>FR</w:t>
    </w:r>
    <w:r w:rsidRPr="00F46A0D">
      <w:rPr>
        <w:rFonts w:ascii="Arial" w:hAnsi="Arial" w:cs="Arial"/>
        <w:b/>
        <w:sz w:val="48"/>
      </w:rPr>
      <w:tab/>
    </w:r>
    <w:r w:rsidRPr="00F46A0D">
      <w:rPr>
        <w:rFonts w:ascii="Arial" w:hAnsi="Arial" w:cs="Arial"/>
        <w:b/>
        <w:sz w:val="48"/>
      </w:rPr>
      <w:tab/>
    </w:r>
    <w:r w:rsidRPr="00F46A0D">
      <w:tab/>
    </w:r>
    <w:r w:rsidRPr="00F46A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0709" w14:textId="77777777" w:rsidR="00F46A0D" w:rsidRPr="00F46A0D" w:rsidRDefault="00F46A0D" w:rsidP="00F46A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C5EF" w14:textId="77777777" w:rsidR="00E32103" w:rsidRPr="004955D6" w:rsidRDefault="00E32103" w:rsidP="00E32103">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54A77" w14:textId="77777777" w:rsidR="00E32103" w:rsidRPr="004955D6" w:rsidRDefault="007E588C">
    <w:pPr>
      <w:pStyle w:val="BodyText"/>
      <w:spacing w:line="14" w:lineRule="auto"/>
      <w:rPr>
        <w:sz w:val="20"/>
      </w:rPr>
    </w:pPr>
    <w:r>
      <w:rPr>
        <w:noProof/>
        <w:lang w:val="en-GB" w:eastAsia="en-GB"/>
      </w:rPr>
      <mc:AlternateContent>
        <mc:Choice Requires="wps">
          <w:drawing>
            <wp:anchor distT="0" distB="0" distL="0" distR="0" simplePos="0" relativeHeight="251658240" behindDoc="1" locked="0" layoutInCell="1" allowOverlap="1" wp14:anchorId="2EEE6B69" wp14:editId="0B9B5BBC">
              <wp:simplePos x="0" y="0"/>
              <wp:positionH relativeFrom="page">
                <wp:posOffset>6704965</wp:posOffset>
              </wp:positionH>
              <wp:positionV relativeFrom="page">
                <wp:posOffset>9283700</wp:posOffset>
              </wp:positionV>
              <wp:extent cx="207010" cy="165735"/>
              <wp:effectExtent l="0" t="0" r="0" b="0"/>
              <wp:wrapNone/>
              <wp:docPr id="710928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47A2C5E" w14:textId="162667FF" w:rsidR="00E32103" w:rsidRDefault="00E32103">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sidR="00F46A0D">
                            <w:rPr>
                              <w:rFonts w:ascii="Calibri"/>
                              <w:noProof/>
                            </w:rPr>
                            <w:t>1</w:t>
                          </w:r>
                          <w:r>
                            <w:rPr>
                              <w:rFonts w:ascii="Calibri"/>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EEE6B69" id="_x0000_t202" coordsize="21600,21600" o:spt="202" path="m,l,21600r21600,l21600,xe">
              <v:stroke joinstyle="miter"/>
              <v:path gradientshapeok="t" o:connecttype="rect"/>
            </v:shapetype>
            <v:shape id="Text Box 1" o:spid="_x0000_s1026" type="#_x0000_t202" style="position:absolute;margin-left:527.95pt;margin-top:731pt;width:16.3pt;height:13.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" filled="f" stroked="f">
              <v:path arrowok="t"/>
              <v:textbox inset="0,0,0,0">
                <w:txbxContent>
                  <w:p w14:paraId="547A2C5E" w14:textId="162667FF" w:rsidR="00E32103" w:rsidRDefault="00E32103">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sidR="00F46A0D">
                      <w:rPr>
                        <w:rFonts w:ascii="Calibri"/>
                        <w:noProof/>
                      </w:rPr>
                      <w:t>1</w:t>
                    </w:r>
                    <w:r>
                      <w:rPr>
                        <w:rFonts w:ascii="Calibri"/>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3A0FD" w14:textId="77777777" w:rsidR="00E32103" w:rsidRPr="004955D6" w:rsidRDefault="00E32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7A825" w14:textId="77777777" w:rsidR="00633119" w:rsidRPr="004955D6" w:rsidRDefault="00633119">
      <w:r>
        <w:separator/>
      </w:r>
    </w:p>
  </w:footnote>
  <w:footnote w:type="continuationSeparator" w:id="0">
    <w:p w14:paraId="2169DCAA" w14:textId="77777777" w:rsidR="00633119" w:rsidRPr="004955D6" w:rsidRDefault="00633119">
      <w:r>
        <w:continuationSeparator/>
      </w:r>
    </w:p>
  </w:footnote>
  <w:footnote w:id="1">
    <w:p w14:paraId="621B04CD" w14:textId="77777777" w:rsidR="00525EB5" w:rsidRPr="007A0D22" w:rsidRDefault="00525EB5" w:rsidP="00525EB5">
      <w:pPr>
        <w:pStyle w:val="FootnoteText"/>
        <w:jc w:val="both"/>
        <w:rPr>
          <w:sz w:val="18"/>
          <w:szCs w:val="18"/>
        </w:rPr>
      </w:pPr>
      <w:r>
        <w:rPr>
          <w:rStyle w:val="FootnoteReference"/>
          <w:sz w:val="18"/>
          <w:szCs w:val="18"/>
        </w:rPr>
        <w:footnoteRef/>
      </w:r>
      <w:r>
        <w:rPr>
          <w:sz w:val="18"/>
        </w:rPr>
        <w:t xml:space="preserve"> L’article 3 du règlement ICE dispose ce qui suit: «Une initiative est valable si: a) elle a recueilli le soutien d’au moins un million de citoyens de l’Union conformément à l’article 2, paragraphe 1 (ci-après dénommés «signataires»), d’au moins un quart des États membres; et b) dans au moins un quart des États membres, le nombre des signataires est au moins égal au nombre minimal indiqué à l’annexe I, qui correspond au nombre de députés au Parlement européen élus dans chaque État membre, multiplié par le nombre total de députés au Parlement européen, au moment de l’enregistrement de l’initiative.»</w:t>
      </w:r>
    </w:p>
  </w:footnote>
  <w:footnote w:id="2">
    <w:p w14:paraId="41940D94" w14:textId="77777777" w:rsidR="00525EB5" w:rsidRPr="007A0D22" w:rsidRDefault="00525EB5" w:rsidP="00525EB5">
      <w:pPr>
        <w:pStyle w:val="FootnoteText"/>
        <w:rPr>
          <w:sz w:val="18"/>
          <w:szCs w:val="18"/>
        </w:rPr>
      </w:pPr>
      <w:r>
        <w:rPr>
          <w:rStyle w:val="FootnoteReference"/>
          <w:sz w:val="18"/>
          <w:szCs w:val="18"/>
        </w:rPr>
        <w:footnoteRef/>
      </w:r>
      <w:r>
        <w:rPr>
          <w:sz w:val="18"/>
        </w:rPr>
        <w:t xml:space="preserve"> Règlement (UE) 2019/788 du Parlement européen et du Conseil du 17 avril 2019 relatif à l’initiative citoyenne européenne (JO L 130 du 17.5.2019, p. 55).</w:t>
      </w:r>
    </w:p>
  </w:footnote>
  <w:footnote w:id="3">
    <w:p w14:paraId="67D9D030" w14:textId="77777777" w:rsidR="00E83404" w:rsidRPr="007A0D22" w:rsidRDefault="00E83404" w:rsidP="00C91D37">
      <w:pPr>
        <w:pStyle w:val="FootnoteText"/>
        <w:keepLines/>
        <w:jc w:val="both"/>
        <w:rPr>
          <w:sz w:val="18"/>
          <w:szCs w:val="18"/>
        </w:rPr>
      </w:pPr>
      <w:r>
        <w:rPr>
          <w:rStyle w:val="FootnoteReference"/>
          <w:sz w:val="18"/>
          <w:szCs w:val="18"/>
        </w:rPr>
        <w:footnoteRef/>
      </w:r>
      <w:r>
        <w:rPr>
          <w:sz w:val="18"/>
        </w:rPr>
        <w:t xml:space="preserve"> Décision d’exécution (UE) 2024/1824 de la Commission du 19 juin 2024 relative à la demande d’enregistrement, en application du règlement (UE) 2019/788 du Parlement européen et du Conseil, de l’initiative citoyenne européenne intitulée «Stop Destroying Videogames» (Stop à la destruction des jeux vidéo), JO L, 2024/1824, 28.6.2024, ELI: </w:t>
      </w:r>
      <w:hyperlink r:id="rId1">
        <w:r>
          <w:rPr>
            <w:rStyle w:val="Hyperlink"/>
            <w:sz w:val="18"/>
          </w:rPr>
          <w:t>https://eur-lex.europa.eu/legal-content/FR/TXT/?uri=CELEX:32024D1824</w:t>
        </w:r>
      </w:hyperlink>
      <w:r>
        <w:rPr>
          <w:sz w:val="18"/>
        </w:rPr>
        <w:t>.</w:t>
      </w:r>
    </w:p>
  </w:footnote>
  <w:footnote w:id="4">
    <w:p w14:paraId="2A14B115" w14:textId="77777777" w:rsidR="5D975B7C" w:rsidRPr="007A0D22" w:rsidRDefault="5D975B7C" w:rsidP="5D975B7C">
      <w:pPr>
        <w:pStyle w:val="FootnoteText"/>
        <w:keepLines/>
        <w:rPr>
          <w:sz w:val="18"/>
          <w:szCs w:val="18"/>
        </w:rPr>
      </w:pPr>
      <w:r>
        <w:rPr>
          <w:rStyle w:val="FootnoteReference"/>
          <w:sz w:val="18"/>
          <w:szCs w:val="18"/>
        </w:rPr>
        <w:footnoteRef/>
      </w:r>
      <w:r>
        <w:rPr>
          <w:sz w:val="18"/>
        </w:rPr>
        <w:t xml:space="preserve"> Communication de la Commission au Parlement européen, au Conseil, au Comité économique et social européen et au Comité des régions, Agenda du consommateur 2030 et plan d’action relatif aux consommateurs dans le marché unique «Une impulsion nouvelle pour la protection des consommateurs, la compétitivité et la croissance durable», COM(2025) 848 final.</w:t>
      </w:r>
    </w:p>
  </w:footnote>
  <w:footnote w:id="5">
    <w:p w14:paraId="76DA3ED4" w14:textId="77777777" w:rsidR="0034627C" w:rsidRPr="007A0D22" w:rsidRDefault="0034627C" w:rsidP="00C91D37">
      <w:pPr>
        <w:pStyle w:val="FootnoteText"/>
        <w:keepLines/>
        <w:rPr>
          <w:sz w:val="18"/>
          <w:szCs w:val="18"/>
        </w:rPr>
      </w:pPr>
      <w:r>
        <w:rPr>
          <w:rStyle w:val="FootnoteReference"/>
          <w:sz w:val="18"/>
          <w:szCs w:val="18"/>
        </w:rPr>
        <w:footnoteRef/>
      </w:r>
      <w:r>
        <w:rPr>
          <w:sz w:val="18"/>
        </w:rPr>
        <w:t xml:space="preserve"> OCDE, recommandation de l’OCDE sur la protection du consommateur dans le commerce électronique (actualisée), et travaux connexes de l’OCDE sur la protection numérique du consommateur, 2016, </w:t>
      </w:r>
      <w:hyperlink r:id="rId2" w:history="1">
        <w:r>
          <w:rPr>
            <w:rStyle w:val="Hyperlink"/>
            <w:sz w:val="18"/>
          </w:rPr>
          <w:t>https://www.oecd.org/sti/consumer/ECommerce-Recommendation-2016.pdf</w:t>
        </w:r>
      </w:hyperlink>
      <w:r>
        <w:rPr>
          <w:sz w:val="18"/>
        </w:rPr>
        <w:t xml:space="preserve"> </w:t>
      </w:r>
      <w:hyperlink r:id="rId3" w:history="1">
        <w:r>
          <w:rPr>
            <w:rStyle w:val="Hyperlink"/>
            <w:sz w:val="18"/>
          </w:rPr>
          <w:t>https://www.oecd.org/content/dam/oecd/fr/publications/reports/2016/05/oecd-recommendation-of-the-council-on-consumer-protection-in-e-commerce_g1g66e4e/9789264255272-fr.pdf</w:t>
        </w:r>
      </w:hyperlink>
      <w:r>
        <w:rPr>
          <w:sz w:val="18"/>
        </w:rPr>
        <w:t xml:space="preserve"> </w:t>
      </w:r>
    </w:p>
  </w:footnote>
  <w:footnote w:id="6">
    <w:p w14:paraId="2DA940CE" w14:textId="77777777" w:rsidR="0034627C" w:rsidRPr="007A0D22" w:rsidRDefault="0034627C" w:rsidP="00C91D37">
      <w:pPr>
        <w:pStyle w:val="FootnoteText"/>
        <w:keepLines/>
        <w:rPr>
          <w:sz w:val="18"/>
          <w:szCs w:val="18"/>
        </w:rPr>
      </w:pPr>
      <w:r>
        <w:rPr>
          <w:rStyle w:val="FootnoteReference"/>
          <w:sz w:val="18"/>
          <w:szCs w:val="18"/>
        </w:rPr>
        <w:footnoteRef/>
      </w:r>
      <w:r>
        <w:rPr>
          <w:sz w:val="18"/>
        </w:rPr>
        <w:t>Unesco, Re|penser les politiques en faveur de la créativité: la culture, un bien public mondial, 2022 (et mises à jour ultérieures),</w:t>
      </w:r>
      <w:hyperlink r:id="rId4">
        <w:r>
          <w:rPr>
            <w:rStyle w:val="Hyperlink"/>
            <w:sz w:val="18"/>
          </w:rPr>
          <w:t xml:space="preserve"> https://unesdoc.unesco.org/ark:/48223/pf0000380477</w:t>
        </w:r>
      </w:hyperlink>
      <w:r>
        <w:rPr>
          <w:sz w:val="18"/>
        </w:rPr>
        <w:t>.</w:t>
      </w:r>
    </w:p>
  </w:footnote>
  <w:footnote w:id="7">
    <w:p w14:paraId="5127E6FE" w14:textId="77777777" w:rsidR="3551A524" w:rsidRPr="007A0D22" w:rsidRDefault="3551A524" w:rsidP="3551A524">
      <w:pPr>
        <w:pStyle w:val="FootnoteText"/>
        <w:rPr>
          <w:sz w:val="18"/>
          <w:szCs w:val="18"/>
        </w:rPr>
      </w:pPr>
      <w:r>
        <w:rPr>
          <w:rStyle w:val="FootnoteReference"/>
          <w:sz w:val="18"/>
          <w:szCs w:val="18"/>
        </w:rPr>
        <w:footnoteRef/>
      </w:r>
      <w:r>
        <w:rPr>
          <w:sz w:val="18"/>
        </w:rPr>
        <w:t xml:space="preserve"> En ce sens, voir également Commission européenne: Direction générale des réseaux de communication, du contenu et des technologies, ECORYS et KEA, </w:t>
      </w:r>
      <w:r>
        <w:rPr>
          <w:i/>
          <w:sz w:val="18"/>
        </w:rPr>
        <w:t>Understanding the value of a European video games society – Final report</w:t>
      </w:r>
      <w:r>
        <w:rPr>
          <w:sz w:val="18"/>
        </w:rPr>
        <w:t xml:space="preserve"> [Compréhension de l’importance d’une société européenne des jeux vidéo − Rapport final], Office des publications de l’Union européenne, 2023, </w:t>
      </w:r>
      <w:hyperlink r:id="rId5">
        <w:r>
          <w:rPr>
            <w:rStyle w:val="Hyperlink"/>
            <w:sz w:val="18"/>
          </w:rPr>
          <w:t>https://op.europa.eu/fr/publication-detail/-/publication/075b8bbe-6bd5-11ee-9220-01aa75ed71a1</w:t>
        </w:r>
      </w:hyperlink>
    </w:p>
  </w:footnote>
  <w:footnote w:id="8">
    <w:p w14:paraId="02D5750B" w14:textId="77777777" w:rsidR="00525EB5" w:rsidRPr="007A0D22" w:rsidRDefault="00525EB5">
      <w:pPr>
        <w:pStyle w:val="FootnoteText"/>
        <w:rPr>
          <w:sz w:val="18"/>
          <w:szCs w:val="18"/>
        </w:rPr>
      </w:pPr>
      <w:r>
        <w:rPr>
          <w:rStyle w:val="FootnoteReference"/>
          <w:sz w:val="18"/>
          <w:szCs w:val="18"/>
        </w:rPr>
        <w:footnoteRef/>
      </w:r>
      <w:r>
        <w:rPr>
          <w:sz w:val="18"/>
        </w:rPr>
        <w:t xml:space="preserve"> </w:t>
      </w:r>
      <w:hyperlink r:id="rId6" w:history="1">
        <w:r>
          <w:rPr>
            <w:rStyle w:val="Hyperlink"/>
            <w:i/>
            <w:sz w:val="18"/>
          </w:rPr>
          <w:t>Petition to the UK Parliament and UK Government:</w:t>
        </w:r>
      </w:hyperlink>
      <w:hyperlink r:id="rId7" w:history="1">
        <w:r>
          <w:rPr>
            <w:rStyle w:val="Hyperlink"/>
            <w:sz w:val="18"/>
          </w:rPr>
          <w:t xml:space="preserve"> </w:t>
        </w:r>
        <w:r>
          <w:rPr>
            <w:rStyle w:val="Hyperlink"/>
            <w:i/>
            <w:sz w:val="18"/>
          </w:rPr>
          <w:t>Prohibit publishers irrevocably disabling video games they have already sold</w:t>
        </w:r>
      </w:hyperlink>
      <w:r>
        <w:t xml:space="preserve"> [Pétition au Parlement et au gouvernement du Royaume-Uni: interdire aux éditeurs de désactiver irrévocablement les jeux vidéo qu’ils ont déjà vendus]</w:t>
      </w:r>
    </w:p>
  </w:footnote>
  <w:footnote w:id="9">
    <w:p w14:paraId="51F7E782" w14:textId="0545F8F9" w:rsidR="0034627C" w:rsidRPr="007A0D22" w:rsidRDefault="0034627C" w:rsidP="00C91D37">
      <w:pPr>
        <w:pStyle w:val="FootnoteText"/>
        <w:keepLines/>
        <w:rPr>
          <w:sz w:val="18"/>
          <w:szCs w:val="18"/>
        </w:rPr>
      </w:pPr>
      <w:r>
        <w:rPr>
          <w:rStyle w:val="FootnoteReference"/>
          <w:sz w:val="18"/>
          <w:szCs w:val="18"/>
        </w:rPr>
        <w:footnoteRef/>
      </w:r>
      <w:r>
        <w:rPr>
          <w:sz w:val="18"/>
        </w:rPr>
        <w:t xml:space="preserve"> </w:t>
      </w:r>
      <w:r>
        <w:rPr>
          <w:i/>
          <w:sz w:val="18"/>
        </w:rPr>
        <w:t>California Assembly Bill No 2426 (2024), An act to add Section 17500.6 to the Business and Professions Code, relating to consumer protection</w:t>
      </w:r>
      <w:r>
        <w:rPr>
          <w:sz w:val="18"/>
        </w:rPr>
        <w:t xml:space="preserve"> [Projet de loi de l’Assemblée de Californie nº 2426 (2024), Loi portant adjonction de l’article 17500.6 au Code des affaires et des professions, relative à la protection des consommateurs], </w:t>
      </w:r>
      <w:hyperlink r:id="rId8" w:history="1">
        <w:r>
          <w:rPr>
            <w:rStyle w:val="Hyperlink"/>
            <w:sz w:val="18"/>
          </w:rPr>
          <w:t>https://leginfo.legislature.ca.gov/</w:t>
        </w:r>
      </w:hyperlink>
      <w:r>
        <w:rPr>
          <w:sz w:val="18"/>
        </w:rPr>
        <w:t xml:space="preserve"> https:/</w:t>
      </w:r>
      <w:hyperlink r:id="rId9" w:history="1">
        <w:r>
          <w:rPr>
            <w:rStyle w:val="Hyperlink"/>
            <w:sz w:val="18"/>
          </w:rPr>
          <w:t>/leginfo.legislature.ca.gov/faces/billNavClient.xhtml?bill_id=202320240AB2426</w:t>
        </w:r>
      </w:hyperlink>
      <w:r>
        <w:rPr>
          <w:sz w:val="18"/>
        </w:rPr>
        <w:t xml:space="preserve">. Le Parlement de Californie examine par ailleurs un nouveau projet de loi intitulé «Protect our games act» AB1921 [Loi sur la protection de nos jeux], sur l’arrêt des jeux vidéo </w:t>
      </w:r>
      <w:hyperlink r:id="rId10" w:history="1">
        <w:r>
          <w:rPr>
            <w:rStyle w:val="Hyperlink"/>
            <w:sz w:val="18"/>
          </w:rPr>
          <w:t xml:space="preserve">Texte du projet de loi: AB-1921 </w:t>
        </w:r>
        <w:r>
          <w:rPr>
            <w:rStyle w:val="Hyperlink"/>
            <w:i/>
            <w:iCs/>
            <w:sz w:val="18"/>
          </w:rPr>
          <w:t>Digital games: ordinary use</w:t>
        </w:r>
      </w:hyperlink>
      <w:hyperlink r:id="rId11" w:history="1">
        <w:r>
          <w:rPr>
            <w:rStyle w:val="Hyperlink"/>
            <w:sz w:val="18"/>
          </w:rPr>
          <w:t>[Jeux numériques: usage ordinaire].</w:t>
        </w:r>
      </w:hyperlink>
    </w:p>
  </w:footnote>
  <w:footnote w:id="10">
    <w:p w14:paraId="2E794F21" w14:textId="77777777" w:rsidR="002613C8" w:rsidRPr="007A0D22" w:rsidRDefault="002613C8" w:rsidP="00C91D37">
      <w:pPr>
        <w:pStyle w:val="FootnoteText"/>
        <w:keepLines/>
        <w:rPr>
          <w:sz w:val="18"/>
          <w:szCs w:val="18"/>
        </w:rPr>
      </w:pPr>
      <w:r>
        <w:rPr>
          <w:rStyle w:val="FootnoteReference"/>
          <w:sz w:val="18"/>
          <w:szCs w:val="18"/>
        </w:rPr>
        <w:footnoteRef/>
      </w:r>
      <w:r>
        <w:rPr>
          <w:sz w:val="18"/>
        </w:rPr>
        <w:t xml:space="preserve"> Directive 2011/83/UE du Parlement européen et du Conseil du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w:t>
      </w:r>
    </w:p>
  </w:footnote>
  <w:footnote w:id="11">
    <w:p w14:paraId="7EDD7ADA" w14:textId="77777777" w:rsidR="004E41EA" w:rsidRPr="007A0D22" w:rsidRDefault="004E41EA" w:rsidP="00C91D37">
      <w:pPr>
        <w:pStyle w:val="FootnoteText"/>
        <w:keepLines/>
        <w:jc w:val="both"/>
        <w:rPr>
          <w:sz w:val="18"/>
          <w:szCs w:val="18"/>
        </w:rPr>
      </w:pPr>
      <w:r>
        <w:rPr>
          <w:rStyle w:val="FootnoteReference"/>
          <w:sz w:val="18"/>
          <w:szCs w:val="18"/>
        </w:rPr>
        <w:footnoteRef/>
      </w:r>
      <w:r>
        <w:rPr>
          <w:sz w:val="18"/>
        </w:rPr>
        <w:t xml:space="preserve"> 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nº 2006/2004 du Parlement européen et du Conseil (JO L 149 du 11.6.2005, p. 22).</w:t>
      </w:r>
    </w:p>
  </w:footnote>
  <w:footnote w:id="12">
    <w:p w14:paraId="11BF038B" w14:textId="77777777" w:rsidR="6A4D87F8" w:rsidRPr="007A0D22" w:rsidRDefault="6A4D87F8" w:rsidP="00C91D37">
      <w:pPr>
        <w:pStyle w:val="FootnoteText"/>
        <w:keepLines/>
        <w:jc w:val="both"/>
        <w:rPr>
          <w:sz w:val="18"/>
          <w:szCs w:val="18"/>
        </w:rPr>
      </w:pPr>
      <w:r>
        <w:rPr>
          <w:rStyle w:val="FootnoteReference"/>
          <w:sz w:val="18"/>
          <w:szCs w:val="18"/>
        </w:rPr>
        <w:footnoteRef/>
      </w:r>
      <w:r>
        <w:t xml:space="preserve"> </w:t>
      </w:r>
      <w:r>
        <w:rPr>
          <w:sz w:val="18"/>
        </w:rPr>
        <w:t>Directive 93/13/CEE du Conseil du 5 avril 1993 concernant les clauses abusives dans les contrats conclus avec les consommateurs (JO L 95 du 21.4.1993, p. 29).</w:t>
      </w:r>
    </w:p>
  </w:footnote>
  <w:footnote w:id="13">
    <w:p w14:paraId="67F7B932" w14:textId="77777777" w:rsidR="00E64BE1" w:rsidRPr="007A0D22" w:rsidRDefault="00E64BE1" w:rsidP="00C91D37">
      <w:pPr>
        <w:pStyle w:val="FootnoteText"/>
        <w:keepLines/>
        <w:rPr>
          <w:sz w:val="18"/>
          <w:szCs w:val="18"/>
        </w:rPr>
      </w:pPr>
      <w:r>
        <w:rPr>
          <w:rStyle w:val="FootnoteReference"/>
          <w:sz w:val="18"/>
          <w:szCs w:val="18"/>
        </w:rPr>
        <w:footnoteRef/>
      </w:r>
      <w:r>
        <w:rPr>
          <w:sz w:val="18"/>
        </w:rPr>
        <w:t xml:space="preserve"> Directive (UE) 2019/770 du Parlement européen et du Conseil du 20 mai 2019 relative à certains aspects concernant les contrats de fourniture de contenus numériques et de services numériques (JO L 136 du 22.5.2019, p. 1).</w:t>
      </w:r>
    </w:p>
  </w:footnote>
  <w:footnote w:id="14">
    <w:p w14:paraId="25889ADE" w14:textId="77777777" w:rsidR="6A4D87F8" w:rsidRPr="007A0D22" w:rsidRDefault="6A4D87F8" w:rsidP="00C91D37">
      <w:pPr>
        <w:pStyle w:val="FootnoteText"/>
        <w:keepLines/>
        <w:rPr>
          <w:sz w:val="18"/>
          <w:szCs w:val="18"/>
        </w:rPr>
      </w:pPr>
      <w:r>
        <w:rPr>
          <w:rStyle w:val="FootnoteReference"/>
          <w:sz w:val="18"/>
          <w:szCs w:val="18"/>
        </w:rPr>
        <w:footnoteRef/>
      </w:r>
      <w:r>
        <w:rPr>
          <w:sz w:val="18"/>
        </w:rPr>
        <w:t xml:space="preserve"> Voir, par exemple, l’affaire C-355/12, </w:t>
      </w:r>
      <w:r>
        <w:rPr>
          <w:i/>
          <w:sz w:val="18"/>
        </w:rPr>
        <w:t>Nintendo Co. Ltd e.a.</w:t>
      </w:r>
      <w:r>
        <w:rPr>
          <w:sz w:val="18"/>
        </w:rPr>
        <w:t>, ECLI:EU:C:2014:25, point 23.</w:t>
      </w:r>
    </w:p>
  </w:footnote>
  <w:footnote w:id="15">
    <w:p w14:paraId="04A9F91D" w14:textId="77777777" w:rsidR="6A4D87F8" w:rsidRPr="007A0D22" w:rsidRDefault="6A4D87F8" w:rsidP="00C91D37">
      <w:pPr>
        <w:pStyle w:val="FootnoteText"/>
        <w:keepLines/>
        <w:jc w:val="both"/>
        <w:rPr>
          <w:sz w:val="18"/>
          <w:szCs w:val="18"/>
        </w:rPr>
      </w:pPr>
      <w:r>
        <w:rPr>
          <w:rStyle w:val="FootnoteReference"/>
          <w:sz w:val="18"/>
          <w:szCs w:val="18"/>
        </w:rPr>
        <w:footnoteRef/>
      </w:r>
      <w:r>
        <w:rPr>
          <w:sz w:val="18"/>
        </w:rPr>
        <w:t xml:space="preserve"> Directive 2009/24/CE du Parlement européen et du Conseil du 23 avril 2009 concernant la protection juridique des programmes d’ordinateur (JO L 111 du 5.5.2009, p. 16).</w:t>
      </w:r>
    </w:p>
  </w:footnote>
  <w:footnote w:id="16">
    <w:p w14:paraId="07C6856F" w14:textId="77777777" w:rsidR="6A4D87F8" w:rsidRPr="007A0D22" w:rsidRDefault="6A4D87F8" w:rsidP="00C91D37">
      <w:pPr>
        <w:pStyle w:val="FootnoteText"/>
        <w:keepLines/>
        <w:rPr>
          <w:sz w:val="18"/>
          <w:szCs w:val="18"/>
        </w:rPr>
      </w:pPr>
      <w:r>
        <w:rPr>
          <w:rStyle w:val="FootnoteReference"/>
          <w:sz w:val="18"/>
          <w:szCs w:val="18"/>
        </w:rPr>
        <w:footnoteRef/>
      </w:r>
      <w:r>
        <w:rPr>
          <w:sz w:val="18"/>
        </w:rPr>
        <w:t xml:space="preserve"> Directive 2001/29/CE du Parlement européen et du Conseil du 22 mai 2001 sur l’harmonisation de certains aspects du droit d’auteur et des droits voisins dans la société de l’information (JO L 167 du 22.6.2001, p. 10).</w:t>
      </w:r>
    </w:p>
  </w:footnote>
  <w:footnote w:id="17">
    <w:p w14:paraId="65F9BA21" w14:textId="77777777" w:rsidR="31DBE0D6" w:rsidRPr="007A0D22" w:rsidRDefault="31DBE0D6" w:rsidP="31DBE0D6">
      <w:pPr>
        <w:pStyle w:val="FootnoteText"/>
        <w:rPr>
          <w:sz w:val="18"/>
          <w:szCs w:val="18"/>
        </w:rPr>
      </w:pPr>
      <w:r>
        <w:rPr>
          <w:rStyle w:val="FootnoteReference"/>
          <w:sz w:val="18"/>
          <w:szCs w:val="18"/>
        </w:rPr>
        <w:footnoteRef/>
      </w:r>
      <w:r>
        <w:rPr>
          <w:sz w:val="18"/>
        </w:rPr>
        <w:t xml:space="preserve"> Le principe de l’épuisement concerne les limites du contrôle exercé par le titulaire du droit d’auteur sur une œuvre après que cette dernière a été légalement mise sur le marché. En substance, une fois que le titulaire du droit d’auteur a autorisé la vente ou toute autre distribution d’une copie donnée de l’œuvre, il ne peut plus se prévaloir de son droit exclusif de distribution pour contrôler la revente ou la distribution ultérieure de cette copie précise. Le principe de l’épuisement peut s’appliquer dans certaines circonstances à la distribution sous forme électronique ou numérique d’un programme d’ordinateur (voir arrêt dans l’affaire C-128/11, Usedsoft/Oracle).</w:t>
      </w:r>
    </w:p>
  </w:footnote>
  <w:footnote w:id="18">
    <w:p w14:paraId="386676C7" w14:textId="77777777" w:rsidR="00205E29" w:rsidRPr="007A0D22" w:rsidRDefault="00205E29">
      <w:pPr>
        <w:pStyle w:val="FootnoteText"/>
        <w:rPr>
          <w:sz w:val="18"/>
          <w:szCs w:val="18"/>
        </w:rPr>
      </w:pPr>
      <w:r>
        <w:rPr>
          <w:rStyle w:val="FootnoteReference"/>
          <w:sz w:val="18"/>
          <w:szCs w:val="18"/>
        </w:rPr>
        <w:footnoteRef/>
      </w:r>
      <w:r>
        <w:rPr>
          <w:sz w:val="18"/>
        </w:rPr>
        <w:t xml:space="preserve"> La directive 2015/2436 harmonise les législations nationales en matière de marques dans les États membres de l’UE. Le règlement (UE) 2017/1001 codifie et régit le système de la marque de l’Union européenne, géré par l’Office de l’Union européenne pour la propriété intellectuelle, ce qui garantit une protection uniforme des marques dans l’ensemble du marché unique. Les titulaires de droits de propriété intellectuelle peuvent choisir leur stratégie en matière de propriété intellectuelle en fonction de leur modèle économique et d’autres facteurs.</w:t>
      </w:r>
    </w:p>
  </w:footnote>
  <w:footnote w:id="19">
    <w:p w14:paraId="4DE7949F" w14:textId="77777777" w:rsidR="00205E29" w:rsidRPr="007A0D22" w:rsidRDefault="00205E29">
      <w:pPr>
        <w:pStyle w:val="FootnoteText"/>
        <w:rPr>
          <w:sz w:val="18"/>
          <w:szCs w:val="18"/>
        </w:rPr>
      </w:pPr>
      <w:r>
        <w:rPr>
          <w:rStyle w:val="FootnoteReference"/>
          <w:sz w:val="18"/>
          <w:szCs w:val="18"/>
        </w:rPr>
        <w:footnoteRef/>
      </w:r>
      <w:r>
        <w:rPr>
          <w:sz w:val="18"/>
        </w:rPr>
        <w:t xml:space="preserve"> La directive (UE) 2024/2823 harmonise les législations nationales relatives à la protection des dessins et modèles dans l’ensemble des États membres de l’UE, tandis que le règlement (UE) 2024/2822 encadre le système des dessins ou modèles de l’UE.</w:t>
      </w:r>
    </w:p>
  </w:footnote>
  <w:footnote w:id="20">
    <w:p w14:paraId="483D79EB" w14:textId="77777777" w:rsidR="00CD1810" w:rsidRPr="007A0D22" w:rsidRDefault="00CD1810" w:rsidP="00C91D37">
      <w:pPr>
        <w:keepLines/>
        <w:jc w:val="both"/>
        <w:rPr>
          <w:sz w:val="18"/>
          <w:szCs w:val="18"/>
        </w:rPr>
      </w:pPr>
      <w:r>
        <w:rPr>
          <w:rStyle w:val="FootnoteReference"/>
          <w:sz w:val="18"/>
          <w:szCs w:val="18"/>
        </w:rPr>
        <w:footnoteRef/>
      </w:r>
      <w:r>
        <w:rPr>
          <w:sz w:val="18"/>
        </w:rPr>
        <w:t xml:space="preserve"> Directive (UE) 2016/943 du Parlement européen et du Conseil du 8 juin 2016 sur la protection des savoir-faire et des informations commerciales non divulgués (secrets d’affaires) contre l’obtention, l’utilisation et la divulgation illicites (JO L 157 du 15.6.2016, p. 1).</w:t>
      </w:r>
    </w:p>
  </w:footnote>
  <w:footnote w:id="21">
    <w:p w14:paraId="797B0442" w14:textId="77777777" w:rsidR="00CD1810" w:rsidRPr="007A0D22" w:rsidRDefault="00CD1810" w:rsidP="00C91D37">
      <w:pPr>
        <w:pStyle w:val="FootnoteText"/>
        <w:keepLines/>
        <w:rPr>
          <w:sz w:val="18"/>
          <w:szCs w:val="18"/>
        </w:rPr>
      </w:pPr>
      <w:r>
        <w:rPr>
          <w:rStyle w:val="FootnoteReference"/>
          <w:sz w:val="18"/>
          <w:szCs w:val="18"/>
        </w:rPr>
        <w:footnoteRef/>
      </w:r>
      <w:r>
        <w:rPr>
          <w:sz w:val="18"/>
        </w:rPr>
        <w:t xml:space="preserve"> Directive 2004/48/CE du Parlement européen et du Conseil du 29 avril 2004 relative au respect des droits de propriété intellectuelle (JO L 157 du 30.4.2004, p. 45).</w:t>
      </w:r>
    </w:p>
  </w:footnote>
  <w:footnote w:id="22">
    <w:p w14:paraId="7F5F5AA6" w14:textId="77777777" w:rsidR="5D975B7C" w:rsidRPr="007A0D22" w:rsidRDefault="5D975B7C" w:rsidP="00525EB5">
      <w:pPr>
        <w:pStyle w:val="FootnoteText"/>
        <w:rPr>
          <w:sz w:val="18"/>
          <w:szCs w:val="18"/>
        </w:rPr>
      </w:pPr>
      <w:r>
        <w:rPr>
          <w:rStyle w:val="FootnoteReference"/>
          <w:sz w:val="18"/>
          <w:szCs w:val="18"/>
        </w:rPr>
        <w:footnoteRef/>
      </w:r>
      <w:r>
        <w:rPr>
          <w:sz w:val="18"/>
        </w:rPr>
        <w:t xml:space="preserve"> </w:t>
      </w:r>
      <w:hyperlink r:id="rId12" w:history="1">
        <w:r>
          <w:rPr>
            <w:rStyle w:val="Hyperlink"/>
            <w:sz w:val="18"/>
          </w:rPr>
          <w:t>Rapport 2025 «The European Media Industry Outlook» [Perspectives du secteur européen des médias], Commission européenne,</w:t>
        </w:r>
      </w:hyperlink>
      <w:r>
        <w:rPr>
          <w:color w:val="000000" w:themeColor="text1"/>
          <w:sz w:val="18"/>
        </w:rPr>
        <w:t xml:space="preserve"> septembre 2025</w:t>
      </w:r>
    </w:p>
  </w:footnote>
  <w:footnote w:id="23">
    <w:p w14:paraId="08258A1E" w14:textId="77777777" w:rsidR="6C7B1C0D" w:rsidRPr="007A0D22" w:rsidRDefault="6C7B1C0D" w:rsidP="00C91D37">
      <w:pPr>
        <w:pStyle w:val="FootnoteText"/>
        <w:keepLines/>
        <w:rPr>
          <w:sz w:val="18"/>
          <w:szCs w:val="18"/>
        </w:rPr>
      </w:pPr>
      <w:r>
        <w:rPr>
          <w:rStyle w:val="FootnoteReference"/>
          <w:sz w:val="18"/>
          <w:szCs w:val="18"/>
        </w:rPr>
        <w:footnoteRef/>
      </w:r>
      <w:r>
        <w:rPr>
          <w:sz w:val="18"/>
        </w:rPr>
        <w:t xml:space="preserve"> </w:t>
      </w:r>
      <w:hyperlink r:id="rId13">
        <w:r>
          <w:rPr>
            <w:rStyle w:val="Hyperlink"/>
            <w:sz w:val="18"/>
          </w:rPr>
          <w:t>Pôle 2:</w:t>
        </w:r>
      </w:hyperlink>
      <w:hyperlink r:id="rId14">
        <w:r>
          <w:rPr>
            <w:rStyle w:val="Hyperlink"/>
            <w:sz w:val="18"/>
          </w:rPr>
          <w:t xml:space="preserve"> Culture, créativité et société inclusive −Recherche et innovation, </w:t>
        </w:r>
      </w:hyperlink>
      <w:hyperlink r:id="rId15" w:history="1">
        <w:r>
          <w:rPr>
            <w:rStyle w:val="Hyperlink"/>
            <w:sz w:val="18"/>
          </w:rPr>
          <w:t>https://research-and-innovation.ec.europa.eu/funding/funding-opportunities/funding-programmes-and-open-calls/horizon-europe/cluster-2-culture-creativity-and-inclusive-society_fr</w:t>
        </w:r>
      </w:hyperlink>
    </w:p>
  </w:footnote>
  <w:footnote w:id="24">
    <w:p w14:paraId="23306576" w14:textId="77777777" w:rsidR="12352CF2" w:rsidRPr="007A0D22" w:rsidRDefault="12352CF2" w:rsidP="00C91D37">
      <w:pPr>
        <w:pStyle w:val="FootnoteText"/>
        <w:keepLines/>
        <w:rPr>
          <w:sz w:val="18"/>
          <w:szCs w:val="18"/>
        </w:rPr>
      </w:pPr>
      <w:r>
        <w:rPr>
          <w:rStyle w:val="FootnoteReference"/>
          <w:sz w:val="18"/>
          <w:szCs w:val="18"/>
        </w:rPr>
        <w:footnoteRef/>
      </w:r>
      <w:r>
        <w:rPr>
          <w:sz w:val="18"/>
        </w:rPr>
        <w:t xml:space="preserve"> Par l’intermédiaire du programme de financement «Europe créative».</w:t>
      </w:r>
    </w:p>
  </w:footnote>
  <w:footnote w:id="25">
    <w:p w14:paraId="12B11B10" w14:textId="686D2AC4" w:rsidR="12352CF2" w:rsidRPr="007A0D22" w:rsidRDefault="12352CF2" w:rsidP="00C91D37">
      <w:pPr>
        <w:keepLines/>
        <w:rPr>
          <w:rFonts w:ascii="Arial" w:eastAsia="Arial" w:hAnsi="Arial" w:cs="Arial"/>
          <w:color w:val="00002E"/>
          <w:sz w:val="18"/>
          <w:szCs w:val="18"/>
        </w:rPr>
      </w:pPr>
      <w:r>
        <w:rPr>
          <w:rStyle w:val="FootnoteReference"/>
          <w:sz w:val="18"/>
          <w:szCs w:val="18"/>
        </w:rPr>
        <w:footnoteRef/>
      </w:r>
      <w:r>
        <w:rPr>
          <w:sz w:val="18"/>
        </w:rPr>
        <w:t xml:space="preserve"> Tels que MediaInvest, un outil financier financé par les programmes «Europe créative» et InvestEU, </w:t>
      </w:r>
      <w:hyperlink r:id="rId16" w:history="1">
        <w:r>
          <w:rPr>
            <w:rStyle w:val="Hyperlink"/>
            <w:sz w:val="18"/>
          </w:rPr>
          <w:t>https://digital-strategy.ec.europa.eu/fr/policies/mediainvest</w:t>
        </w:r>
      </w:hyperlink>
      <w:r>
        <w:t>.</w:t>
      </w:r>
      <w:r>
        <w:rPr>
          <w:sz w:val="18"/>
        </w:rPr>
        <w:t xml:space="preserve"> </w:t>
      </w:r>
    </w:p>
  </w:footnote>
  <w:footnote w:id="26">
    <w:p w14:paraId="2F67FB52" w14:textId="77777777" w:rsidR="5D975B7C" w:rsidRPr="007A0D22" w:rsidRDefault="5D975B7C" w:rsidP="5D975B7C">
      <w:pPr>
        <w:pStyle w:val="FootnoteText"/>
        <w:rPr>
          <w:sz w:val="18"/>
          <w:szCs w:val="18"/>
        </w:rPr>
      </w:pPr>
      <w:r>
        <w:rPr>
          <w:rStyle w:val="FootnoteReference"/>
          <w:sz w:val="18"/>
          <w:szCs w:val="18"/>
        </w:rPr>
        <w:footnoteRef/>
      </w:r>
      <w:r>
        <w:rPr>
          <w:sz w:val="18"/>
        </w:rPr>
        <w:t xml:space="preserve"> </w:t>
      </w:r>
      <w:hyperlink r:id="rId17">
        <w:r>
          <w:rPr>
            <w:rStyle w:val="Hyperlink"/>
            <w:sz w:val="18"/>
          </w:rPr>
          <w:t>Rapport 2025 «The European Media Industry Outlook» [Perspectives du secteur européen des médias]</w:t>
        </w:r>
      </w:hyperlink>
      <w:r>
        <w:rPr>
          <w:sz w:val="18"/>
        </w:rPr>
        <w:t>, Commission européenne, septembre 2025.</w:t>
      </w:r>
    </w:p>
  </w:footnote>
  <w:footnote w:id="27">
    <w:p w14:paraId="43214FB5" w14:textId="77777777" w:rsidR="5D975B7C" w:rsidRPr="007A0D22" w:rsidRDefault="5D975B7C" w:rsidP="00525EB5">
      <w:pPr>
        <w:pStyle w:val="FootnoteText"/>
        <w:rPr>
          <w:sz w:val="18"/>
          <w:szCs w:val="18"/>
        </w:rPr>
      </w:pPr>
      <w:r>
        <w:rPr>
          <w:rStyle w:val="FootnoteReference"/>
          <w:sz w:val="18"/>
          <w:szCs w:val="18"/>
        </w:rPr>
        <w:footnoteRef/>
      </w:r>
      <w:r>
        <w:rPr>
          <w:sz w:val="18"/>
        </w:rPr>
        <w:t xml:space="preserve"> Le service continu est un modèle commercial et une pratique en matière de développement qui consiste à apporter à un jeu des mises à jour continues et de nouveaux contenus bien après sa sortie.</w:t>
      </w:r>
    </w:p>
  </w:footnote>
  <w:footnote w:id="28">
    <w:p w14:paraId="6FFBA134" w14:textId="77777777" w:rsidR="06D46653" w:rsidRPr="007A0D22" w:rsidRDefault="06D46653" w:rsidP="00FF18CA">
      <w:pPr>
        <w:rPr>
          <w:sz w:val="18"/>
          <w:szCs w:val="18"/>
        </w:rPr>
      </w:pPr>
      <w:r>
        <w:rPr>
          <w:rStyle w:val="FootnoteReference"/>
          <w:sz w:val="18"/>
          <w:szCs w:val="18"/>
        </w:rPr>
        <w:footnoteRef/>
      </w:r>
      <w:r>
        <w:rPr>
          <w:sz w:val="18"/>
        </w:rPr>
        <w:t xml:space="preserve"> </w:t>
      </w:r>
      <w:r>
        <w:rPr>
          <w:color w:val="000000" w:themeColor="text1"/>
          <w:sz w:val="18"/>
        </w:rPr>
        <w:t>Cela vaut en particulier pour les jeux mobiles.</w:t>
      </w:r>
    </w:p>
  </w:footnote>
  <w:footnote w:id="29">
    <w:p w14:paraId="2364288D" w14:textId="77777777" w:rsidR="12352CF2" w:rsidRPr="007A0D22" w:rsidRDefault="12352CF2" w:rsidP="00C64263">
      <w:pPr>
        <w:pStyle w:val="FootnoteText"/>
        <w:keepLines/>
        <w:rPr>
          <w:sz w:val="18"/>
          <w:szCs w:val="18"/>
        </w:rPr>
      </w:pPr>
      <w:r>
        <w:rPr>
          <w:rStyle w:val="FootnoteReference"/>
          <w:sz w:val="18"/>
          <w:szCs w:val="18"/>
        </w:rPr>
        <w:footnoteRef/>
      </w:r>
      <w:r>
        <w:rPr>
          <w:sz w:val="18"/>
        </w:rPr>
        <w:t xml:space="preserve"> Bien que l’ICE ne fasse référence qu’aux «éditeurs», il convient de noter que les développeurs qui auto-éditent leurs jeux peuvent également recourir à la pratique consistant à fermer leurs jeux.</w:t>
      </w:r>
    </w:p>
  </w:footnote>
  <w:footnote w:id="30">
    <w:p w14:paraId="547468FC" w14:textId="77777777" w:rsidR="12352CF2" w:rsidRPr="007A0D22" w:rsidRDefault="12352CF2" w:rsidP="00C64263">
      <w:pPr>
        <w:pStyle w:val="FootnoteText"/>
        <w:keepLines/>
        <w:rPr>
          <w:sz w:val="18"/>
          <w:szCs w:val="18"/>
        </w:rPr>
      </w:pPr>
      <w:r>
        <w:rPr>
          <w:rStyle w:val="FootnoteReference"/>
          <w:sz w:val="18"/>
          <w:szCs w:val="18"/>
        </w:rPr>
        <w:footnoteRef/>
      </w:r>
      <w:r>
        <w:rPr>
          <w:sz w:val="18"/>
        </w:rPr>
        <w:t xml:space="preserve"> Y compris dans le cas des franchises de jeux vidéo.</w:t>
      </w:r>
    </w:p>
  </w:footnote>
  <w:footnote w:id="31">
    <w:p w14:paraId="10EC7B7E" w14:textId="77777777" w:rsidR="4EED3DF1" w:rsidRPr="007A0D22" w:rsidRDefault="4EED3DF1" w:rsidP="4EED3DF1">
      <w:pPr>
        <w:pStyle w:val="FootnoteText"/>
        <w:rPr>
          <w:sz w:val="18"/>
          <w:szCs w:val="18"/>
        </w:rPr>
      </w:pPr>
      <w:r>
        <w:rPr>
          <w:rStyle w:val="FootnoteReference"/>
          <w:sz w:val="18"/>
          <w:szCs w:val="18"/>
        </w:rPr>
        <w:footnoteRef/>
      </w:r>
      <w:r>
        <w:rPr>
          <w:sz w:val="18"/>
        </w:rPr>
        <w:t xml:space="preserve"> Liste des jeux «morts» – Wiki de la campagne «Stop Killing Games»: </w:t>
      </w:r>
      <w:hyperlink r:id="rId18">
        <w:r>
          <w:rPr>
            <w:rStyle w:val="Hyperlink"/>
            <w:sz w:val="18"/>
          </w:rPr>
          <w:t>https://stopkillinggames.wiki.gg/wiki/Dead_game_list</w:t>
        </w:r>
      </w:hyperlink>
      <w:r>
        <w:t>.</w:t>
      </w:r>
      <w:r>
        <w:rPr>
          <w:sz w:val="18"/>
        </w:rPr>
        <w:t xml:space="preserve"> </w:t>
      </w:r>
    </w:p>
  </w:footnote>
  <w:footnote w:id="32">
    <w:p w14:paraId="5B4A527C" w14:textId="77777777" w:rsidR="00D44DB2" w:rsidRPr="00D44DB2" w:rsidRDefault="00D44DB2">
      <w:pPr>
        <w:pStyle w:val="FootnoteText"/>
      </w:pPr>
      <w:r>
        <w:rPr>
          <w:rStyle w:val="FootnoteReference"/>
        </w:rPr>
        <w:footnoteRef/>
      </w:r>
      <w:r>
        <w:t xml:space="preserve"> </w:t>
      </w:r>
      <w:r>
        <w:rPr>
          <w:sz w:val="18"/>
        </w:rPr>
        <w:t>Dans le cas particulier des programmes d’ordinateur protégés par la directive 2009/24, les acquéreurs légitimes disposent de certains droits d’utilisateurs auxquels il ne peut être dérogé par contrat.</w:t>
      </w:r>
    </w:p>
  </w:footnote>
  <w:footnote w:id="33">
    <w:p w14:paraId="4D4B4459" w14:textId="77777777" w:rsidR="00384DB2" w:rsidRPr="007A0D22" w:rsidRDefault="00384DB2">
      <w:pPr>
        <w:pStyle w:val="FootnoteText"/>
        <w:rPr>
          <w:sz w:val="18"/>
          <w:szCs w:val="18"/>
        </w:rPr>
      </w:pPr>
      <w:r>
        <w:rPr>
          <w:rStyle w:val="FootnoteReference"/>
          <w:sz w:val="18"/>
          <w:szCs w:val="18"/>
        </w:rPr>
        <w:footnoteRef/>
      </w:r>
      <w:r>
        <w:rPr>
          <w:sz w:val="18"/>
        </w:rPr>
        <w:t xml:space="preserve"> Par exemple l’article 6, paragraphe 1, point o), pour les contrats à distance, tels que les contrats en ligne.</w:t>
      </w:r>
    </w:p>
  </w:footnote>
  <w:footnote w:id="34">
    <w:p w14:paraId="5B89FA59" w14:textId="77777777" w:rsidR="00F30ACA" w:rsidRPr="00AF30C2" w:rsidRDefault="00F30ACA">
      <w:pPr>
        <w:pStyle w:val="FootnoteText"/>
        <w:rPr>
          <w:sz w:val="18"/>
          <w:szCs w:val="18"/>
        </w:rPr>
      </w:pPr>
      <w:r>
        <w:rPr>
          <w:rStyle w:val="FootnoteReference"/>
          <w:sz w:val="18"/>
          <w:szCs w:val="18"/>
        </w:rPr>
        <w:footnoteRef/>
      </w:r>
      <w:r>
        <w:rPr>
          <w:sz w:val="18"/>
        </w:rPr>
        <w:t xml:space="preserve"> Article 6, paragraphe 1, point r), et article 2, point 20, de la directive relative aux droits des consommateurs, et article 2, point 11, de la directive sur les contrats numériques.</w:t>
      </w:r>
    </w:p>
  </w:footnote>
  <w:footnote w:id="35">
    <w:p w14:paraId="57561760" w14:textId="77777777" w:rsidR="00205E29" w:rsidRPr="00AF30C2" w:rsidRDefault="00205E29">
      <w:pPr>
        <w:pStyle w:val="FootnoteText"/>
        <w:rPr>
          <w:sz w:val="18"/>
          <w:szCs w:val="18"/>
        </w:rPr>
      </w:pPr>
      <w:r>
        <w:rPr>
          <w:rStyle w:val="FootnoteReference"/>
          <w:sz w:val="18"/>
          <w:szCs w:val="18"/>
        </w:rPr>
        <w:footnoteRef/>
      </w:r>
      <w:r>
        <w:rPr>
          <w:sz w:val="18"/>
        </w:rPr>
        <w:t xml:space="preserve"> Article 7 de la directive sur les pratiques commerciales déloyales.</w:t>
      </w:r>
    </w:p>
  </w:footnote>
  <w:footnote w:id="36">
    <w:p w14:paraId="1CCB9F0F" w14:textId="77777777" w:rsidR="00BA480D" w:rsidRPr="00AF30C2" w:rsidRDefault="00BA480D">
      <w:pPr>
        <w:pStyle w:val="FootnoteText"/>
        <w:rPr>
          <w:sz w:val="18"/>
          <w:szCs w:val="18"/>
        </w:rPr>
      </w:pPr>
      <w:r>
        <w:rPr>
          <w:rStyle w:val="FootnoteReference"/>
          <w:sz w:val="18"/>
          <w:szCs w:val="18"/>
        </w:rPr>
        <w:footnoteRef/>
      </w:r>
      <w:r>
        <w:rPr>
          <w:sz w:val="18"/>
        </w:rPr>
        <w:t xml:space="preserve"> Article 7 de la directive sur les contrats numériques.</w:t>
      </w:r>
    </w:p>
  </w:footnote>
  <w:footnote w:id="37">
    <w:p w14:paraId="4AA1CC7A" w14:textId="77777777" w:rsidR="00BA480D" w:rsidRPr="00EA6F0D" w:rsidRDefault="00BA480D">
      <w:pPr>
        <w:pStyle w:val="FootnoteText"/>
        <w:rPr>
          <w:sz w:val="18"/>
          <w:szCs w:val="18"/>
        </w:rPr>
      </w:pPr>
      <w:r>
        <w:rPr>
          <w:rStyle w:val="FootnoteReference"/>
          <w:sz w:val="18"/>
          <w:szCs w:val="18"/>
        </w:rPr>
        <w:footnoteRef/>
      </w:r>
      <w:r>
        <w:rPr>
          <w:sz w:val="18"/>
        </w:rPr>
        <w:t xml:space="preserve"> Article 8 de la directive sur les contrats numériques.</w:t>
      </w:r>
    </w:p>
  </w:footnote>
  <w:footnote w:id="38">
    <w:p w14:paraId="3C2E4FD8" w14:textId="77777777" w:rsidR="00BA480D" w:rsidRPr="00EA6F0D" w:rsidRDefault="00BA480D">
      <w:pPr>
        <w:pStyle w:val="FootnoteText"/>
        <w:rPr>
          <w:sz w:val="18"/>
          <w:szCs w:val="18"/>
        </w:rPr>
      </w:pPr>
      <w:r>
        <w:rPr>
          <w:rStyle w:val="FootnoteReference"/>
          <w:sz w:val="18"/>
          <w:szCs w:val="18"/>
        </w:rPr>
        <w:footnoteRef/>
      </w:r>
      <w:r>
        <w:rPr>
          <w:sz w:val="18"/>
        </w:rPr>
        <w:t xml:space="preserve"> Considérant 53 de la directive sur les contrats numériques.</w:t>
      </w:r>
    </w:p>
  </w:footnote>
  <w:footnote w:id="39">
    <w:p w14:paraId="57B9DE0B" w14:textId="77777777" w:rsidR="00573C23" w:rsidRPr="007A0D22" w:rsidRDefault="00573C23">
      <w:pPr>
        <w:pStyle w:val="FootnoteText"/>
        <w:rPr>
          <w:sz w:val="18"/>
          <w:szCs w:val="18"/>
        </w:rPr>
      </w:pPr>
      <w:r>
        <w:rPr>
          <w:rStyle w:val="FootnoteReference"/>
          <w:sz w:val="18"/>
          <w:szCs w:val="18"/>
        </w:rPr>
        <w:footnoteRef/>
      </w:r>
      <w:r>
        <w:rPr>
          <w:sz w:val="18"/>
        </w:rPr>
        <w:t xml:space="preserve"> Articles 14, 15 et 16 de la directive sur les contrats numériques.</w:t>
      </w:r>
    </w:p>
  </w:footnote>
  <w:footnote w:id="40">
    <w:p w14:paraId="10883E44" w14:textId="77777777" w:rsidR="00F06268" w:rsidRPr="007A0D22" w:rsidRDefault="00F06268" w:rsidP="00226B74">
      <w:pPr>
        <w:pStyle w:val="FootnoteText"/>
        <w:jc w:val="both"/>
        <w:rPr>
          <w:color w:val="242424"/>
          <w:sz w:val="18"/>
          <w:szCs w:val="18"/>
        </w:rPr>
      </w:pPr>
      <w:r>
        <w:rPr>
          <w:rStyle w:val="FootnoteReference"/>
          <w:sz w:val="18"/>
          <w:szCs w:val="18"/>
        </w:rPr>
        <w:footnoteRef/>
      </w:r>
      <w:r>
        <w:rPr>
          <w:sz w:val="18"/>
        </w:rPr>
        <w:t xml:space="preserve"> Dans ce contexte, il convient de noter que les principes clés sur les monnaies virtuelles de jeu du réseau de coopération en matière de protection des consommateurs (CPC) (disponibles à l’adresse suivante: </w:t>
      </w:r>
      <w:hyperlink r:id="rId19">
        <w:r>
          <w:rPr>
            <w:rStyle w:val="Hyperlink"/>
            <w:sz w:val="18"/>
          </w:rPr>
          <w:t>https://commission.europa.eu/document/download/8af13e88-6540-436c-b137-9853e7fe866a_en?filename=Key%20principles%20on%20in-game%20virtual%20currencies.pdf</w:t>
        </w:r>
      </w:hyperlink>
      <w:r>
        <w:rPr>
          <w:sz w:val="18"/>
        </w:rPr>
        <w:t>), les autorités chargées de la CPC ont indiqué que les consommateurs ne devaient pas être privés de leur droit de rétractation concernant les monnaies virtuelles de jeu achetables et non utilisées.</w:t>
      </w:r>
    </w:p>
  </w:footnote>
  <w:footnote w:id="41">
    <w:p w14:paraId="55C96A41" w14:textId="77777777" w:rsidR="40DD1325" w:rsidRPr="007A0D22" w:rsidRDefault="40DD1325" w:rsidP="000C6C87">
      <w:pPr>
        <w:pStyle w:val="FootnoteText"/>
        <w:rPr>
          <w:sz w:val="18"/>
          <w:szCs w:val="18"/>
        </w:rPr>
      </w:pPr>
      <w:r>
        <w:rPr>
          <w:rStyle w:val="FootnoteReference"/>
          <w:sz w:val="18"/>
          <w:szCs w:val="18"/>
        </w:rPr>
        <w:footnoteRef/>
      </w:r>
      <w:r>
        <w:rPr>
          <w:sz w:val="18"/>
        </w:rPr>
        <w:t xml:space="preserve"> Le présent document reflète le point de vue de la Commission et ne préjuge en rien de l’interprétation du droit de l’Union par la Cour de justice de l’Union européenne.</w:t>
      </w:r>
    </w:p>
  </w:footnote>
  <w:footnote w:id="42">
    <w:p w14:paraId="2AFE1841" w14:textId="77777777" w:rsidR="7EE4F9B4" w:rsidRPr="007A0D22" w:rsidRDefault="7EE4F9B4" w:rsidP="00BD6AAF">
      <w:pPr>
        <w:rPr>
          <w:sz w:val="18"/>
          <w:szCs w:val="18"/>
        </w:rPr>
      </w:pPr>
      <w:r>
        <w:rPr>
          <w:rStyle w:val="FootnoteReference"/>
          <w:sz w:val="18"/>
          <w:szCs w:val="18"/>
        </w:rPr>
        <w:footnoteRef/>
      </w:r>
      <w:r>
        <w:rPr>
          <w:sz w:val="18"/>
        </w:rPr>
        <w:t xml:space="preserve"> </w:t>
      </w:r>
      <w:hyperlink r:id="rId20" w:history="1">
        <w:r>
          <w:rPr>
            <w:rStyle w:val="Hyperlink"/>
            <w:i/>
            <w:iCs/>
            <w:sz w:val="18"/>
          </w:rPr>
          <w:t>Big Games Industry Employment Survey 2025</w:t>
        </w:r>
        <w:r>
          <w:rPr>
            <w:rStyle w:val="Hyperlink"/>
            <w:sz w:val="18"/>
          </w:rPr>
          <w:t xml:space="preserve"> [Grande enquête sur l’emploi dans le secteur des jeux vidéo 2025]</w:t>
        </w:r>
      </w:hyperlink>
      <w:r>
        <w:rPr>
          <w:sz w:val="18"/>
        </w:rPr>
        <w:t>, InGame Job &amp; Values Value.</w:t>
      </w:r>
    </w:p>
  </w:footnote>
  <w:footnote w:id="43">
    <w:p w14:paraId="70F54AE1" w14:textId="77777777" w:rsidR="22C8CABE" w:rsidRPr="007A0D22" w:rsidRDefault="22C8CABE" w:rsidP="000C6C87">
      <w:pPr>
        <w:pStyle w:val="FootnoteText"/>
        <w:rPr>
          <w:sz w:val="18"/>
          <w:szCs w:val="18"/>
        </w:rPr>
      </w:pPr>
      <w:r>
        <w:rPr>
          <w:rStyle w:val="FootnoteReference"/>
          <w:sz w:val="18"/>
          <w:szCs w:val="18"/>
        </w:rPr>
        <w:footnoteRef/>
      </w:r>
      <w:r>
        <w:rPr>
          <w:sz w:val="18"/>
        </w:rPr>
        <w:t xml:space="preserve"> Par exemple, une modération insuffisante au sein de la communauté ou des risques liés à la cybersécurité sur des serveurs privés pourraient entraîner des risques de dégradation de la propriété intellectuelle.</w:t>
      </w:r>
    </w:p>
  </w:footnote>
  <w:footnote w:id="44">
    <w:p w14:paraId="0D468EB4" w14:textId="77777777" w:rsidR="0B489C64" w:rsidRPr="007A0D22" w:rsidRDefault="0B489C64" w:rsidP="000C6C87">
      <w:pPr>
        <w:pStyle w:val="FootnoteText"/>
        <w:rPr>
          <w:sz w:val="18"/>
          <w:szCs w:val="18"/>
        </w:rPr>
      </w:pPr>
      <w:r>
        <w:rPr>
          <w:rStyle w:val="FootnoteReference"/>
          <w:sz w:val="18"/>
          <w:szCs w:val="18"/>
        </w:rPr>
        <w:footnoteRef/>
      </w:r>
      <w:r>
        <w:rPr>
          <w:sz w:val="18"/>
        </w:rPr>
        <w:t xml:space="preserve"> Comme le maintien de l’accès aux fonctionnalités de jeu essentielles.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9D53" w14:textId="77777777" w:rsidR="00F46A0D" w:rsidRPr="00F46A0D" w:rsidRDefault="00F46A0D" w:rsidP="00F46A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5C4F" w14:textId="77777777" w:rsidR="00F46A0D" w:rsidRPr="00F46A0D" w:rsidRDefault="00F46A0D" w:rsidP="00F46A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7E7BC" w14:textId="77777777" w:rsidR="00F46A0D" w:rsidRPr="00F46A0D" w:rsidRDefault="00F46A0D" w:rsidP="00F46A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04B3A" w14:textId="77777777" w:rsidR="00E32103" w:rsidRPr="004955D6" w:rsidRDefault="00E321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1A4B" w14:textId="77777777" w:rsidR="00E32103" w:rsidRPr="004955D6" w:rsidRDefault="00E321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E5CC8" w14:textId="77777777" w:rsidR="00E32103" w:rsidRPr="004955D6" w:rsidRDefault="00E32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927F1"/>
    <w:multiLevelType w:val="multilevel"/>
    <w:tmpl w:val="0FA0B5D4"/>
    <w:lvl w:ilvl="0">
      <w:start w:val="1"/>
      <w:numFmt w:val="decimal"/>
      <w:lvlText w:val="%1."/>
      <w:lvlJc w:val="left"/>
      <w:pPr>
        <w:ind w:left="383"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743" w:hanging="447"/>
        <w:jc w:val="righ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702" w:hanging="447"/>
      </w:pPr>
      <w:rPr>
        <w:rFonts w:hint="default"/>
        <w:lang w:val="en-US" w:eastAsia="en-US" w:bidi="ar-SA"/>
      </w:rPr>
    </w:lvl>
    <w:lvl w:ilvl="3">
      <w:numFmt w:val="bullet"/>
      <w:lvlText w:val="•"/>
      <w:lvlJc w:val="left"/>
      <w:pPr>
        <w:ind w:left="2665" w:hanging="447"/>
      </w:pPr>
      <w:rPr>
        <w:rFonts w:hint="default"/>
        <w:lang w:val="en-US" w:eastAsia="en-US" w:bidi="ar-SA"/>
      </w:rPr>
    </w:lvl>
    <w:lvl w:ilvl="4">
      <w:numFmt w:val="bullet"/>
      <w:lvlText w:val="•"/>
      <w:lvlJc w:val="left"/>
      <w:pPr>
        <w:ind w:left="3628" w:hanging="447"/>
      </w:pPr>
      <w:rPr>
        <w:rFonts w:hint="default"/>
        <w:lang w:val="en-US" w:eastAsia="en-US" w:bidi="ar-SA"/>
      </w:rPr>
    </w:lvl>
    <w:lvl w:ilvl="5">
      <w:numFmt w:val="bullet"/>
      <w:lvlText w:val="•"/>
      <w:lvlJc w:val="left"/>
      <w:pPr>
        <w:ind w:left="4591" w:hanging="447"/>
      </w:pPr>
      <w:rPr>
        <w:rFonts w:hint="default"/>
        <w:lang w:val="en-US" w:eastAsia="en-US" w:bidi="ar-SA"/>
      </w:rPr>
    </w:lvl>
    <w:lvl w:ilvl="6">
      <w:numFmt w:val="bullet"/>
      <w:lvlText w:val="•"/>
      <w:lvlJc w:val="left"/>
      <w:pPr>
        <w:ind w:left="5554" w:hanging="447"/>
      </w:pPr>
      <w:rPr>
        <w:rFonts w:hint="default"/>
        <w:lang w:val="en-US" w:eastAsia="en-US" w:bidi="ar-SA"/>
      </w:rPr>
    </w:lvl>
    <w:lvl w:ilvl="7">
      <w:numFmt w:val="bullet"/>
      <w:lvlText w:val="•"/>
      <w:lvlJc w:val="left"/>
      <w:pPr>
        <w:ind w:left="6517" w:hanging="447"/>
      </w:pPr>
      <w:rPr>
        <w:rFonts w:hint="default"/>
        <w:lang w:val="en-US" w:eastAsia="en-US" w:bidi="ar-SA"/>
      </w:rPr>
    </w:lvl>
    <w:lvl w:ilvl="8">
      <w:numFmt w:val="bullet"/>
      <w:lvlText w:val="•"/>
      <w:lvlJc w:val="left"/>
      <w:pPr>
        <w:ind w:left="7480" w:hanging="447"/>
      </w:pPr>
      <w:rPr>
        <w:rFonts w:hint="default"/>
        <w:lang w:val="en-US" w:eastAsia="en-US" w:bidi="ar-SA"/>
      </w:rPr>
    </w:lvl>
  </w:abstractNum>
  <w:abstractNum w:abstractNumId="1" w15:restartNumberingAfterBreak="0">
    <w:nsid w:val="10E6B620"/>
    <w:multiLevelType w:val="hybridMultilevel"/>
    <w:tmpl w:val="039CDCFE"/>
    <w:lvl w:ilvl="0" w:tplc="BBDA2508">
      <w:start w:val="1"/>
      <w:numFmt w:val="bullet"/>
      <w:lvlText w:val=""/>
      <w:lvlJc w:val="left"/>
      <w:pPr>
        <w:ind w:left="720" w:hanging="360"/>
      </w:pPr>
      <w:rPr>
        <w:rFonts w:ascii="Symbol" w:hAnsi="Symbol" w:hint="default"/>
      </w:rPr>
    </w:lvl>
    <w:lvl w:ilvl="1" w:tplc="06AE87A0">
      <w:start w:val="1"/>
      <w:numFmt w:val="bullet"/>
      <w:lvlText w:val="o"/>
      <w:lvlJc w:val="left"/>
      <w:pPr>
        <w:ind w:left="1440" w:hanging="360"/>
      </w:pPr>
      <w:rPr>
        <w:rFonts w:ascii="Courier New" w:hAnsi="Courier New" w:hint="default"/>
      </w:rPr>
    </w:lvl>
    <w:lvl w:ilvl="2" w:tplc="A510CE68">
      <w:start w:val="1"/>
      <w:numFmt w:val="bullet"/>
      <w:lvlText w:val=""/>
      <w:lvlJc w:val="left"/>
      <w:pPr>
        <w:ind w:left="2160" w:hanging="360"/>
      </w:pPr>
      <w:rPr>
        <w:rFonts w:ascii="Wingdings" w:hAnsi="Wingdings" w:hint="default"/>
      </w:rPr>
    </w:lvl>
    <w:lvl w:ilvl="3" w:tplc="FE64FFAC">
      <w:start w:val="1"/>
      <w:numFmt w:val="bullet"/>
      <w:lvlText w:val=""/>
      <w:lvlJc w:val="left"/>
      <w:pPr>
        <w:ind w:left="2880" w:hanging="360"/>
      </w:pPr>
      <w:rPr>
        <w:rFonts w:ascii="Symbol" w:hAnsi="Symbol" w:hint="default"/>
      </w:rPr>
    </w:lvl>
    <w:lvl w:ilvl="4" w:tplc="34062BF0">
      <w:start w:val="1"/>
      <w:numFmt w:val="bullet"/>
      <w:lvlText w:val="o"/>
      <w:lvlJc w:val="left"/>
      <w:pPr>
        <w:ind w:left="3600" w:hanging="360"/>
      </w:pPr>
      <w:rPr>
        <w:rFonts w:ascii="Courier New" w:hAnsi="Courier New" w:hint="default"/>
      </w:rPr>
    </w:lvl>
    <w:lvl w:ilvl="5" w:tplc="DD2A3390">
      <w:start w:val="1"/>
      <w:numFmt w:val="bullet"/>
      <w:lvlText w:val=""/>
      <w:lvlJc w:val="left"/>
      <w:pPr>
        <w:ind w:left="4320" w:hanging="360"/>
      </w:pPr>
      <w:rPr>
        <w:rFonts w:ascii="Wingdings" w:hAnsi="Wingdings" w:hint="default"/>
      </w:rPr>
    </w:lvl>
    <w:lvl w:ilvl="6" w:tplc="88C0A63C">
      <w:start w:val="1"/>
      <w:numFmt w:val="bullet"/>
      <w:lvlText w:val=""/>
      <w:lvlJc w:val="left"/>
      <w:pPr>
        <w:ind w:left="5040" w:hanging="360"/>
      </w:pPr>
      <w:rPr>
        <w:rFonts w:ascii="Symbol" w:hAnsi="Symbol" w:hint="default"/>
      </w:rPr>
    </w:lvl>
    <w:lvl w:ilvl="7" w:tplc="D9B4893C">
      <w:start w:val="1"/>
      <w:numFmt w:val="bullet"/>
      <w:lvlText w:val="o"/>
      <w:lvlJc w:val="left"/>
      <w:pPr>
        <w:ind w:left="5760" w:hanging="360"/>
      </w:pPr>
      <w:rPr>
        <w:rFonts w:ascii="Courier New" w:hAnsi="Courier New" w:hint="default"/>
      </w:rPr>
    </w:lvl>
    <w:lvl w:ilvl="8" w:tplc="524CA438">
      <w:start w:val="1"/>
      <w:numFmt w:val="bullet"/>
      <w:lvlText w:val=""/>
      <w:lvlJc w:val="left"/>
      <w:pPr>
        <w:ind w:left="6480" w:hanging="360"/>
      </w:pPr>
      <w:rPr>
        <w:rFonts w:ascii="Wingdings" w:hAnsi="Wingdings" w:hint="default"/>
      </w:rPr>
    </w:lvl>
  </w:abstractNum>
  <w:abstractNum w:abstractNumId="2" w15:restartNumberingAfterBreak="0">
    <w:nsid w:val="14020086"/>
    <w:multiLevelType w:val="hybridMultilevel"/>
    <w:tmpl w:val="FFFFFFFF"/>
    <w:lvl w:ilvl="0" w:tplc="10AE47BA">
      <w:start w:val="1"/>
      <w:numFmt w:val="bullet"/>
      <w:lvlText w:val="-"/>
      <w:lvlJc w:val="left"/>
      <w:pPr>
        <w:ind w:left="720" w:hanging="360"/>
      </w:pPr>
      <w:rPr>
        <w:rFonts w:ascii="Calibri" w:hAnsi="Calibri" w:hint="default"/>
      </w:rPr>
    </w:lvl>
    <w:lvl w:ilvl="1" w:tplc="2AD8FBF2">
      <w:start w:val="1"/>
      <w:numFmt w:val="bullet"/>
      <w:lvlText w:val="o"/>
      <w:lvlJc w:val="left"/>
      <w:pPr>
        <w:ind w:left="1440" w:hanging="360"/>
      </w:pPr>
      <w:rPr>
        <w:rFonts w:ascii="Courier New" w:hAnsi="Courier New" w:hint="default"/>
      </w:rPr>
    </w:lvl>
    <w:lvl w:ilvl="2" w:tplc="20EED25A">
      <w:start w:val="1"/>
      <w:numFmt w:val="bullet"/>
      <w:lvlText w:val=""/>
      <w:lvlJc w:val="left"/>
      <w:pPr>
        <w:ind w:left="2160" w:hanging="360"/>
      </w:pPr>
      <w:rPr>
        <w:rFonts w:ascii="Wingdings" w:hAnsi="Wingdings" w:hint="default"/>
      </w:rPr>
    </w:lvl>
    <w:lvl w:ilvl="3" w:tplc="55AAEA84">
      <w:start w:val="1"/>
      <w:numFmt w:val="bullet"/>
      <w:lvlText w:val=""/>
      <w:lvlJc w:val="left"/>
      <w:pPr>
        <w:ind w:left="2880" w:hanging="360"/>
      </w:pPr>
      <w:rPr>
        <w:rFonts w:ascii="Symbol" w:hAnsi="Symbol" w:hint="default"/>
      </w:rPr>
    </w:lvl>
    <w:lvl w:ilvl="4" w:tplc="4EA0D88A">
      <w:start w:val="1"/>
      <w:numFmt w:val="bullet"/>
      <w:lvlText w:val="o"/>
      <w:lvlJc w:val="left"/>
      <w:pPr>
        <w:ind w:left="3600" w:hanging="360"/>
      </w:pPr>
      <w:rPr>
        <w:rFonts w:ascii="Courier New" w:hAnsi="Courier New" w:hint="default"/>
      </w:rPr>
    </w:lvl>
    <w:lvl w:ilvl="5" w:tplc="E66AED02">
      <w:start w:val="1"/>
      <w:numFmt w:val="bullet"/>
      <w:lvlText w:val=""/>
      <w:lvlJc w:val="left"/>
      <w:pPr>
        <w:ind w:left="4320" w:hanging="360"/>
      </w:pPr>
      <w:rPr>
        <w:rFonts w:ascii="Wingdings" w:hAnsi="Wingdings" w:hint="default"/>
      </w:rPr>
    </w:lvl>
    <w:lvl w:ilvl="6" w:tplc="0D082B6E">
      <w:start w:val="1"/>
      <w:numFmt w:val="bullet"/>
      <w:lvlText w:val=""/>
      <w:lvlJc w:val="left"/>
      <w:pPr>
        <w:ind w:left="5040" w:hanging="360"/>
      </w:pPr>
      <w:rPr>
        <w:rFonts w:ascii="Symbol" w:hAnsi="Symbol" w:hint="default"/>
      </w:rPr>
    </w:lvl>
    <w:lvl w:ilvl="7" w:tplc="62A24A24">
      <w:start w:val="1"/>
      <w:numFmt w:val="bullet"/>
      <w:lvlText w:val="o"/>
      <w:lvlJc w:val="left"/>
      <w:pPr>
        <w:ind w:left="5760" w:hanging="360"/>
      </w:pPr>
      <w:rPr>
        <w:rFonts w:ascii="Courier New" w:hAnsi="Courier New" w:hint="default"/>
      </w:rPr>
    </w:lvl>
    <w:lvl w:ilvl="8" w:tplc="95F2EE32">
      <w:start w:val="1"/>
      <w:numFmt w:val="bullet"/>
      <w:lvlText w:val=""/>
      <w:lvlJc w:val="left"/>
      <w:pPr>
        <w:ind w:left="6480" w:hanging="360"/>
      </w:pPr>
      <w:rPr>
        <w:rFonts w:ascii="Wingdings" w:hAnsi="Wingdings" w:hint="default"/>
      </w:rPr>
    </w:lvl>
  </w:abstractNum>
  <w:abstractNum w:abstractNumId="3" w15:restartNumberingAfterBreak="0">
    <w:nsid w:val="14B0AE14"/>
    <w:multiLevelType w:val="hybridMultilevel"/>
    <w:tmpl w:val="E77CFE32"/>
    <w:lvl w:ilvl="0" w:tplc="5C5C9400">
      <w:start w:val="2"/>
      <w:numFmt w:val="decimal"/>
      <w:lvlText w:val="%1."/>
      <w:lvlJc w:val="left"/>
      <w:pPr>
        <w:ind w:left="720" w:hanging="360"/>
      </w:pPr>
    </w:lvl>
    <w:lvl w:ilvl="1" w:tplc="3BB8850A">
      <w:start w:val="1"/>
      <w:numFmt w:val="lowerLetter"/>
      <w:lvlText w:val="%2."/>
      <w:lvlJc w:val="left"/>
      <w:pPr>
        <w:ind w:left="1440" w:hanging="360"/>
      </w:pPr>
    </w:lvl>
    <w:lvl w:ilvl="2" w:tplc="5C92AE1C">
      <w:start w:val="1"/>
      <w:numFmt w:val="lowerRoman"/>
      <w:lvlText w:val="%3."/>
      <w:lvlJc w:val="right"/>
      <w:pPr>
        <w:ind w:left="2160" w:hanging="180"/>
      </w:pPr>
    </w:lvl>
    <w:lvl w:ilvl="3" w:tplc="D8A0FAC2">
      <w:start w:val="1"/>
      <w:numFmt w:val="decimal"/>
      <w:lvlText w:val="%4."/>
      <w:lvlJc w:val="left"/>
      <w:pPr>
        <w:ind w:left="2880" w:hanging="360"/>
      </w:pPr>
    </w:lvl>
    <w:lvl w:ilvl="4" w:tplc="9ADC5E60">
      <w:start w:val="1"/>
      <w:numFmt w:val="lowerLetter"/>
      <w:lvlText w:val="%5."/>
      <w:lvlJc w:val="left"/>
      <w:pPr>
        <w:ind w:left="3600" w:hanging="360"/>
      </w:pPr>
    </w:lvl>
    <w:lvl w:ilvl="5" w:tplc="27E01F50">
      <w:start w:val="1"/>
      <w:numFmt w:val="lowerRoman"/>
      <w:lvlText w:val="%6."/>
      <w:lvlJc w:val="right"/>
      <w:pPr>
        <w:ind w:left="4320" w:hanging="180"/>
      </w:pPr>
    </w:lvl>
    <w:lvl w:ilvl="6" w:tplc="B2C6D9AE">
      <w:start w:val="1"/>
      <w:numFmt w:val="decimal"/>
      <w:lvlText w:val="%7."/>
      <w:lvlJc w:val="left"/>
      <w:pPr>
        <w:ind w:left="5040" w:hanging="360"/>
      </w:pPr>
    </w:lvl>
    <w:lvl w:ilvl="7" w:tplc="8F08C826">
      <w:start w:val="1"/>
      <w:numFmt w:val="lowerLetter"/>
      <w:lvlText w:val="%8."/>
      <w:lvlJc w:val="left"/>
      <w:pPr>
        <w:ind w:left="5760" w:hanging="360"/>
      </w:pPr>
    </w:lvl>
    <w:lvl w:ilvl="8" w:tplc="E7C4C60C">
      <w:start w:val="1"/>
      <w:numFmt w:val="lowerRoman"/>
      <w:lvlText w:val="%9."/>
      <w:lvlJc w:val="right"/>
      <w:pPr>
        <w:ind w:left="6480" w:hanging="180"/>
      </w:pPr>
    </w:lvl>
  </w:abstractNum>
  <w:abstractNum w:abstractNumId="4" w15:restartNumberingAfterBreak="0">
    <w:nsid w:val="36A93358"/>
    <w:multiLevelType w:val="hybridMultilevel"/>
    <w:tmpl w:val="74A8D9A4"/>
    <w:lvl w:ilvl="0" w:tplc="A99A0B0E">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B200488"/>
    <w:multiLevelType w:val="hybridMultilevel"/>
    <w:tmpl w:val="1A6E712C"/>
    <w:lvl w:ilvl="0" w:tplc="12C2FBBE">
      <w:start w:val="1"/>
      <w:numFmt w:val="lowerLetter"/>
      <w:lvlText w:val="%1)"/>
      <w:lvlJc w:val="left"/>
      <w:pPr>
        <w:ind w:left="743" w:hanging="360"/>
      </w:pPr>
      <w:rPr>
        <w:rFonts w:ascii="Times New Roman" w:eastAsia="Times New Roman" w:hAnsi="Times New Roman" w:cs="Times New Roman" w:hint="default"/>
        <w:b/>
        <w:bCs/>
        <w:i/>
        <w:iCs/>
        <w:spacing w:val="0"/>
        <w:w w:val="100"/>
        <w:sz w:val="24"/>
        <w:szCs w:val="24"/>
        <w:lang w:val="en-US" w:eastAsia="en-US" w:bidi="ar-SA"/>
      </w:rPr>
    </w:lvl>
    <w:lvl w:ilvl="1" w:tplc="5A561BD8">
      <w:numFmt w:val="bullet"/>
      <w:lvlText w:val="•"/>
      <w:lvlJc w:val="left"/>
      <w:pPr>
        <w:ind w:left="1606" w:hanging="360"/>
      </w:pPr>
      <w:rPr>
        <w:rFonts w:hint="default"/>
        <w:lang w:val="en-US" w:eastAsia="en-US" w:bidi="ar-SA"/>
      </w:rPr>
    </w:lvl>
    <w:lvl w:ilvl="2" w:tplc="7CBA8C64">
      <w:numFmt w:val="bullet"/>
      <w:lvlText w:val="•"/>
      <w:lvlJc w:val="left"/>
      <w:pPr>
        <w:ind w:left="2473" w:hanging="360"/>
      </w:pPr>
      <w:rPr>
        <w:rFonts w:hint="default"/>
        <w:lang w:val="en-US" w:eastAsia="en-US" w:bidi="ar-SA"/>
      </w:rPr>
    </w:lvl>
    <w:lvl w:ilvl="3" w:tplc="654815FC">
      <w:numFmt w:val="bullet"/>
      <w:lvlText w:val="•"/>
      <w:lvlJc w:val="left"/>
      <w:pPr>
        <w:ind w:left="3339" w:hanging="360"/>
      </w:pPr>
      <w:rPr>
        <w:rFonts w:hint="default"/>
        <w:lang w:val="en-US" w:eastAsia="en-US" w:bidi="ar-SA"/>
      </w:rPr>
    </w:lvl>
    <w:lvl w:ilvl="4" w:tplc="DA78D096">
      <w:numFmt w:val="bullet"/>
      <w:lvlText w:val="•"/>
      <w:lvlJc w:val="left"/>
      <w:pPr>
        <w:ind w:left="4206" w:hanging="360"/>
      </w:pPr>
      <w:rPr>
        <w:rFonts w:hint="default"/>
        <w:lang w:val="en-US" w:eastAsia="en-US" w:bidi="ar-SA"/>
      </w:rPr>
    </w:lvl>
    <w:lvl w:ilvl="5" w:tplc="BDD4FA46">
      <w:numFmt w:val="bullet"/>
      <w:lvlText w:val="•"/>
      <w:lvlJc w:val="left"/>
      <w:pPr>
        <w:ind w:left="5073" w:hanging="360"/>
      </w:pPr>
      <w:rPr>
        <w:rFonts w:hint="default"/>
        <w:lang w:val="en-US" w:eastAsia="en-US" w:bidi="ar-SA"/>
      </w:rPr>
    </w:lvl>
    <w:lvl w:ilvl="6" w:tplc="09766304">
      <w:numFmt w:val="bullet"/>
      <w:lvlText w:val="•"/>
      <w:lvlJc w:val="left"/>
      <w:pPr>
        <w:ind w:left="5939" w:hanging="360"/>
      </w:pPr>
      <w:rPr>
        <w:rFonts w:hint="default"/>
        <w:lang w:val="en-US" w:eastAsia="en-US" w:bidi="ar-SA"/>
      </w:rPr>
    </w:lvl>
    <w:lvl w:ilvl="7" w:tplc="0F3261A4">
      <w:numFmt w:val="bullet"/>
      <w:lvlText w:val="•"/>
      <w:lvlJc w:val="left"/>
      <w:pPr>
        <w:ind w:left="6806" w:hanging="360"/>
      </w:pPr>
      <w:rPr>
        <w:rFonts w:hint="default"/>
        <w:lang w:val="en-US" w:eastAsia="en-US" w:bidi="ar-SA"/>
      </w:rPr>
    </w:lvl>
    <w:lvl w:ilvl="8" w:tplc="3642EA5C">
      <w:numFmt w:val="bullet"/>
      <w:lvlText w:val="•"/>
      <w:lvlJc w:val="left"/>
      <w:pPr>
        <w:ind w:left="7672" w:hanging="360"/>
      </w:pPr>
      <w:rPr>
        <w:rFonts w:hint="default"/>
        <w:lang w:val="en-US" w:eastAsia="en-US" w:bidi="ar-SA"/>
      </w:rPr>
    </w:lvl>
  </w:abstractNum>
  <w:abstractNum w:abstractNumId="6" w15:restartNumberingAfterBreak="0">
    <w:nsid w:val="40B513A8"/>
    <w:multiLevelType w:val="hybridMultilevel"/>
    <w:tmpl w:val="A90A756E"/>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42C040B"/>
    <w:multiLevelType w:val="hybridMultilevel"/>
    <w:tmpl w:val="9E3E2F64"/>
    <w:lvl w:ilvl="0" w:tplc="5EEA9C9A">
      <w:start w:val="1"/>
      <w:numFmt w:val="lowerLetter"/>
      <w:lvlText w:val="%1)"/>
      <w:lvlJc w:val="left"/>
      <w:pPr>
        <w:ind w:left="743"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706D3AC">
      <w:numFmt w:val="bullet"/>
      <w:lvlText w:val="•"/>
      <w:lvlJc w:val="left"/>
      <w:pPr>
        <w:ind w:left="1606" w:hanging="360"/>
      </w:pPr>
      <w:rPr>
        <w:rFonts w:hint="default"/>
        <w:lang w:val="en-US" w:eastAsia="en-US" w:bidi="ar-SA"/>
      </w:rPr>
    </w:lvl>
    <w:lvl w:ilvl="2" w:tplc="FBE2D0B0">
      <w:numFmt w:val="bullet"/>
      <w:lvlText w:val="•"/>
      <w:lvlJc w:val="left"/>
      <w:pPr>
        <w:ind w:left="2473" w:hanging="360"/>
      </w:pPr>
      <w:rPr>
        <w:rFonts w:hint="default"/>
        <w:lang w:val="en-US" w:eastAsia="en-US" w:bidi="ar-SA"/>
      </w:rPr>
    </w:lvl>
    <w:lvl w:ilvl="3" w:tplc="67B4EFB4">
      <w:numFmt w:val="bullet"/>
      <w:lvlText w:val="•"/>
      <w:lvlJc w:val="left"/>
      <w:pPr>
        <w:ind w:left="3339" w:hanging="360"/>
      </w:pPr>
      <w:rPr>
        <w:rFonts w:hint="default"/>
        <w:lang w:val="en-US" w:eastAsia="en-US" w:bidi="ar-SA"/>
      </w:rPr>
    </w:lvl>
    <w:lvl w:ilvl="4" w:tplc="4BC88D12">
      <w:numFmt w:val="bullet"/>
      <w:lvlText w:val="•"/>
      <w:lvlJc w:val="left"/>
      <w:pPr>
        <w:ind w:left="4206" w:hanging="360"/>
      </w:pPr>
      <w:rPr>
        <w:rFonts w:hint="default"/>
        <w:lang w:val="en-US" w:eastAsia="en-US" w:bidi="ar-SA"/>
      </w:rPr>
    </w:lvl>
    <w:lvl w:ilvl="5" w:tplc="88F22EB4">
      <w:numFmt w:val="bullet"/>
      <w:lvlText w:val="•"/>
      <w:lvlJc w:val="left"/>
      <w:pPr>
        <w:ind w:left="5073" w:hanging="360"/>
      </w:pPr>
      <w:rPr>
        <w:rFonts w:hint="default"/>
        <w:lang w:val="en-US" w:eastAsia="en-US" w:bidi="ar-SA"/>
      </w:rPr>
    </w:lvl>
    <w:lvl w:ilvl="6" w:tplc="3FC24F0A">
      <w:numFmt w:val="bullet"/>
      <w:lvlText w:val="•"/>
      <w:lvlJc w:val="left"/>
      <w:pPr>
        <w:ind w:left="5939" w:hanging="360"/>
      </w:pPr>
      <w:rPr>
        <w:rFonts w:hint="default"/>
        <w:lang w:val="en-US" w:eastAsia="en-US" w:bidi="ar-SA"/>
      </w:rPr>
    </w:lvl>
    <w:lvl w:ilvl="7" w:tplc="922C428E">
      <w:numFmt w:val="bullet"/>
      <w:lvlText w:val="•"/>
      <w:lvlJc w:val="left"/>
      <w:pPr>
        <w:ind w:left="6806" w:hanging="360"/>
      </w:pPr>
      <w:rPr>
        <w:rFonts w:hint="default"/>
        <w:lang w:val="en-US" w:eastAsia="en-US" w:bidi="ar-SA"/>
      </w:rPr>
    </w:lvl>
    <w:lvl w:ilvl="8" w:tplc="D0F27C60">
      <w:numFmt w:val="bullet"/>
      <w:lvlText w:val="•"/>
      <w:lvlJc w:val="left"/>
      <w:pPr>
        <w:ind w:left="7672" w:hanging="360"/>
      </w:pPr>
      <w:rPr>
        <w:rFonts w:hint="default"/>
        <w:lang w:val="en-US" w:eastAsia="en-US" w:bidi="ar-SA"/>
      </w:rPr>
    </w:lvl>
  </w:abstractNum>
  <w:abstractNum w:abstractNumId="8" w15:restartNumberingAfterBreak="0">
    <w:nsid w:val="47129615"/>
    <w:multiLevelType w:val="hybridMultilevel"/>
    <w:tmpl w:val="06ECC93E"/>
    <w:lvl w:ilvl="0" w:tplc="05A4A376">
      <w:start w:val="1"/>
      <w:numFmt w:val="bullet"/>
      <w:lvlText w:val=""/>
      <w:lvlJc w:val="left"/>
      <w:pPr>
        <w:ind w:left="383" w:hanging="360"/>
      </w:pPr>
      <w:rPr>
        <w:rFonts w:ascii="Symbol" w:hAnsi="Symbol" w:hint="default"/>
      </w:rPr>
    </w:lvl>
    <w:lvl w:ilvl="1" w:tplc="69241EC6">
      <w:start w:val="1"/>
      <w:numFmt w:val="bullet"/>
      <w:lvlText w:val="o"/>
      <w:lvlJc w:val="left"/>
      <w:pPr>
        <w:ind w:left="1103" w:hanging="360"/>
      </w:pPr>
      <w:rPr>
        <w:rFonts w:ascii="Courier New" w:hAnsi="Courier New" w:hint="default"/>
      </w:rPr>
    </w:lvl>
    <w:lvl w:ilvl="2" w:tplc="FD30DBD4">
      <w:start w:val="1"/>
      <w:numFmt w:val="bullet"/>
      <w:lvlText w:val=""/>
      <w:lvlJc w:val="left"/>
      <w:pPr>
        <w:ind w:left="1823" w:hanging="360"/>
      </w:pPr>
      <w:rPr>
        <w:rFonts w:ascii="Wingdings" w:hAnsi="Wingdings" w:hint="default"/>
      </w:rPr>
    </w:lvl>
    <w:lvl w:ilvl="3" w:tplc="E4D09992">
      <w:start w:val="1"/>
      <w:numFmt w:val="bullet"/>
      <w:lvlText w:val=""/>
      <w:lvlJc w:val="left"/>
      <w:pPr>
        <w:ind w:left="2543" w:hanging="360"/>
      </w:pPr>
      <w:rPr>
        <w:rFonts w:ascii="Symbol" w:hAnsi="Symbol" w:hint="default"/>
      </w:rPr>
    </w:lvl>
    <w:lvl w:ilvl="4" w:tplc="0ECC20A0">
      <w:start w:val="1"/>
      <w:numFmt w:val="bullet"/>
      <w:lvlText w:val="o"/>
      <w:lvlJc w:val="left"/>
      <w:pPr>
        <w:ind w:left="3263" w:hanging="360"/>
      </w:pPr>
      <w:rPr>
        <w:rFonts w:ascii="Courier New" w:hAnsi="Courier New" w:hint="default"/>
      </w:rPr>
    </w:lvl>
    <w:lvl w:ilvl="5" w:tplc="E3664C1A">
      <w:start w:val="1"/>
      <w:numFmt w:val="bullet"/>
      <w:lvlText w:val=""/>
      <w:lvlJc w:val="left"/>
      <w:pPr>
        <w:ind w:left="3983" w:hanging="360"/>
      </w:pPr>
      <w:rPr>
        <w:rFonts w:ascii="Wingdings" w:hAnsi="Wingdings" w:hint="default"/>
      </w:rPr>
    </w:lvl>
    <w:lvl w:ilvl="6" w:tplc="F7BEF984">
      <w:start w:val="1"/>
      <w:numFmt w:val="bullet"/>
      <w:lvlText w:val=""/>
      <w:lvlJc w:val="left"/>
      <w:pPr>
        <w:ind w:left="4703" w:hanging="360"/>
      </w:pPr>
      <w:rPr>
        <w:rFonts w:ascii="Symbol" w:hAnsi="Symbol" w:hint="default"/>
      </w:rPr>
    </w:lvl>
    <w:lvl w:ilvl="7" w:tplc="DD326B2C">
      <w:start w:val="1"/>
      <w:numFmt w:val="bullet"/>
      <w:lvlText w:val="o"/>
      <w:lvlJc w:val="left"/>
      <w:pPr>
        <w:ind w:left="5423" w:hanging="360"/>
      </w:pPr>
      <w:rPr>
        <w:rFonts w:ascii="Courier New" w:hAnsi="Courier New" w:hint="default"/>
      </w:rPr>
    </w:lvl>
    <w:lvl w:ilvl="8" w:tplc="E806D636">
      <w:start w:val="1"/>
      <w:numFmt w:val="bullet"/>
      <w:lvlText w:val=""/>
      <w:lvlJc w:val="left"/>
      <w:pPr>
        <w:ind w:left="6143" w:hanging="360"/>
      </w:pPr>
      <w:rPr>
        <w:rFonts w:ascii="Wingdings" w:hAnsi="Wingdings" w:hint="default"/>
      </w:rPr>
    </w:lvl>
  </w:abstractNum>
  <w:abstractNum w:abstractNumId="9" w15:restartNumberingAfterBreak="0">
    <w:nsid w:val="4B3C6F96"/>
    <w:multiLevelType w:val="hybridMultilevel"/>
    <w:tmpl w:val="FC8405D8"/>
    <w:lvl w:ilvl="0" w:tplc="9BC2C76A">
      <w:start w:val="1"/>
      <w:numFmt w:val="bullet"/>
      <w:lvlText w:val=""/>
      <w:lvlJc w:val="left"/>
      <w:pPr>
        <w:ind w:left="383" w:hanging="360"/>
      </w:pPr>
      <w:rPr>
        <w:rFonts w:ascii="Symbol" w:hAnsi="Symbol" w:hint="default"/>
      </w:rPr>
    </w:lvl>
    <w:lvl w:ilvl="1" w:tplc="D93A022E">
      <w:start w:val="1"/>
      <w:numFmt w:val="bullet"/>
      <w:lvlText w:val="o"/>
      <w:lvlJc w:val="left"/>
      <w:pPr>
        <w:ind w:left="1103" w:hanging="360"/>
      </w:pPr>
      <w:rPr>
        <w:rFonts w:ascii="Courier New" w:hAnsi="Courier New" w:hint="default"/>
      </w:rPr>
    </w:lvl>
    <w:lvl w:ilvl="2" w:tplc="D8EA0260">
      <w:start w:val="1"/>
      <w:numFmt w:val="bullet"/>
      <w:lvlText w:val=""/>
      <w:lvlJc w:val="left"/>
      <w:pPr>
        <w:ind w:left="1823" w:hanging="360"/>
      </w:pPr>
      <w:rPr>
        <w:rFonts w:ascii="Wingdings" w:hAnsi="Wingdings" w:hint="default"/>
      </w:rPr>
    </w:lvl>
    <w:lvl w:ilvl="3" w:tplc="75A83EE4">
      <w:start w:val="1"/>
      <w:numFmt w:val="bullet"/>
      <w:lvlText w:val=""/>
      <w:lvlJc w:val="left"/>
      <w:pPr>
        <w:ind w:left="2543" w:hanging="360"/>
      </w:pPr>
      <w:rPr>
        <w:rFonts w:ascii="Symbol" w:hAnsi="Symbol" w:hint="default"/>
      </w:rPr>
    </w:lvl>
    <w:lvl w:ilvl="4" w:tplc="2A4885C2">
      <w:start w:val="1"/>
      <w:numFmt w:val="bullet"/>
      <w:lvlText w:val="o"/>
      <w:lvlJc w:val="left"/>
      <w:pPr>
        <w:ind w:left="3263" w:hanging="360"/>
      </w:pPr>
      <w:rPr>
        <w:rFonts w:ascii="Courier New" w:hAnsi="Courier New" w:hint="default"/>
      </w:rPr>
    </w:lvl>
    <w:lvl w:ilvl="5" w:tplc="DFAC5A9A">
      <w:start w:val="1"/>
      <w:numFmt w:val="bullet"/>
      <w:lvlText w:val=""/>
      <w:lvlJc w:val="left"/>
      <w:pPr>
        <w:ind w:left="3983" w:hanging="360"/>
      </w:pPr>
      <w:rPr>
        <w:rFonts w:ascii="Wingdings" w:hAnsi="Wingdings" w:hint="default"/>
      </w:rPr>
    </w:lvl>
    <w:lvl w:ilvl="6" w:tplc="60924458">
      <w:start w:val="1"/>
      <w:numFmt w:val="bullet"/>
      <w:lvlText w:val=""/>
      <w:lvlJc w:val="left"/>
      <w:pPr>
        <w:ind w:left="4703" w:hanging="360"/>
      </w:pPr>
      <w:rPr>
        <w:rFonts w:ascii="Symbol" w:hAnsi="Symbol" w:hint="default"/>
      </w:rPr>
    </w:lvl>
    <w:lvl w:ilvl="7" w:tplc="3FFE7DAE">
      <w:start w:val="1"/>
      <w:numFmt w:val="bullet"/>
      <w:lvlText w:val="o"/>
      <w:lvlJc w:val="left"/>
      <w:pPr>
        <w:ind w:left="5423" w:hanging="360"/>
      </w:pPr>
      <w:rPr>
        <w:rFonts w:ascii="Courier New" w:hAnsi="Courier New" w:hint="default"/>
      </w:rPr>
    </w:lvl>
    <w:lvl w:ilvl="8" w:tplc="243EA4B0">
      <w:start w:val="1"/>
      <w:numFmt w:val="bullet"/>
      <w:lvlText w:val=""/>
      <w:lvlJc w:val="left"/>
      <w:pPr>
        <w:ind w:left="6143" w:hanging="360"/>
      </w:pPr>
      <w:rPr>
        <w:rFonts w:ascii="Wingdings" w:hAnsi="Wingdings" w:hint="default"/>
      </w:rPr>
    </w:lvl>
  </w:abstractNum>
  <w:abstractNum w:abstractNumId="10" w15:restartNumberingAfterBreak="0">
    <w:nsid w:val="580CFC5E"/>
    <w:multiLevelType w:val="hybridMultilevel"/>
    <w:tmpl w:val="1736BC7E"/>
    <w:lvl w:ilvl="0" w:tplc="A5DA0C90">
      <w:start w:val="2"/>
      <w:numFmt w:val="decimal"/>
      <w:lvlText w:val="%1."/>
      <w:lvlJc w:val="left"/>
      <w:pPr>
        <w:ind w:left="720" w:hanging="360"/>
      </w:pPr>
    </w:lvl>
    <w:lvl w:ilvl="1" w:tplc="4E6E5D90">
      <w:start w:val="1"/>
      <w:numFmt w:val="lowerLetter"/>
      <w:lvlText w:val="%2."/>
      <w:lvlJc w:val="left"/>
      <w:pPr>
        <w:ind w:left="1440" w:hanging="360"/>
      </w:pPr>
    </w:lvl>
    <w:lvl w:ilvl="2" w:tplc="EAFAF9BC">
      <w:start w:val="1"/>
      <w:numFmt w:val="lowerRoman"/>
      <w:lvlText w:val="%3."/>
      <w:lvlJc w:val="right"/>
      <w:pPr>
        <w:ind w:left="2160" w:hanging="180"/>
      </w:pPr>
    </w:lvl>
    <w:lvl w:ilvl="3" w:tplc="5BAE9BE4">
      <w:start w:val="1"/>
      <w:numFmt w:val="decimal"/>
      <w:lvlText w:val="%4."/>
      <w:lvlJc w:val="left"/>
      <w:pPr>
        <w:ind w:left="2880" w:hanging="360"/>
      </w:pPr>
    </w:lvl>
    <w:lvl w:ilvl="4" w:tplc="FFB80230">
      <w:start w:val="1"/>
      <w:numFmt w:val="lowerLetter"/>
      <w:lvlText w:val="%5."/>
      <w:lvlJc w:val="left"/>
      <w:pPr>
        <w:ind w:left="3600" w:hanging="360"/>
      </w:pPr>
    </w:lvl>
    <w:lvl w:ilvl="5" w:tplc="361882AA">
      <w:start w:val="1"/>
      <w:numFmt w:val="lowerRoman"/>
      <w:lvlText w:val="%6."/>
      <w:lvlJc w:val="right"/>
      <w:pPr>
        <w:ind w:left="4320" w:hanging="180"/>
      </w:pPr>
    </w:lvl>
    <w:lvl w:ilvl="6" w:tplc="4BE27552">
      <w:start w:val="1"/>
      <w:numFmt w:val="decimal"/>
      <w:lvlText w:val="%7."/>
      <w:lvlJc w:val="left"/>
      <w:pPr>
        <w:ind w:left="5040" w:hanging="360"/>
      </w:pPr>
    </w:lvl>
    <w:lvl w:ilvl="7" w:tplc="54E06C3C">
      <w:start w:val="1"/>
      <w:numFmt w:val="lowerLetter"/>
      <w:lvlText w:val="%8."/>
      <w:lvlJc w:val="left"/>
      <w:pPr>
        <w:ind w:left="5760" w:hanging="360"/>
      </w:pPr>
    </w:lvl>
    <w:lvl w:ilvl="8" w:tplc="A3C676D0">
      <w:start w:val="1"/>
      <w:numFmt w:val="lowerRoman"/>
      <w:lvlText w:val="%9."/>
      <w:lvlJc w:val="right"/>
      <w:pPr>
        <w:ind w:left="6480" w:hanging="180"/>
      </w:pPr>
    </w:lvl>
  </w:abstractNum>
  <w:abstractNum w:abstractNumId="11" w15:restartNumberingAfterBreak="0">
    <w:nsid w:val="6081DC45"/>
    <w:multiLevelType w:val="hybridMultilevel"/>
    <w:tmpl w:val="B8DA14A4"/>
    <w:lvl w:ilvl="0" w:tplc="4FC83FCE">
      <w:start w:val="1"/>
      <w:numFmt w:val="bullet"/>
      <w:lvlText w:val=""/>
      <w:lvlJc w:val="left"/>
      <w:pPr>
        <w:ind w:left="383" w:hanging="360"/>
      </w:pPr>
      <w:rPr>
        <w:rFonts w:ascii="Symbol" w:hAnsi="Symbol" w:hint="default"/>
      </w:rPr>
    </w:lvl>
    <w:lvl w:ilvl="1" w:tplc="2F9E3612">
      <w:start w:val="1"/>
      <w:numFmt w:val="bullet"/>
      <w:lvlText w:val="o"/>
      <w:lvlJc w:val="left"/>
      <w:pPr>
        <w:ind w:left="1103" w:hanging="360"/>
      </w:pPr>
      <w:rPr>
        <w:rFonts w:ascii="Courier New" w:hAnsi="Courier New" w:hint="default"/>
      </w:rPr>
    </w:lvl>
    <w:lvl w:ilvl="2" w:tplc="B7ACB7B6">
      <w:start w:val="1"/>
      <w:numFmt w:val="bullet"/>
      <w:lvlText w:val=""/>
      <w:lvlJc w:val="left"/>
      <w:pPr>
        <w:ind w:left="1823" w:hanging="360"/>
      </w:pPr>
      <w:rPr>
        <w:rFonts w:ascii="Wingdings" w:hAnsi="Wingdings" w:hint="default"/>
      </w:rPr>
    </w:lvl>
    <w:lvl w:ilvl="3" w:tplc="532C4788">
      <w:start w:val="1"/>
      <w:numFmt w:val="bullet"/>
      <w:lvlText w:val=""/>
      <w:lvlJc w:val="left"/>
      <w:pPr>
        <w:ind w:left="2543" w:hanging="360"/>
      </w:pPr>
      <w:rPr>
        <w:rFonts w:ascii="Symbol" w:hAnsi="Symbol" w:hint="default"/>
      </w:rPr>
    </w:lvl>
    <w:lvl w:ilvl="4" w:tplc="A8F40FEA">
      <w:start w:val="1"/>
      <w:numFmt w:val="bullet"/>
      <w:lvlText w:val="o"/>
      <w:lvlJc w:val="left"/>
      <w:pPr>
        <w:ind w:left="3263" w:hanging="360"/>
      </w:pPr>
      <w:rPr>
        <w:rFonts w:ascii="Courier New" w:hAnsi="Courier New" w:hint="default"/>
      </w:rPr>
    </w:lvl>
    <w:lvl w:ilvl="5" w:tplc="F17EFA54">
      <w:start w:val="1"/>
      <w:numFmt w:val="bullet"/>
      <w:lvlText w:val=""/>
      <w:lvlJc w:val="left"/>
      <w:pPr>
        <w:ind w:left="3983" w:hanging="360"/>
      </w:pPr>
      <w:rPr>
        <w:rFonts w:ascii="Wingdings" w:hAnsi="Wingdings" w:hint="default"/>
      </w:rPr>
    </w:lvl>
    <w:lvl w:ilvl="6" w:tplc="23B2BAF4">
      <w:start w:val="1"/>
      <w:numFmt w:val="bullet"/>
      <w:lvlText w:val=""/>
      <w:lvlJc w:val="left"/>
      <w:pPr>
        <w:ind w:left="4703" w:hanging="360"/>
      </w:pPr>
      <w:rPr>
        <w:rFonts w:ascii="Symbol" w:hAnsi="Symbol" w:hint="default"/>
      </w:rPr>
    </w:lvl>
    <w:lvl w:ilvl="7" w:tplc="CCC09C30">
      <w:start w:val="1"/>
      <w:numFmt w:val="bullet"/>
      <w:lvlText w:val="o"/>
      <w:lvlJc w:val="left"/>
      <w:pPr>
        <w:ind w:left="5423" w:hanging="360"/>
      </w:pPr>
      <w:rPr>
        <w:rFonts w:ascii="Courier New" w:hAnsi="Courier New" w:hint="default"/>
      </w:rPr>
    </w:lvl>
    <w:lvl w:ilvl="8" w:tplc="49BAFB44">
      <w:start w:val="1"/>
      <w:numFmt w:val="bullet"/>
      <w:lvlText w:val=""/>
      <w:lvlJc w:val="left"/>
      <w:pPr>
        <w:ind w:left="6143" w:hanging="360"/>
      </w:pPr>
      <w:rPr>
        <w:rFonts w:ascii="Wingdings" w:hAnsi="Wingdings" w:hint="default"/>
      </w:rPr>
    </w:lvl>
  </w:abstractNum>
  <w:abstractNum w:abstractNumId="12" w15:restartNumberingAfterBreak="0">
    <w:nsid w:val="61BC3CDB"/>
    <w:multiLevelType w:val="hybridMultilevel"/>
    <w:tmpl w:val="AA96E1C0"/>
    <w:lvl w:ilvl="0" w:tplc="18090001">
      <w:start w:val="1"/>
      <w:numFmt w:val="bullet"/>
      <w:lvlText w:val=""/>
      <w:lvlJc w:val="left"/>
      <w:pPr>
        <w:ind w:left="743" w:hanging="360"/>
      </w:pPr>
      <w:rPr>
        <w:rFonts w:ascii="Symbol" w:hAnsi="Symbol" w:hint="default"/>
      </w:rPr>
    </w:lvl>
    <w:lvl w:ilvl="1" w:tplc="18090003" w:tentative="1">
      <w:start w:val="1"/>
      <w:numFmt w:val="bullet"/>
      <w:lvlText w:val="o"/>
      <w:lvlJc w:val="left"/>
      <w:pPr>
        <w:ind w:left="1463" w:hanging="360"/>
      </w:pPr>
      <w:rPr>
        <w:rFonts w:ascii="Courier New" w:hAnsi="Courier New" w:cs="Courier New" w:hint="default"/>
      </w:rPr>
    </w:lvl>
    <w:lvl w:ilvl="2" w:tplc="18090005" w:tentative="1">
      <w:start w:val="1"/>
      <w:numFmt w:val="bullet"/>
      <w:lvlText w:val=""/>
      <w:lvlJc w:val="left"/>
      <w:pPr>
        <w:ind w:left="2183" w:hanging="360"/>
      </w:pPr>
      <w:rPr>
        <w:rFonts w:ascii="Wingdings" w:hAnsi="Wingdings" w:hint="default"/>
      </w:rPr>
    </w:lvl>
    <w:lvl w:ilvl="3" w:tplc="18090001" w:tentative="1">
      <w:start w:val="1"/>
      <w:numFmt w:val="bullet"/>
      <w:lvlText w:val=""/>
      <w:lvlJc w:val="left"/>
      <w:pPr>
        <w:ind w:left="2903" w:hanging="360"/>
      </w:pPr>
      <w:rPr>
        <w:rFonts w:ascii="Symbol" w:hAnsi="Symbol" w:hint="default"/>
      </w:rPr>
    </w:lvl>
    <w:lvl w:ilvl="4" w:tplc="18090003" w:tentative="1">
      <w:start w:val="1"/>
      <w:numFmt w:val="bullet"/>
      <w:lvlText w:val="o"/>
      <w:lvlJc w:val="left"/>
      <w:pPr>
        <w:ind w:left="3623" w:hanging="360"/>
      </w:pPr>
      <w:rPr>
        <w:rFonts w:ascii="Courier New" w:hAnsi="Courier New" w:cs="Courier New" w:hint="default"/>
      </w:rPr>
    </w:lvl>
    <w:lvl w:ilvl="5" w:tplc="18090005" w:tentative="1">
      <w:start w:val="1"/>
      <w:numFmt w:val="bullet"/>
      <w:lvlText w:val=""/>
      <w:lvlJc w:val="left"/>
      <w:pPr>
        <w:ind w:left="4343" w:hanging="360"/>
      </w:pPr>
      <w:rPr>
        <w:rFonts w:ascii="Wingdings" w:hAnsi="Wingdings" w:hint="default"/>
      </w:rPr>
    </w:lvl>
    <w:lvl w:ilvl="6" w:tplc="18090001" w:tentative="1">
      <w:start w:val="1"/>
      <w:numFmt w:val="bullet"/>
      <w:lvlText w:val=""/>
      <w:lvlJc w:val="left"/>
      <w:pPr>
        <w:ind w:left="5063" w:hanging="360"/>
      </w:pPr>
      <w:rPr>
        <w:rFonts w:ascii="Symbol" w:hAnsi="Symbol" w:hint="default"/>
      </w:rPr>
    </w:lvl>
    <w:lvl w:ilvl="7" w:tplc="18090003" w:tentative="1">
      <w:start w:val="1"/>
      <w:numFmt w:val="bullet"/>
      <w:lvlText w:val="o"/>
      <w:lvlJc w:val="left"/>
      <w:pPr>
        <w:ind w:left="5783" w:hanging="360"/>
      </w:pPr>
      <w:rPr>
        <w:rFonts w:ascii="Courier New" w:hAnsi="Courier New" w:cs="Courier New" w:hint="default"/>
      </w:rPr>
    </w:lvl>
    <w:lvl w:ilvl="8" w:tplc="18090005" w:tentative="1">
      <w:start w:val="1"/>
      <w:numFmt w:val="bullet"/>
      <w:lvlText w:val=""/>
      <w:lvlJc w:val="left"/>
      <w:pPr>
        <w:ind w:left="6503" w:hanging="360"/>
      </w:pPr>
      <w:rPr>
        <w:rFonts w:ascii="Wingdings" w:hAnsi="Wingdings" w:hint="default"/>
      </w:rPr>
    </w:lvl>
  </w:abstractNum>
  <w:abstractNum w:abstractNumId="13" w15:restartNumberingAfterBreak="0">
    <w:nsid w:val="64486F03"/>
    <w:multiLevelType w:val="hybridMultilevel"/>
    <w:tmpl w:val="E508FD8E"/>
    <w:lvl w:ilvl="0" w:tplc="4BC2A7CC">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8985046"/>
    <w:multiLevelType w:val="hybridMultilevel"/>
    <w:tmpl w:val="0F3A6CE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6C05ABC7"/>
    <w:multiLevelType w:val="hybridMultilevel"/>
    <w:tmpl w:val="97843E62"/>
    <w:lvl w:ilvl="0" w:tplc="9F0E7F60">
      <w:start w:val="1"/>
      <w:numFmt w:val="bullet"/>
      <w:lvlText w:val=""/>
      <w:lvlJc w:val="left"/>
      <w:pPr>
        <w:ind w:left="383" w:hanging="360"/>
      </w:pPr>
      <w:rPr>
        <w:rFonts w:ascii="Symbol" w:hAnsi="Symbol" w:hint="default"/>
      </w:rPr>
    </w:lvl>
    <w:lvl w:ilvl="1" w:tplc="2A66E6FE">
      <w:start w:val="1"/>
      <w:numFmt w:val="bullet"/>
      <w:lvlText w:val="o"/>
      <w:lvlJc w:val="left"/>
      <w:pPr>
        <w:ind w:left="1103" w:hanging="360"/>
      </w:pPr>
      <w:rPr>
        <w:rFonts w:ascii="Courier New" w:hAnsi="Courier New" w:hint="default"/>
      </w:rPr>
    </w:lvl>
    <w:lvl w:ilvl="2" w:tplc="4AD07004">
      <w:start w:val="1"/>
      <w:numFmt w:val="bullet"/>
      <w:lvlText w:val=""/>
      <w:lvlJc w:val="left"/>
      <w:pPr>
        <w:ind w:left="1823" w:hanging="360"/>
      </w:pPr>
      <w:rPr>
        <w:rFonts w:ascii="Wingdings" w:hAnsi="Wingdings" w:hint="default"/>
      </w:rPr>
    </w:lvl>
    <w:lvl w:ilvl="3" w:tplc="E1784996">
      <w:start w:val="1"/>
      <w:numFmt w:val="bullet"/>
      <w:lvlText w:val=""/>
      <w:lvlJc w:val="left"/>
      <w:pPr>
        <w:ind w:left="2543" w:hanging="360"/>
      </w:pPr>
      <w:rPr>
        <w:rFonts w:ascii="Symbol" w:hAnsi="Symbol" w:hint="default"/>
      </w:rPr>
    </w:lvl>
    <w:lvl w:ilvl="4" w:tplc="5F522506">
      <w:start w:val="1"/>
      <w:numFmt w:val="bullet"/>
      <w:lvlText w:val="o"/>
      <w:lvlJc w:val="left"/>
      <w:pPr>
        <w:ind w:left="3263" w:hanging="360"/>
      </w:pPr>
      <w:rPr>
        <w:rFonts w:ascii="Courier New" w:hAnsi="Courier New" w:hint="default"/>
      </w:rPr>
    </w:lvl>
    <w:lvl w:ilvl="5" w:tplc="CAF49A0A">
      <w:start w:val="1"/>
      <w:numFmt w:val="bullet"/>
      <w:lvlText w:val=""/>
      <w:lvlJc w:val="left"/>
      <w:pPr>
        <w:ind w:left="3983" w:hanging="360"/>
      </w:pPr>
      <w:rPr>
        <w:rFonts w:ascii="Wingdings" w:hAnsi="Wingdings" w:hint="default"/>
      </w:rPr>
    </w:lvl>
    <w:lvl w:ilvl="6" w:tplc="0C021FE2">
      <w:start w:val="1"/>
      <w:numFmt w:val="bullet"/>
      <w:lvlText w:val=""/>
      <w:lvlJc w:val="left"/>
      <w:pPr>
        <w:ind w:left="4703" w:hanging="360"/>
      </w:pPr>
      <w:rPr>
        <w:rFonts w:ascii="Symbol" w:hAnsi="Symbol" w:hint="default"/>
      </w:rPr>
    </w:lvl>
    <w:lvl w:ilvl="7" w:tplc="A3E056B4">
      <w:start w:val="1"/>
      <w:numFmt w:val="bullet"/>
      <w:lvlText w:val="o"/>
      <w:lvlJc w:val="left"/>
      <w:pPr>
        <w:ind w:left="5423" w:hanging="360"/>
      </w:pPr>
      <w:rPr>
        <w:rFonts w:ascii="Courier New" w:hAnsi="Courier New" w:hint="default"/>
      </w:rPr>
    </w:lvl>
    <w:lvl w:ilvl="8" w:tplc="90C8F40A">
      <w:start w:val="1"/>
      <w:numFmt w:val="bullet"/>
      <w:lvlText w:val=""/>
      <w:lvlJc w:val="left"/>
      <w:pPr>
        <w:ind w:left="6143" w:hanging="360"/>
      </w:pPr>
      <w:rPr>
        <w:rFonts w:ascii="Wingdings" w:hAnsi="Wingdings" w:hint="default"/>
      </w:rPr>
    </w:lvl>
  </w:abstractNum>
  <w:abstractNum w:abstractNumId="16" w15:restartNumberingAfterBreak="0">
    <w:nsid w:val="756B53F0"/>
    <w:multiLevelType w:val="hybridMultilevel"/>
    <w:tmpl w:val="54D835A2"/>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6E91C8E"/>
    <w:multiLevelType w:val="hybridMultilevel"/>
    <w:tmpl w:val="5D90ED18"/>
    <w:lvl w:ilvl="0" w:tplc="DC7ADC9E">
      <w:start w:val="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num w:numId="1">
    <w:abstractNumId w:val="3"/>
  </w:num>
  <w:num w:numId="2">
    <w:abstractNumId w:val="10"/>
  </w:num>
  <w:num w:numId="3">
    <w:abstractNumId w:val="11"/>
  </w:num>
  <w:num w:numId="4">
    <w:abstractNumId w:val="15"/>
  </w:num>
  <w:num w:numId="5">
    <w:abstractNumId w:val="1"/>
  </w:num>
  <w:num w:numId="6">
    <w:abstractNumId w:val="9"/>
  </w:num>
  <w:num w:numId="7">
    <w:abstractNumId w:val="8"/>
  </w:num>
  <w:num w:numId="8">
    <w:abstractNumId w:val="5"/>
  </w:num>
  <w:num w:numId="9">
    <w:abstractNumId w:val="7"/>
  </w:num>
  <w:num w:numId="10">
    <w:abstractNumId w:val="0"/>
  </w:num>
  <w:num w:numId="11">
    <w:abstractNumId w:val="2"/>
  </w:num>
  <w:num w:numId="12">
    <w:abstractNumId w:val="17"/>
  </w:num>
  <w:num w:numId="13">
    <w:abstractNumId w:val="12"/>
  </w:num>
  <w:num w:numId="14">
    <w:abstractNumId w:val="6"/>
  </w:num>
  <w:num w:numId="15">
    <w:abstractNumId w:val="4"/>
  </w:num>
  <w:num w:numId="16">
    <w:abstractNumId w:val="13"/>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BD0C724-B236-4BBD-88E4-5240FDE6C47F"/>
    <w:docVar w:name="LW_COVERPAGE_TYPE" w:val="1"/>
    <w:docVar w:name="LW_CROSSREFERENCE" w:val="&lt;UNUSED&gt;"/>
    <w:docVar w:name="LW_DocType" w:val="NORMAL"/>
    <w:docVar w:name="LW_EMISSION" w:val="16.6.2026"/>
    <w:docVar w:name="LW_EMISSION_ISODATE" w:val="2026-06-16"/>
    <w:docVar w:name="LW_EMISSION_LOCATION" w:val="STR"/>
    <w:docVar w:name="LW_EMISSION_PREFIX" w:val="Strasbourg, le "/>
    <w:docVar w:name="LW_EMISSION_SUFFIX" w:val=" "/>
    <w:docVar w:name="LW_ID_DOCTYPE_NONLW" w:val="CP-00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41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initiative citoyenne européenne (ICE) «Stop Destroying Videogames» (Stop à la destruction des jeux vidéo)_x000b__x000b_"/>
    <w:docVar w:name="LW_TYPE.DOC.CP" w:val="COMMUNICATION DE LA COMMISSION"/>
    <w:docVar w:name="LW_TYPE.DOC.CP.USERTEXT" w:val="&lt;EMPTY&gt;"/>
    <w:docVar w:name="LwApiVersions" w:val="LW4CoDe 1.24.5.0; LW 9.2, Build 20251112"/>
  </w:docVars>
  <w:rsids>
    <w:rsidRoot w:val="000242DE"/>
    <w:rsid w:val="000004E3"/>
    <w:rsid w:val="000010F2"/>
    <w:rsid w:val="000013B1"/>
    <w:rsid w:val="000014E2"/>
    <w:rsid w:val="00001B3C"/>
    <w:rsid w:val="0000273D"/>
    <w:rsid w:val="00002744"/>
    <w:rsid w:val="000038A6"/>
    <w:rsid w:val="00003C3E"/>
    <w:rsid w:val="000041C8"/>
    <w:rsid w:val="00004522"/>
    <w:rsid w:val="00004631"/>
    <w:rsid w:val="000047F3"/>
    <w:rsid w:val="0000529E"/>
    <w:rsid w:val="0000557C"/>
    <w:rsid w:val="000059C2"/>
    <w:rsid w:val="00005AE8"/>
    <w:rsid w:val="00006269"/>
    <w:rsid w:val="000068B1"/>
    <w:rsid w:val="00006A2E"/>
    <w:rsid w:val="00006E07"/>
    <w:rsid w:val="00006EEC"/>
    <w:rsid w:val="00007323"/>
    <w:rsid w:val="00007457"/>
    <w:rsid w:val="00007DF6"/>
    <w:rsid w:val="0001022E"/>
    <w:rsid w:val="00010349"/>
    <w:rsid w:val="00010FCD"/>
    <w:rsid w:val="000114B7"/>
    <w:rsid w:val="00011574"/>
    <w:rsid w:val="00011933"/>
    <w:rsid w:val="00011B9F"/>
    <w:rsid w:val="00011F08"/>
    <w:rsid w:val="000122F9"/>
    <w:rsid w:val="0001260E"/>
    <w:rsid w:val="00012E76"/>
    <w:rsid w:val="00013365"/>
    <w:rsid w:val="00013405"/>
    <w:rsid w:val="0001373D"/>
    <w:rsid w:val="00013A0F"/>
    <w:rsid w:val="00013CF3"/>
    <w:rsid w:val="0001432F"/>
    <w:rsid w:val="0001459F"/>
    <w:rsid w:val="000152C3"/>
    <w:rsid w:val="00015488"/>
    <w:rsid w:val="00015D7E"/>
    <w:rsid w:val="00015F7C"/>
    <w:rsid w:val="000164D4"/>
    <w:rsid w:val="000166E2"/>
    <w:rsid w:val="00016DEC"/>
    <w:rsid w:val="00016E87"/>
    <w:rsid w:val="000171E6"/>
    <w:rsid w:val="000174BC"/>
    <w:rsid w:val="00020474"/>
    <w:rsid w:val="000208F3"/>
    <w:rsid w:val="00020D19"/>
    <w:rsid w:val="00021371"/>
    <w:rsid w:val="000215AD"/>
    <w:rsid w:val="0002172F"/>
    <w:rsid w:val="0002173C"/>
    <w:rsid w:val="00021801"/>
    <w:rsid w:val="00021A1B"/>
    <w:rsid w:val="00022573"/>
    <w:rsid w:val="00022BA7"/>
    <w:rsid w:val="00023045"/>
    <w:rsid w:val="000234D6"/>
    <w:rsid w:val="0002369F"/>
    <w:rsid w:val="000237C6"/>
    <w:rsid w:val="000242DE"/>
    <w:rsid w:val="000242E7"/>
    <w:rsid w:val="00024304"/>
    <w:rsid w:val="000250FF"/>
    <w:rsid w:val="00025431"/>
    <w:rsid w:val="000254C2"/>
    <w:rsid w:val="000258CB"/>
    <w:rsid w:val="00026493"/>
    <w:rsid w:val="000271A9"/>
    <w:rsid w:val="00030777"/>
    <w:rsid w:val="00030BF2"/>
    <w:rsid w:val="00030EF7"/>
    <w:rsid w:val="000317C1"/>
    <w:rsid w:val="00031A20"/>
    <w:rsid w:val="00031B6C"/>
    <w:rsid w:val="000326F0"/>
    <w:rsid w:val="000327FB"/>
    <w:rsid w:val="00032C47"/>
    <w:rsid w:val="00032F1D"/>
    <w:rsid w:val="000334E1"/>
    <w:rsid w:val="000335E5"/>
    <w:rsid w:val="00033C63"/>
    <w:rsid w:val="00034522"/>
    <w:rsid w:val="00034780"/>
    <w:rsid w:val="00034A25"/>
    <w:rsid w:val="00034F02"/>
    <w:rsid w:val="00035009"/>
    <w:rsid w:val="000353C8"/>
    <w:rsid w:val="0003603D"/>
    <w:rsid w:val="000362B9"/>
    <w:rsid w:val="00036661"/>
    <w:rsid w:val="000368C1"/>
    <w:rsid w:val="00037490"/>
    <w:rsid w:val="00037663"/>
    <w:rsid w:val="00037BA9"/>
    <w:rsid w:val="00037EF8"/>
    <w:rsid w:val="00037F28"/>
    <w:rsid w:val="000402BD"/>
    <w:rsid w:val="00040731"/>
    <w:rsid w:val="000409C5"/>
    <w:rsid w:val="00041004"/>
    <w:rsid w:val="00041235"/>
    <w:rsid w:val="000413D3"/>
    <w:rsid w:val="0004242D"/>
    <w:rsid w:val="000429FB"/>
    <w:rsid w:val="00042A4C"/>
    <w:rsid w:val="00042B23"/>
    <w:rsid w:val="00042C4B"/>
    <w:rsid w:val="000430C4"/>
    <w:rsid w:val="000432CA"/>
    <w:rsid w:val="000442EF"/>
    <w:rsid w:val="000449D8"/>
    <w:rsid w:val="0004533E"/>
    <w:rsid w:val="00045473"/>
    <w:rsid w:val="00045765"/>
    <w:rsid w:val="00045A79"/>
    <w:rsid w:val="00045CC9"/>
    <w:rsid w:val="0004655F"/>
    <w:rsid w:val="00046F19"/>
    <w:rsid w:val="00047599"/>
    <w:rsid w:val="00050242"/>
    <w:rsid w:val="000509EE"/>
    <w:rsid w:val="00050CFB"/>
    <w:rsid w:val="0005210D"/>
    <w:rsid w:val="000525D2"/>
    <w:rsid w:val="00052BB8"/>
    <w:rsid w:val="00053732"/>
    <w:rsid w:val="000540B2"/>
    <w:rsid w:val="00054E7C"/>
    <w:rsid w:val="00055021"/>
    <w:rsid w:val="000551AB"/>
    <w:rsid w:val="0005530B"/>
    <w:rsid w:val="00055392"/>
    <w:rsid w:val="00055A34"/>
    <w:rsid w:val="00055B34"/>
    <w:rsid w:val="000566E3"/>
    <w:rsid w:val="0005752D"/>
    <w:rsid w:val="000575EA"/>
    <w:rsid w:val="000576AD"/>
    <w:rsid w:val="000576B6"/>
    <w:rsid w:val="000576C9"/>
    <w:rsid w:val="000579BB"/>
    <w:rsid w:val="000600C6"/>
    <w:rsid w:val="000608F7"/>
    <w:rsid w:val="00060A22"/>
    <w:rsid w:val="00060BC0"/>
    <w:rsid w:val="00060C54"/>
    <w:rsid w:val="000617F1"/>
    <w:rsid w:val="00061991"/>
    <w:rsid w:val="00061A47"/>
    <w:rsid w:val="00061AC2"/>
    <w:rsid w:val="00062642"/>
    <w:rsid w:val="0006381C"/>
    <w:rsid w:val="00063F5B"/>
    <w:rsid w:val="00064965"/>
    <w:rsid w:val="00064BDD"/>
    <w:rsid w:val="00065684"/>
    <w:rsid w:val="00065A8E"/>
    <w:rsid w:val="00065B30"/>
    <w:rsid w:val="00066115"/>
    <w:rsid w:val="00066557"/>
    <w:rsid w:val="000669DC"/>
    <w:rsid w:val="00066EB4"/>
    <w:rsid w:val="000674FC"/>
    <w:rsid w:val="00067507"/>
    <w:rsid w:val="00070A27"/>
    <w:rsid w:val="000719C7"/>
    <w:rsid w:val="00071B7D"/>
    <w:rsid w:val="00071E72"/>
    <w:rsid w:val="00071FC7"/>
    <w:rsid w:val="00072047"/>
    <w:rsid w:val="00072115"/>
    <w:rsid w:val="0007221E"/>
    <w:rsid w:val="0007242F"/>
    <w:rsid w:val="00072467"/>
    <w:rsid w:val="0007269B"/>
    <w:rsid w:val="0007278C"/>
    <w:rsid w:val="00072A22"/>
    <w:rsid w:val="00072BE9"/>
    <w:rsid w:val="00072DF1"/>
    <w:rsid w:val="00072E32"/>
    <w:rsid w:val="00072F69"/>
    <w:rsid w:val="00073258"/>
    <w:rsid w:val="00073383"/>
    <w:rsid w:val="0007351D"/>
    <w:rsid w:val="00074647"/>
    <w:rsid w:val="000748EC"/>
    <w:rsid w:val="00074A7B"/>
    <w:rsid w:val="00075398"/>
    <w:rsid w:val="00075EAB"/>
    <w:rsid w:val="000764AB"/>
    <w:rsid w:val="00076B93"/>
    <w:rsid w:val="00076EC6"/>
    <w:rsid w:val="00076F4B"/>
    <w:rsid w:val="00077075"/>
    <w:rsid w:val="000771CA"/>
    <w:rsid w:val="000775BA"/>
    <w:rsid w:val="00077EFB"/>
    <w:rsid w:val="000809BF"/>
    <w:rsid w:val="00080A0E"/>
    <w:rsid w:val="0008257D"/>
    <w:rsid w:val="0008281A"/>
    <w:rsid w:val="00082993"/>
    <w:rsid w:val="00082DEB"/>
    <w:rsid w:val="000830E5"/>
    <w:rsid w:val="000831E0"/>
    <w:rsid w:val="0008334E"/>
    <w:rsid w:val="000837E1"/>
    <w:rsid w:val="00084687"/>
    <w:rsid w:val="00084868"/>
    <w:rsid w:val="0008492F"/>
    <w:rsid w:val="00084AF9"/>
    <w:rsid w:val="00084D04"/>
    <w:rsid w:val="00085BBF"/>
    <w:rsid w:val="00086756"/>
    <w:rsid w:val="000869E6"/>
    <w:rsid w:val="00087F4A"/>
    <w:rsid w:val="00090134"/>
    <w:rsid w:val="00090AC3"/>
    <w:rsid w:val="00090FBA"/>
    <w:rsid w:val="00091BB3"/>
    <w:rsid w:val="000926B8"/>
    <w:rsid w:val="00092B5B"/>
    <w:rsid w:val="00092D1E"/>
    <w:rsid w:val="00092DB2"/>
    <w:rsid w:val="0009351D"/>
    <w:rsid w:val="00093905"/>
    <w:rsid w:val="00093C7A"/>
    <w:rsid w:val="00093F39"/>
    <w:rsid w:val="00094671"/>
    <w:rsid w:val="00094887"/>
    <w:rsid w:val="00094918"/>
    <w:rsid w:val="00094E15"/>
    <w:rsid w:val="00095298"/>
    <w:rsid w:val="00095BC3"/>
    <w:rsid w:val="00095C1E"/>
    <w:rsid w:val="0009627B"/>
    <w:rsid w:val="000967CB"/>
    <w:rsid w:val="000976AF"/>
    <w:rsid w:val="00097748"/>
    <w:rsid w:val="00097E5A"/>
    <w:rsid w:val="000A043B"/>
    <w:rsid w:val="000A05FF"/>
    <w:rsid w:val="000A0B8F"/>
    <w:rsid w:val="000A1498"/>
    <w:rsid w:val="000A191A"/>
    <w:rsid w:val="000A1E16"/>
    <w:rsid w:val="000A2734"/>
    <w:rsid w:val="000A2980"/>
    <w:rsid w:val="000A2FD6"/>
    <w:rsid w:val="000A3493"/>
    <w:rsid w:val="000A4934"/>
    <w:rsid w:val="000A58E9"/>
    <w:rsid w:val="000A5E76"/>
    <w:rsid w:val="000A6269"/>
    <w:rsid w:val="000A7082"/>
    <w:rsid w:val="000A7238"/>
    <w:rsid w:val="000A74CB"/>
    <w:rsid w:val="000A7872"/>
    <w:rsid w:val="000A78B6"/>
    <w:rsid w:val="000A7BEA"/>
    <w:rsid w:val="000A7C44"/>
    <w:rsid w:val="000B01D2"/>
    <w:rsid w:val="000B03C9"/>
    <w:rsid w:val="000B04AB"/>
    <w:rsid w:val="000B062E"/>
    <w:rsid w:val="000B0CDA"/>
    <w:rsid w:val="000B10A0"/>
    <w:rsid w:val="000B11C1"/>
    <w:rsid w:val="000B1489"/>
    <w:rsid w:val="000B15DF"/>
    <w:rsid w:val="000B2C8F"/>
    <w:rsid w:val="000B344E"/>
    <w:rsid w:val="000B3AB5"/>
    <w:rsid w:val="000B3CEC"/>
    <w:rsid w:val="000B4F69"/>
    <w:rsid w:val="000B5029"/>
    <w:rsid w:val="000B569C"/>
    <w:rsid w:val="000B5B45"/>
    <w:rsid w:val="000B5D32"/>
    <w:rsid w:val="000B5E89"/>
    <w:rsid w:val="000B611B"/>
    <w:rsid w:val="000B704D"/>
    <w:rsid w:val="000B7470"/>
    <w:rsid w:val="000B7C81"/>
    <w:rsid w:val="000BAFC1"/>
    <w:rsid w:val="000C09AF"/>
    <w:rsid w:val="000C1428"/>
    <w:rsid w:val="000C161C"/>
    <w:rsid w:val="000C16F9"/>
    <w:rsid w:val="000C4125"/>
    <w:rsid w:val="000C4CA9"/>
    <w:rsid w:val="000C5191"/>
    <w:rsid w:val="000C5372"/>
    <w:rsid w:val="000C5664"/>
    <w:rsid w:val="000C6C87"/>
    <w:rsid w:val="000C77E9"/>
    <w:rsid w:val="000C7C46"/>
    <w:rsid w:val="000C7D7B"/>
    <w:rsid w:val="000D09F0"/>
    <w:rsid w:val="000D0B97"/>
    <w:rsid w:val="000D0BCB"/>
    <w:rsid w:val="000D0C61"/>
    <w:rsid w:val="000D11BA"/>
    <w:rsid w:val="000D1ADB"/>
    <w:rsid w:val="000D1AFA"/>
    <w:rsid w:val="000D1DF5"/>
    <w:rsid w:val="000D2812"/>
    <w:rsid w:val="000D2CAF"/>
    <w:rsid w:val="000D2CD1"/>
    <w:rsid w:val="000D30AF"/>
    <w:rsid w:val="000D30D9"/>
    <w:rsid w:val="000D314B"/>
    <w:rsid w:val="000D345B"/>
    <w:rsid w:val="000D39A2"/>
    <w:rsid w:val="000D43DF"/>
    <w:rsid w:val="000D4552"/>
    <w:rsid w:val="000D4A0E"/>
    <w:rsid w:val="000D4C59"/>
    <w:rsid w:val="000D54B3"/>
    <w:rsid w:val="000D5C11"/>
    <w:rsid w:val="000D5F90"/>
    <w:rsid w:val="000D64AC"/>
    <w:rsid w:val="000D6B4D"/>
    <w:rsid w:val="000D72CB"/>
    <w:rsid w:val="000D733C"/>
    <w:rsid w:val="000D758A"/>
    <w:rsid w:val="000D77A3"/>
    <w:rsid w:val="000D7984"/>
    <w:rsid w:val="000D7CEC"/>
    <w:rsid w:val="000D7EBD"/>
    <w:rsid w:val="000D7F9D"/>
    <w:rsid w:val="000E01AA"/>
    <w:rsid w:val="000E0752"/>
    <w:rsid w:val="000E0E62"/>
    <w:rsid w:val="000E0E88"/>
    <w:rsid w:val="000E16FA"/>
    <w:rsid w:val="000E1863"/>
    <w:rsid w:val="000E1A59"/>
    <w:rsid w:val="000E20F9"/>
    <w:rsid w:val="000E2DBE"/>
    <w:rsid w:val="000E334E"/>
    <w:rsid w:val="000E3879"/>
    <w:rsid w:val="000E3AAE"/>
    <w:rsid w:val="000E4294"/>
    <w:rsid w:val="000E43B0"/>
    <w:rsid w:val="000E490E"/>
    <w:rsid w:val="000E4F4B"/>
    <w:rsid w:val="000E5CAA"/>
    <w:rsid w:val="000E5DA9"/>
    <w:rsid w:val="000E6115"/>
    <w:rsid w:val="000E6901"/>
    <w:rsid w:val="000E6AB5"/>
    <w:rsid w:val="000E6CAA"/>
    <w:rsid w:val="000E7151"/>
    <w:rsid w:val="000E7B80"/>
    <w:rsid w:val="000E7D57"/>
    <w:rsid w:val="000F08D9"/>
    <w:rsid w:val="000F14E3"/>
    <w:rsid w:val="000F1921"/>
    <w:rsid w:val="000F2CBA"/>
    <w:rsid w:val="000F3A62"/>
    <w:rsid w:val="000F3CAD"/>
    <w:rsid w:val="000F3D8A"/>
    <w:rsid w:val="000F4EC3"/>
    <w:rsid w:val="000F5AC0"/>
    <w:rsid w:val="000F5EBC"/>
    <w:rsid w:val="000F638E"/>
    <w:rsid w:val="000F68AF"/>
    <w:rsid w:val="000F77D6"/>
    <w:rsid w:val="000F79BC"/>
    <w:rsid w:val="0010007B"/>
    <w:rsid w:val="0010017A"/>
    <w:rsid w:val="001005FD"/>
    <w:rsid w:val="0010094E"/>
    <w:rsid w:val="00100C89"/>
    <w:rsid w:val="00101971"/>
    <w:rsid w:val="00102B46"/>
    <w:rsid w:val="00102D58"/>
    <w:rsid w:val="00103026"/>
    <w:rsid w:val="001034A8"/>
    <w:rsid w:val="00103A2B"/>
    <w:rsid w:val="00103D32"/>
    <w:rsid w:val="00104320"/>
    <w:rsid w:val="00104562"/>
    <w:rsid w:val="00104736"/>
    <w:rsid w:val="00104B30"/>
    <w:rsid w:val="0010504C"/>
    <w:rsid w:val="001050FA"/>
    <w:rsid w:val="00105DE4"/>
    <w:rsid w:val="0010670F"/>
    <w:rsid w:val="00107615"/>
    <w:rsid w:val="001109AB"/>
    <w:rsid w:val="00110AD0"/>
    <w:rsid w:val="00110E9C"/>
    <w:rsid w:val="00111AE8"/>
    <w:rsid w:val="00111BC9"/>
    <w:rsid w:val="00111FDC"/>
    <w:rsid w:val="0011343F"/>
    <w:rsid w:val="001134EE"/>
    <w:rsid w:val="00113BEB"/>
    <w:rsid w:val="00113F2D"/>
    <w:rsid w:val="00113F91"/>
    <w:rsid w:val="00114AAA"/>
    <w:rsid w:val="00115114"/>
    <w:rsid w:val="0011552D"/>
    <w:rsid w:val="001158F7"/>
    <w:rsid w:val="00115AD1"/>
    <w:rsid w:val="00116260"/>
    <w:rsid w:val="00116A71"/>
    <w:rsid w:val="00116C72"/>
    <w:rsid w:val="001202CD"/>
    <w:rsid w:val="00120DB2"/>
    <w:rsid w:val="00121039"/>
    <w:rsid w:val="001216E8"/>
    <w:rsid w:val="00121BFA"/>
    <w:rsid w:val="00121DD4"/>
    <w:rsid w:val="0012232F"/>
    <w:rsid w:val="001225DF"/>
    <w:rsid w:val="001227DD"/>
    <w:rsid w:val="00122BED"/>
    <w:rsid w:val="00122CC8"/>
    <w:rsid w:val="00122D69"/>
    <w:rsid w:val="00122E80"/>
    <w:rsid w:val="00123046"/>
    <w:rsid w:val="00124371"/>
    <w:rsid w:val="001249BB"/>
    <w:rsid w:val="00124B53"/>
    <w:rsid w:val="00124B61"/>
    <w:rsid w:val="00125561"/>
    <w:rsid w:val="00125664"/>
    <w:rsid w:val="00126003"/>
    <w:rsid w:val="00126444"/>
    <w:rsid w:val="00126AE8"/>
    <w:rsid w:val="0012739B"/>
    <w:rsid w:val="001274DB"/>
    <w:rsid w:val="001275A6"/>
    <w:rsid w:val="001278CE"/>
    <w:rsid w:val="0012F820"/>
    <w:rsid w:val="00130A9E"/>
    <w:rsid w:val="00130C69"/>
    <w:rsid w:val="00130E47"/>
    <w:rsid w:val="00130ECC"/>
    <w:rsid w:val="00131236"/>
    <w:rsid w:val="001313F0"/>
    <w:rsid w:val="0013182A"/>
    <w:rsid w:val="0013297B"/>
    <w:rsid w:val="0013311B"/>
    <w:rsid w:val="00133471"/>
    <w:rsid w:val="00133924"/>
    <w:rsid w:val="00134AF4"/>
    <w:rsid w:val="00134B87"/>
    <w:rsid w:val="00135013"/>
    <w:rsid w:val="00135325"/>
    <w:rsid w:val="0013550A"/>
    <w:rsid w:val="0013558C"/>
    <w:rsid w:val="00135637"/>
    <w:rsid w:val="001356ED"/>
    <w:rsid w:val="0013596A"/>
    <w:rsid w:val="00135B79"/>
    <w:rsid w:val="00135BEE"/>
    <w:rsid w:val="001364DC"/>
    <w:rsid w:val="0013668E"/>
    <w:rsid w:val="00136892"/>
    <w:rsid w:val="00136CF9"/>
    <w:rsid w:val="0013798B"/>
    <w:rsid w:val="00137A59"/>
    <w:rsid w:val="00137E83"/>
    <w:rsid w:val="0013850E"/>
    <w:rsid w:val="00140858"/>
    <w:rsid w:val="001409A4"/>
    <w:rsid w:val="00140A50"/>
    <w:rsid w:val="001413CD"/>
    <w:rsid w:val="001414D6"/>
    <w:rsid w:val="00141558"/>
    <w:rsid w:val="001415BA"/>
    <w:rsid w:val="00142443"/>
    <w:rsid w:val="00142CBD"/>
    <w:rsid w:val="00142F46"/>
    <w:rsid w:val="00142F53"/>
    <w:rsid w:val="001430F7"/>
    <w:rsid w:val="0014337C"/>
    <w:rsid w:val="00143AA7"/>
    <w:rsid w:val="001445A5"/>
    <w:rsid w:val="00144704"/>
    <w:rsid w:val="0014496B"/>
    <w:rsid w:val="001452EF"/>
    <w:rsid w:val="0014531D"/>
    <w:rsid w:val="00145428"/>
    <w:rsid w:val="00145719"/>
    <w:rsid w:val="00145E4E"/>
    <w:rsid w:val="0014608F"/>
    <w:rsid w:val="001466CB"/>
    <w:rsid w:val="001468FA"/>
    <w:rsid w:val="00147311"/>
    <w:rsid w:val="00150379"/>
    <w:rsid w:val="0015061D"/>
    <w:rsid w:val="001509BF"/>
    <w:rsid w:val="00150C6B"/>
    <w:rsid w:val="001514C5"/>
    <w:rsid w:val="00151B03"/>
    <w:rsid w:val="00151B82"/>
    <w:rsid w:val="00151CA5"/>
    <w:rsid w:val="00152479"/>
    <w:rsid w:val="00152926"/>
    <w:rsid w:val="001529F0"/>
    <w:rsid w:val="00152A08"/>
    <w:rsid w:val="00152FFA"/>
    <w:rsid w:val="0015301F"/>
    <w:rsid w:val="00154115"/>
    <w:rsid w:val="0015479E"/>
    <w:rsid w:val="001547B1"/>
    <w:rsid w:val="0015492E"/>
    <w:rsid w:val="0015499C"/>
    <w:rsid w:val="00154D47"/>
    <w:rsid w:val="001552E9"/>
    <w:rsid w:val="00155612"/>
    <w:rsid w:val="00155D27"/>
    <w:rsid w:val="00155F2A"/>
    <w:rsid w:val="00156044"/>
    <w:rsid w:val="001566E9"/>
    <w:rsid w:val="001566F7"/>
    <w:rsid w:val="00156AC3"/>
    <w:rsid w:val="00156F24"/>
    <w:rsid w:val="001570F5"/>
    <w:rsid w:val="00157764"/>
    <w:rsid w:val="00157C02"/>
    <w:rsid w:val="00160423"/>
    <w:rsid w:val="001607A8"/>
    <w:rsid w:val="00160D00"/>
    <w:rsid w:val="00160E55"/>
    <w:rsid w:val="00160F35"/>
    <w:rsid w:val="001619E9"/>
    <w:rsid w:val="00161D0D"/>
    <w:rsid w:val="0016262C"/>
    <w:rsid w:val="00162A36"/>
    <w:rsid w:val="00162CFE"/>
    <w:rsid w:val="00163047"/>
    <w:rsid w:val="001632C2"/>
    <w:rsid w:val="0016371C"/>
    <w:rsid w:val="0016390F"/>
    <w:rsid w:val="00163C24"/>
    <w:rsid w:val="00164055"/>
    <w:rsid w:val="0016405A"/>
    <w:rsid w:val="001643BE"/>
    <w:rsid w:val="001649D4"/>
    <w:rsid w:val="001652E3"/>
    <w:rsid w:val="001652E8"/>
    <w:rsid w:val="00165A1F"/>
    <w:rsid w:val="00165AEE"/>
    <w:rsid w:val="00166156"/>
    <w:rsid w:val="001661CB"/>
    <w:rsid w:val="001663EB"/>
    <w:rsid w:val="001667BC"/>
    <w:rsid w:val="00166F8D"/>
    <w:rsid w:val="001671A1"/>
    <w:rsid w:val="0016736D"/>
    <w:rsid w:val="00170D12"/>
    <w:rsid w:val="001711E0"/>
    <w:rsid w:val="00171282"/>
    <w:rsid w:val="0017171A"/>
    <w:rsid w:val="00171B43"/>
    <w:rsid w:val="001722EB"/>
    <w:rsid w:val="001726C5"/>
    <w:rsid w:val="00172E60"/>
    <w:rsid w:val="0017325C"/>
    <w:rsid w:val="00174CD2"/>
    <w:rsid w:val="00175E1D"/>
    <w:rsid w:val="00176816"/>
    <w:rsid w:val="00176F0E"/>
    <w:rsid w:val="001771ED"/>
    <w:rsid w:val="001772AE"/>
    <w:rsid w:val="0017735A"/>
    <w:rsid w:val="001778FE"/>
    <w:rsid w:val="00177A7D"/>
    <w:rsid w:val="001801BF"/>
    <w:rsid w:val="00180220"/>
    <w:rsid w:val="0018103E"/>
    <w:rsid w:val="00181122"/>
    <w:rsid w:val="001818F3"/>
    <w:rsid w:val="00181D00"/>
    <w:rsid w:val="00182250"/>
    <w:rsid w:val="00182BD1"/>
    <w:rsid w:val="00182CDC"/>
    <w:rsid w:val="00182D04"/>
    <w:rsid w:val="0018301C"/>
    <w:rsid w:val="00183A3B"/>
    <w:rsid w:val="00183D54"/>
    <w:rsid w:val="00183F54"/>
    <w:rsid w:val="00184B80"/>
    <w:rsid w:val="0018510F"/>
    <w:rsid w:val="00185784"/>
    <w:rsid w:val="00185B5F"/>
    <w:rsid w:val="00185F00"/>
    <w:rsid w:val="0018671A"/>
    <w:rsid w:val="00186895"/>
    <w:rsid w:val="001868F9"/>
    <w:rsid w:val="00186C74"/>
    <w:rsid w:val="00187AEE"/>
    <w:rsid w:val="0019003B"/>
    <w:rsid w:val="0019032C"/>
    <w:rsid w:val="0019042C"/>
    <w:rsid w:val="001906D9"/>
    <w:rsid w:val="0019097C"/>
    <w:rsid w:val="00190A1A"/>
    <w:rsid w:val="00190BC1"/>
    <w:rsid w:val="00190D46"/>
    <w:rsid w:val="00191132"/>
    <w:rsid w:val="00191707"/>
    <w:rsid w:val="0019203F"/>
    <w:rsid w:val="00192080"/>
    <w:rsid w:val="00192213"/>
    <w:rsid w:val="001929E4"/>
    <w:rsid w:val="00192A1F"/>
    <w:rsid w:val="00192A47"/>
    <w:rsid w:val="00192EE4"/>
    <w:rsid w:val="00193684"/>
    <w:rsid w:val="0019388A"/>
    <w:rsid w:val="00193C28"/>
    <w:rsid w:val="00195208"/>
    <w:rsid w:val="00195402"/>
    <w:rsid w:val="001957DC"/>
    <w:rsid w:val="001964FD"/>
    <w:rsid w:val="0019658D"/>
    <w:rsid w:val="0019685C"/>
    <w:rsid w:val="00196B80"/>
    <w:rsid w:val="00196CAB"/>
    <w:rsid w:val="00197940"/>
    <w:rsid w:val="00197F30"/>
    <w:rsid w:val="001A0171"/>
    <w:rsid w:val="001A0184"/>
    <w:rsid w:val="001A0315"/>
    <w:rsid w:val="001A06F4"/>
    <w:rsid w:val="001A0A37"/>
    <w:rsid w:val="001A1689"/>
    <w:rsid w:val="001A1A80"/>
    <w:rsid w:val="001A2B4B"/>
    <w:rsid w:val="001A2E83"/>
    <w:rsid w:val="001A31A9"/>
    <w:rsid w:val="001A3314"/>
    <w:rsid w:val="001A34E3"/>
    <w:rsid w:val="001A3D86"/>
    <w:rsid w:val="001A494C"/>
    <w:rsid w:val="001A4E24"/>
    <w:rsid w:val="001A51AE"/>
    <w:rsid w:val="001A52F4"/>
    <w:rsid w:val="001A53B8"/>
    <w:rsid w:val="001A5A74"/>
    <w:rsid w:val="001A646E"/>
    <w:rsid w:val="001A6560"/>
    <w:rsid w:val="001A682F"/>
    <w:rsid w:val="001A6B0E"/>
    <w:rsid w:val="001A7720"/>
    <w:rsid w:val="001A77A0"/>
    <w:rsid w:val="001A7F53"/>
    <w:rsid w:val="001B043F"/>
    <w:rsid w:val="001B1C26"/>
    <w:rsid w:val="001B1D99"/>
    <w:rsid w:val="001B1E5A"/>
    <w:rsid w:val="001B1F5A"/>
    <w:rsid w:val="001B211B"/>
    <w:rsid w:val="001B26FA"/>
    <w:rsid w:val="001B2CA4"/>
    <w:rsid w:val="001B39A2"/>
    <w:rsid w:val="001B4495"/>
    <w:rsid w:val="001B4D0E"/>
    <w:rsid w:val="001B5526"/>
    <w:rsid w:val="001B5ECB"/>
    <w:rsid w:val="001B658A"/>
    <w:rsid w:val="001B68AA"/>
    <w:rsid w:val="001B6FB5"/>
    <w:rsid w:val="001B70C2"/>
    <w:rsid w:val="001B71CF"/>
    <w:rsid w:val="001B76BA"/>
    <w:rsid w:val="001B7C08"/>
    <w:rsid w:val="001B7C4B"/>
    <w:rsid w:val="001C0090"/>
    <w:rsid w:val="001C02BC"/>
    <w:rsid w:val="001C067C"/>
    <w:rsid w:val="001C06AF"/>
    <w:rsid w:val="001C0FBE"/>
    <w:rsid w:val="001C115D"/>
    <w:rsid w:val="001C12B3"/>
    <w:rsid w:val="001C12DE"/>
    <w:rsid w:val="001C1902"/>
    <w:rsid w:val="001C1AE9"/>
    <w:rsid w:val="001C26C1"/>
    <w:rsid w:val="001C2B13"/>
    <w:rsid w:val="001C357E"/>
    <w:rsid w:val="001C3D7F"/>
    <w:rsid w:val="001C3E20"/>
    <w:rsid w:val="001C3FC0"/>
    <w:rsid w:val="001C45AB"/>
    <w:rsid w:val="001C479B"/>
    <w:rsid w:val="001C4A57"/>
    <w:rsid w:val="001C4B07"/>
    <w:rsid w:val="001C4D28"/>
    <w:rsid w:val="001C521E"/>
    <w:rsid w:val="001C550E"/>
    <w:rsid w:val="001C56B1"/>
    <w:rsid w:val="001C5A73"/>
    <w:rsid w:val="001C5E28"/>
    <w:rsid w:val="001C66A0"/>
    <w:rsid w:val="001C79BF"/>
    <w:rsid w:val="001C7A8E"/>
    <w:rsid w:val="001C7E30"/>
    <w:rsid w:val="001D082B"/>
    <w:rsid w:val="001D0B10"/>
    <w:rsid w:val="001D0CC3"/>
    <w:rsid w:val="001D1244"/>
    <w:rsid w:val="001D16E3"/>
    <w:rsid w:val="001D1D8D"/>
    <w:rsid w:val="001D21C3"/>
    <w:rsid w:val="001D21FD"/>
    <w:rsid w:val="001D2540"/>
    <w:rsid w:val="001D2788"/>
    <w:rsid w:val="001D2BE1"/>
    <w:rsid w:val="001D3607"/>
    <w:rsid w:val="001D39E7"/>
    <w:rsid w:val="001D4149"/>
    <w:rsid w:val="001D4215"/>
    <w:rsid w:val="001D46B4"/>
    <w:rsid w:val="001D48B9"/>
    <w:rsid w:val="001D4C2A"/>
    <w:rsid w:val="001D57D2"/>
    <w:rsid w:val="001D62A0"/>
    <w:rsid w:val="001D69F0"/>
    <w:rsid w:val="001D6E23"/>
    <w:rsid w:val="001D7785"/>
    <w:rsid w:val="001D7B6C"/>
    <w:rsid w:val="001E0A2F"/>
    <w:rsid w:val="001E15EE"/>
    <w:rsid w:val="001E20B1"/>
    <w:rsid w:val="001E235D"/>
    <w:rsid w:val="001E282F"/>
    <w:rsid w:val="001E2A94"/>
    <w:rsid w:val="001E2F17"/>
    <w:rsid w:val="001E306B"/>
    <w:rsid w:val="001E31A6"/>
    <w:rsid w:val="001E34D5"/>
    <w:rsid w:val="001E3A64"/>
    <w:rsid w:val="001E3C2C"/>
    <w:rsid w:val="001E45F2"/>
    <w:rsid w:val="001E48B0"/>
    <w:rsid w:val="001E4DB5"/>
    <w:rsid w:val="001E4EFD"/>
    <w:rsid w:val="001E55EA"/>
    <w:rsid w:val="001E5855"/>
    <w:rsid w:val="001E5B0B"/>
    <w:rsid w:val="001E61E4"/>
    <w:rsid w:val="001E67E3"/>
    <w:rsid w:val="001E758E"/>
    <w:rsid w:val="001E76E8"/>
    <w:rsid w:val="001E7D28"/>
    <w:rsid w:val="001E7D69"/>
    <w:rsid w:val="001F026C"/>
    <w:rsid w:val="001F05E1"/>
    <w:rsid w:val="001F07F7"/>
    <w:rsid w:val="001F0B4C"/>
    <w:rsid w:val="001F0DBD"/>
    <w:rsid w:val="001F0E61"/>
    <w:rsid w:val="001F108C"/>
    <w:rsid w:val="001F1276"/>
    <w:rsid w:val="001F132C"/>
    <w:rsid w:val="001F159C"/>
    <w:rsid w:val="001F15AC"/>
    <w:rsid w:val="001F199E"/>
    <w:rsid w:val="001F1B60"/>
    <w:rsid w:val="001F215A"/>
    <w:rsid w:val="001F2B7B"/>
    <w:rsid w:val="001F3749"/>
    <w:rsid w:val="001F3A4E"/>
    <w:rsid w:val="001F3E38"/>
    <w:rsid w:val="001F446E"/>
    <w:rsid w:val="001F48C6"/>
    <w:rsid w:val="001F4ACA"/>
    <w:rsid w:val="001F5938"/>
    <w:rsid w:val="001F5AE0"/>
    <w:rsid w:val="001F5EDB"/>
    <w:rsid w:val="001F7113"/>
    <w:rsid w:val="002006B9"/>
    <w:rsid w:val="002016BF"/>
    <w:rsid w:val="002023D5"/>
    <w:rsid w:val="0020240A"/>
    <w:rsid w:val="00203021"/>
    <w:rsid w:val="00203513"/>
    <w:rsid w:val="00203628"/>
    <w:rsid w:val="00204039"/>
    <w:rsid w:val="002046A1"/>
    <w:rsid w:val="00204A6D"/>
    <w:rsid w:val="00204FA6"/>
    <w:rsid w:val="0020585F"/>
    <w:rsid w:val="002059F9"/>
    <w:rsid w:val="00205E29"/>
    <w:rsid w:val="00206769"/>
    <w:rsid w:val="00206BE4"/>
    <w:rsid w:val="00206DAE"/>
    <w:rsid w:val="002072C8"/>
    <w:rsid w:val="00207386"/>
    <w:rsid w:val="002077E8"/>
    <w:rsid w:val="00207EC6"/>
    <w:rsid w:val="0021065D"/>
    <w:rsid w:val="00211511"/>
    <w:rsid w:val="00211583"/>
    <w:rsid w:val="00211BF5"/>
    <w:rsid w:val="00211EAB"/>
    <w:rsid w:val="002123D6"/>
    <w:rsid w:val="00212525"/>
    <w:rsid w:val="00212964"/>
    <w:rsid w:val="00212A34"/>
    <w:rsid w:val="00213195"/>
    <w:rsid w:val="0021366E"/>
    <w:rsid w:val="00213C8E"/>
    <w:rsid w:val="00213E86"/>
    <w:rsid w:val="00213EEB"/>
    <w:rsid w:val="002142BA"/>
    <w:rsid w:val="00214718"/>
    <w:rsid w:val="00214A08"/>
    <w:rsid w:val="00214AC9"/>
    <w:rsid w:val="002164D4"/>
    <w:rsid w:val="002168A7"/>
    <w:rsid w:val="0021691A"/>
    <w:rsid w:val="002170D3"/>
    <w:rsid w:val="00217BC6"/>
    <w:rsid w:val="00217C8F"/>
    <w:rsid w:val="00217CB1"/>
    <w:rsid w:val="0022044D"/>
    <w:rsid w:val="00220928"/>
    <w:rsid w:val="00220A15"/>
    <w:rsid w:val="00220C5B"/>
    <w:rsid w:val="00220CA3"/>
    <w:rsid w:val="00220F2B"/>
    <w:rsid w:val="00221363"/>
    <w:rsid w:val="002215B4"/>
    <w:rsid w:val="00221AFA"/>
    <w:rsid w:val="00221CA4"/>
    <w:rsid w:val="002220BA"/>
    <w:rsid w:val="00222945"/>
    <w:rsid w:val="00222BA9"/>
    <w:rsid w:val="00222D3C"/>
    <w:rsid w:val="00222E06"/>
    <w:rsid w:val="0022356C"/>
    <w:rsid w:val="0022396D"/>
    <w:rsid w:val="002239D4"/>
    <w:rsid w:val="00224CD3"/>
    <w:rsid w:val="00225049"/>
    <w:rsid w:val="002257BF"/>
    <w:rsid w:val="00225B6B"/>
    <w:rsid w:val="002262E7"/>
    <w:rsid w:val="00226B74"/>
    <w:rsid w:val="00226E87"/>
    <w:rsid w:val="002270B4"/>
    <w:rsid w:val="00227134"/>
    <w:rsid w:val="002273F8"/>
    <w:rsid w:val="00227875"/>
    <w:rsid w:val="0022794E"/>
    <w:rsid w:val="00227CBF"/>
    <w:rsid w:val="00227F91"/>
    <w:rsid w:val="002305C1"/>
    <w:rsid w:val="00230C86"/>
    <w:rsid w:val="00230ED1"/>
    <w:rsid w:val="00230EF6"/>
    <w:rsid w:val="00231953"/>
    <w:rsid w:val="00231D24"/>
    <w:rsid w:val="00231EB2"/>
    <w:rsid w:val="00232453"/>
    <w:rsid w:val="0023273C"/>
    <w:rsid w:val="002328F5"/>
    <w:rsid w:val="00232F09"/>
    <w:rsid w:val="0023357C"/>
    <w:rsid w:val="002336A8"/>
    <w:rsid w:val="00233B30"/>
    <w:rsid w:val="00234409"/>
    <w:rsid w:val="002344AF"/>
    <w:rsid w:val="00234604"/>
    <w:rsid w:val="002346F4"/>
    <w:rsid w:val="0023531D"/>
    <w:rsid w:val="00235618"/>
    <w:rsid w:val="00235F86"/>
    <w:rsid w:val="0023650A"/>
    <w:rsid w:val="00236F9C"/>
    <w:rsid w:val="002370FB"/>
    <w:rsid w:val="00237474"/>
    <w:rsid w:val="00237655"/>
    <w:rsid w:val="00237B89"/>
    <w:rsid w:val="002400DF"/>
    <w:rsid w:val="0024073D"/>
    <w:rsid w:val="0024079B"/>
    <w:rsid w:val="00240A40"/>
    <w:rsid w:val="00240C5F"/>
    <w:rsid w:val="00240DB1"/>
    <w:rsid w:val="00240F84"/>
    <w:rsid w:val="00241044"/>
    <w:rsid w:val="0024115C"/>
    <w:rsid w:val="002418A1"/>
    <w:rsid w:val="00241A83"/>
    <w:rsid w:val="00241BB5"/>
    <w:rsid w:val="00241E66"/>
    <w:rsid w:val="002420EB"/>
    <w:rsid w:val="00243836"/>
    <w:rsid w:val="00243DC8"/>
    <w:rsid w:val="0024435E"/>
    <w:rsid w:val="00244A3D"/>
    <w:rsid w:val="00244FDB"/>
    <w:rsid w:val="0024513F"/>
    <w:rsid w:val="00245728"/>
    <w:rsid w:val="00245A47"/>
    <w:rsid w:val="00246531"/>
    <w:rsid w:val="00246DA5"/>
    <w:rsid w:val="002473E8"/>
    <w:rsid w:val="0024776D"/>
    <w:rsid w:val="00247D9C"/>
    <w:rsid w:val="0025014F"/>
    <w:rsid w:val="00250503"/>
    <w:rsid w:val="00250C46"/>
    <w:rsid w:val="00250D3A"/>
    <w:rsid w:val="00250FEA"/>
    <w:rsid w:val="00251267"/>
    <w:rsid w:val="00251A41"/>
    <w:rsid w:val="00251E2B"/>
    <w:rsid w:val="0025232C"/>
    <w:rsid w:val="002524A6"/>
    <w:rsid w:val="002527A6"/>
    <w:rsid w:val="002529DD"/>
    <w:rsid w:val="00253435"/>
    <w:rsid w:val="0025401E"/>
    <w:rsid w:val="002550CD"/>
    <w:rsid w:val="002553F8"/>
    <w:rsid w:val="002558B4"/>
    <w:rsid w:val="00255944"/>
    <w:rsid w:val="00255E18"/>
    <w:rsid w:val="0025615C"/>
    <w:rsid w:val="00256664"/>
    <w:rsid w:val="00256695"/>
    <w:rsid w:val="002570E6"/>
    <w:rsid w:val="002571EA"/>
    <w:rsid w:val="00257786"/>
    <w:rsid w:val="00257795"/>
    <w:rsid w:val="00257A97"/>
    <w:rsid w:val="00257E46"/>
    <w:rsid w:val="00260088"/>
    <w:rsid w:val="00260385"/>
    <w:rsid w:val="002606D9"/>
    <w:rsid w:val="0026090F"/>
    <w:rsid w:val="0026098A"/>
    <w:rsid w:val="00260D5B"/>
    <w:rsid w:val="00261010"/>
    <w:rsid w:val="002613C8"/>
    <w:rsid w:val="00261594"/>
    <w:rsid w:val="00261878"/>
    <w:rsid w:val="002618E6"/>
    <w:rsid w:val="0026249A"/>
    <w:rsid w:val="0026269E"/>
    <w:rsid w:val="002627D3"/>
    <w:rsid w:val="00262ADA"/>
    <w:rsid w:val="00263693"/>
    <w:rsid w:val="00263738"/>
    <w:rsid w:val="002638CE"/>
    <w:rsid w:val="00263BCC"/>
    <w:rsid w:val="00263DD8"/>
    <w:rsid w:val="00264391"/>
    <w:rsid w:val="00264622"/>
    <w:rsid w:val="00264648"/>
    <w:rsid w:val="00264822"/>
    <w:rsid w:val="00264AA5"/>
    <w:rsid w:val="0026519C"/>
    <w:rsid w:val="002652C4"/>
    <w:rsid w:val="00265744"/>
    <w:rsid w:val="0026581F"/>
    <w:rsid w:val="00265A83"/>
    <w:rsid w:val="00265C3F"/>
    <w:rsid w:val="00265D80"/>
    <w:rsid w:val="00266624"/>
    <w:rsid w:val="0026666E"/>
    <w:rsid w:val="0026682B"/>
    <w:rsid w:val="00266C49"/>
    <w:rsid w:val="0026730E"/>
    <w:rsid w:val="00270C63"/>
    <w:rsid w:val="00270D2F"/>
    <w:rsid w:val="00270E6F"/>
    <w:rsid w:val="00271056"/>
    <w:rsid w:val="00271D0A"/>
    <w:rsid w:val="00271DFA"/>
    <w:rsid w:val="002727A3"/>
    <w:rsid w:val="00272852"/>
    <w:rsid w:val="0027291B"/>
    <w:rsid w:val="00272EB9"/>
    <w:rsid w:val="00272F1F"/>
    <w:rsid w:val="00273277"/>
    <w:rsid w:val="0027329B"/>
    <w:rsid w:val="00273DE8"/>
    <w:rsid w:val="002741F9"/>
    <w:rsid w:val="002745CE"/>
    <w:rsid w:val="002749DE"/>
    <w:rsid w:val="00275107"/>
    <w:rsid w:val="00275BB5"/>
    <w:rsid w:val="00275E90"/>
    <w:rsid w:val="00276B17"/>
    <w:rsid w:val="00276DE6"/>
    <w:rsid w:val="002775C9"/>
    <w:rsid w:val="002802D6"/>
    <w:rsid w:val="0028052B"/>
    <w:rsid w:val="0028086B"/>
    <w:rsid w:val="00280A05"/>
    <w:rsid w:val="00281F4B"/>
    <w:rsid w:val="00282041"/>
    <w:rsid w:val="00282B5B"/>
    <w:rsid w:val="00282D04"/>
    <w:rsid w:val="0028308E"/>
    <w:rsid w:val="0028332B"/>
    <w:rsid w:val="00283357"/>
    <w:rsid w:val="0028358B"/>
    <w:rsid w:val="0028361C"/>
    <w:rsid w:val="00283A84"/>
    <w:rsid w:val="00283E27"/>
    <w:rsid w:val="00283FB2"/>
    <w:rsid w:val="00284330"/>
    <w:rsid w:val="002843CC"/>
    <w:rsid w:val="0028491F"/>
    <w:rsid w:val="00284A87"/>
    <w:rsid w:val="0028556C"/>
    <w:rsid w:val="00285712"/>
    <w:rsid w:val="00285D1B"/>
    <w:rsid w:val="00285E1A"/>
    <w:rsid w:val="00286735"/>
    <w:rsid w:val="00286ACF"/>
    <w:rsid w:val="00286D04"/>
    <w:rsid w:val="00286E67"/>
    <w:rsid w:val="0028744F"/>
    <w:rsid w:val="0028771B"/>
    <w:rsid w:val="002879A0"/>
    <w:rsid w:val="00287FA8"/>
    <w:rsid w:val="00288489"/>
    <w:rsid w:val="00290333"/>
    <w:rsid w:val="00290AA0"/>
    <w:rsid w:val="00290EFD"/>
    <w:rsid w:val="00291078"/>
    <w:rsid w:val="002910D8"/>
    <w:rsid w:val="00291284"/>
    <w:rsid w:val="0029177F"/>
    <w:rsid w:val="0029198C"/>
    <w:rsid w:val="002919A7"/>
    <w:rsid w:val="0029376A"/>
    <w:rsid w:val="002937D9"/>
    <w:rsid w:val="00293C6B"/>
    <w:rsid w:val="00293DD4"/>
    <w:rsid w:val="00293F8C"/>
    <w:rsid w:val="00294189"/>
    <w:rsid w:val="00294261"/>
    <w:rsid w:val="00294610"/>
    <w:rsid w:val="00294E62"/>
    <w:rsid w:val="00295270"/>
    <w:rsid w:val="002957B3"/>
    <w:rsid w:val="00295C67"/>
    <w:rsid w:val="00295CFD"/>
    <w:rsid w:val="00296FBB"/>
    <w:rsid w:val="00297F2D"/>
    <w:rsid w:val="002A0459"/>
    <w:rsid w:val="002A0958"/>
    <w:rsid w:val="002A095D"/>
    <w:rsid w:val="002A116E"/>
    <w:rsid w:val="002A1989"/>
    <w:rsid w:val="002A1EE7"/>
    <w:rsid w:val="002A26CB"/>
    <w:rsid w:val="002A28D2"/>
    <w:rsid w:val="002A295C"/>
    <w:rsid w:val="002A29B0"/>
    <w:rsid w:val="002A35F4"/>
    <w:rsid w:val="002A369D"/>
    <w:rsid w:val="002A3835"/>
    <w:rsid w:val="002A3EC0"/>
    <w:rsid w:val="002A3FE3"/>
    <w:rsid w:val="002A48CE"/>
    <w:rsid w:val="002A5236"/>
    <w:rsid w:val="002A5401"/>
    <w:rsid w:val="002A5E3D"/>
    <w:rsid w:val="002A60BF"/>
    <w:rsid w:val="002A6109"/>
    <w:rsid w:val="002A7014"/>
    <w:rsid w:val="002A7114"/>
    <w:rsid w:val="002A71CF"/>
    <w:rsid w:val="002B05E4"/>
    <w:rsid w:val="002B0CCE"/>
    <w:rsid w:val="002B1C59"/>
    <w:rsid w:val="002B2D2A"/>
    <w:rsid w:val="002B353A"/>
    <w:rsid w:val="002B3A1E"/>
    <w:rsid w:val="002B42B1"/>
    <w:rsid w:val="002B5163"/>
    <w:rsid w:val="002B520C"/>
    <w:rsid w:val="002B552D"/>
    <w:rsid w:val="002B564C"/>
    <w:rsid w:val="002B616A"/>
    <w:rsid w:val="002B6269"/>
    <w:rsid w:val="002B6282"/>
    <w:rsid w:val="002B628B"/>
    <w:rsid w:val="002B6305"/>
    <w:rsid w:val="002B63FB"/>
    <w:rsid w:val="002B647B"/>
    <w:rsid w:val="002B64D8"/>
    <w:rsid w:val="002B69BA"/>
    <w:rsid w:val="002B6C9B"/>
    <w:rsid w:val="002B6EE1"/>
    <w:rsid w:val="002B7069"/>
    <w:rsid w:val="002B7586"/>
    <w:rsid w:val="002C0252"/>
    <w:rsid w:val="002C0369"/>
    <w:rsid w:val="002C0749"/>
    <w:rsid w:val="002C0FC9"/>
    <w:rsid w:val="002C16BB"/>
    <w:rsid w:val="002C1AA2"/>
    <w:rsid w:val="002C1D78"/>
    <w:rsid w:val="002C2495"/>
    <w:rsid w:val="002C24D9"/>
    <w:rsid w:val="002C25A9"/>
    <w:rsid w:val="002C2E4F"/>
    <w:rsid w:val="002C326E"/>
    <w:rsid w:val="002C328F"/>
    <w:rsid w:val="002C3534"/>
    <w:rsid w:val="002C4150"/>
    <w:rsid w:val="002C45B9"/>
    <w:rsid w:val="002C46D0"/>
    <w:rsid w:val="002C4F9A"/>
    <w:rsid w:val="002C50F7"/>
    <w:rsid w:val="002C53B0"/>
    <w:rsid w:val="002C56C9"/>
    <w:rsid w:val="002C5E75"/>
    <w:rsid w:val="002C5EA0"/>
    <w:rsid w:val="002C5F70"/>
    <w:rsid w:val="002C61F7"/>
    <w:rsid w:val="002C629A"/>
    <w:rsid w:val="002C703C"/>
    <w:rsid w:val="002C735A"/>
    <w:rsid w:val="002C7972"/>
    <w:rsid w:val="002C7D82"/>
    <w:rsid w:val="002C7EE1"/>
    <w:rsid w:val="002D002C"/>
    <w:rsid w:val="002D0378"/>
    <w:rsid w:val="002D0819"/>
    <w:rsid w:val="002D0AFB"/>
    <w:rsid w:val="002D0B43"/>
    <w:rsid w:val="002D0D3A"/>
    <w:rsid w:val="002D1120"/>
    <w:rsid w:val="002D1133"/>
    <w:rsid w:val="002D1258"/>
    <w:rsid w:val="002D184C"/>
    <w:rsid w:val="002D1CA3"/>
    <w:rsid w:val="002D1E11"/>
    <w:rsid w:val="002D1F97"/>
    <w:rsid w:val="002D1FEE"/>
    <w:rsid w:val="002D24E3"/>
    <w:rsid w:val="002D2976"/>
    <w:rsid w:val="002D37B9"/>
    <w:rsid w:val="002D3A96"/>
    <w:rsid w:val="002D3A9F"/>
    <w:rsid w:val="002D3EB5"/>
    <w:rsid w:val="002D419E"/>
    <w:rsid w:val="002D44BE"/>
    <w:rsid w:val="002D4DC4"/>
    <w:rsid w:val="002D515D"/>
    <w:rsid w:val="002D567C"/>
    <w:rsid w:val="002D58CD"/>
    <w:rsid w:val="002D5CBF"/>
    <w:rsid w:val="002D5EA0"/>
    <w:rsid w:val="002D6400"/>
    <w:rsid w:val="002D686B"/>
    <w:rsid w:val="002D6BED"/>
    <w:rsid w:val="002D7188"/>
    <w:rsid w:val="002D769D"/>
    <w:rsid w:val="002D799A"/>
    <w:rsid w:val="002D7FBE"/>
    <w:rsid w:val="002E068B"/>
    <w:rsid w:val="002E06CE"/>
    <w:rsid w:val="002E06EF"/>
    <w:rsid w:val="002E0784"/>
    <w:rsid w:val="002E1003"/>
    <w:rsid w:val="002E14C2"/>
    <w:rsid w:val="002E1678"/>
    <w:rsid w:val="002E19A6"/>
    <w:rsid w:val="002E1DD7"/>
    <w:rsid w:val="002E2111"/>
    <w:rsid w:val="002E223B"/>
    <w:rsid w:val="002E2452"/>
    <w:rsid w:val="002E2985"/>
    <w:rsid w:val="002E2FBA"/>
    <w:rsid w:val="002E30EA"/>
    <w:rsid w:val="002E3761"/>
    <w:rsid w:val="002E37DA"/>
    <w:rsid w:val="002E3E38"/>
    <w:rsid w:val="002E412E"/>
    <w:rsid w:val="002E5197"/>
    <w:rsid w:val="002E58DC"/>
    <w:rsid w:val="002E607D"/>
    <w:rsid w:val="002E6314"/>
    <w:rsid w:val="002E6741"/>
    <w:rsid w:val="002E675E"/>
    <w:rsid w:val="002E6F26"/>
    <w:rsid w:val="002E77D8"/>
    <w:rsid w:val="002F0867"/>
    <w:rsid w:val="002F14A0"/>
    <w:rsid w:val="002F15C6"/>
    <w:rsid w:val="002F2546"/>
    <w:rsid w:val="002F262C"/>
    <w:rsid w:val="002F26A5"/>
    <w:rsid w:val="002F29D1"/>
    <w:rsid w:val="002F2D3B"/>
    <w:rsid w:val="002F37B1"/>
    <w:rsid w:val="002F381C"/>
    <w:rsid w:val="002F3937"/>
    <w:rsid w:val="002F44E0"/>
    <w:rsid w:val="002F4751"/>
    <w:rsid w:val="002F4D04"/>
    <w:rsid w:val="002F5BF4"/>
    <w:rsid w:val="002F6091"/>
    <w:rsid w:val="002F629D"/>
    <w:rsid w:val="002F6589"/>
    <w:rsid w:val="002F67FA"/>
    <w:rsid w:val="002F690F"/>
    <w:rsid w:val="002F69A3"/>
    <w:rsid w:val="002F6AF8"/>
    <w:rsid w:val="002F6FBC"/>
    <w:rsid w:val="002F7745"/>
    <w:rsid w:val="0030004F"/>
    <w:rsid w:val="003003C7"/>
    <w:rsid w:val="0030070F"/>
    <w:rsid w:val="00300A65"/>
    <w:rsid w:val="00301BB2"/>
    <w:rsid w:val="00301C96"/>
    <w:rsid w:val="0030202E"/>
    <w:rsid w:val="0030233F"/>
    <w:rsid w:val="003023B3"/>
    <w:rsid w:val="00302835"/>
    <w:rsid w:val="00303639"/>
    <w:rsid w:val="0030364D"/>
    <w:rsid w:val="003036AB"/>
    <w:rsid w:val="00303A85"/>
    <w:rsid w:val="0030416D"/>
    <w:rsid w:val="00304875"/>
    <w:rsid w:val="00304ADD"/>
    <w:rsid w:val="00304EEA"/>
    <w:rsid w:val="00305826"/>
    <w:rsid w:val="00305B2C"/>
    <w:rsid w:val="00306275"/>
    <w:rsid w:val="00306501"/>
    <w:rsid w:val="00306EF7"/>
    <w:rsid w:val="00307317"/>
    <w:rsid w:val="00307425"/>
    <w:rsid w:val="00307BCB"/>
    <w:rsid w:val="00310276"/>
    <w:rsid w:val="003105DC"/>
    <w:rsid w:val="0031094A"/>
    <w:rsid w:val="0031118B"/>
    <w:rsid w:val="003114BD"/>
    <w:rsid w:val="0031288B"/>
    <w:rsid w:val="00312DC3"/>
    <w:rsid w:val="00313607"/>
    <w:rsid w:val="003143AB"/>
    <w:rsid w:val="00314774"/>
    <w:rsid w:val="00314917"/>
    <w:rsid w:val="0031495E"/>
    <w:rsid w:val="003149AC"/>
    <w:rsid w:val="00314E6E"/>
    <w:rsid w:val="00315331"/>
    <w:rsid w:val="00315548"/>
    <w:rsid w:val="0031597E"/>
    <w:rsid w:val="00316052"/>
    <w:rsid w:val="003163A8"/>
    <w:rsid w:val="003166BB"/>
    <w:rsid w:val="003166DD"/>
    <w:rsid w:val="00316755"/>
    <w:rsid w:val="00317558"/>
    <w:rsid w:val="003175C8"/>
    <w:rsid w:val="00317E5E"/>
    <w:rsid w:val="003206D7"/>
    <w:rsid w:val="0032070D"/>
    <w:rsid w:val="00320FF7"/>
    <w:rsid w:val="0032116E"/>
    <w:rsid w:val="0032167A"/>
    <w:rsid w:val="00321925"/>
    <w:rsid w:val="00322086"/>
    <w:rsid w:val="00322C92"/>
    <w:rsid w:val="00322D28"/>
    <w:rsid w:val="00322D3E"/>
    <w:rsid w:val="00322FB9"/>
    <w:rsid w:val="003235DD"/>
    <w:rsid w:val="003239F8"/>
    <w:rsid w:val="003241A7"/>
    <w:rsid w:val="00324726"/>
    <w:rsid w:val="00324CD9"/>
    <w:rsid w:val="00324E67"/>
    <w:rsid w:val="00324FB9"/>
    <w:rsid w:val="00325156"/>
    <w:rsid w:val="0032548C"/>
    <w:rsid w:val="003257E9"/>
    <w:rsid w:val="00325912"/>
    <w:rsid w:val="0032593A"/>
    <w:rsid w:val="00326B6B"/>
    <w:rsid w:val="00326CE3"/>
    <w:rsid w:val="00326E26"/>
    <w:rsid w:val="0032742D"/>
    <w:rsid w:val="00327744"/>
    <w:rsid w:val="003277DC"/>
    <w:rsid w:val="00327AF6"/>
    <w:rsid w:val="00327B72"/>
    <w:rsid w:val="00327F56"/>
    <w:rsid w:val="0033046B"/>
    <w:rsid w:val="0033054C"/>
    <w:rsid w:val="003310C9"/>
    <w:rsid w:val="0033116A"/>
    <w:rsid w:val="00331664"/>
    <w:rsid w:val="003320FC"/>
    <w:rsid w:val="00332130"/>
    <w:rsid w:val="00332B4C"/>
    <w:rsid w:val="00333215"/>
    <w:rsid w:val="00333837"/>
    <w:rsid w:val="0033421B"/>
    <w:rsid w:val="003343F7"/>
    <w:rsid w:val="003344C1"/>
    <w:rsid w:val="003345D6"/>
    <w:rsid w:val="00335235"/>
    <w:rsid w:val="003356D6"/>
    <w:rsid w:val="00335774"/>
    <w:rsid w:val="003357D9"/>
    <w:rsid w:val="00335997"/>
    <w:rsid w:val="00336418"/>
    <w:rsid w:val="00336618"/>
    <w:rsid w:val="00336A47"/>
    <w:rsid w:val="00337045"/>
    <w:rsid w:val="003375A7"/>
    <w:rsid w:val="003375F0"/>
    <w:rsid w:val="00337706"/>
    <w:rsid w:val="00337C4D"/>
    <w:rsid w:val="00337F6A"/>
    <w:rsid w:val="00337F99"/>
    <w:rsid w:val="00340118"/>
    <w:rsid w:val="0034051F"/>
    <w:rsid w:val="003407D0"/>
    <w:rsid w:val="00341D67"/>
    <w:rsid w:val="00341ECB"/>
    <w:rsid w:val="00341F27"/>
    <w:rsid w:val="00342CF6"/>
    <w:rsid w:val="00342D26"/>
    <w:rsid w:val="003430F3"/>
    <w:rsid w:val="00343722"/>
    <w:rsid w:val="00343895"/>
    <w:rsid w:val="003443E7"/>
    <w:rsid w:val="00344785"/>
    <w:rsid w:val="00344862"/>
    <w:rsid w:val="00344A60"/>
    <w:rsid w:val="0034627C"/>
    <w:rsid w:val="00346409"/>
    <w:rsid w:val="00346871"/>
    <w:rsid w:val="00346A0E"/>
    <w:rsid w:val="00346A6C"/>
    <w:rsid w:val="00346EC5"/>
    <w:rsid w:val="003478C6"/>
    <w:rsid w:val="00347A9B"/>
    <w:rsid w:val="003506B3"/>
    <w:rsid w:val="00350BC5"/>
    <w:rsid w:val="00350BF1"/>
    <w:rsid w:val="003511FC"/>
    <w:rsid w:val="00351805"/>
    <w:rsid w:val="003518FA"/>
    <w:rsid w:val="0035199C"/>
    <w:rsid w:val="00353373"/>
    <w:rsid w:val="00353A1A"/>
    <w:rsid w:val="00353E64"/>
    <w:rsid w:val="00354462"/>
    <w:rsid w:val="00354AE6"/>
    <w:rsid w:val="00354CDE"/>
    <w:rsid w:val="00355C3A"/>
    <w:rsid w:val="00355D86"/>
    <w:rsid w:val="003561C7"/>
    <w:rsid w:val="00356C4D"/>
    <w:rsid w:val="00357DD6"/>
    <w:rsid w:val="00357FB5"/>
    <w:rsid w:val="00360168"/>
    <w:rsid w:val="00360A39"/>
    <w:rsid w:val="0036153F"/>
    <w:rsid w:val="0036159A"/>
    <w:rsid w:val="003616AF"/>
    <w:rsid w:val="00361A5F"/>
    <w:rsid w:val="00361CD6"/>
    <w:rsid w:val="00361FB8"/>
    <w:rsid w:val="00362291"/>
    <w:rsid w:val="00362414"/>
    <w:rsid w:val="0036290F"/>
    <w:rsid w:val="00362C0A"/>
    <w:rsid w:val="00362F41"/>
    <w:rsid w:val="00362F6C"/>
    <w:rsid w:val="0036317F"/>
    <w:rsid w:val="00363263"/>
    <w:rsid w:val="003637C8"/>
    <w:rsid w:val="00363BD0"/>
    <w:rsid w:val="00363FE2"/>
    <w:rsid w:val="003643AE"/>
    <w:rsid w:val="003645A2"/>
    <w:rsid w:val="0036478B"/>
    <w:rsid w:val="00364E60"/>
    <w:rsid w:val="003659F0"/>
    <w:rsid w:val="00365AFF"/>
    <w:rsid w:val="00365D6F"/>
    <w:rsid w:val="00370492"/>
    <w:rsid w:val="00370A5A"/>
    <w:rsid w:val="00370A95"/>
    <w:rsid w:val="00370CD8"/>
    <w:rsid w:val="00371C0E"/>
    <w:rsid w:val="00371F86"/>
    <w:rsid w:val="00372048"/>
    <w:rsid w:val="0037205A"/>
    <w:rsid w:val="003722EF"/>
    <w:rsid w:val="00373241"/>
    <w:rsid w:val="00374350"/>
    <w:rsid w:val="00375147"/>
    <w:rsid w:val="00375725"/>
    <w:rsid w:val="003757DC"/>
    <w:rsid w:val="00376298"/>
    <w:rsid w:val="0037647F"/>
    <w:rsid w:val="00376C44"/>
    <w:rsid w:val="0037711B"/>
    <w:rsid w:val="003774C9"/>
    <w:rsid w:val="003775EB"/>
    <w:rsid w:val="003776E2"/>
    <w:rsid w:val="00377913"/>
    <w:rsid w:val="0038047A"/>
    <w:rsid w:val="00380D67"/>
    <w:rsid w:val="00380DA8"/>
    <w:rsid w:val="003812A5"/>
    <w:rsid w:val="00381C3A"/>
    <w:rsid w:val="00381C5D"/>
    <w:rsid w:val="0038210B"/>
    <w:rsid w:val="00382474"/>
    <w:rsid w:val="003829E5"/>
    <w:rsid w:val="00382D5B"/>
    <w:rsid w:val="0038316C"/>
    <w:rsid w:val="003835E6"/>
    <w:rsid w:val="00383828"/>
    <w:rsid w:val="003838FC"/>
    <w:rsid w:val="00383EF2"/>
    <w:rsid w:val="00384DB2"/>
    <w:rsid w:val="00384E37"/>
    <w:rsid w:val="00384ED1"/>
    <w:rsid w:val="003851F5"/>
    <w:rsid w:val="00385749"/>
    <w:rsid w:val="00385BAF"/>
    <w:rsid w:val="00385C79"/>
    <w:rsid w:val="00385D9F"/>
    <w:rsid w:val="003861DC"/>
    <w:rsid w:val="00386B80"/>
    <w:rsid w:val="003871C4"/>
    <w:rsid w:val="00387A00"/>
    <w:rsid w:val="00387D8A"/>
    <w:rsid w:val="00387DBC"/>
    <w:rsid w:val="003909CE"/>
    <w:rsid w:val="00390A96"/>
    <w:rsid w:val="00391153"/>
    <w:rsid w:val="0039124C"/>
    <w:rsid w:val="0039124E"/>
    <w:rsid w:val="00391368"/>
    <w:rsid w:val="00391470"/>
    <w:rsid w:val="003918B0"/>
    <w:rsid w:val="0039198C"/>
    <w:rsid w:val="003919EF"/>
    <w:rsid w:val="00391BA4"/>
    <w:rsid w:val="00392153"/>
    <w:rsid w:val="003923A1"/>
    <w:rsid w:val="0039264D"/>
    <w:rsid w:val="003935E1"/>
    <w:rsid w:val="00393868"/>
    <w:rsid w:val="003938CA"/>
    <w:rsid w:val="00393B00"/>
    <w:rsid w:val="00393C80"/>
    <w:rsid w:val="00393CD6"/>
    <w:rsid w:val="0039433B"/>
    <w:rsid w:val="00394C04"/>
    <w:rsid w:val="00395191"/>
    <w:rsid w:val="00395414"/>
    <w:rsid w:val="00395672"/>
    <w:rsid w:val="00395904"/>
    <w:rsid w:val="00395B50"/>
    <w:rsid w:val="00395F8F"/>
    <w:rsid w:val="00396115"/>
    <w:rsid w:val="00396A65"/>
    <w:rsid w:val="00396FEE"/>
    <w:rsid w:val="00397287"/>
    <w:rsid w:val="0039761F"/>
    <w:rsid w:val="00397906"/>
    <w:rsid w:val="00397CC5"/>
    <w:rsid w:val="003A08E7"/>
    <w:rsid w:val="003A112A"/>
    <w:rsid w:val="003A1B19"/>
    <w:rsid w:val="003A3E18"/>
    <w:rsid w:val="003A3F20"/>
    <w:rsid w:val="003A44A4"/>
    <w:rsid w:val="003A45D3"/>
    <w:rsid w:val="003A460D"/>
    <w:rsid w:val="003A4682"/>
    <w:rsid w:val="003A4979"/>
    <w:rsid w:val="003A49A6"/>
    <w:rsid w:val="003A4B4E"/>
    <w:rsid w:val="003A4B6E"/>
    <w:rsid w:val="003A5E88"/>
    <w:rsid w:val="003A5EA0"/>
    <w:rsid w:val="003A6360"/>
    <w:rsid w:val="003A6D7A"/>
    <w:rsid w:val="003A7167"/>
    <w:rsid w:val="003A72E8"/>
    <w:rsid w:val="003A7D27"/>
    <w:rsid w:val="003B0B90"/>
    <w:rsid w:val="003B0C75"/>
    <w:rsid w:val="003B0EB4"/>
    <w:rsid w:val="003B1193"/>
    <w:rsid w:val="003B1290"/>
    <w:rsid w:val="003B188C"/>
    <w:rsid w:val="003B2E7F"/>
    <w:rsid w:val="003B3988"/>
    <w:rsid w:val="003B3BE3"/>
    <w:rsid w:val="003B3E2D"/>
    <w:rsid w:val="003B40DF"/>
    <w:rsid w:val="003B433C"/>
    <w:rsid w:val="003B45D3"/>
    <w:rsid w:val="003B4A06"/>
    <w:rsid w:val="003B4CF4"/>
    <w:rsid w:val="003B4E63"/>
    <w:rsid w:val="003B5090"/>
    <w:rsid w:val="003B5ACB"/>
    <w:rsid w:val="003B6080"/>
    <w:rsid w:val="003B60F0"/>
    <w:rsid w:val="003B67EB"/>
    <w:rsid w:val="003B685B"/>
    <w:rsid w:val="003B6D1D"/>
    <w:rsid w:val="003B73B0"/>
    <w:rsid w:val="003B7EC7"/>
    <w:rsid w:val="003B7F05"/>
    <w:rsid w:val="003C0395"/>
    <w:rsid w:val="003C0A16"/>
    <w:rsid w:val="003C0BF8"/>
    <w:rsid w:val="003C13A6"/>
    <w:rsid w:val="003C1AE5"/>
    <w:rsid w:val="003C20A0"/>
    <w:rsid w:val="003C3056"/>
    <w:rsid w:val="003C32CC"/>
    <w:rsid w:val="003C333A"/>
    <w:rsid w:val="003C4A27"/>
    <w:rsid w:val="003C4C0F"/>
    <w:rsid w:val="003C4C2E"/>
    <w:rsid w:val="003C57D9"/>
    <w:rsid w:val="003C57E2"/>
    <w:rsid w:val="003C5A28"/>
    <w:rsid w:val="003C5C09"/>
    <w:rsid w:val="003C5EC5"/>
    <w:rsid w:val="003C610E"/>
    <w:rsid w:val="003C64F3"/>
    <w:rsid w:val="003C6E35"/>
    <w:rsid w:val="003D00EE"/>
    <w:rsid w:val="003D0347"/>
    <w:rsid w:val="003D13D0"/>
    <w:rsid w:val="003D1501"/>
    <w:rsid w:val="003D1B93"/>
    <w:rsid w:val="003D2557"/>
    <w:rsid w:val="003D2778"/>
    <w:rsid w:val="003D2D22"/>
    <w:rsid w:val="003D3009"/>
    <w:rsid w:val="003D3370"/>
    <w:rsid w:val="003D34F5"/>
    <w:rsid w:val="003D366A"/>
    <w:rsid w:val="003D3DE1"/>
    <w:rsid w:val="003D4105"/>
    <w:rsid w:val="003D4204"/>
    <w:rsid w:val="003D4294"/>
    <w:rsid w:val="003D4C66"/>
    <w:rsid w:val="003D4EB0"/>
    <w:rsid w:val="003D55C5"/>
    <w:rsid w:val="003D6595"/>
    <w:rsid w:val="003D66AD"/>
    <w:rsid w:val="003D69D2"/>
    <w:rsid w:val="003D6BE1"/>
    <w:rsid w:val="003D78FE"/>
    <w:rsid w:val="003D7B2E"/>
    <w:rsid w:val="003D7BFC"/>
    <w:rsid w:val="003E0898"/>
    <w:rsid w:val="003E0AE1"/>
    <w:rsid w:val="003E1463"/>
    <w:rsid w:val="003E15DF"/>
    <w:rsid w:val="003E1DA8"/>
    <w:rsid w:val="003E1E42"/>
    <w:rsid w:val="003E2D72"/>
    <w:rsid w:val="003E314D"/>
    <w:rsid w:val="003E395F"/>
    <w:rsid w:val="003E3B56"/>
    <w:rsid w:val="003E440D"/>
    <w:rsid w:val="003E49E9"/>
    <w:rsid w:val="003E4EEA"/>
    <w:rsid w:val="003E5246"/>
    <w:rsid w:val="003E5510"/>
    <w:rsid w:val="003E5B08"/>
    <w:rsid w:val="003E5C1C"/>
    <w:rsid w:val="003E62B6"/>
    <w:rsid w:val="003E6C6C"/>
    <w:rsid w:val="003E7151"/>
    <w:rsid w:val="003E749F"/>
    <w:rsid w:val="003E7756"/>
    <w:rsid w:val="003F0384"/>
    <w:rsid w:val="003F087D"/>
    <w:rsid w:val="003F08BF"/>
    <w:rsid w:val="003F097E"/>
    <w:rsid w:val="003F0B00"/>
    <w:rsid w:val="003F19DA"/>
    <w:rsid w:val="003F1E26"/>
    <w:rsid w:val="003F1F59"/>
    <w:rsid w:val="003F251A"/>
    <w:rsid w:val="003F270D"/>
    <w:rsid w:val="003F2937"/>
    <w:rsid w:val="003F29E7"/>
    <w:rsid w:val="003F2BC7"/>
    <w:rsid w:val="003F355A"/>
    <w:rsid w:val="003F41F4"/>
    <w:rsid w:val="003F4EFC"/>
    <w:rsid w:val="003F5022"/>
    <w:rsid w:val="003F517C"/>
    <w:rsid w:val="003F530A"/>
    <w:rsid w:val="003F56E0"/>
    <w:rsid w:val="003F57B8"/>
    <w:rsid w:val="003F57C7"/>
    <w:rsid w:val="003F5A9D"/>
    <w:rsid w:val="003F5AB8"/>
    <w:rsid w:val="003F5E06"/>
    <w:rsid w:val="003F6013"/>
    <w:rsid w:val="003F6102"/>
    <w:rsid w:val="003F6D85"/>
    <w:rsid w:val="003F6F2F"/>
    <w:rsid w:val="003F717D"/>
    <w:rsid w:val="003F7569"/>
    <w:rsid w:val="003F7841"/>
    <w:rsid w:val="003F7D47"/>
    <w:rsid w:val="004001AB"/>
    <w:rsid w:val="004002A2"/>
    <w:rsid w:val="00400E1D"/>
    <w:rsid w:val="00401295"/>
    <w:rsid w:val="004018AA"/>
    <w:rsid w:val="004018C3"/>
    <w:rsid w:val="00401902"/>
    <w:rsid w:val="004026F7"/>
    <w:rsid w:val="00403433"/>
    <w:rsid w:val="004035AB"/>
    <w:rsid w:val="00403663"/>
    <w:rsid w:val="004037AF"/>
    <w:rsid w:val="004038DA"/>
    <w:rsid w:val="00403ABF"/>
    <w:rsid w:val="00403F00"/>
    <w:rsid w:val="00403FB2"/>
    <w:rsid w:val="00404024"/>
    <w:rsid w:val="0040406E"/>
    <w:rsid w:val="00404961"/>
    <w:rsid w:val="004049A2"/>
    <w:rsid w:val="00404F2F"/>
    <w:rsid w:val="0040535C"/>
    <w:rsid w:val="0040543E"/>
    <w:rsid w:val="0040563B"/>
    <w:rsid w:val="00405BFB"/>
    <w:rsid w:val="00405D3A"/>
    <w:rsid w:val="00406383"/>
    <w:rsid w:val="00406496"/>
    <w:rsid w:val="00406ADA"/>
    <w:rsid w:val="0040753B"/>
    <w:rsid w:val="004077B0"/>
    <w:rsid w:val="004079F2"/>
    <w:rsid w:val="00410392"/>
    <w:rsid w:val="004105DA"/>
    <w:rsid w:val="004108C4"/>
    <w:rsid w:val="004114F4"/>
    <w:rsid w:val="004119C7"/>
    <w:rsid w:val="004120A6"/>
    <w:rsid w:val="00412A7D"/>
    <w:rsid w:val="00412D82"/>
    <w:rsid w:val="004153B6"/>
    <w:rsid w:val="00415835"/>
    <w:rsid w:val="00415AFF"/>
    <w:rsid w:val="00415D76"/>
    <w:rsid w:val="00415E2B"/>
    <w:rsid w:val="004160F6"/>
    <w:rsid w:val="0041629D"/>
    <w:rsid w:val="00416657"/>
    <w:rsid w:val="004172C1"/>
    <w:rsid w:val="004200E4"/>
    <w:rsid w:val="00420BAB"/>
    <w:rsid w:val="00421B28"/>
    <w:rsid w:val="00421E72"/>
    <w:rsid w:val="0042204D"/>
    <w:rsid w:val="00422390"/>
    <w:rsid w:val="0042309D"/>
    <w:rsid w:val="00423A0D"/>
    <w:rsid w:val="00423C7B"/>
    <w:rsid w:val="00423DF4"/>
    <w:rsid w:val="00423E0E"/>
    <w:rsid w:val="004246A3"/>
    <w:rsid w:val="00424D85"/>
    <w:rsid w:val="004250B8"/>
    <w:rsid w:val="004252A5"/>
    <w:rsid w:val="00425719"/>
    <w:rsid w:val="00425776"/>
    <w:rsid w:val="004270A5"/>
    <w:rsid w:val="00427DEC"/>
    <w:rsid w:val="004305A5"/>
    <w:rsid w:val="00430F00"/>
    <w:rsid w:val="00431953"/>
    <w:rsid w:val="00431AE4"/>
    <w:rsid w:val="0043284D"/>
    <w:rsid w:val="00432A15"/>
    <w:rsid w:val="00432C02"/>
    <w:rsid w:val="004332B6"/>
    <w:rsid w:val="004332D4"/>
    <w:rsid w:val="00433513"/>
    <w:rsid w:val="00433988"/>
    <w:rsid w:val="0043459B"/>
    <w:rsid w:val="00434600"/>
    <w:rsid w:val="00434C2C"/>
    <w:rsid w:val="004350BD"/>
    <w:rsid w:val="0043510F"/>
    <w:rsid w:val="004351EA"/>
    <w:rsid w:val="004358B8"/>
    <w:rsid w:val="00435AA9"/>
    <w:rsid w:val="00435CBA"/>
    <w:rsid w:val="00436015"/>
    <w:rsid w:val="00436555"/>
    <w:rsid w:val="00437299"/>
    <w:rsid w:val="00437678"/>
    <w:rsid w:val="00437B64"/>
    <w:rsid w:val="00437DAF"/>
    <w:rsid w:val="0043AF82"/>
    <w:rsid w:val="0044042E"/>
    <w:rsid w:val="00440E7F"/>
    <w:rsid w:val="00441085"/>
    <w:rsid w:val="004413EC"/>
    <w:rsid w:val="00441E46"/>
    <w:rsid w:val="00441EBD"/>
    <w:rsid w:val="004429F8"/>
    <w:rsid w:val="00442E8B"/>
    <w:rsid w:val="004430E5"/>
    <w:rsid w:val="004436F9"/>
    <w:rsid w:val="0044370E"/>
    <w:rsid w:val="00443DDC"/>
    <w:rsid w:val="004440B8"/>
    <w:rsid w:val="00444201"/>
    <w:rsid w:val="00444347"/>
    <w:rsid w:val="004446E4"/>
    <w:rsid w:val="00444C26"/>
    <w:rsid w:val="00444D23"/>
    <w:rsid w:val="00445013"/>
    <w:rsid w:val="00445799"/>
    <w:rsid w:val="004459A8"/>
    <w:rsid w:val="00445D6E"/>
    <w:rsid w:val="00446558"/>
    <w:rsid w:val="004475C3"/>
    <w:rsid w:val="00447A70"/>
    <w:rsid w:val="004508FB"/>
    <w:rsid w:val="00450920"/>
    <w:rsid w:val="004509C8"/>
    <w:rsid w:val="00450DDD"/>
    <w:rsid w:val="0045115E"/>
    <w:rsid w:val="00451542"/>
    <w:rsid w:val="00452604"/>
    <w:rsid w:val="004526D4"/>
    <w:rsid w:val="00452AF2"/>
    <w:rsid w:val="00452FA6"/>
    <w:rsid w:val="0045385C"/>
    <w:rsid w:val="00453BE0"/>
    <w:rsid w:val="004541AF"/>
    <w:rsid w:val="004541DA"/>
    <w:rsid w:val="004543AA"/>
    <w:rsid w:val="0045475D"/>
    <w:rsid w:val="00454FDE"/>
    <w:rsid w:val="00455306"/>
    <w:rsid w:val="00455CDD"/>
    <w:rsid w:val="0045620A"/>
    <w:rsid w:val="004564A2"/>
    <w:rsid w:val="004569E7"/>
    <w:rsid w:val="00456C4F"/>
    <w:rsid w:val="00456E8A"/>
    <w:rsid w:val="00456EF1"/>
    <w:rsid w:val="0045721D"/>
    <w:rsid w:val="0045738D"/>
    <w:rsid w:val="00457FE2"/>
    <w:rsid w:val="00460268"/>
    <w:rsid w:val="0046047D"/>
    <w:rsid w:val="004605AC"/>
    <w:rsid w:val="0046085A"/>
    <w:rsid w:val="00460F2F"/>
    <w:rsid w:val="00460FFB"/>
    <w:rsid w:val="0046150A"/>
    <w:rsid w:val="00461702"/>
    <w:rsid w:val="00461774"/>
    <w:rsid w:val="0046186E"/>
    <w:rsid w:val="00461C08"/>
    <w:rsid w:val="004627DC"/>
    <w:rsid w:val="00462866"/>
    <w:rsid w:val="004632EA"/>
    <w:rsid w:val="004664D2"/>
    <w:rsid w:val="004666D1"/>
    <w:rsid w:val="004668AB"/>
    <w:rsid w:val="00466FB6"/>
    <w:rsid w:val="00467249"/>
    <w:rsid w:val="0046750F"/>
    <w:rsid w:val="004677C8"/>
    <w:rsid w:val="00467C53"/>
    <w:rsid w:val="00467F26"/>
    <w:rsid w:val="0047021E"/>
    <w:rsid w:val="0047046B"/>
    <w:rsid w:val="0047077E"/>
    <w:rsid w:val="00470BAD"/>
    <w:rsid w:val="00470E5C"/>
    <w:rsid w:val="0047246B"/>
    <w:rsid w:val="00472C6E"/>
    <w:rsid w:val="00472D3A"/>
    <w:rsid w:val="00472F8F"/>
    <w:rsid w:val="00474633"/>
    <w:rsid w:val="0047515F"/>
    <w:rsid w:val="00475432"/>
    <w:rsid w:val="00475675"/>
    <w:rsid w:val="00475CDC"/>
    <w:rsid w:val="00476F9E"/>
    <w:rsid w:val="00477554"/>
    <w:rsid w:val="00477CD7"/>
    <w:rsid w:val="00477DCF"/>
    <w:rsid w:val="004800D0"/>
    <w:rsid w:val="004802D4"/>
    <w:rsid w:val="004806F2"/>
    <w:rsid w:val="00480811"/>
    <w:rsid w:val="00481459"/>
    <w:rsid w:val="00481E54"/>
    <w:rsid w:val="004821AC"/>
    <w:rsid w:val="004825D1"/>
    <w:rsid w:val="00482928"/>
    <w:rsid w:val="00482989"/>
    <w:rsid w:val="00482ACA"/>
    <w:rsid w:val="00482ED5"/>
    <w:rsid w:val="00482F9E"/>
    <w:rsid w:val="0048437E"/>
    <w:rsid w:val="004846B4"/>
    <w:rsid w:val="004846F8"/>
    <w:rsid w:val="00484958"/>
    <w:rsid w:val="00485DA4"/>
    <w:rsid w:val="00486038"/>
    <w:rsid w:val="00486538"/>
    <w:rsid w:val="00486780"/>
    <w:rsid w:val="00486A67"/>
    <w:rsid w:val="004872E9"/>
    <w:rsid w:val="00487B1A"/>
    <w:rsid w:val="00490C33"/>
    <w:rsid w:val="00490C7D"/>
    <w:rsid w:val="00491931"/>
    <w:rsid w:val="00491B38"/>
    <w:rsid w:val="00491FF3"/>
    <w:rsid w:val="004927F3"/>
    <w:rsid w:val="0049285A"/>
    <w:rsid w:val="00492D84"/>
    <w:rsid w:val="00492E8F"/>
    <w:rsid w:val="00493338"/>
    <w:rsid w:val="00493871"/>
    <w:rsid w:val="00493E4B"/>
    <w:rsid w:val="004940FB"/>
    <w:rsid w:val="0049476A"/>
    <w:rsid w:val="004948ED"/>
    <w:rsid w:val="004955A6"/>
    <w:rsid w:val="004955D6"/>
    <w:rsid w:val="00495895"/>
    <w:rsid w:val="00495A10"/>
    <w:rsid w:val="00495C29"/>
    <w:rsid w:val="004960CF"/>
    <w:rsid w:val="00496244"/>
    <w:rsid w:val="004965C9"/>
    <w:rsid w:val="00496A7D"/>
    <w:rsid w:val="00497089"/>
    <w:rsid w:val="00497165"/>
    <w:rsid w:val="004977AE"/>
    <w:rsid w:val="00497FDE"/>
    <w:rsid w:val="004A012F"/>
    <w:rsid w:val="004A0527"/>
    <w:rsid w:val="004A09CC"/>
    <w:rsid w:val="004A0CE2"/>
    <w:rsid w:val="004A187F"/>
    <w:rsid w:val="004A23B9"/>
    <w:rsid w:val="004A244D"/>
    <w:rsid w:val="004A2579"/>
    <w:rsid w:val="004A2B68"/>
    <w:rsid w:val="004A2D59"/>
    <w:rsid w:val="004A3274"/>
    <w:rsid w:val="004A34B1"/>
    <w:rsid w:val="004A3838"/>
    <w:rsid w:val="004A3961"/>
    <w:rsid w:val="004A3CCE"/>
    <w:rsid w:val="004A3ED4"/>
    <w:rsid w:val="004A423C"/>
    <w:rsid w:val="004A476E"/>
    <w:rsid w:val="004A48B2"/>
    <w:rsid w:val="004A4F1A"/>
    <w:rsid w:val="004A4F9A"/>
    <w:rsid w:val="004A5250"/>
    <w:rsid w:val="004A55D4"/>
    <w:rsid w:val="004A5852"/>
    <w:rsid w:val="004A59E5"/>
    <w:rsid w:val="004A5BB2"/>
    <w:rsid w:val="004A5BFE"/>
    <w:rsid w:val="004A5CD1"/>
    <w:rsid w:val="004A625A"/>
    <w:rsid w:val="004A6419"/>
    <w:rsid w:val="004A7776"/>
    <w:rsid w:val="004A79DB"/>
    <w:rsid w:val="004A7AAC"/>
    <w:rsid w:val="004A7E31"/>
    <w:rsid w:val="004B0F10"/>
    <w:rsid w:val="004B1474"/>
    <w:rsid w:val="004B1C0E"/>
    <w:rsid w:val="004B1C9A"/>
    <w:rsid w:val="004B1FD4"/>
    <w:rsid w:val="004B21A1"/>
    <w:rsid w:val="004B2440"/>
    <w:rsid w:val="004B2631"/>
    <w:rsid w:val="004B28C4"/>
    <w:rsid w:val="004B34E3"/>
    <w:rsid w:val="004B45F4"/>
    <w:rsid w:val="004B4666"/>
    <w:rsid w:val="004B4F70"/>
    <w:rsid w:val="004B5AF7"/>
    <w:rsid w:val="004B5DEA"/>
    <w:rsid w:val="004B6592"/>
    <w:rsid w:val="004B672D"/>
    <w:rsid w:val="004B6787"/>
    <w:rsid w:val="004B68E3"/>
    <w:rsid w:val="004B6CA0"/>
    <w:rsid w:val="004B7576"/>
    <w:rsid w:val="004C1557"/>
    <w:rsid w:val="004C1FC6"/>
    <w:rsid w:val="004C2457"/>
    <w:rsid w:val="004C245E"/>
    <w:rsid w:val="004C2577"/>
    <w:rsid w:val="004C26AD"/>
    <w:rsid w:val="004C2F77"/>
    <w:rsid w:val="004C3388"/>
    <w:rsid w:val="004C370F"/>
    <w:rsid w:val="004C4011"/>
    <w:rsid w:val="004C4192"/>
    <w:rsid w:val="004C4C44"/>
    <w:rsid w:val="004C563F"/>
    <w:rsid w:val="004C5860"/>
    <w:rsid w:val="004C5D4B"/>
    <w:rsid w:val="004C5E23"/>
    <w:rsid w:val="004C661E"/>
    <w:rsid w:val="004C6B5A"/>
    <w:rsid w:val="004C6D6E"/>
    <w:rsid w:val="004C6FEC"/>
    <w:rsid w:val="004C7550"/>
    <w:rsid w:val="004C7BEC"/>
    <w:rsid w:val="004D03FF"/>
    <w:rsid w:val="004D08D7"/>
    <w:rsid w:val="004D0AA4"/>
    <w:rsid w:val="004D1051"/>
    <w:rsid w:val="004D1248"/>
    <w:rsid w:val="004D1307"/>
    <w:rsid w:val="004D1D32"/>
    <w:rsid w:val="004D24C9"/>
    <w:rsid w:val="004D2ADB"/>
    <w:rsid w:val="004D3036"/>
    <w:rsid w:val="004D303C"/>
    <w:rsid w:val="004D377C"/>
    <w:rsid w:val="004D3BFA"/>
    <w:rsid w:val="004D466E"/>
    <w:rsid w:val="004D4679"/>
    <w:rsid w:val="004D4C6D"/>
    <w:rsid w:val="004D4DB0"/>
    <w:rsid w:val="004D5511"/>
    <w:rsid w:val="004D5AC5"/>
    <w:rsid w:val="004D62F7"/>
    <w:rsid w:val="004D7458"/>
    <w:rsid w:val="004D7504"/>
    <w:rsid w:val="004D7801"/>
    <w:rsid w:val="004D7E0F"/>
    <w:rsid w:val="004E07DA"/>
    <w:rsid w:val="004E11B9"/>
    <w:rsid w:val="004E16A2"/>
    <w:rsid w:val="004E1AFC"/>
    <w:rsid w:val="004E1FEC"/>
    <w:rsid w:val="004E2270"/>
    <w:rsid w:val="004E2770"/>
    <w:rsid w:val="004E281D"/>
    <w:rsid w:val="004E2977"/>
    <w:rsid w:val="004E32F2"/>
    <w:rsid w:val="004E38CB"/>
    <w:rsid w:val="004E3908"/>
    <w:rsid w:val="004E3FEB"/>
    <w:rsid w:val="004E40B5"/>
    <w:rsid w:val="004E40B6"/>
    <w:rsid w:val="004E41EA"/>
    <w:rsid w:val="004E4379"/>
    <w:rsid w:val="004E438C"/>
    <w:rsid w:val="004E48E7"/>
    <w:rsid w:val="004E4F43"/>
    <w:rsid w:val="004E4FC6"/>
    <w:rsid w:val="004E5339"/>
    <w:rsid w:val="004E5E48"/>
    <w:rsid w:val="004E60CC"/>
    <w:rsid w:val="004E6222"/>
    <w:rsid w:val="004E698D"/>
    <w:rsid w:val="004E703D"/>
    <w:rsid w:val="004E72D9"/>
    <w:rsid w:val="004E7A2B"/>
    <w:rsid w:val="004E7C7B"/>
    <w:rsid w:val="004E7CD0"/>
    <w:rsid w:val="004E7F38"/>
    <w:rsid w:val="004F0078"/>
    <w:rsid w:val="004F03E4"/>
    <w:rsid w:val="004F0B08"/>
    <w:rsid w:val="004F116F"/>
    <w:rsid w:val="004F1618"/>
    <w:rsid w:val="004F16C8"/>
    <w:rsid w:val="004F17A9"/>
    <w:rsid w:val="004F1D9C"/>
    <w:rsid w:val="004F1EC0"/>
    <w:rsid w:val="004F22D0"/>
    <w:rsid w:val="004F2E57"/>
    <w:rsid w:val="004F2E7B"/>
    <w:rsid w:val="004F2F5A"/>
    <w:rsid w:val="004F304A"/>
    <w:rsid w:val="004F31CB"/>
    <w:rsid w:val="004F3436"/>
    <w:rsid w:val="004F34B5"/>
    <w:rsid w:val="004F38D8"/>
    <w:rsid w:val="004F3FD3"/>
    <w:rsid w:val="004F44EB"/>
    <w:rsid w:val="004F47BC"/>
    <w:rsid w:val="004F4C5C"/>
    <w:rsid w:val="004F50D9"/>
    <w:rsid w:val="004F518A"/>
    <w:rsid w:val="004F5D38"/>
    <w:rsid w:val="004F5F95"/>
    <w:rsid w:val="004F64D4"/>
    <w:rsid w:val="004F6999"/>
    <w:rsid w:val="004F7405"/>
    <w:rsid w:val="004F7483"/>
    <w:rsid w:val="00500028"/>
    <w:rsid w:val="005000F0"/>
    <w:rsid w:val="0050041A"/>
    <w:rsid w:val="005006ED"/>
    <w:rsid w:val="00500818"/>
    <w:rsid w:val="00501404"/>
    <w:rsid w:val="00501470"/>
    <w:rsid w:val="005017AD"/>
    <w:rsid w:val="00501C38"/>
    <w:rsid w:val="00501FE0"/>
    <w:rsid w:val="00502187"/>
    <w:rsid w:val="00502CCC"/>
    <w:rsid w:val="005030DF"/>
    <w:rsid w:val="005039A3"/>
    <w:rsid w:val="005043D0"/>
    <w:rsid w:val="00504DFB"/>
    <w:rsid w:val="00505A43"/>
    <w:rsid w:val="00505B62"/>
    <w:rsid w:val="00506000"/>
    <w:rsid w:val="005067A4"/>
    <w:rsid w:val="00506E08"/>
    <w:rsid w:val="00506F41"/>
    <w:rsid w:val="005078F7"/>
    <w:rsid w:val="00507A88"/>
    <w:rsid w:val="00510314"/>
    <w:rsid w:val="00510A49"/>
    <w:rsid w:val="00510B6A"/>
    <w:rsid w:val="0051113E"/>
    <w:rsid w:val="00511518"/>
    <w:rsid w:val="0051163E"/>
    <w:rsid w:val="0051196E"/>
    <w:rsid w:val="00511C65"/>
    <w:rsid w:val="00512728"/>
    <w:rsid w:val="0051294D"/>
    <w:rsid w:val="00512CC7"/>
    <w:rsid w:val="00512D3B"/>
    <w:rsid w:val="0051333C"/>
    <w:rsid w:val="00513765"/>
    <w:rsid w:val="005138C5"/>
    <w:rsid w:val="00513D15"/>
    <w:rsid w:val="00513EFE"/>
    <w:rsid w:val="005142F6"/>
    <w:rsid w:val="00514DD4"/>
    <w:rsid w:val="00515245"/>
    <w:rsid w:val="0051524C"/>
    <w:rsid w:val="005161A1"/>
    <w:rsid w:val="005164BA"/>
    <w:rsid w:val="005169EF"/>
    <w:rsid w:val="0051759A"/>
    <w:rsid w:val="00517A5E"/>
    <w:rsid w:val="00517E90"/>
    <w:rsid w:val="00520209"/>
    <w:rsid w:val="00520F21"/>
    <w:rsid w:val="005212D6"/>
    <w:rsid w:val="00521490"/>
    <w:rsid w:val="0052177B"/>
    <w:rsid w:val="00521CA3"/>
    <w:rsid w:val="00521E59"/>
    <w:rsid w:val="0052244E"/>
    <w:rsid w:val="00523207"/>
    <w:rsid w:val="005234AC"/>
    <w:rsid w:val="0052381C"/>
    <w:rsid w:val="005242B3"/>
    <w:rsid w:val="005245A3"/>
    <w:rsid w:val="00525B1A"/>
    <w:rsid w:val="00525CF6"/>
    <w:rsid w:val="00525D2F"/>
    <w:rsid w:val="00525D66"/>
    <w:rsid w:val="00525EB5"/>
    <w:rsid w:val="005266CF"/>
    <w:rsid w:val="005269C0"/>
    <w:rsid w:val="00526CFC"/>
    <w:rsid w:val="00526F30"/>
    <w:rsid w:val="005279C5"/>
    <w:rsid w:val="00527AC6"/>
    <w:rsid w:val="0053011F"/>
    <w:rsid w:val="00530947"/>
    <w:rsid w:val="00530BFA"/>
    <w:rsid w:val="00530DF4"/>
    <w:rsid w:val="00530EC5"/>
    <w:rsid w:val="0053129C"/>
    <w:rsid w:val="00531360"/>
    <w:rsid w:val="005313C9"/>
    <w:rsid w:val="0053169F"/>
    <w:rsid w:val="005317C6"/>
    <w:rsid w:val="00531873"/>
    <w:rsid w:val="00532B6C"/>
    <w:rsid w:val="00532CD9"/>
    <w:rsid w:val="005337A0"/>
    <w:rsid w:val="005337E9"/>
    <w:rsid w:val="00533C71"/>
    <w:rsid w:val="00533C89"/>
    <w:rsid w:val="00533D4E"/>
    <w:rsid w:val="00534164"/>
    <w:rsid w:val="005345AE"/>
    <w:rsid w:val="00534953"/>
    <w:rsid w:val="00534A3B"/>
    <w:rsid w:val="00534C5E"/>
    <w:rsid w:val="00534C92"/>
    <w:rsid w:val="00534EA2"/>
    <w:rsid w:val="0053506A"/>
    <w:rsid w:val="005350AF"/>
    <w:rsid w:val="0053526D"/>
    <w:rsid w:val="005353E9"/>
    <w:rsid w:val="005356F0"/>
    <w:rsid w:val="00535770"/>
    <w:rsid w:val="00535870"/>
    <w:rsid w:val="005358C5"/>
    <w:rsid w:val="00535F03"/>
    <w:rsid w:val="005360F5"/>
    <w:rsid w:val="0053642D"/>
    <w:rsid w:val="005368F8"/>
    <w:rsid w:val="00536B3F"/>
    <w:rsid w:val="0053711F"/>
    <w:rsid w:val="00537733"/>
    <w:rsid w:val="00537FFD"/>
    <w:rsid w:val="005407E4"/>
    <w:rsid w:val="00540EB4"/>
    <w:rsid w:val="005411F1"/>
    <w:rsid w:val="0054148D"/>
    <w:rsid w:val="00541930"/>
    <w:rsid w:val="00541C3A"/>
    <w:rsid w:val="00541CEB"/>
    <w:rsid w:val="0054354D"/>
    <w:rsid w:val="00543732"/>
    <w:rsid w:val="00543AB6"/>
    <w:rsid w:val="00543B3B"/>
    <w:rsid w:val="00543DB3"/>
    <w:rsid w:val="005443F3"/>
    <w:rsid w:val="005449EB"/>
    <w:rsid w:val="0054554A"/>
    <w:rsid w:val="005456AE"/>
    <w:rsid w:val="00545933"/>
    <w:rsid w:val="00546344"/>
    <w:rsid w:val="0054693D"/>
    <w:rsid w:val="00547705"/>
    <w:rsid w:val="0054775F"/>
    <w:rsid w:val="0054790D"/>
    <w:rsid w:val="00547CBF"/>
    <w:rsid w:val="005505D1"/>
    <w:rsid w:val="00550FDF"/>
    <w:rsid w:val="00551518"/>
    <w:rsid w:val="0055163E"/>
    <w:rsid w:val="00551912"/>
    <w:rsid w:val="00551A3E"/>
    <w:rsid w:val="00551AA8"/>
    <w:rsid w:val="00551DBF"/>
    <w:rsid w:val="00552026"/>
    <w:rsid w:val="00552AA3"/>
    <w:rsid w:val="0055306B"/>
    <w:rsid w:val="005532F6"/>
    <w:rsid w:val="00553570"/>
    <w:rsid w:val="005536A2"/>
    <w:rsid w:val="00553E46"/>
    <w:rsid w:val="005545BE"/>
    <w:rsid w:val="00554BA1"/>
    <w:rsid w:val="00554ECB"/>
    <w:rsid w:val="005551F7"/>
    <w:rsid w:val="00555889"/>
    <w:rsid w:val="005560CD"/>
    <w:rsid w:val="00556878"/>
    <w:rsid w:val="00556A25"/>
    <w:rsid w:val="0055758D"/>
    <w:rsid w:val="005576FE"/>
    <w:rsid w:val="00557FAA"/>
    <w:rsid w:val="0056056B"/>
    <w:rsid w:val="00560616"/>
    <w:rsid w:val="00560643"/>
    <w:rsid w:val="00560850"/>
    <w:rsid w:val="00560E4A"/>
    <w:rsid w:val="005614E2"/>
    <w:rsid w:val="00561929"/>
    <w:rsid w:val="00561A7C"/>
    <w:rsid w:val="00561F5E"/>
    <w:rsid w:val="00561FFD"/>
    <w:rsid w:val="005620F5"/>
    <w:rsid w:val="00562A23"/>
    <w:rsid w:val="00562B0A"/>
    <w:rsid w:val="00562F37"/>
    <w:rsid w:val="005630C3"/>
    <w:rsid w:val="0056353B"/>
    <w:rsid w:val="005635B7"/>
    <w:rsid w:val="00563884"/>
    <w:rsid w:val="00563CD1"/>
    <w:rsid w:val="005643CF"/>
    <w:rsid w:val="00564996"/>
    <w:rsid w:val="00565CD8"/>
    <w:rsid w:val="005663BB"/>
    <w:rsid w:val="0056655B"/>
    <w:rsid w:val="00566E0C"/>
    <w:rsid w:val="00567A3C"/>
    <w:rsid w:val="00567AB7"/>
    <w:rsid w:val="00570248"/>
    <w:rsid w:val="00570614"/>
    <w:rsid w:val="00570BA9"/>
    <w:rsid w:val="00570D59"/>
    <w:rsid w:val="00570F3A"/>
    <w:rsid w:val="00571004"/>
    <w:rsid w:val="005713BB"/>
    <w:rsid w:val="00571E0D"/>
    <w:rsid w:val="0057201A"/>
    <w:rsid w:val="00572A55"/>
    <w:rsid w:val="00572FFC"/>
    <w:rsid w:val="00573B82"/>
    <w:rsid w:val="00573C23"/>
    <w:rsid w:val="00575550"/>
    <w:rsid w:val="00575A9D"/>
    <w:rsid w:val="00575E4C"/>
    <w:rsid w:val="00575F17"/>
    <w:rsid w:val="005769F9"/>
    <w:rsid w:val="00576E84"/>
    <w:rsid w:val="005771E8"/>
    <w:rsid w:val="005774BC"/>
    <w:rsid w:val="005778E0"/>
    <w:rsid w:val="005778FD"/>
    <w:rsid w:val="00580460"/>
    <w:rsid w:val="00580983"/>
    <w:rsid w:val="00580DF3"/>
    <w:rsid w:val="00581232"/>
    <w:rsid w:val="005813DA"/>
    <w:rsid w:val="00581451"/>
    <w:rsid w:val="00581A5F"/>
    <w:rsid w:val="00582670"/>
    <w:rsid w:val="00582A83"/>
    <w:rsid w:val="0058313A"/>
    <w:rsid w:val="00583CFA"/>
    <w:rsid w:val="00584610"/>
    <w:rsid w:val="0058497A"/>
    <w:rsid w:val="00584A6C"/>
    <w:rsid w:val="00584D66"/>
    <w:rsid w:val="0058543E"/>
    <w:rsid w:val="0058559A"/>
    <w:rsid w:val="00585729"/>
    <w:rsid w:val="00586625"/>
    <w:rsid w:val="0058690C"/>
    <w:rsid w:val="00586B29"/>
    <w:rsid w:val="00586F53"/>
    <w:rsid w:val="00587721"/>
    <w:rsid w:val="0058788F"/>
    <w:rsid w:val="00587AE1"/>
    <w:rsid w:val="00590532"/>
    <w:rsid w:val="00590BB5"/>
    <w:rsid w:val="00590FE7"/>
    <w:rsid w:val="00591674"/>
    <w:rsid w:val="00592062"/>
    <w:rsid w:val="005920BE"/>
    <w:rsid w:val="005927DC"/>
    <w:rsid w:val="00592EFF"/>
    <w:rsid w:val="00593589"/>
    <w:rsid w:val="00595C34"/>
    <w:rsid w:val="00595DE6"/>
    <w:rsid w:val="00595E51"/>
    <w:rsid w:val="0059629E"/>
    <w:rsid w:val="005963F5"/>
    <w:rsid w:val="0059644F"/>
    <w:rsid w:val="00596A2B"/>
    <w:rsid w:val="00597371"/>
    <w:rsid w:val="005974AD"/>
    <w:rsid w:val="00597980"/>
    <w:rsid w:val="005987EC"/>
    <w:rsid w:val="005A0C9A"/>
    <w:rsid w:val="005A11E5"/>
    <w:rsid w:val="005A122B"/>
    <w:rsid w:val="005A281E"/>
    <w:rsid w:val="005A30E7"/>
    <w:rsid w:val="005A3C23"/>
    <w:rsid w:val="005A4121"/>
    <w:rsid w:val="005A46A4"/>
    <w:rsid w:val="005A4CCA"/>
    <w:rsid w:val="005A53AD"/>
    <w:rsid w:val="005A58BC"/>
    <w:rsid w:val="005A6788"/>
    <w:rsid w:val="005A6E8D"/>
    <w:rsid w:val="005A7460"/>
    <w:rsid w:val="005A75FC"/>
    <w:rsid w:val="005A7C3A"/>
    <w:rsid w:val="005A7FC5"/>
    <w:rsid w:val="005B0F7B"/>
    <w:rsid w:val="005B1457"/>
    <w:rsid w:val="005B1BE4"/>
    <w:rsid w:val="005B1F35"/>
    <w:rsid w:val="005B2016"/>
    <w:rsid w:val="005B20D2"/>
    <w:rsid w:val="005B2534"/>
    <w:rsid w:val="005B2597"/>
    <w:rsid w:val="005B28A5"/>
    <w:rsid w:val="005B2B97"/>
    <w:rsid w:val="005B2CAD"/>
    <w:rsid w:val="005B2F41"/>
    <w:rsid w:val="005B30FF"/>
    <w:rsid w:val="005B36BA"/>
    <w:rsid w:val="005B3990"/>
    <w:rsid w:val="005B3C3F"/>
    <w:rsid w:val="005B3D9A"/>
    <w:rsid w:val="005B3FD5"/>
    <w:rsid w:val="005B4155"/>
    <w:rsid w:val="005B45BE"/>
    <w:rsid w:val="005B45EA"/>
    <w:rsid w:val="005B4B7F"/>
    <w:rsid w:val="005B4DA2"/>
    <w:rsid w:val="005B4ED9"/>
    <w:rsid w:val="005B507A"/>
    <w:rsid w:val="005B50C0"/>
    <w:rsid w:val="005B5A88"/>
    <w:rsid w:val="005B5AEA"/>
    <w:rsid w:val="005B5DE2"/>
    <w:rsid w:val="005B615B"/>
    <w:rsid w:val="005B6539"/>
    <w:rsid w:val="005B67DC"/>
    <w:rsid w:val="005B6F06"/>
    <w:rsid w:val="005B72C6"/>
    <w:rsid w:val="005B7478"/>
    <w:rsid w:val="005B7D8A"/>
    <w:rsid w:val="005BD4D1"/>
    <w:rsid w:val="005C0939"/>
    <w:rsid w:val="005C09DD"/>
    <w:rsid w:val="005C0ACB"/>
    <w:rsid w:val="005C0E0A"/>
    <w:rsid w:val="005C0E88"/>
    <w:rsid w:val="005C1015"/>
    <w:rsid w:val="005C1164"/>
    <w:rsid w:val="005C125D"/>
    <w:rsid w:val="005C1452"/>
    <w:rsid w:val="005C20AA"/>
    <w:rsid w:val="005C2F8E"/>
    <w:rsid w:val="005C36B9"/>
    <w:rsid w:val="005C37DE"/>
    <w:rsid w:val="005C4050"/>
    <w:rsid w:val="005C4248"/>
    <w:rsid w:val="005C4304"/>
    <w:rsid w:val="005C50A2"/>
    <w:rsid w:val="005C5383"/>
    <w:rsid w:val="005C550E"/>
    <w:rsid w:val="005C6C12"/>
    <w:rsid w:val="005C6F3B"/>
    <w:rsid w:val="005C7993"/>
    <w:rsid w:val="005D02F2"/>
    <w:rsid w:val="005D0872"/>
    <w:rsid w:val="005D0B30"/>
    <w:rsid w:val="005D101D"/>
    <w:rsid w:val="005D11F3"/>
    <w:rsid w:val="005D138C"/>
    <w:rsid w:val="005D1CF9"/>
    <w:rsid w:val="005D1DA2"/>
    <w:rsid w:val="005D29CD"/>
    <w:rsid w:val="005D2BFB"/>
    <w:rsid w:val="005D431B"/>
    <w:rsid w:val="005D5799"/>
    <w:rsid w:val="005D57AA"/>
    <w:rsid w:val="005D5949"/>
    <w:rsid w:val="005D5F26"/>
    <w:rsid w:val="005D5FA4"/>
    <w:rsid w:val="005D62BF"/>
    <w:rsid w:val="005D6308"/>
    <w:rsid w:val="005D70F5"/>
    <w:rsid w:val="005E052A"/>
    <w:rsid w:val="005E0653"/>
    <w:rsid w:val="005E09E6"/>
    <w:rsid w:val="005E1B20"/>
    <w:rsid w:val="005E1CC0"/>
    <w:rsid w:val="005E228A"/>
    <w:rsid w:val="005E2AB1"/>
    <w:rsid w:val="005E2C60"/>
    <w:rsid w:val="005E2CC4"/>
    <w:rsid w:val="005E2DF4"/>
    <w:rsid w:val="005E368B"/>
    <w:rsid w:val="005E368E"/>
    <w:rsid w:val="005E36EF"/>
    <w:rsid w:val="005E3914"/>
    <w:rsid w:val="005E3E5D"/>
    <w:rsid w:val="005E4517"/>
    <w:rsid w:val="005E4D10"/>
    <w:rsid w:val="005E51E8"/>
    <w:rsid w:val="005E57BF"/>
    <w:rsid w:val="005E62AA"/>
    <w:rsid w:val="005E63AB"/>
    <w:rsid w:val="005E6553"/>
    <w:rsid w:val="005E6732"/>
    <w:rsid w:val="005E6895"/>
    <w:rsid w:val="005E713F"/>
    <w:rsid w:val="005E7416"/>
    <w:rsid w:val="005E7D05"/>
    <w:rsid w:val="005E7F03"/>
    <w:rsid w:val="005F0917"/>
    <w:rsid w:val="005F12C1"/>
    <w:rsid w:val="005F1A72"/>
    <w:rsid w:val="005F1B46"/>
    <w:rsid w:val="005F2020"/>
    <w:rsid w:val="005F203A"/>
    <w:rsid w:val="005F2704"/>
    <w:rsid w:val="005F2909"/>
    <w:rsid w:val="005F2A00"/>
    <w:rsid w:val="005F2EF9"/>
    <w:rsid w:val="005F3D20"/>
    <w:rsid w:val="005F428B"/>
    <w:rsid w:val="005F539B"/>
    <w:rsid w:val="005F5ADF"/>
    <w:rsid w:val="005F5D35"/>
    <w:rsid w:val="005F6059"/>
    <w:rsid w:val="005F61CA"/>
    <w:rsid w:val="005F65BD"/>
    <w:rsid w:val="005F6BDE"/>
    <w:rsid w:val="005F71E4"/>
    <w:rsid w:val="005F742D"/>
    <w:rsid w:val="00600627"/>
    <w:rsid w:val="00600AFA"/>
    <w:rsid w:val="00600FAA"/>
    <w:rsid w:val="00600FD2"/>
    <w:rsid w:val="006017EC"/>
    <w:rsid w:val="00602142"/>
    <w:rsid w:val="00602280"/>
    <w:rsid w:val="00602292"/>
    <w:rsid w:val="006025D8"/>
    <w:rsid w:val="00602928"/>
    <w:rsid w:val="0060309F"/>
    <w:rsid w:val="00603567"/>
    <w:rsid w:val="0060360E"/>
    <w:rsid w:val="00603654"/>
    <w:rsid w:val="006039F2"/>
    <w:rsid w:val="00604387"/>
    <w:rsid w:val="00604461"/>
    <w:rsid w:val="0060465B"/>
    <w:rsid w:val="00604EF1"/>
    <w:rsid w:val="00605307"/>
    <w:rsid w:val="0060568A"/>
    <w:rsid w:val="00605E8A"/>
    <w:rsid w:val="0060605C"/>
    <w:rsid w:val="00606161"/>
    <w:rsid w:val="00606B89"/>
    <w:rsid w:val="00606B93"/>
    <w:rsid w:val="00606F0F"/>
    <w:rsid w:val="006071BE"/>
    <w:rsid w:val="006071EC"/>
    <w:rsid w:val="0061035A"/>
    <w:rsid w:val="0061059F"/>
    <w:rsid w:val="00610A26"/>
    <w:rsid w:val="00610DCD"/>
    <w:rsid w:val="0061117A"/>
    <w:rsid w:val="006123AC"/>
    <w:rsid w:val="00612A3B"/>
    <w:rsid w:val="00612C54"/>
    <w:rsid w:val="00612E69"/>
    <w:rsid w:val="00612FB0"/>
    <w:rsid w:val="00613529"/>
    <w:rsid w:val="0061394C"/>
    <w:rsid w:val="00613D8E"/>
    <w:rsid w:val="00614A66"/>
    <w:rsid w:val="00614EE7"/>
    <w:rsid w:val="006150F9"/>
    <w:rsid w:val="0061549C"/>
    <w:rsid w:val="00615C91"/>
    <w:rsid w:val="00615E62"/>
    <w:rsid w:val="00615F72"/>
    <w:rsid w:val="006160B7"/>
    <w:rsid w:val="006168ED"/>
    <w:rsid w:val="00616E20"/>
    <w:rsid w:val="0061711C"/>
    <w:rsid w:val="006178B7"/>
    <w:rsid w:val="00620343"/>
    <w:rsid w:val="0062072D"/>
    <w:rsid w:val="006210B1"/>
    <w:rsid w:val="006211A5"/>
    <w:rsid w:val="006212E4"/>
    <w:rsid w:val="00621656"/>
    <w:rsid w:val="00621B47"/>
    <w:rsid w:val="00622669"/>
    <w:rsid w:val="00622871"/>
    <w:rsid w:val="00622A73"/>
    <w:rsid w:val="00623FAE"/>
    <w:rsid w:val="006244C1"/>
    <w:rsid w:val="006244E6"/>
    <w:rsid w:val="00624854"/>
    <w:rsid w:val="006249B3"/>
    <w:rsid w:val="0062542A"/>
    <w:rsid w:val="00625536"/>
    <w:rsid w:val="0062589C"/>
    <w:rsid w:val="006258D9"/>
    <w:rsid w:val="00626926"/>
    <w:rsid w:val="00626A26"/>
    <w:rsid w:val="00626BBA"/>
    <w:rsid w:val="00626EF7"/>
    <w:rsid w:val="006274B9"/>
    <w:rsid w:val="00627768"/>
    <w:rsid w:val="006302FA"/>
    <w:rsid w:val="00630A12"/>
    <w:rsid w:val="00630AAA"/>
    <w:rsid w:val="00630B50"/>
    <w:rsid w:val="0063165D"/>
    <w:rsid w:val="00631BD9"/>
    <w:rsid w:val="00631D80"/>
    <w:rsid w:val="00632014"/>
    <w:rsid w:val="006324C1"/>
    <w:rsid w:val="00633119"/>
    <w:rsid w:val="006334E1"/>
    <w:rsid w:val="006347B5"/>
    <w:rsid w:val="00635536"/>
    <w:rsid w:val="006365C3"/>
    <w:rsid w:val="00636B5B"/>
    <w:rsid w:val="00636DEB"/>
    <w:rsid w:val="00637891"/>
    <w:rsid w:val="00637C4A"/>
    <w:rsid w:val="006406AD"/>
    <w:rsid w:val="00640AA0"/>
    <w:rsid w:val="00640E5F"/>
    <w:rsid w:val="00640F53"/>
    <w:rsid w:val="00641050"/>
    <w:rsid w:val="00641AD2"/>
    <w:rsid w:val="00641DFC"/>
    <w:rsid w:val="00642210"/>
    <w:rsid w:val="00642215"/>
    <w:rsid w:val="006423D0"/>
    <w:rsid w:val="0064260A"/>
    <w:rsid w:val="006430CE"/>
    <w:rsid w:val="006446BF"/>
    <w:rsid w:val="00644CAD"/>
    <w:rsid w:val="00644F18"/>
    <w:rsid w:val="006451E3"/>
    <w:rsid w:val="00645316"/>
    <w:rsid w:val="00645A75"/>
    <w:rsid w:val="00645AF6"/>
    <w:rsid w:val="00645DD4"/>
    <w:rsid w:val="00645F8F"/>
    <w:rsid w:val="006462B4"/>
    <w:rsid w:val="00646364"/>
    <w:rsid w:val="006463A5"/>
    <w:rsid w:val="006477E9"/>
    <w:rsid w:val="00647B7B"/>
    <w:rsid w:val="00647F3C"/>
    <w:rsid w:val="006504F8"/>
    <w:rsid w:val="00650E34"/>
    <w:rsid w:val="006511CB"/>
    <w:rsid w:val="00652447"/>
    <w:rsid w:val="00652895"/>
    <w:rsid w:val="00652A39"/>
    <w:rsid w:val="0065328A"/>
    <w:rsid w:val="006532A5"/>
    <w:rsid w:val="00654281"/>
    <w:rsid w:val="006542CF"/>
    <w:rsid w:val="00654704"/>
    <w:rsid w:val="00654B8C"/>
    <w:rsid w:val="006552A4"/>
    <w:rsid w:val="0065573D"/>
    <w:rsid w:val="0065588C"/>
    <w:rsid w:val="00655C7D"/>
    <w:rsid w:val="00655EA3"/>
    <w:rsid w:val="0065619C"/>
    <w:rsid w:val="00656471"/>
    <w:rsid w:val="0065649B"/>
    <w:rsid w:val="00656A46"/>
    <w:rsid w:val="00657330"/>
    <w:rsid w:val="006574F1"/>
    <w:rsid w:val="006576A7"/>
    <w:rsid w:val="00657880"/>
    <w:rsid w:val="00657BFE"/>
    <w:rsid w:val="00657D73"/>
    <w:rsid w:val="006603A1"/>
    <w:rsid w:val="00660504"/>
    <w:rsid w:val="0066057C"/>
    <w:rsid w:val="00660D3F"/>
    <w:rsid w:val="00660E27"/>
    <w:rsid w:val="00660EE7"/>
    <w:rsid w:val="00661665"/>
    <w:rsid w:val="00661A6F"/>
    <w:rsid w:val="00661AAD"/>
    <w:rsid w:val="00661DEC"/>
    <w:rsid w:val="00662957"/>
    <w:rsid w:val="00663354"/>
    <w:rsid w:val="0066351C"/>
    <w:rsid w:val="0066387C"/>
    <w:rsid w:val="006639E6"/>
    <w:rsid w:val="00663CCE"/>
    <w:rsid w:val="0066403C"/>
    <w:rsid w:val="006640E2"/>
    <w:rsid w:val="00664342"/>
    <w:rsid w:val="00664FB9"/>
    <w:rsid w:val="00664FEA"/>
    <w:rsid w:val="006650EE"/>
    <w:rsid w:val="00666229"/>
    <w:rsid w:val="00666CF4"/>
    <w:rsid w:val="00666E30"/>
    <w:rsid w:val="00667164"/>
    <w:rsid w:val="0066717B"/>
    <w:rsid w:val="006676E6"/>
    <w:rsid w:val="00671156"/>
    <w:rsid w:val="0067191E"/>
    <w:rsid w:val="00671B95"/>
    <w:rsid w:val="006720F7"/>
    <w:rsid w:val="00672133"/>
    <w:rsid w:val="006725F1"/>
    <w:rsid w:val="0067261B"/>
    <w:rsid w:val="006726C8"/>
    <w:rsid w:val="00672763"/>
    <w:rsid w:val="006728C0"/>
    <w:rsid w:val="0067309C"/>
    <w:rsid w:val="00673374"/>
    <w:rsid w:val="00674060"/>
    <w:rsid w:val="00674373"/>
    <w:rsid w:val="0067478A"/>
    <w:rsid w:val="00674B6B"/>
    <w:rsid w:val="00674CB6"/>
    <w:rsid w:val="0067541F"/>
    <w:rsid w:val="006754AE"/>
    <w:rsid w:val="00675794"/>
    <w:rsid w:val="00675944"/>
    <w:rsid w:val="00675D6B"/>
    <w:rsid w:val="0067680A"/>
    <w:rsid w:val="006773B4"/>
    <w:rsid w:val="006773D8"/>
    <w:rsid w:val="00677682"/>
    <w:rsid w:val="006803E3"/>
    <w:rsid w:val="0068045A"/>
    <w:rsid w:val="00681394"/>
    <w:rsid w:val="00681C03"/>
    <w:rsid w:val="00681EBF"/>
    <w:rsid w:val="00682328"/>
    <w:rsid w:val="0068251A"/>
    <w:rsid w:val="0068286A"/>
    <w:rsid w:val="00682F19"/>
    <w:rsid w:val="006831FC"/>
    <w:rsid w:val="00683676"/>
    <w:rsid w:val="00683D4A"/>
    <w:rsid w:val="00683DAB"/>
    <w:rsid w:val="0068418D"/>
    <w:rsid w:val="006845A3"/>
    <w:rsid w:val="00684C8B"/>
    <w:rsid w:val="00684DBD"/>
    <w:rsid w:val="0068522F"/>
    <w:rsid w:val="00685E32"/>
    <w:rsid w:val="00685F09"/>
    <w:rsid w:val="006861A8"/>
    <w:rsid w:val="006861E6"/>
    <w:rsid w:val="00686F8A"/>
    <w:rsid w:val="00686FD2"/>
    <w:rsid w:val="006871FB"/>
    <w:rsid w:val="00687483"/>
    <w:rsid w:val="006875F0"/>
    <w:rsid w:val="006903B3"/>
    <w:rsid w:val="00690716"/>
    <w:rsid w:val="00690736"/>
    <w:rsid w:val="006908CC"/>
    <w:rsid w:val="00690CE1"/>
    <w:rsid w:val="006918E8"/>
    <w:rsid w:val="00691941"/>
    <w:rsid w:val="00691D09"/>
    <w:rsid w:val="00691EEB"/>
    <w:rsid w:val="00691F0C"/>
    <w:rsid w:val="00691F1F"/>
    <w:rsid w:val="00692725"/>
    <w:rsid w:val="006930BA"/>
    <w:rsid w:val="00693244"/>
    <w:rsid w:val="00693251"/>
    <w:rsid w:val="00693521"/>
    <w:rsid w:val="00694044"/>
    <w:rsid w:val="00694C41"/>
    <w:rsid w:val="00695881"/>
    <w:rsid w:val="00695F42"/>
    <w:rsid w:val="00696BD3"/>
    <w:rsid w:val="00696E40"/>
    <w:rsid w:val="00697128"/>
    <w:rsid w:val="006973C3"/>
    <w:rsid w:val="006976B1"/>
    <w:rsid w:val="00697750"/>
    <w:rsid w:val="006A05E1"/>
    <w:rsid w:val="006A0931"/>
    <w:rsid w:val="006A1C57"/>
    <w:rsid w:val="006A2581"/>
    <w:rsid w:val="006A2EFF"/>
    <w:rsid w:val="006A2F1F"/>
    <w:rsid w:val="006A38E9"/>
    <w:rsid w:val="006A3CDB"/>
    <w:rsid w:val="006A4318"/>
    <w:rsid w:val="006A4D0D"/>
    <w:rsid w:val="006A5273"/>
    <w:rsid w:val="006A584B"/>
    <w:rsid w:val="006A6488"/>
    <w:rsid w:val="006A6601"/>
    <w:rsid w:val="006A686B"/>
    <w:rsid w:val="006A6AEB"/>
    <w:rsid w:val="006A6F82"/>
    <w:rsid w:val="006A7039"/>
    <w:rsid w:val="006A72D4"/>
    <w:rsid w:val="006A73B9"/>
    <w:rsid w:val="006A74A5"/>
    <w:rsid w:val="006A76F0"/>
    <w:rsid w:val="006B010C"/>
    <w:rsid w:val="006B0116"/>
    <w:rsid w:val="006B0416"/>
    <w:rsid w:val="006B0937"/>
    <w:rsid w:val="006B0D20"/>
    <w:rsid w:val="006B0EBD"/>
    <w:rsid w:val="006B1267"/>
    <w:rsid w:val="006B18E3"/>
    <w:rsid w:val="006B1953"/>
    <w:rsid w:val="006B1B69"/>
    <w:rsid w:val="006B1ED4"/>
    <w:rsid w:val="006B2666"/>
    <w:rsid w:val="006B29A2"/>
    <w:rsid w:val="006B2AAE"/>
    <w:rsid w:val="006B2AE5"/>
    <w:rsid w:val="006B2F0B"/>
    <w:rsid w:val="006B393B"/>
    <w:rsid w:val="006B467C"/>
    <w:rsid w:val="006B5143"/>
    <w:rsid w:val="006B5636"/>
    <w:rsid w:val="006B572A"/>
    <w:rsid w:val="006B59C6"/>
    <w:rsid w:val="006B5F6B"/>
    <w:rsid w:val="006B671B"/>
    <w:rsid w:val="006B671C"/>
    <w:rsid w:val="006B6878"/>
    <w:rsid w:val="006B6E21"/>
    <w:rsid w:val="006B6ED4"/>
    <w:rsid w:val="006B7462"/>
    <w:rsid w:val="006C0497"/>
    <w:rsid w:val="006C0CE4"/>
    <w:rsid w:val="006C0DFA"/>
    <w:rsid w:val="006C17DA"/>
    <w:rsid w:val="006C222F"/>
    <w:rsid w:val="006C23A9"/>
    <w:rsid w:val="006C2AF9"/>
    <w:rsid w:val="006C3BEC"/>
    <w:rsid w:val="006C4502"/>
    <w:rsid w:val="006C4F5B"/>
    <w:rsid w:val="006C5555"/>
    <w:rsid w:val="006C5B83"/>
    <w:rsid w:val="006C5E72"/>
    <w:rsid w:val="006C5F31"/>
    <w:rsid w:val="006C6815"/>
    <w:rsid w:val="006C68AD"/>
    <w:rsid w:val="006C71C4"/>
    <w:rsid w:val="006C7D74"/>
    <w:rsid w:val="006CD674"/>
    <w:rsid w:val="006D021E"/>
    <w:rsid w:val="006D05C4"/>
    <w:rsid w:val="006D098A"/>
    <w:rsid w:val="006D0F8A"/>
    <w:rsid w:val="006D1AB5"/>
    <w:rsid w:val="006D2A02"/>
    <w:rsid w:val="006D2A28"/>
    <w:rsid w:val="006D3CA5"/>
    <w:rsid w:val="006D3DB4"/>
    <w:rsid w:val="006D4017"/>
    <w:rsid w:val="006D4146"/>
    <w:rsid w:val="006D43E9"/>
    <w:rsid w:val="006D4406"/>
    <w:rsid w:val="006D44DB"/>
    <w:rsid w:val="006D46C3"/>
    <w:rsid w:val="006D5114"/>
    <w:rsid w:val="006D5503"/>
    <w:rsid w:val="006D5517"/>
    <w:rsid w:val="006D5EFC"/>
    <w:rsid w:val="006D5FD7"/>
    <w:rsid w:val="006D6CDA"/>
    <w:rsid w:val="006D732F"/>
    <w:rsid w:val="006D7620"/>
    <w:rsid w:val="006D77E8"/>
    <w:rsid w:val="006D79A0"/>
    <w:rsid w:val="006D7B91"/>
    <w:rsid w:val="006E09CD"/>
    <w:rsid w:val="006E0E53"/>
    <w:rsid w:val="006E1511"/>
    <w:rsid w:val="006E1638"/>
    <w:rsid w:val="006E19CF"/>
    <w:rsid w:val="006E21E1"/>
    <w:rsid w:val="006E2298"/>
    <w:rsid w:val="006E250B"/>
    <w:rsid w:val="006E29C6"/>
    <w:rsid w:val="006E2E79"/>
    <w:rsid w:val="006E2FE1"/>
    <w:rsid w:val="006E3DE6"/>
    <w:rsid w:val="006E4402"/>
    <w:rsid w:val="006E4604"/>
    <w:rsid w:val="006E4CCB"/>
    <w:rsid w:val="006E508A"/>
    <w:rsid w:val="006E58E4"/>
    <w:rsid w:val="006E6A83"/>
    <w:rsid w:val="006E6BA9"/>
    <w:rsid w:val="006E6CA7"/>
    <w:rsid w:val="006E7040"/>
    <w:rsid w:val="006E7F1C"/>
    <w:rsid w:val="006F0395"/>
    <w:rsid w:val="006F0584"/>
    <w:rsid w:val="006F1B06"/>
    <w:rsid w:val="006F1BD8"/>
    <w:rsid w:val="006F1FEC"/>
    <w:rsid w:val="006F2B1F"/>
    <w:rsid w:val="006F2D84"/>
    <w:rsid w:val="006F2F7C"/>
    <w:rsid w:val="006F33C1"/>
    <w:rsid w:val="006F33DD"/>
    <w:rsid w:val="006F3E78"/>
    <w:rsid w:val="006F4665"/>
    <w:rsid w:val="006F4667"/>
    <w:rsid w:val="006F50AD"/>
    <w:rsid w:val="006F535A"/>
    <w:rsid w:val="006F569D"/>
    <w:rsid w:val="006F5B23"/>
    <w:rsid w:val="006F5C02"/>
    <w:rsid w:val="006F5EA7"/>
    <w:rsid w:val="006F6A20"/>
    <w:rsid w:val="006F6B24"/>
    <w:rsid w:val="006F6B55"/>
    <w:rsid w:val="006F6B56"/>
    <w:rsid w:val="006F7A66"/>
    <w:rsid w:val="00700BCA"/>
    <w:rsid w:val="00700F56"/>
    <w:rsid w:val="00701116"/>
    <w:rsid w:val="00701787"/>
    <w:rsid w:val="00701A96"/>
    <w:rsid w:val="00702593"/>
    <w:rsid w:val="0070260B"/>
    <w:rsid w:val="00702DD9"/>
    <w:rsid w:val="00702F04"/>
    <w:rsid w:val="00703724"/>
    <w:rsid w:val="007042FC"/>
    <w:rsid w:val="00704B0B"/>
    <w:rsid w:val="00704D20"/>
    <w:rsid w:val="00705084"/>
    <w:rsid w:val="007051F3"/>
    <w:rsid w:val="007064F0"/>
    <w:rsid w:val="00707B4A"/>
    <w:rsid w:val="00707BF4"/>
    <w:rsid w:val="00707F26"/>
    <w:rsid w:val="00707FEF"/>
    <w:rsid w:val="0070EA77"/>
    <w:rsid w:val="00710142"/>
    <w:rsid w:val="0071033D"/>
    <w:rsid w:val="00710E03"/>
    <w:rsid w:val="00710FA9"/>
    <w:rsid w:val="0071181B"/>
    <w:rsid w:val="00711C20"/>
    <w:rsid w:val="00712453"/>
    <w:rsid w:val="0071253F"/>
    <w:rsid w:val="007126C6"/>
    <w:rsid w:val="007129EE"/>
    <w:rsid w:val="00712D54"/>
    <w:rsid w:val="00712F4E"/>
    <w:rsid w:val="00712F58"/>
    <w:rsid w:val="00712F72"/>
    <w:rsid w:val="007134D9"/>
    <w:rsid w:val="0071359E"/>
    <w:rsid w:val="007147CB"/>
    <w:rsid w:val="007147D5"/>
    <w:rsid w:val="00715214"/>
    <w:rsid w:val="007152D9"/>
    <w:rsid w:val="00715453"/>
    <w:rsid w:val="00716347"/>
    <w:rsid w:val="007165A6"/>
    <w:rsid w:val="00716715"/>
    <w:rsid w:val="0071747C"/>
    <w:rsid w:val="00717BF6"/>
    <w:rsid w:val="00720AD9"/>
    <w:rsid w:val="00720B92"/>
    <w:rsid w:val="00720D8D"/>
    <w:rsid w:val="00720E6F"/>
    <w:rsid w:val="00721A86"/>
    <w:rsid w:val="00721E3E"/>
    <w:rsid w:val="007220C3"/>
    <w:rsid w:val="00722600"/>
    <w:rsid w:val="007228A9"/>
    <w:rsid w:val="007228BF"/>
    <w:rsid w:val="00722D7B"/>
    <w:rsid w:val="00722F6E"/>
    <w:rsid w:val="00723149"/>
    <w:rsid w:val="007237B0"/>
    <w:rsid w:val="007246A0"/>
    <w:rsid w:val="007248A9"/>
    <w:rsid w:val="007248D1"/>
    <w:rsid w:val="00724A56"/>
    <w:rsid w:val="00724F21"/>
    <w:rsid w:val="007253DD"/>
    <w:rsid w:val="00725DA8"/>
    <w:rsid w:val="007260E2"/>
    <w:rsid w:val="00726471"/>
    <w:rsid w:val="00726BC3"/>
    <w:rsid w:val="00726D7D"/>
    <w:rsid w:val="00727833"/>
    <w:rsid w:val="007278A2"/>
    <w:rsid w:val="00730B31"/>
    <w:rsid w:val="0073123E"/>
    <w:rsid w:val="007312E1"/>
    <w:rsid w:val="00731A3E"/>
    <w:rsid w:val="00731B5B"/>
    <w:rsid w:val="00731D4E"/>
    <w:rsid w:val="00732547"/>
    <w:rsid w:val="00732738"/>
    <w:rsid w:val="00732F84"/>
    <w:rsid w:val="00733C1B"/>
    <w:rsid w:val="00733DFC"/>
    <w:rsid w:val="0073429F"/>
    <w:rsid w:val="007345EF"/>
    <w:rsid w:val="007346A6"/>
    <w:rsid w:val="00735422"/>
    <w:rsid w:val="007365D1"/>
    <w:rsid w:val="00736AFB"/>
    <w:rsid w:val="00737B07"/>
    <w:rsid w:val="00737DBE"/>
    <w:rsid w:val="0073B697"/>
    <w:rsid w:val="007400C8"/>
    <w:rsid w:val="00740CDC"/>
    <w:rsid w:val="00740EC7"/>
    <w:rsid w:val="00741D01"/>
    <w:rsid w:val="0074265B"/>
    <w:rsid w:val="00742C58"/>
    <w:rsid w:val="00742D36"/>
    <w:rsid w:val="00743044"/>
    <w:rsid w:val="007437B9"/>
    <w:rsid w:val="00743ADC"/>
    <w:rsid w:val="0074472A"/>
    <w:rsid w:val="00744C5F"/>
    <w:rsid w:val="007455B8"/>
    <w:rsid w:val="00745EB4"/>
    <w:rsid w:val="00745F19"/>
    <w:rsid w:val="00746335"/>
    <w:rsid w:val="00746629"/>
    <w:rsid w:val="00746AA7"/>
    <w:rsid w:val="00746C02"/>
    <w:rsid w:val="0075005A"/>
    <w:rsid w:val="00750082"/>
    <w:rsid w:val="00750247"/>
    <w:rsid w:val="00750A00"/>
    <w:rsid w:val="00750BC2"/>
    <w:rsid w:val="00750E3C"/>
    <w:rsid w:val="007510C0"/>
    <w:rsid w:val="00751D93"/>
    <w:rsid w:val="0075209F"/>
    <w:rsid w:val="007528EE"/>
    <w:rsid w:val="00752F0F"/>
    <w:rsid w:val="00753FC3"/>
    <w:rsid w:val="00754E6B"/>
    <w:rsid w:val="00755279"/>
    <w:rsid w:val="00756945"/>
    <w:rsid w:val="007570FD"/>
    <w:rsid w:val="007572A9"/>
    <w:rsid w:val="00757314"/>
    <w:rsid w:val="00757362"/>
    <w:rsid w:val="00757960"/>
    <w:rsid w:val="00760123"/>
    <w:rsid w:val="007603D3"/>
    <w:rsid w:val="007607C7"/>
    <w:rsid w:val="00760ED7"/>
    <w:rsid w:val="00761200"/>
    <w:rsid w:val="00761403"/>
    <w:rsid w:val="007615D3"/>
    <w:rsid w:val="007615F3"/>
    <w:rsid w:val="007617DD"/>
    <w:rsid w:val="00761BDD"/>
    <w:rsid w:val="00762614"/>
    <w:rsid w:val="00762926"/>
    <w:rsid w:val="00762A06"/>
    <w:rsid w:val="0076310E"/>
    <w:rsid w:val="007634B2"/>
    <w:rsid w:val="007635D6"/>
    <w:rsid w:val="00763895"/>
    <w:rsid w:val="00763A08"/>
    <w:rsid w:val="00763B4D"/>
    <w:rsid w:val="00763C58"/>
    <w:rsid w:val="0076412A"/>
    <w:rsid w:val="007643D4"/>
    <w:rsid w:val="00764682"/>
    <w:rsid w:val="0076485A"/>
    <w:rsid w:val="00764C60"/>
    <w:rsid w:val="00764C95"/>
    <w:rsid w:val="0076506A"/>
    <w:rsid w:val="007663C6"/>
    <w:rsid w:val="00766463"/>
    <w:rsid w:val="00766B2B"/>
    <w:rsid w:val="00766DCB"/>
    <w:rsid w:val="00766FCF"/>
    <w:rsid w:val="007672AE"/>
    <w:rsid w:val="00767758"/>
    <w:rsid w:val="007679C2"/>
    <w:rsid w:val="00767E28"/>
    <w:rsid w:val="00770544"/>
    <w:rsid w:val="0077066C"/>
    <w:rsid w:val="00770D06"/>
    <w:rsid w:val="007728E8"/>
    <w:rsid w:val="00772C88"/>
    <w:rsid w:val="007734B2"/>
    <w:rsid w:val="00774637"/>
    <w:rsid w:val="007747D3"/>
    <w:rsid w:val="00774C8F"/>
    <w:rsid w:val="0077541A"/>
    <w:rsid w:val="007756B2"/>
    <w:rsid w:val="00775839"/>
    <w:rsid w:val="00775C93"/>
    <w:rsid w:val="0077653D"/>
    <w:rsid w:val="007768BF"/>
    <w:rsid w:val="00776AD3"/>
    <w:rsid w:val="00776B45"/>
    <w:rsid w:val="00776F14"/>
    <w:rsid w:val="00777169"/>
    <w:rsid w:val="0077736B"/>
    <w:rsid w:val="007776FD"/>
    <w:rsid w:val="0077770F"/>
    <w:rsid w:val="00777816"/>
    <w:rsid w:val="0077AC91"/>
    <w:rsid w:val="0077E602"/>
    <w:rsid w:val="007802E5"/>
    <w:rsid w:val="007806A4"/>
    <w:rsid w:val="00780C5D"/>
    <w:rsid w:val="00780E6C"/>
    <w:rsid w:val="007811C4"/>
    <w:rsid w:val="00781CA9"/>
    <w:rsid w:val="00781ED0"/>
    <w:rsid w:val="00782179"/>
    <w:rsid w:val="00782D5D"/>
    <w:rsid w:val="00783909"/>
    <w:rsid w:val="00783AB1"/>
    <w:rsid w:val="00783D1D"/>
    <w:rsid w:val="00783FC5"/>
    <w:rsid w:val="00784A0D"/>
    <w:rsid w:val="00785108"/>
    <w:rsid w:val="007853CB"/>
    <w:rsid w:val="00785CF3"/>
    <w:rsid w:val="0078677E"/>
    <w:rsid w:val="007868A7"/>
    <w:rsid w:val="00786E05"/>
    <w:rsid w:val="007877A3"/>
    <w:rsid w:val="00787CDD"/>
    <w:rsid w:val="00790C3C"/>
    <w:rsid w:val="007915A5"/>
    <w:rsid w:val="00791689"/>
    <w:rsid w:val="0079192A"/>
    <w:rsid w:val="00791A81"/>
    <w:rsid w:val="00791AB3"/>
    <w:rsid w:val="00791CB1"/>
    <w:rsid w:val="00791D8A"/>
    <w:rsid w:val="00791FE3"/>
    <w:rsid w:val="007923DD"/>
    <w:rsid w:val="00792600"/>
    <w:rsid w:val="007927EE"/>
    <w:rsid w:val="00792A43"/>
    <w:rsid w:val="00792D5A"/>
    <w:rsid w:val="0079313E"/>
    <w:rsid w:val="00793199"/>
    <w:rsid w:val="0079332E"/>
    <w:rsid w:val="007934F4"/>
    <w:rsid w:val="0079352A"/>
    <w:rsid w:val="0079381C"/>
    <w:rsid w:val="007943B6"/>
    <w:rsid w:val="007945C4"/>
    <w:rsid w:val="0079474F"/>
    <w:rsid w:val="00794A4C"/>
    <w:rsid w:val="00794D87"/>
    <w:rsid w:val="00794DED"/>
    <w:rsid w:val="00794E5C"/>
    <w:rsid w:val="00794E81"/>
    <w:rsid w:val="0079546A"/>
    <w:rsid w:val="007957B0"/>
    <w:rsid w:val="00795901"/>
    <w:rsid w:val="007962B9"/>
    <w:rsid w:val="00796657"/>
    <w:rsid w:val="00796EE3"/>
    <w:rsid w:val="007970BE"/>
    <w:rsid w:val="007976F4"/>
    <w:rsid w:val="00797757"/>
    <w:rsid w:val="007978F6"/>
    <w:rsid w:val="007A02D8"/>
    <w:rsid w:val="007A05CB"/>
    <w:rsid w:val="007A0D22"/>
    <w:rsid w:val="007A0D2E"/>
    <w:rsid w:val="007A0DD5"/>
    <w:rsid w:val="007A147D"/>
    <w:rsid w:val="007A1AED"/>
    <w:rsid w:val="007A1B48"/>
    <w:rsid w:val="007A1C48"/>
    <w:rsid w:val="007A2916"/>
    <w:rsid w:val="007A29A3"/>
    <w:rsid w:val="007A3439"/>
    <w:rsid w:val="007A3A18"/>
    <w:rsid w:val="007A3D2B"/>
    <w:rsid w:val="007A3E6A"/>
    <w:rsid w:val="007A3FC7"/>
    <w:rsid w:val="007A40DC"/>
    <w:rsid w:val="007A4254"/>
    <w:rsid w:val="007A4342"/>
    <w:rsid w:val="007A43A3"/>
    <w:rsid w:val="007A444F"/>
    <w:rsid w:val="007A4E77"/>
    <w:rsid w:val="007A5136"/>
    <w:rsid w:val="007A53E9"/>
    <w:rsid w:val="007A55A8"/>
    <w:rsid w:val="007A55AD"/>
    <w:rsid w:val="007A561E"/>
    <w:rsid w:val="007A564E"/>
    <w:rsid w:val="007A5652"/>
    <w:rsid w:val="007A5918"/>
    <w:rsid w:val="007A5B4A"/>
    <w:rsid w:val="007A5F1B"/>
    <w:rsid w:val="007A65C7"/>
    <w:rsid w:val="007A6BAB"/>
    <w:rsid w:val="007A73A1"/>
    <w:rsid w:val="007A78F1"/>
    <w:rsid w:val="007A7E9E"/>
    <w:rsid w:val="007B03F8"/>
    <w:rsid w:val="007B0B5B"/>
    <w:rsid w:val="007B0D19"/>
    <w:rsid w:val="007B0DC1"/>
    <w:rsid w:val="007B12DE"/>
    <w:rsid w:val="007B1790"/>
    <w:rsid w:val="007B198E"/>
    <w:rsid w:val="007B1A62"/>
    <w:rsid w:val="007B2207"/>
    <w:rsid w:val="007B2389"/>
    <w:rsid w:val="007B2BEC"/>
    <w:rsid w:val="007B3C3A"/>
    <w:rsid w:val="007B3C7A"/>
    <w:rsid w:val="007B3CFF"/>
    <w:rsid w:val="007B4009"/>
    <w:rsid w:val="007B460C"/>
    <w:rsid w:val="007B4630"/>
    <w:rsid w:val="007B6358"/>
    <w:rsid w:val="007B6382"/>
    <w:rsid w:val="007B6547"/>
    <w:rsid w:val="007B671C"/>
    <w:rsid w:val="007B68B3"/>
    <w:rsid w:val="007B6DE2"/>
    <w:rsid w:val="007B6DF1"/>
    <w:rsid w:val="007BD82B"/>
    <w:rsid w:val="007C1388"/>
    <w:rsid w:val="007C25C2"/>
    <w:rsid w:val="007C2ECC"/>
    <w:rsid w:val="007C2FF1"/>
    <w:rsid w:val="007C36D8"/>
    <w:rsid w:val="007C377C"/>
    <w:rsid w:val="007C37C3"/>
    <w:rsid w:val="007C4569"/>
    <w:rsid w:val="007C4774"/>
    <w:rsid w:val="007C4BFB"/>
    <w:rsid w:val="007C4D03"/>
    <w:rsid w:val="007C7760"/>
    <w:rsid w:val="007D04CC"/>
    <w:rsid w:val="007D0B0B"/>
    <w:rsid w:val="007D0B66"/>
    <w:rsid w:val="007D11B6"/>
    <w:rsid w:val="007D11C1"/>
    <w:rsid w:val="007D14A7"/>
    <w:rsid w:val="007D178D"/>
    <w:rsid w:val="007D18A5"/>
    <w:rsid w:val="007D18BE"/>
    <w:rsid w:val="007D1A60"/>
    <w:rsid w:val="007D1CA3"/>
    <w:rsid w:val="007D1DAD"/>
    <w:rsid w:val="007D216E"/>
    <w:rsid w:val="007D2443"/>
    <w:rsid w:val="007D26D6"/>
    <w:rsid w:val="007D2B80"/>
    <w:rsid w:val="007D2C8B"/>
    <w:rsid w:val="007D2CF1"/>
    <w:rsid w:val="007D3585"/>
    <w:rsid w:val="007D37D9"/>
    <w:rsid w:val="007D3D54"/>
    <w:rsid w:val="007D3FC1"/>
    <w:rsid w:val="007D4383"/>
    <w:rsid w:val="007D4395"/>
    <w:rsid w:val="007D4A71"/>
    <w:rsid w:val="007D4AD2"/>
    <w:rsid w:val="007D531A"/>
    <w:rsid w:val="007D5B75"/>
    <w:rsid w:val="007D67C1"/>
    <w:rsid w:val="007D6A0F"/>
    <w:rsid w:val="007D6C08"/>
    <w:rsid w:val="007D7294"/>
    <w:rsid w:val="007D76F3"/>
    <w:rsid w:val="007D7CA1"/>
    <w:rsid w:val="007E01C8"/>
    <w:rsid w:val="007E069C"/>
    <w:rsid w:val="007E0828"/>
    <w:rsid w:val="007E2F13"/>
    <w:rsid w:val="007E2F8F"/>
    <w:rsid w:val="007E3AFF"/>
    <w:rsid w:val="007E3FFE"/>
    <w:rsid w:val="007E41EC"/>
    <w:rsid w:val="007E435B"/>
    <w:rsid w:val="007E45DD"/>
    <w:rsid w:val="007E45FC"/>
    <w:rsid w:val="007E4A1B"/>
    <w:rsid w:val="007E5423"/>
    <w:rsid w:val="007E557B"/>
    <w:rsid w:val="007E588C"/>
    <w:rsid w:val="007E62DE"/>
    <w:rsid w:val="007E6422"/>
    <w:rsid w:val="007F0DFB"/>
    <w:rsid w:val="007F106D"/>
    <w:rsid w:val="007F174C"/>
    <w:rsid w:val="007F1836"/>
    <w:rsid w:val="007F18E4"/>
    <w:rsid w:val="007F1D97"/>
    <w:rsid w:val="007F220F"/>
    <w:rsid w:val="007F273F"/>
    <w:rsid w:val="007F2875"/>
    <w:rsid w:val="007F287E"/>
    <w:rsid w:val="007F3104"/>
    <w:rsid w:val="007F337A"/>
    <w:rsid w:val="007F398A"/>
    <w:rsid w:val="007F3A02"/>
    <w:rsid w:val="007F44F3"/>
    <w:rsid w:val="007F477F"/>
    <w:rsid w:val="007F48EE"/>
    <w:rsid w:val="007F49F7"/>
    <w:rsid w:val="007F4A6E"/>
    <w:rsid w:val="007F4D95"/>
    <w:rsid w:val="007F55C8"/>
    <w:rsid w:val="007F5A55"/>
    <w:rsid w:val="007F5B81"/>
    <w:rsid w:val="007F5EFD"/>
    <w:rsid w:val="007F6E7D"/>
    <w:rsid w:val="007F7106"/>
    <w:rsid w:val="007F7AC1"/>
    <w:rsid w:val="007F7ADF"/>
    <w:rsid w:val="007F7FC4"/>
    <w:rsid w:val="00800024"/>
    <w:rsid w:val="00800106"/>
    <w:rsid w:val="0080082B"/>
    <w:rsid w:val="00800C7A"/>
    <w:rsid w:val="00800D80"/>
    <w:rsid w:val="0080156E"/>
    <w:rsid w:val="00801819"/>
    <w:rsid w:val="008018FE"/>
    <w:rsid w:val="008022FE"/>
    <w:rsid w:val="00802969"/>
    <w:rsid w:val="0080319B"/>
    <w:rsid w:val="00803931"/>
    <w:rsid w:val="0080460F"/>
    <w:rsid w:val="008053E4"/>
    <w:rsid w:val="008058C6"/>
    <w:rsid w:val="008058F9"/>
    <w:rsid w:val="008059F0"/>
    <w:rsid w:val="00805AD4"/>
    <w:rsid w:val="00805D63"/>
    <w:rsid w:val="0080611A"/>
    <w:rsid w:val="0080621B"/>
    <w:rsid w:val="008064B2"/>
    <w:rsid w:val="008066D7"/>
    <w:rsid w:val="008068A9"/>
    <w:rsid w:val="00806C3B"/>
    <w:rsid w:val="00806EE7"/>
    <w:rsid w:val="0080765E"/>
    <w:rsid w:val="0080796F"/>
    <w:rsid w:val="00810D42"/>
    <w:rsid w:val="008117EC"/>
    <w:rsid w:val="00811AD2"/>
    <w:rsid w:val="00811EF6"/>
    <w:rsid w:val="008121BC"/>
    <w:rsid w:val="0081226F"/>
    <w:rsid w:val="00812494"/>
    <w:rsid w:val="008131AD"/>
    <w:rsid w:val="008134B8"/>
    <w:rsid w:val="008136D6"/>
    <w:rsid w:val="00814148"/>
    <w:rsid w:val="0081472E"/>
    <w:rsid w:val="008149E3"/>
    <w:rsid w:val="00814E65"/>
    <w:rsid w:val="00814FB9"/>
    <w:rsid w:val="008155D1"/>
    <w:rsid w:val="0081581F"/>
    <w:rsid w:val="0081586E"/>
    <w:rsid w:val="00815C59"/>
    <w:rsid w:val="00815C70"/>
    <w:rsid w:val="00815D8A"/>
    <w:rsid w:val="00815ED6"/>
    <w:rsid w:val="00816146"/>
    <w:rsid w:val="008165C1"/>
    <w:rsid w:val="0081671A"/>
    <w:rsid w:val="008171AA"/>
    <w:rsid w:val="0081736F"/>
    <w:rsid w:val="0082032D"/>
    <w:rsid w:val="00820419"/>
    <w:rsid w:val="00820A5E"/>
    <w:rsid w:val="00820AAD"/>
    <w:rsid w:val="00820CE3"/>
    <w:rsid w:val="00821F83"/>
    <w:rsid w:val="00822628"/>
    <w:rsid w:val="00822A8F"/>
    <w:rsid w:val="00823D37"/>
    <w:rsid w:val="0082511C"/>
    <w:rsid w:val="00825C3C"/>
    <w:rsid w:val="00825D76"/>
    <w:rsid w:val="008261EB"/>
    <w:rsid w:val="00826250"/>
    <w:rsid w:val="00826400"/>
    <w:rsid w:val="00826575"/>
    <w:rsid w:val="00826964"/>
    <w:rsid w:val="00826B79"/>
    <w:rsid w:val="00827051"/>
    <w:rsid w:val="008272D3"/>
    <w:rsid w:val="008278E1"/>
    <w:rsid w:val="00827A9A"/>
    <w:rsid w:val="008303F9"/>
    <w:rsid w:val="0083058A"/>
    <w:rsid w:val="00830C93"/>
    <w:rsid w:val="00831005"/>
    <w:rsid w:val="008310B0"/>
    <w:rsid w:val="00831365"/>
    <w:rsid w:val="0083140A"/>
    <w:rsid w:val="008319E6"/>
    <w:rsid w:val="00831C89"/>
    <w:rsid w:val="00831D99"/>
    <w:rsid w:val="00831F78"/>
    <w:rsid w:val="0083227D"/>
    <w:rsid w:val="0083250A"/>
    <w:rsid w:val="0083279F"/>
    <w:rsid w:val="008334FA"/>
    <w:rsid w:val="00833A0F"/>
    <w:rsid w:val="00833A6F"/>
    <w:rsid w:val="00833DF5"/>
    <w:rsid w:val="008341F5"/>
    <w:rsid w:val="008345D1"/>
    <w:rsid w:val="008345D9"/>
    <w:rsid w:val="00834631"/>
    <w:rsid w:val="00834639"/>
    <w:rsid w:val="00835304"/>
    <w:rsid w:val="008359EC"/>
    <w:rsid w:val="00835B01"/>
    <w:rsid w:val="00835E86"/>
    <w:rsid w:val="00836496"/>
    <w:rsid w:val="008372EB"/>
    <w:rsid w:val="00837944"/>
    <w:rsid w:val="00837BF6"/>
    <w:rsid w:val="008401F7"/>
    <w:rsid w:val="008403F5"/>
    <w:rsid w:val="008407DF"/>
    <w:rsid w:val="00840C4B"/>
    <w:rsid w:val="00840E05"/>
    <w:rsid w:val="00841182"/>
    <w:rsid w:val="00841BB2"/>
    <w:rsid w:val="00841FA8"/>
    <w:rsid w:val="008422F6"/>
    <w:rsid w:val="008430FC"/>
    <w:rsid w:val="008436DC"/>
    <w:rsid w:val="00843881"/>
    <w:rsid w:val="00844058"/>
    <w:rsid w:val="00844478"/>
    <w:rsid w:val="00844F48"/>
    <w:rsid w:val="00844F4A"/>
    <w:rsid w:val="0084567E"/>
    <w:rsid w:val="00845890"/>
    <w:rsid w:val="0084643C"/>
    <w:rsid w:val="0084698E"/>
    <w:rsid w:val="00846B82"/>
    <w:rsid w:val="00846EF0"/>
    <w:rsid w:val="00846F48"/>
    <w:rsid w:val="008471CB"/>
    <w:rsid w:val="008472AA"/>
    <w:rsid w:val="00847827"/>
    <w:rsid w:val="00847AAA"/>
    <w:rsid w:val="0085011D"/>
    <w:rsid w:val="00850892"/>
    <w:rsid w:val="008512EE"/>
    <w:rsid w:val="00851905"/>
    <w:rsid w:val="0085195F"/>
    <w:rsid w:val="00851F93"/>
    <w:rsid w:val="00852498"/>
    <w:rsid w:val="008528E9"/>
    <w:rsid w:val="008531DD"/>
    <w:rsid w:val="008543B4"/>
    <w:rsid w:val="00854D69"/>
    <w:rsid w:val="0085571F"/>
    <w:rsid w:val="00855890"/>
    <w:rsid w:val="00855F67"/>
    <w:rsid w:val="008567BA"/>
    <w:rsid w:val="0085683C"/>
    <w:rsid w:val="00856927"/>
    <w:rsid w:val="008573A4"/>
    <w:rsid w:val="00857B1B"/>
    <w:rsid w:val="00860337"/>
    <w:rsid w:val="00860EE2"/>
    <w:rsid w:val="00861B44"/>
    <w:rsid w:val="00861E39"/>
    <w:rsid w:val="00861E85"/>
    <w:rsid w:val="00862C46"/>
    <w:rsid w:val="00863585"/>
    <w:rsid w:val="00863748"/>
    <w:rsid w:val="008637AA"/>
    <w:rsid w:val="00864076"/>
    <w:rsid w:val="00864967"/>
    <w:rsid w:val="008650C9"/>
    <w:rsid w:val="00865632"/>
    <w:rsid w:val="00865C4A"/>
    <w:rsid w:val="00866063"/>
    <w:rsid w:val="00866563"/>
    <w:rsid w:val="00866687"/>
    <w:rsid w:val="00866FF2"/>
    <w:rsid w:val="00867098"/>
    <w:rsid w:val="008677D5"/>
    <w:rsid w:val="00870976"/>
    <w:rsid w:val="00870F44"/>
    <w:rsid w:val="0087126B"/>
    <w:rsid w:val="00871846"/>
    <w:rsid w:val="008719C3"/>
    <w:rsid w:val="0087208F"/>
    <w:rsid w:val="00872217"/>
    <w:rsid w:val="00872599"/>
    <w:rsid w:val="008738B8"/>
    <w:rsid w:val="008739B3"/>
    <w:rsid w:val="00873CF8"/>
    <w:rsid w:val="00873EBC"/>
    <w:rsid w:val="00874169"/>
    <w:rsid w:val="00874487"/>
    <w:rsid w:val="00875015"/>
    <w:rsid w:val="008750EC"/>
    <w:rsid w:val="00875334"/>
    <w:rsid w:val="00875475"/>
    <w:rsid w:val="00875CC3"/>
    <w:rsid w:val="00875D22"/>
    <w:rsid w:val="008765F2"/>
    <w:rsid w:val="00876F79"/>
    <w:rsid w:val="00877819"/>
    <w:rsid w:val="00877E0F"/>
    <w:rsid w:val="00880764"/>
    <w:rsid w:val="008809BE"/>
    <w:rsid w:val="00880CA1"/>
    <w:rsid w:val="0088117B"/>
    <w:rsid w:val="008816C0"/>
    <w:rsid w:val="00881A8C"/>
    <w:rsid w:val="00881BB1"/>
    <w:rsid w:val="00881BB7"/>
    <w:rsid w:val="00881BBA"/>
    <w:rsid w:val="00881E72"/>
    <w:rsid w:val="008823E6"/>
    <w:rsid w:val="008827A2"/>
    <w:rsid w:val="00882C3D"/>
    <w:rsid w:val="00882F41"/>
    <w:rsid w:val="00883488"/>
    <w:rsid w:val="00883521"/>
    <w:rsid w:val="0088352D"/>
    <w:rsid w:val="00883ADA"/>
    <w:rsid w:val="00883B2B"/>
    <w:rsid w:val="00883B3C"/>
    <w:rsid w:val="00883C8B"/>
    <w:rsid w:val="00883D7A"/>
    <w:rsid w:val="00883E6B"/>
    <w:rsid w:val="0088405C"/>
    <w:rsid w:val="00884B26"/>
    <w:rsid w:val="00885130"/>
    <w:rsid w:val="0088552A"/>
    <w:rsid w:val="008855FC"/>
    <w:rsid w:val="00885DA9"/>
    <w:rsid w:val="008864CE"/>
    <w:rsid w:val="00886A43"/>
    <w:rsid w:val="00886F52"/>
    <w:rsid w:val="00887A37"/>
    <w:rsid w:val="00887D18"/>
    <w:rsid w:val="00887D6E"/>
    <w:rsid w:val="008906CE"/>
    <w:rsid w:val="00890E89"/>
    <w:rsid w:val="00891BEF"/>
    <w:rsid w:val="00892574"/>
    <w:rsid w:val="00892656"/>
    <w:rsid w:val="008928B8"/>
    <w:rsid w:val="00893B2B"/>
    <w:rsid w:val="00893DF4"/>
    <w:rsid w:val="00893F3E"/>
    <w:rsid w:val="008942D1"/>
    <w:rsid w:val="0089482E"/>
    <w:rsid w:val="00895041"/>
    <w:rsid w:val="00895202"/>
    <w:rsid w:val="00895998"/>
    <w:rsid w:val="00895BDE"/>
    <w:rsid w:val="00895C22"/>
    <w:rsid w:val="00896062"/>
    <w:rsid w:val="008961A7"/>
    <w:rsid w:val="008961FD"/>
    <w:rsid w:val="00896A58"/>
    <w:rsid w:val="008975A7"/>
    <w:rsid w:val="00897DD0"/>
    <w:rsid w:val="008A02F8"/>
    <w:rsid w:val="008A04F1"/>
    <w:rsid w:val="008A0881"/>
    <w:rsid w:val="008A0A8E"/>
    <w:rsid w:val="008A0F93"/>
    <w:rsid w:val="008A13C7"/>
    <w:rsid w:val="008A17BE"/>
    <w:rsid w:val="008A1976"/>
    <w:rsid w:val="008A198A"/>
    <w:rsid w:val="008A1D89"/>
    <w:rsid w:val="008A253F"/>
    <w:rsid w:val="008A2FAC"/>
    <w:rsid w:val="008A2FF4"/>
    <w:rsid w:val="008A396A"/>
    <w:rsid w:val="008A3DE0"/>
    <w:rsid w:val="008A4021"/>
    <w:rsid w:val="008A4D4C"/>
    <w:rsid w:val="008A4EBC"/>
    <w:rsid w:val="008A58F1"/>
    <w:rsid w:val="008A5912"/>
    <w:rsid w:val="008A5C11"/>
    <w:rsid w:val="008A5D04"/>
    <w:rsid w:val="008A5FC2"/>
    <w:rsid w:val="008A6013"/>
    <w:rsid w:val="008A6157"/>
    <w:rsid w:val="008A6627"/>
    <w:rsid w:val="008A6AF0"/>
    <w:rsid w:val="008A700D"/>
    <w:rsid w:val="008A78E5"/>
    <w:rsid w:val="008A7923"/>
    <w:rsid w:val="008B01BB"/>
    <w:rsid w:val="008B039B"/>
    <w:rsid w:val="008B0483"/>
    <w:rsid w:val="008B0B5F"/>
    <w:rsid w:val="008B0D1C"/>
    <w:rsid w:val="008B1921"/>
    <w:rsid w:val="008B1FF4"/>
    <w:rsid w:val="008B2C17"/>
    <w:rsid w:val="008B2C5C"/>
    <w:rsid w:val="008B30D3"/>
    <w:rsid w:val="008B3563"/>
    <w:rsid w:val="008B3664"/>
    <w:rsid w:val="008B3D23"/>
    <w:rsid w:val="008B3F6F"/>
    <w:rsid w:val="008B4718"/>
    <w:rsid w:val="008B4755"/>
    <w:rsid w:val="008B4AC3"/>
    <w:rsid w:val="008B5029"/>
    <w:rsid w:val="008B53EF"/>
    <w:rsid w:val="008B5590"/>
    <w:rsid w:val="008B5734"/>
    <w:rsid w:val="008B5AE5"/>
    <w:rsid w:val="008B5E06"/>
    <w:rsid w:val="008B6107"/>
    <w:rsid w:val="008B6287"/>
    <w:rsid w:val="008B65D1"/>
    <w:rsid w:val="008B6955"/>
    <w:rsid w:val="008B7A5C"/>
    <w:rsid w:val="008B7F45"/>
    <w:rsid w:val="008C05EA"/>
    <w:rsid w:val="008C07C5"/>
    <w:rsid w:val="008C08B7"/>
    <w:rsid w:val="008C0A0E"/>
    <w:rsid w:val="008C0A11"/>
    <w:rsid w:val="008C0AC1"/>
    <w:rsid w:val="008C1101"/>
    <w:rsid w:val="008C176D"/>
    <w:rsid w:val="008C2146"/>
    <w:rsid w:val="008C2266"/>
    <w:rsid w:val="008C298B"/>
    <w:rsid w:val="008C2EF5"/>
    <w:rsid w:val="008C3076"/>
    <w:rsid w:val="008C36B5"/>
    <w:rsid w:val="008C3B3C"/>
    <w:rsid w:val="008C3C3E"/>
    <w:rsid w:val="008C4ED5"/>
    <w:rsid w:val="008C4F1E"/>
    <w:rsid w:val="008C50E4"/>
    <w:rsid w:val="008C53F2"/>
    <w:rsid w:val="008C5D5A"/>
    <w:rsid w:val="008C726F"/>
    <w:rsid w:val="008C7536"/>
    <w:rsid w:val="008C79A2"/>
    <w:rsid w:val="008C7A79"/>
    <w:rsid w:val="008D005C"/>
    <w:rsid w:val="008D0263"/>
    <w:rsid w:val="008D04A4"/>
    <w:rsid w:val="008D0561"/>
    <w:rsid w:val="008D096A"/>
    <w:rsid w:val="008D0E45"/>
    <w:rsid w:val="008D15B0"/>
    <w:rsid w:val="008D1CB3"/>
    <w:rsid w:val="008D20A6"/>
    <w:rsid w:val="008D226C"/>
    <w:rsid w:val="008D2675"/>
    <w:rsid w:val="008D2D41"/>
    <w:rsid w:val="008D2DBB"/>
    <w:rsid w:val="008D36AA"/>
    <w:rsid w:val="008D36E7"/>
    <w:rsid w:val="008D3E71"/>
    <w:rsid w:val="008D47F8"/>
    <w:rsid w:val="008D49EB"/>
    <w:rsid w:val="008D5068"/>
    <w:rsid w:val="008D52A4"/>
    <w:rsid w:val="008D5FA1"/>
    <w:rsid w:val="008D7CDC"/>
    <w:rsid w:val="008D7EC6"/>
    <w:rsid w:val="008D7FDB"/>
    <w:rsid w:val="008E0239"/>
    <w:rsid w:val="008E0564"/>
    <w:rsid w:val="008E1868"/>
    <w:rsid w:val="008E1CA8"/>
    <w:rsid w:val="008E2985"/>
    <w:rsid w:val="008E3174"/>
    <w:rsid w:val="008E3659"/>
    <w:rsid w:val="008E4156"/>
    <w:rsid w:val="008E43B4"/>
    <w:rsid w:val="008E456C"/>
    <w:rsid w:val="008E4CE7"/>
    <w:rsid w:val="008E4E2B"/>
    <w:rsid w:val="008E562E"/>
    <w:rsid w:val="008E5AAE"/>
    <w:rsid w:val="008E5F2E"/>
    <w:rsid w:val="008E650E"/>
    <w:rsid w:val="008E6966"/>
    <w:rsid w:val="008E7208"/>
    <w:rsid w:val="008E7834"/>
    <w:rsid w:val="008E7ED0"/>
    <w:rsid w:val="008ECDFC"/>
    <w:rsid w:val="008F06F2"/>
    <w:rsid w:val="008F0D0F"/>
    <w:rsid w:val="008F0D31"/>
    <w:rsid w:val="008F1F5A"/>
    <w:rsid w:val="008F245F"/>
    <w:rsid w:val="008F2F83"/>
    <w:rsid w:val="008F2FFD"/>
    <w:rsid w:val="008F31CD"/>
    <w:rsid w:val="008F322B"/>
    <w:rsid w:val="008F32FF"/>
    <w:rsid w:val="008F34B7"/>
    <w:rsid w:val="008F391C"/>
    <w:rsid w:val="008F395A"/>
    <w:rsid w:val="008F4179"/>
    <w:rsid w:val="008F423E"/>
    <w:rsid w:val="008F4314"/>
    <w:rsid w:val="008F4723"/>
    <w:rsid w:val="008F4AD2"/>
    <w:rsid w:val="008F4C2C"/>
    <w:rsid w:val="008F5891"/>
    <w:rsid w:val="008F58C4"/>
    <w:rsid w:val="008F5A81"/>
    <w:rsid w:val="008F5F2A"/>
    <w:rsid w:val="008F635B"/>
    <w:rsid w:val="008F6876"/>
    <w:rsid w:val="008F68AF"/>
    <w:rsid w:val="008F6DFA"/>
    <w:rsid w:val="008F7074"/>
    <w:rsid w:val="008F71B4"/>
    <w:rsid w:val="008F71CE"/>
    <w:rsid w:val="008F797B"/>
    <w:rsid w:val="008F7982"/>
    <w:rsid w:val="008F7FC5"/>
    <w:rsid w:val="00900204"/>
    <w:rsid w:val="009004B1"/>
    <w:rsid w:val="009008CB"/>
    <w:rsid w:val="00900FAC"/>
    <w:rsid w:val="00901C50"/>
    <w:rsid w:val="00901E5C"/>
    <w:rsid w:val="0090317F"/>
    <w:rsid w:val="0090407F"/>
    <w:rsid w:val="0090431D"/>
    <w:rsid w:val="009043DF"/>
    <w:rsid w:val="00904A86"/>
    <w:rsid w:val="00904E30"/>
    <w:rsid w:val="00905611"/>
    <w:rsid w:val="00905977"/>
    <w:rsid w:val="00905E23"/>
    <w:rsid w:val="00905E2D"/>
    <w:rsid w:val="00905E8F"/>
    <w:rsid w:val="0090614B"/>
    <w:rsid w:val="00906C83"/>
    <w:rsid w:val="00906E62"/>
    <w:rsid w:val="0090793F"/>
    <w:rsid w:val="00907B77"/>
    <w:rsid w:val="00907C71"/>
    <w:rsid w:val="00907EBA"/>
    <w:rsid w:val="00911523"/>
    <w:rsid w:val="009115D6"/>
    <w:rsid w:val="009119F7"/>
    <w:rsid w:val="00911A0E"/>
    <w:rsid w:val="00911AAE"/>
    <w:rsid w:val="00911ACE"/>
    <w:rsid w:val="00911C61"/>
    <w:rsid w:val="00911D4F"/>
    <w:rsid w:val="0091205D"/>
    <w:rsid w:val="009132E6"/>
    <w:rsid w:val="00913A2C"/>
    <w:rsid w:val="00913C82"/>
    <w:rsid w:val="00913DE4"/>
    <w:rsid w:val="00914224"/>
    <w:rsid w:val="009147F4"/>
    <w:rsid w:val="0091482C"/>
    <w:rsid w:val="009148B2"/>
    <w:rsid w:val="0091497E"/>
    <w:rsid w:val="00914FDA"/>
    <w:rsid w:val="00915085"/>
    <w:rsid w:val="00915455"/>
    <w:rsid w:val="00915C6D"/>
    <w:rsid w:val="009161FD"/>
    <w:rsid w:val="00916959"/>
    <w:rsid w:val="00916D37"/>
    <w:rsid w:val="00916E8B"/>
    <w:rsid w:val="00916F16"/>
    <w:rsid w:val="009173E6"/>
    <w:rsid w:val="00917C65"/>
    <w:rsid w:val="00917EE9"/>
    <w:rsid w:val="009207D1"/>
    <w:rsid w:val="00920867"/>
    <w:rsid w:val="00920925"/>
    <w:rsid w:val="00920CF4"/>
    <w:rsid w:val="00920DCA"/>
    <w:rsid w:val="00921269"/>
    <w:rsid w:val="00922214"/>
    <w:rsid w:val="00922C0F"/>
    <w:rsid w:val="00922F04"/>
    <w:rsid w:val="009234E1"/>
    <w:rsid w:val="0092389D"/>
    <w:rsid w:val="009238CD"/>
    <w:rsid w:val="00923F35"/>
    <w:rsid w:val="00925005"/>
    <w:rsid w:val="00925023"/>
    <w:rsid w:val="00925084"/>
    <w:rsid w:val="00925166"/>
    <w:rsid w:val="009256AC"/>
    <w:rsid w:val="0092675F"/>
    <w:rsid w:val="00926A34"/>
    <w:rsid w:val="00926A9B"/>
    <w:rsid w:val="00926EB7"/>
    <w:rsid w:val="00926F19"/>
    <w:rsid w:val="009274F7"/>
    <w:rsid w:val="00927B23"/>
    <w:rsid w:val="009300DC"/>
    <w:rsid w:val="009304B7"/>
    <w:rsid w:val="00930533"/>
    <w:rsid w:val="009309F4"/>
    <w:rsid w:val="009318D6"/>
    <w:rsid w:val="00931DDF"/>
    <w:rsid w:val="009325C8"/>
    <w:rsid w:val="009325DF"/>
    <w:rsid w:val="00932BCB"/>
    <w:rsid w:val="009330CB"/>
    <w:rsid w:val="00933C79"/>
    <w:rsid w:val="00934E3A"/>
    <w:rsid w:val="009356B9"/>
    <w:rsid w:val="00936C40"/>
    <w:rsid w:val="00936C86"/>
    <w:rsid w:val="00937645"/>
    <w:rsid w:val="00937EA2"/>
    <w:rsid w:val="00940076"/>
    <w:rsid w:val="009408B9"/>
    <w:rsid w:val="00940D5C"/>
    <w:rsid w:val="00941339"/>
    <w:rsid w:val="00941445"/>
    <w:rsid w:val="00941590"/>
    <w:rsid w:val="009417E8"/>
    <w:rsid w:val="0094187A"/>
    <w:rsid w:val="00942817"/>
    <w:rsid w:val="00942909"/>
    <w:rsid w:val="00942937"/>
    <w:rsid w:val="00943063"/>
    <w:rsid w:val="00943757"/>
    <w:rsid w:val="00943F18"/>
    <w:rsid w:val="009446C5"/>
    <w:rsid w:val="00944700"/>
    <w:rsid w:val="00944B43"/>
    <w:rsid w:val="00944F0C"/>
    <w:rsid w:val="0094542B"/>
    <w:rsid w:val="009456F4"/>
    <w:rsid w:val="00945814"/>
    <w:rsid w:val="0094593C"/>
    <w:rsid w:val="00945B9B"/>
    <w:rsid w:val="00946205"/>
    <w:rsid w:val="0094672F"/>
    <w:rsid w:val="00946740"/>
    <w:rsid w:val="0094678D"/>
    <w:rsid w:val="0094735A"/>
    <w:rsid w:val="009473E4"/>
    <w:rsid w:val="00947809"/>
    <w:rsid w:val="00947A34"/>
    <w:rsid w:val="00947C19"/>
    <w:rsid w:val="00947F9C"/>
    <w:rsid w:val="0094CCDD"/>
    <w:rsid w:val="00950266"/>
    <w:rsid w:val="009504AC"/>
    <w:rsid w:val="00950569"/>
    <w:rsid w:val="00950771"/>
    <w:rsid w:val="00950D7C"/>
    <w:rsid w:val="009510CC"/>
    <w:rsid w:val="00951C63"/>
    <w:rsid w:val="00951C7B"/>
    <w:rsid w:val="00952084"/>
    <w:rsid w:val="00952D29"/>
    <w:rsid w:val="00953147"/>
    <w:rsid w:val="00953925"/>
    <w:rsid w:val="0095394C"/>
    <w:rsid w:val="00953A2A"/>
    <w:rsid w:val="00953CBF"/>
    <w:rsid w:val="009541B2"/>
    <w:rsid w:val="00954FBE"/>
    <w:rsid w:val="0095513A"/>
    <w:rsid w:val="0095560F"/>
    <w:rsid w:val="009562DC"/>
    <w:rsid w:val="0095635D"/>
    <w:rsid w:val="0095688E"/>
    <w:rsid w:val="009568C2"/>
    <w:rsid w:val="00956960"/>
    <w:rsid w:val="00956B47"/>
    <w:rsid w:val="009570E9"/>
    <w:rsid w:val="00957476"/>
    <w:rsid w:val="00957B20"/>
    <w:rsid w:val="00957EE3"/>
    <w:rsid w:val="00960008"/>
    <w:rsid w:val="00960166"/>
    <w:rsid w:val="00960AFA"/>
    <w:rsid w:val="00960C28"/>
    <w:rsid w:val="00960F44"/>
    <w:rsid w:val="009613AB"/>
    <w:rsid w:val="00961D15"/>
    <w:rsid w:val="009620CA"/>
    <w:rsid w:val="00962793"/>
    <w:rsid w:val="009629EA"/>
    <w:rsid w:val="00962ADF"/>
    <w:rsid w:val="00962B78"/>
    <w:rsid w:val="00962BEF"/>
    <w:rsid w:val="00963113"/>
    <w:rsid w:val="0096330B"/>
    <w:rsid w:val="0096339D"/>
    <w:rsid w:val="00963434"/>
    <w:rsid w:val="0096366B"/>
    <w:rsid w:val="0096390B"/>
    <w:rsid w:val="009639DA"/>
    <w:rsid w:val="00964286"/>
    <w:rsid w:val="00964CBF"/>
    <w:rsid w:val="00965376"/>
    <w:rsid w:val="0096632C"/>
    <w:rsid w:val="00966AFE"/>
    <w:rsid w:val="009672DC"/>
    <w:rsid w:val="009675EB"/>
    <w:rsid w:val="009675FF"/>
    <w:rsid w:val="00967AF3"/>
    <w:rsid w:val="00970850"/>
    <w:rsid w:val="00970943"/>
    <w:rsid w:val="00970C6D"/>
    <w:rsid w:val="00971233"/>
    <w:rsid w:val="009715C0"/>
    <w:rsid w:val="00971642"/>
    <w:rsid w:val="00971BF0"/>
    <w:rsid w:val="00971E7C"/>
    <w:rsid w:val="0097206A"/>
    <w:rsid w:val="009724D8"/>
    <w:rsid w:val="009730F3"/>
    <w:rsid w:val="0097339E"/>
    <w:rsid w:val="009737B3"/>
    <w:rsid w:val="009739D2"/>
    <w:rsid w:val="009747C4"/>
    <w:rsid w:val="0097494C"/>
    <w:rsid w:val="009749CF"/>
    <w:rsid w:val="00974CA3"/>
    <w:rsid w:val="009751B4"/>
    <w:rsid w:val="0097560E"/>
    <w:rsid w:val="00975AD1"/>
    <w:rsid w:val="00975BC9"/>
    <w:rsid w:val="00975FB4"/>
    <w:rsid w:val="0097688F"/>
    <w:rsid w:val="00977191"/>
    <w:rsid w:val="009779B0"/>
    <w:rsid w:val="00977A5D"/>
    <w:rsid w:val="00980AAF"/>
    <w:rsid w:val="00980E74"/>
    <w:rsid w:val="00980F79"/>
    <w:rsid w:val="0098139B"/>
    <w:rsid w:val="00981609"/>
    <w:rsid w:val="00981F4B"/>
    <w:rsid w:val="00982979"/>
    <w:rsid w:val="00983699"/>
    <w:rsid w:val="009837C9"/>
    <w:rsid w:val="009839AF"/>
    <w:rsid w:val="00983BAA"/>
    <w:rsid w:val="00983BD3"/>
    <w:rsid w:val="00983DD1"/>
    <w:rsid w:val="009846A8"/>
    <w:rsid w:val="00984771"/>
    <w:rsid w:val="009849DE"/>
    <w:rsid w:val="0098591B"/>
    <w:rsid w:val="009860BA"/>
    <w:rsid w:val="00986279"/>
    <w:rsid w:val="009862FA"/>
    <w:rsid w:val="009869B1"/>
    <w:rsid w:val="00986AED"/>
    <w:rsid w:val="009875BC"/>
    <w:rsid w:val="009878E1"/>
    <w:rsid w:val="00987FF2"/>
    <w:rsid w:val="00990B92"/>
    <w:rsid w:val="00992D50"/>
    <w:rsid w:val="009930C7"/>
    <w:rsid w:val="00993D54"/>
    <w:rsid w:val="00993E4B"/>
    <w:rsid w:val="009940F1"/>
    <w:rsid w:val="009941EA"/>
    <w:rsid w:val="00994F1B"/>
    <w:rsid w:val="00995F96"/>
    <w:rsid w:val="009965A3"/>
    <w:rsid w:val="00996862"/>
    <w:rsid w:val="00997569"/>
    <w:rsid w:val="009975FD"/>
    <w:rsid w:val="0099765B"/>
    <w:rsid w:val="00997860"/>
    <w:rsid w:val="00997DC4"/>
    <w:rsid w:val="00997F47"/>
    <w:rsid w:val="009A0520"/>
    <w:rsid w:val="009A0B5E"/>
    <w:rsid w:val="009A0D14"/>
    <w:rsid w:val="009A0D31"/>
    <w:rsid w:val="009A0F9B"/>
    <w:rsid w:val="009A1118"/>
    <w:rsid w:val="009A15CD"/>
    <w:rsid w:val="009A17FD"/>
    <w:rsid w:val="009A1E6D"/>
    <w:rsid w:val="009A2813"/>
    <w:rsid w:val="009A3295"/>
    <w:rsid w:val="009A3440"/>
    <w:rsid w:val="009A3680"/>
    <w:rsid w:val="009A3AFC"/>
    <w:rsid w:val="009A405A"/>
    <w:rsid w:val="009A40FA"/>
    <w:rsid w:val="009A45B8"/>
    <w:rsid w:val="009A4727"/>
    <w:rsid w:val="009A4F4D"/>
    <w:rsid w:val="009A5386"/>
    <w:rsid w:val="009A5415"/>
    <w:rsid w:val="009A5511"/>
    <w:rsid w:val="009A58CC"/>
    <w:rsid w:val="009A5CB3"/>
    <w:rsid w:val="009A5E2D"/>
    <w:rsid w:val="009A61CD"/>
    <w:rsid w:val="009A63A2"/>
    <w:rsid w:val="009A67D0"/>
    <w:rsid w:val="009A68D8"/>
    <w:rsid w:val="009A6902"/>
    <w:rsid w:val="009A74A1"/>
    <w:rsid w:val="009A75BB"/>
    <w:rsid w:val="009A79DC"/>
    <w:rsid w:val="009B000C"/>
    <w:rsid w:val="009B0DC4"/>
    <w:rsid w:val="009B0FC4"/>
    <w:rsid w:val="009B1B46"/>
    <w:rsid w:val="009B1DF0"/>
    <w:rsid w:val="009B2517"/>
    <w:rsid w:val="009B2740"/>
    <w:rsid w:val="009B2BF8"/>
    <w:rsid w:val="009B3109"/>
    <w:rsid w:val="009B3785"/>
    <w:rsid w:val="009B41E2"/>
    <w:rsid w:val="009B48F1"/>
    <w:rsid w:val="009B4D40"/>
    <w:rsid w:val="009B4E2E"/>
    <w:rsid w:val="009B4E88"/>
    <w:rsid w:val="009B5A4B"/>
    <w:rsid w:val="009B5EB5"/>
    <w:rsid w:val="009B62D1"/>
    <w:rsid w:val="009B6529"/>
    <w:rsid w:val="009B6C3E"/>
    <w:rsid w:val="009B7866"/>
    <w:rsid w:val="009B7D5F"/>
    <w:rsid w:val="009C02B4"/>
    <w:rsid w:val="009C0828"/>
    <w:rsid w:val="009C1470"/>
    <w:rsid w:val="009C1F3E"/>
    <w:rsid w:val="009C21D0"/>
    <w:rsid w:val="009C2306"/>
    <w:rsid w:val="009C230E"/>
    <w:rsid w:val="009C303B"/>
    <w:rsid w:val="009C307C"/>
    <w:rsid w:val="009C3819"/>
    <w:rsid w:val="009C3902"/>
    <w:rsid w:val="009C3BBF"/>
    <w:rsid w:val="009C4219"/>
    <w:rsid w:val="009C442F"/>
    <w:rsid w:val="009C4960"/>
    <w:rsid w:val="009C49FC"/>
    <w:rsid w:val="009C505C"/>
    <w:rsid w:val="009C512D"/>
    <w:rsid w:val="009C5203"/>
    <w:rsid w:val="009C521B"/>
    <w:rsid w:val="009C53AA"/>
    <w:rsid w:val="009C5F20"/>
    <w:rsid w:val="009C62F0"/>
    <w:rsid w:val="009C6372"/>
    <w:rsid w:val="009C6381"/>
    <w:rsid w:val="009C6AD3"/>
    <w:rsid w:val="009C6C65"/>
    <w:rsid w:val="009C724A"/>
    <w:rsid w:val="009C7ABD"/>
    <w:rsid w:val="009C7EE5"/>
    <w:rsid w:val="009D04AF"/>
    <w:rsid w:val="009D0A80"/>
    <w:rsid w:val="009D0AE0"/>
    <w:rsid w:val="009D0BBB"/>
    <w:rsid w:val="009D0C8A"/>
    <w:rsid w:val="009D11B9"/>
    <w:rsid w:val="009D1241"/>
    <w:rsid w:val="009D1276"/>
    <w:rsid w:val="009D1ADD"/>
    <w:rsid w:val="009D1D26"/>
    <w:rsid w:val="009D1D50"/>
    <w:rsid w:val="009D1E58"/>
    <w:rsid w:val="009D20D6"/>
    <w:rsid w:val="009D24F7"/>
    <w:rsid w:val="009D2EDF"/>
    <w:rsid w:val="009D2EEC"/>
    <w:rsid w:val="009D33AC"/>
    <w:rsid w:val="009D516C"/>
    <w:rsid w:val="009D6C25"/>
    <w:rsid w:val="009D6C96"/>
    <w:rsid w:val="009D7012"/>
    <w:rsid w:val="009D73B4"/>
    <w:rsid w:val="009D7A80"/>
    <w:rsid w:val="009D7B22"/>
    <w:rsid w:val="009D7B8B"/>
    <w:rsid w:val="009E044A"/>
    <w:rsid w:val="009E05C9"/>
    <w:rsid w:val="009E0D23"/>
    <w:rsid w:val="009E1B04"/>
    <w:rsid w:val="009E2313"/>
    <w:rsid w:val="009E2C7C"/>
    <w:rsid w:val="009E2E48"/>
    <w:rsid w:val="009E3456"/>
    <w:rsid w:val="009E3583"/>
    <w:rsid w:val="009E362E"/>
    <w:rsid w:val="009E36FD"/>
    <w:rsid w:val="009E42A7"/>
    <w:rsid w:val="009E45A3"/>
    <w:rsid w:val="009E4CE6"/>
    <w:rsid w:val="009E538F"/>
    <w:rsid w:val="009E53D2"/>
    <w:rsid w:val="009E57D1"/>
    <w:rsid w:val="009E6096"/>
    <w:rsid w:val="009E612B"/>
    <w:rsid w:val="009E672C"/>
    <w:rsid w:val="009E6D19"/>
    <w:rsid w:val="009F0302"/>
    <w:rsid w:val="009F0882"/>
    <w:rsid w:val="009F0BAD"/>
    <w:rsid w:val="009F0E21"/>
    <w:rsid w:val="009F10DD"/>
    <w:rsid w:val="009F12A1"/>
    <w:rsid w:val="009F19F5"/>
    <w:rsid w:val="009F1B54"/>
    <w:rsid w:val="009F1BD8"/>
    <w:rsid w:val="009F22A1"/>
    <w:rsid w:val="009F2446"/>
    <w:rsid w:val="009F2697"/>
    <w:rsid w:val="009F27B2"/>
    <w:rsid w:val="009F2EEE"/>
    <w:rsid w:val="009F31A4"/>
    <w:rsid w:val="009F3B02"/>
    <w:rsid w:val="009F4335"/>
    <w:rsid w:val="009F597D"/>
    <w:rsid w:val="009F5A87"/>
    <w:rsid w:val="009F5DCE"/>
    <w:rsid w:val="009F6A7D"/>
    <w:rsid w:val="009F7027"/>
    <w:rsid w:val="009F714D"/>
    <w:rsid w:val="009F79EC"/>
    <w:rsid w:val="00A00237"/>
    <w:rsid w:val="00A006F2"/>
    <w:rsid w:val="00A00723"/>
    <w:rsid w:val="00A009A4"/>
    <w:rsid w:val="00A00A1A"/>
    <w:rsid w:val="00A00A3D"/>
    <w:rsid w:val="00A00F58"/>
    <w:rsid w:val="00A00FE1"/>
    <w:rsid w:val="00A013E4"/>
    <w:rsid w:val="00A02498"/>
    <w:rsid w:val="00A027D1"/>
    <w:rsid w:val="00A029DB"/>
    <w:rsid w:val="00A02A91"/>
    <w:rsid w:val="00A02E28"/>
    <w:rsid w:val="00A02EC7"/>
    <w:rsid w:val="00A0314B"/>
    <w:rsid w:val="00A03169"/>
    <w:rsid w:val="00A04076"/>
    <w:rsid w:val="00A043A1"/>
    <w:rsid w:val="00A04468"/>
    <w:rsid w:val="00A04556"/>
    <w:rsid w:val="00A0461F"/>
    <w:rsid w:val="00A04792"/>
    <w:rsid w:val="00A0552D"/>
    <w:rsid w:val="00A0588A"/>
    <w:rsid w:val="00A05CCD"/>
    <w:rsid w:val="00A06B0D"/>
    <w:rsid w:val="00A07320"/>
    <w:rsid w:val="00A07658"/>
    <w:rsid w:val="00A07AD5"/>
    <w:rsid w:val="00A1042B"/>
    <w:rsid w:val="00A10514"/>
    <w:rsid w:val="00A1054D"/>
    <w:rsid w:val="00A106A7"/>
    <w:rsid w:val="00A10CE5"/>
    <w:rsid w:val="00A10FB3"/>
    <w:rsid w:val="00A11233"/>
    <w:rsid w:val="00A11CFB"/>
    <w:rsid w:val="00A1259D"/>
    <w:rsid w:val="00A12699"/>
    <w:rsid w:val="00A12D53"/>
    <w:rsid w:val="00A13A18"/>
    <w:rsid w:val="00A13B80"/>
    <w:rsid w:val="00A141BF"/>
    <w:rsid w:val="00A1455B"/>
    <w:rsid w:val="00A14BE7"/>
    <w:rsid w:val="00A15A88"/>
    <w:rsid w:val="00A15DF0"/>
    <w:rsid w:val="00A161AB"/>
    <w:rsid w:val="00A16D51"/>
    <w:rsid w:val="00A17066"/>
    <w:rsid w:val="00A178B4"/>
    <w:rsid w:val="00A17C79"/>
    <w:rsid w:val="00A2047E"/>
    <w:rsid w:val="00A206FD"/>
    <w:rsid w:val="00A20CE9"/>
    <w:rsid w:val="00A215AF"/>
    <w:rsid w:val="00A21FD9"/>
    <w:rsid w:val="00A220B4"/>
    <w:rsid w:val="00A223D8"/>
    <w:rsid w:val="00A2255E"/>
    <w:rsid w:val="00A23D78"/>
    <w:rsid w:val="00A23DEA"/>
    <w:rsid w:val="00A24DA8"/>
    <w:rsid w:val="00A25197"/>
    <w:rsid w:val="00A255BD"/>
    <w:rsid w:val="00A256E2"/>
    <w:rsid w:val="00A25C5A"/>
    <w:rsid w:val="00A25C7E"/>
    <w:rsid w:val="00A2620D"/>
    <w:rsid w:val="00A26343"/>
    <w:rsid w:val="00A26457"/>
    <w:rsid w:val="00A26826"/>
    <w:rsid w:val="00A26E1F"/>
    <w:rsid w:val="00A271FB"/>
    <w:rsid w:val="00A27583"/>
    <w:rsid w:val="00A27984"/>
    <w:rsid w:val="00A27A6A"/>
    <w:rsid w:val="00A27B74"/>
    <w:rsid w:val="00A30947"/>
    <w:rsid w:val="00A31012"/>
    <w:rsid w:val="00A3108B"/>
    <w:rsid w:val="00A3152A"/>
    <w:rsid w:val="00A31918"/>
    <w:rsid w:val="00A31D23"/>
    <w:rsid w:val="00A32783"/>
    <w:rsid w:val="00A3295C"/>
    <w:rsid w:val="00A32B42"/>
    <w:rsid w:val="00A32DD1"/>
    <w:rsid w:val="00A334A1"/>
    <w:rsid w:val="00A33F35"/>
    <w:rsid w:val="00A34121"/>
    <w:rsid w:val="00A3450E"/>
    <w:rsid w:val="00A34601"/>
    <w:rsid w:val="00A34F8E"/>
    <w:rsid w:val="00A35E20"/>
    <w:rsid w:val="00A3670C"/>
    <w:rsid w:val="00A369DD"/>
    <w:rsid w:val="00A378D6"/>
    <w:rsid w:val="00A37D44"/>
    <w:rsid w:val="00A37F01"/>
    <w:rsid w:val="00A4118D"/>
    <w:rsid w:val="00A41386"/>
    <w:rsid w:val="00A4169D"/>
    <w:rsid w:val="00A41A6E"/>
    <w:rsid w:val="00A41F71"/>
    <w:rsid w:val="00A41FC4"/>
    <w:rsid w:val="00A420EC"/>
    <w:rsid w:val="00A4234B"/>
    <w:rsid w:val="00A4243D"/>
    <w:rsid w:val="00A42FC6"/>
    <w:rsid w:val="00A42FD6"/>
    <w:rsid w:val="00A43373"/>
    <w:rsid w:val="00A43631"/>
    <w:rsid w:val="00A4371D"/>
    <w:rsid w:val="00A4387D"/>
    <w:rsid w:val="00A438DA"/>
    <w:rsid w:val="00A44326"/>
    <w:rsid w:val="00A4481C"/>
    <w:rsid w:val="00A44B7F"/>
    <w:rsid w:val="00A44DEC"/>
    <w:rsid w:val="00A44E61"/>
    <w:rsid w:val="00A451A0"/>
    <w:rsid w:val="00A45844"/>
    <w:rsid w:val="00A45DE8"/>
    <w:rsid w:val="00A460BB"/>
    <w:rsid w:val="00A47175"/>
    <w:rsid w:val="00A47245"/>
    <w:rsid w:val="00A47677"/>
    <w:rsid w:val="00A47D3A"/>
    <w:rsid w:val="00A509A0"/>
    <w:rsid w:val="00A50D42"/>
    <w:rsid w:val="00A51113"/>
    <w:rsid w:val="00A51181"/>
    <w:rsid w:val="00A51492"/>
    <w:rsid w:val="00A51BB9"/>
    <w:rsid w:val="00A52079"/>
    <w:rsid w:val="00A52256"/>
    <w:rsid w:val="00A523C5"/>
    <w:rsid w:val="00A524F1"/>
    <w:rsid w:val="00A52798"/>
    <w:rsid w:val="00A52CC6"/>
    <w:rsid w:val="00A5312C"/>
    <w:rsid w:val="00A5333F"/>
    <w:rsid w:val="00A5352A"/>
    <w:rsid w:val="00A5357F"/>
    <w:rsid w:val="00A53753"/>
    <w:rsid w:val="00A538D4"/>
    <w:rsid w:val="00A53D57"/>
    <w:rsid w:val="00A5445B"/>
    <w:rsid w:val="00A544F0"/>
    <w:rsid w:val="00A546A8"/>
    <w:rsid w:val="00A54D45"/>
    <w:rsid w:val="00A55D3C"/>
    <w:rsid w:val="00A5678F"/>
    <w:rsid w:val="00A56C4F"/>
    <w:rsid w:val="00A56D8C"/>
    <w:rsid w:val="00A57838"/>
    <w:rsid w:val="00A6097E"/>
    <w:rsid w:val="00A61162"/>
    <w:rsid w:val="00A61393"/>
    <w:rsid w:val="00A617A0"/>
    <w:rsid w:val="00A62640"/>
    <w:rsid w:val="00A62647"/>
    <w:rsid w:val="00A627A1"/>
    <w:rsid w:val="00A62CE1"/>
    <w:rsid w:val="00A636B5"/>
    <w:rsid w:val="00A64E2A"/>
    <w:rsid w:val="00A65553"/>
    <w:rsid w:val="00A658A2"/>
    <w:rsid w:val="00A66F9E"/>
    <w:rsid w:val="00A67117"/>
    <w:rsid w:val="00A67357"/>
    <w:rsid w:val="00A677F4"/>
    <w:rsid w:val="00A67A30"/>
    <w:rsid w:val="00A7006B"/>
    <w:rsid w:val="00A7027A"/>
    <w:rsid w:val="00A70A01"/>
    <w:rsid w:val="00A70D38"/>
    <w:rsid w:val="00A70E72"/>
    <w:rsid w:val="00A70FDA"/>
    <w:rsid w:val="00A718B4"/>
    <w:rsid w:val="00A71F42"/>
    <w:rsid w:val="00A72A21"/>
    <w:rsid w:val="00A72EFB"/>
    <w:rsid w:val="00A734C8"/>
    <w:rsid w:val="00A7359F"/>
    <w:rsid w:val="00A7368A"/>
    <w:rsid w:val="00A74208"/>
    <w:rsid w:val="00A74216"/>
    <w:rsid w:val="00A7422E"/>
    <w:rsid w:val="00A74360"/>
    <w:rsid w:val="00A74BBD"/>
    <w:rsid w:val="00A74C05"/>
    <w:rsid w:val="00A74E91"/>
    <w:rsid w:val="00A74F6F"/>
    <w:rsid w:val="00A750DC"/>
    <w:rsid w:val="00A75213"/>
    <w:rsid w:val="00A755E5"/>
    <w:rsid w:val="00A75A88"/>
    <w:rsid w:val="00A75ECA"/>
    <w:rsid w:val="00A76529"/>
    <w:rsid w:val="00A77376"/>
    <w:rsid w:val="00A7762C"/>
    <w:rsid w:val="00A80173"/>
    <w:rsid w:val="00A80A36"/>
    <w:rsid w:val="00A80E17"/>
    <w:rsid w:val="00A811B0"/>
    <w:rsid w:val="00A81D91"/>
    <w:rsid w:val="00A81F81"/>
    <w:rsid w:val="00A822F1"/>
    <w:rsid w:val="00A825BB"/>
    <w:rsid w:val="00A82D12"/>
    <w:rsid w:val="00A82F30"/>
    <w:rsid w:val="00A82FEB"/>
    <w:rsid w:val="00A836A0"/>
    <w:rsid w:val="00A8454B"/>
    <w:rsid w:val="00A84869"/>
    <w:rsid w:val="00A84988"/>
    <w:rsid w:val="00A850B4"/>
    <w:rsid w:val="00A854E2"/>
    <w:rsid w:val="00A85716"/>
    <w:rsid w:val="00A85B62"/>
    <w:rsid w:val="00A868EA"/>
    <w:rsid w:val="00A86FE8"/>
    <w:rsid w:val="00A87238"/>
    <w:rsid w:val="00A877BF"/>
    <w:rsid w:val="00A9010E"/>
    <w:rsid w:val="00A905B0"/>
    <w:rsid w:val="00A90BF5"/>
    <w:rsid w:val="00A9114E"/>
    <w:rsid w:val="00A91341"/>
    <w:rsid w:val="00A91EDD"/>
    <w:rsid w:val="00A928D0"/>
    <w:rsid w:val="00A93585"/>
    <w:rsid w:val="00A93731"/>
    <w:rsid w:val="00A93980"/>
    <w:rsid w:val="00A93FBE"/>
    <w:rsid w:val="00A941B7"/>
    <w:rsid w:val="00A944BA"/>
    <w:rsid w:val="00A94C71"/>
    <w:rsid w:val="00A9511E"/>
    <w:rsid w:val="00A9582E"/>
    <w:rsid w:val="00A95A39"/>
    <w:rsid w:val="00A95AD3"/>
    <w:rsid w:val="00A95ED3"/>
    <w:rsid w:val="00A9652D"/>
    <w:rsid w:val="00A96D49"/>
    <w:rsid w:val="00A97AC2"/>
    <w:rsid w:val="00A99F81"/>
    <w:rsid w:val="00AA05F3"/>
    <w:rsid w:val="00AA07C6"/>
    <w:rsid w:val="00AA0B7A"/>
    <w:rsid w:val="00AA0D0C"/>
    <w:rsid w:val="00AA1697"/>
    <w:rsid w:val="00AA1D17"/>
    <w:rsid w:val="00AA2070"/>
    <w:rsid w:val="00AA2147"/>
    <w:rsid w:val="00AA2558"/>
    <w:rsid w:val="00AA2B9F"/>
    <w:rsid w:val="00AA2EE2"/>
    <w:rsid w:val="00AA3540"/>
    <w:rsid w:val="00AA35D6"/>
    <w:rsid w:val="00AA38A2"/>
    <w:rsid w:val="00AA4712"/>
    <w:rsid w:val="00AA4A02"/>
    <w:rsid w:val="00AA4C23"/>
    <w:rsid w:val="00AA5055"/>
    <w:rsid w:val="00AA50FB"/>
    <w:rsid w:val="00AA512F"/>
    <w:rsid w:val="00AA52C2"/>
    <w:rsid w:val="00AA5DF5"/>
    <w:rsid w:val="00AA67D9"/>
    <w:rsid w:val="00AA6BE7"/>
    <w:rsid w:val="00AA6EF1"/>
    <w:rsid w:val="00AA7A3C"/>
    <w:rsid w:val="00AA7C20"/>
    <w:rsid w:val="00AB0214"/>
    <w:rsid w:val="00AB0EFB"/>
    <w:rsid w:val="00AB125E"/>
    <w:rsid w:val="00AB1365"/>
    <w:rsid w:val="00AB2141"/>
    <w:rsid w:val="00AB32FB"/>
    <w:rsid w:val="00AB3357"/>
    <w:rsid w:val="00AB3915"/>
    <w:rsid w:val="00AB3CB3"/>
    <w:rsid w:val="00AB40B4"/>
    <w:rsid w:val="00AB476C"/>
    <w:rsid w:val="00AB49BD"/>
    <w:rsid w:val="00AB5140"/>
    <w:rsid w:val="00AB5467"/>
    <w:rsid w:val="00AB5C52"/>
    <w:rsid w:val="00AB5DC7"/>
    <w:rsid w:val="00AB7259"/>
    <w:rsid w:val="00AB7BBE"/>
    <w:rsid w:val="00AB7C96"/>
    <w:rsid w:val="00AC0A75"/>
    <w:rsid w:val="00AC0C4D"/>
    <w:rsid w:val="00AC1097"/>
    <w:rsid w:val="00AC14B7"/>
    <w:rsid w:val="00AC1CE5"/>
    <w:rsid w:val="00AC235B"/>
    <w:rsid w:val="00AC26E6"/>
    <w:rsid w:val="00AC2883"/>
    <w:rsid w:val="00AC2C74"/>
    <w:rsid w:val="00AC2F2C"/>
    <w:rsid w:val="00AC309E"/>
    <w:rsid w:val="00AC3885"/>
    <w:rsid w:val="00AC40A2"/>
    <w:rsid w:val="00AC41DB"/>
    <w:rsid w:val="00AC4BCC"/>
    <w:rsid w:val="00AC51F1"/>
    <w:rsid w:val="00AC5619"/>
    <w:rsid w:val="00AC58BD"/>
    <w:rsid w:val="00AC5A58"/>
    <w:rsid w:val="00AC5EA5"/>
    <w:rsid w:val="00AC6B32"/>
    <w:rsid w:val="00AC6D52"/>
    <w:rsid w:val="00AC737C"/>
    <w:rsid w:val="00AC7442"/>
    <w:rsid w:val="00AC7866"/>
    <w:rsid w:val="00AC7F86"/>
    <w:rsid w:val="00AC7FEB"/>
    <w:rsid w:val="00AD0800"/>
    <w:rsid w:val="00AD0897"/>
    <w:rsid w:val="00AD09A4"/>
    <w:rsid w:val="00AD0AD6"/>
    <w:rsid w:val="00AD0D91"/>
    <w:rsid w:val="00AD11C2"/>
    <w:rsid w:val="00AD14DB"/>
    <w:rsid w:val="00AD160B"/>
    <w:rsid w:val="00AD17E3"/>
    <w:rsid w:val="00AD2B19"/>
    <w:rsid w:val="00AD2BF1"/>
    <w:rsid w:val="00AD302A"/>
    <w:rsid w:val="00AD31BB"/>
    <w:rsid w:val="00AD34A3"/>
    <w:rsid w:val="00AD38DF"/>
    <w:rsid w:val="00AD3BA7"/>
    <w:rsid w:val="00AD3D2D"/>
    <w:rsid w:val="00AD4036"/>
    <w:rsid w:val="00AD417A"/>
    <w:rsid w:val="00AD5B81"/>
    <w:rsid w:val="00AD64A1"/>
    <w:rsid w:val="00AD6788"/>
    <w:rsid w:val="00AD6B25"/>
    <w:rsid w:val="00AD6E26"/>
    <w:rsid w:val="00AD6EC6"/>
    <w:rsid w:val="00AD70FE"/>
    <w:rsid w:val="00AD7178"/>
    <w:rsid w:val="00AD72F0"/>
    <w:rsid w:val="00AD73FA"/>
    <w:rsid w:val="00AD74AC"/>
    <w:rsid w:val="00AD7EE4"/>
    <w:rsid w:val="00AE02E3"/>
    <w:rsid w:val="00AE0383"/>
    <w:rsid w:val="00AE09F6"/>
    <w:rsid w:val="00AE0B91"/>
    <w:rsid w:val="00AE0C76"/>
    <w:rsid w:val="00AE1119"/>
    <w:rsid w:val="00AE1268"/>
    <w:rsid w:val="00AE15FD"/>
    <w:rsid w:val="00AE162D"/>
    <w:rsid w:val="00AE1BCC"/>
    <w:rsid w:val="00AE1DEF"/>
    <w:rsid w:val="00AE2154"/>
    <w:rsid w:val="00AE27AD"/>
    <w:rsid w:val="00AE2C2B"/>
    <w:rsid w:val="00AE32DD"/>
    <w:rsid w:val="00AE4463"/>
    <w:rsid w:val="00AE4469"/>
    <w:rsid w:val="00AE480B"/>
    <w:rsid w:val="00AE4B25"/>
    <w:rsid w:val="00AE4D27"/>
    <w:rsid w:val="00AE5175"/>
    <w:rsid w:val="00AE5A5E"/>
    <w:rsid w:val="00AE6473"/>
    <w:rsid w:val="00AE6636"/>
    <w:rsid w:val="00AE71B8"/>
    <w:rsid w:val="00AE721F"/>
    <w:rsid w:val="00AE7988"/>
    <w:rsid w:val="00AE7BD9"/>
    <w:rsid w:val="00AE7E06"/>
    <w:rsid w:val="00AF002D"/>
    <w:rsid w:val="00AF0FC2"/>
    <w:rsid w:val="00AF17C7"/>
    <w:rsid w:val="00AF2160"/>
    <w:rsid w:val="00AF2174"/>
    <w:rsid w:val="00AF23EA"/>
    <w:rsid w:val="00AF30C2"/>
    <w:rsid w:val="00AF359B"/>
    <w:rsid w:val="00AF428F"/>
    <w:rsid w:val="00AF4313"/>
    <w:rsid w:val="00AF4EEF"/>
    <w:rsid w:val="00AF5AEF"/>
    <w:rsid w:val="00AF5C3B"/>
    <w:rsid w:val="00AF602B"/>
    <w:rsid w:val="00AF6493"/>
    <w:rsid w:val="00AF6E3B"/>
    <w:rsid w:val="00AF7221"/>
    <w:rsid w:val="00AF73AA"/>
    <w:rsid w:val="00AF761D"/>
    <w:rsid w:val="00AF79A3"/>
    <w:rsid w:val="00AF7A17"/>
    <w:rsid w:val="00B00714"/>
    <w:rsid w:val="00B007E1"/>
    <w:rsid w:val="00B00DE6"/>
    <w:rsid w:val="00B00FA5"/>
    <w:rsid w:val="00B0105D"/>
    <w:rsid w:val="00B01A61"/>
    <w:rsid w:val="00B01AA5"/>
    <w:rsid w:val="00B02200"/>
    <w:rsid w:val="00B0236F"/>
    <w:rsid w:val="00B0241C"/>
    <w:rsid w:val="00B025DD"/>
    <w:rsid w:val="00B02789"/>
    <w:rsid w:val="00B04448"/>
    <w:rsid w:val="00B0491F"/>
    <w:rsid w:val="00B04F15"/>
    <w:rsid w:val="00B053F5"/>
    <w:rsid w:val="00B05586"/>
    <w:rsid w:val="00B05654"/>
    <w:rsid w:val="00B05B26"/>
    <w:rsid w:val="00B06515"/>
    <w:rsid w:val="00B067C5"/>
    <w:rsid w:val="00B06AE3"/>
    <w:rsid w:val="00B06B29"/>
    <w:rsid w:val="00B06D34"/>
    <w:rsid w:val="00B06F4C"/>
    <w:rsid w:val="00B07402"/>
    <w:rsid w:val="00B07C4D"/>
    <w:rsid w:val="00B07E27"/>
    <w:rsid w:val="00B1025E"/>
    <w:rsid w:val="00B103AB"/>
    <w:rsid w:val="00B1093A"/>
    <w:rsid w:val="00B11404"/>
    <w:rsid w:val="00B114BA"/>
    <w:rsid w:val="00B1287B"/>
    <w:rsid w:val="00B12897"/>
    <w:rsid w:val="00B12A4C"/>
    <w:rsid w:val="00B12AFB"/>
    <w:rsid w:val="00B12BFC"/>
    <w:rsid w:val="00B12CD4"/>
    <w:rsid w:val="00B13029"/>
    <w:rsid w:val="00B1367B"/>
    <w:rsid w:val="00B1373E"/>
    <w:rsid w:val="00B14042"/>
    <w:rsid w:val="00B148EF"/>
    <w:rsid w:val="00B153B3"/>
    <w:rsid w:val="00B15794"/>
    <w:rsid w:val="00B16546"/>
    <w:rsid w:val="00B1737A"/>
    <w:rsid w:val="00B1739A"/>
    <w:rsid w:val="00B179BE"/>
    <w:rsid w:val="00B17E80"/>
    <w:rsid w:val="00B17ECC"/>
    <w:rsid w:val="00B2061C"/>
    <w:rsid w:val="00B20651"/>
    <w:rsid w:val="00B206CA"/>
    <w:rsid w:val="00B21433"/>
    <w:rsid w:val="00B22AEB"/>
    <w:rsid w:val="00B22BE6"/>
    <w:rsid w:val="00B23A6A"/>
    <w:rsid w:val="00B23C80"/>
    <w:rsid w:val="00B23F9F"/>
    <w:rsid w:val="00B240F7"/>
    <w:rsid w:val="00B2430D"/>
    <w:rsid w:val="00B24F32"/>
    <w:rsid w:val="00B252B7"/>
    <w:rsid w:val="00B25322"/>
    <w:rsid w:val="00B2543F"/>
    <w:rsid w:val="00B25A3A"/>
    <w:rsid w:val="00B25D6F"/>
    <w:rsid w:val="00B25E3D"/>
    <w:rsid w:val="00B27134"/>
    <w:rsid w:val="00B275CD"/>
    <w:rsid w:val="00B30796"/>
    <w:rsid w:val="00B30B5A"/>
    <w:rsid w:val="00B30EF4"/>
    <w:rsid w:val="00B312F3"/>
    <w:rsid w:val="00B3139D"/>
    <w:rsid w:val="00B3152F"/>
    <w:rsid w:val="00B319BA"/>
    <w:rsid w:val="00B320D8"/>
    <w:rsid w:val="00B32F27"/>
    <w:rsid w:val="00B33203"/>
    <w:rsid w:val="00B33223"/>
    <w:rsid w:val="00B336B5"/>
    <w:rsid w:val="00B338D6"/>
    <w:rsid w:val="00B34A9B"/>
    <w:rsid w:val="00B35AC4"/>
    <w:rsid w:val="00B35FF4"/>
    <w:rsid w:val="00B3615D"/>
    <w:rsid w:val="00B373FD"/>
    <w:rsid w:val="00B374B8"/>
    <w:rsid w:val="00B37BB5"/>
    <w:rsid w:val="00B403AA"/>
    <w:rsid w:val="00B40553"/>
    <w:rsid w:val="00B408DE"/>
    <w:rsid w:val="00B40DDB"/>
    <w:rsid w:val="00B40E40"/>
    <w:rsid w:val="00B41569"/>
    <w:rsid w:val="00B41A1B"/>
    <w:rsid w:val="00B41D51"/>
    <w:rsid w:val="00B42535"/>
    <w:rsid w:val="00B43010"/>
    <w:rsid w:val="00B433A8"/>
    <w:rsid w:val="00B43457"/>
    <w:rsid w:val="00B455A6"/>
    <w:rsid w:val="00B45F08"/>
    <w:rsid w:val="00B46906"/>
    <w:rsid w:val="00B469CB"/>
    <w:rsid w:val="00B46A26"/>
    <w:rsid w:val="00B472E7"/>
    <w:rsid w:val="00B47302"/>
    <w:rsid w:val="00B47B4F"/>
    <w:rsid w:val="00B50784"/>
    <w:rsid w:val="00B50BCF"/>
    <w:rsid w:val="00B5141B"/>
    <w:rsid w:val="00B51784"/>
    <w:rsid w:val="00B52108"/>
    <w:rsid w:val="00B5265A"/>
    <w:rsid w:val="00B52C7E"/>
    <w:rsid w:val="00B52D9A"/>
    <w:rsid w:val="00B536A2"/>
    <w:rsid w:val="00B53817"/>
    <w:rsid w:val="00B54059"/>
    <w:rsid w:val="00B541EA"/>
    <w:rsid w:val="00B545E3"/>
    <w:rsid w:val="00B55130"/>
    <w:rsid w:val="00B56440"/>
    <w:rsid w:val="00B56F34"/>
    <w:rsid w:val="00B57255"/>
    <w:rsid w:val="00B572B9"/>
    <w:rsid w:val="00B5780D"/>
    <w:rsid w:val="00B57EB2"/>
    <w:rsid w:val="00B601B3"/>
    <w:rsid w:val="00B601EC"/>
    <w:rsid w:val="00B60CCA"/>
    <w:rsid w:val="00B60E4E"/>
    <w:rsid w:val="00B6151D"/>
    <w:rsid w:val="00B618AC"/>
    <w:rsid w:val="00B62114"/>
    <w:rsid w:val="00B621C5"/>
    <w:rsid w:val="00B62552"/>
    <w:rsid w:val="00B630EA"/>
    <w:rsid w:val="00B63151"/>
    <w:rsid w:val="00B63627"/>
    <w:rsid w:val="00B6380A"/>
    <w:rsid w:val="00B63FA1"/>
    <w:rsid w:val="00B6445D"/>
    <w:rsid w:val="00B64A61"/>
    <w:rsid w:val="00B66273"/>
    <w:rsid w:val="00B66A21"/>
    <w:rsid w:val="00B66D3B"/>
    <w:rsid w:val="00B66DB2"/>
    <w:rsid w:val="00B67012"/>
    <w:rsid w:val="00B678BC"/>
    <w:rsid w:val="00B67C85"/>
    <w:rsid w:val="00B67CC6"/>
    <w:rsid w:val="00B70A2F"/>
    <w:rsid w:val="00B70A91"/>
    <w:rsid w:val="00B70BA6"/>
    <w:rsid w:val="00B71211"/>
    <w:rsid w:val="00B713EA"/>
    <w:rsid w:val="00B71D58"/>
    <w:rsid w:val="00B7277D"/>
    <w:rsid w:val="00B72AA6"/>
    <w:rsid w:val="00B73222"/>
    <w:rsid w:val="00B7393A"/>
    <w:rsid w:val="00B73CE1"/>
    <w:rsid w:val="00B73D3B"/>
    <w:rsid w:val="00B73ED6"/>
    <w:rsid w:val="00B73FBA"/>
    <w:rsid w:val="00B74ADA"/>
    <w:rsid w:val="00B75965"/>
    <w:rsid w:val="00B75C99"/>
    <w:rsid w:val="00B75FCA"/>
    <w:rsid w:val="00B76437"/>
    <w:rsid w:val="00B77866"/>
    <w:rsid w:val="00B801DD"/>
    <w:rsid w:val="00B805ED"/>
    <w:rsid w:val="00B80946"/>
    <w:rsid w:val="00B80A53"/>
    <w:rsid w:val="00B80BC3"/>
    <w:rsid w:val="00B80F4D"/>
    <w:rsid w:val="00B80F4E"/>
    <w:rsid w:val="00B81805"/>
    <w:rsid w:val="00B82D20"/>
    <w:rsid w:val="00B82DE1"/>
    <w:rsid w:val="00B8316E"/>
    <w:rsid w:val="00B83B52"/>
    <w:rsid w:val="00B83C61"/>
    <w:rsid w:val="00B843A8"/>
    <w:rsid w:val="00B84F80"/>
    <w:rsid w:val="00B85229"/>
    <w:rsid w:val="00B8650E"/>
    <w:rsid w:val="00B867C6"/>
    <w:rsid w:val="00B87E01"/>
    <w:rsid w:val="00B905BC"/>
    <w:rsid w:val="00B90C4C"/>
    <w:rsid w:val="00B91562"/>
    <w:rsid w:val="00B91DC4"/>
    <w:rsid w:val="00B91EA9"/>
    <w:rsid w:val="00B92746"/>
    <w:rsid w:val="00B93549"/>
    <w:rsid w:val="00B936CF"/>
    <w:rsid w:val="00B937B9"/>
    <w:rsid w:val="00B937C4"/>
    <w:rsid w:val="00B93BBA"/>
    <w:rsid w:val="00B93BE5"/>
    <w:rsid w:val="00B94B83"/>
    <w:rsid w:val="00B95277"/>
    <w:rsid w:val="00B95792"/>
    <w:rsid w:val="00B95D03"/>
    <w:rsid w:val="00B96D39"/>
    <w:rsid w:val="00B96E52"/>
    <w:rsid w:val="00B972FC"/>
    <w:rsid w:val="00B97A00"/>
    <w:rsid w:val="00B97FD6"/>
    <w:rsid w:val="00BA00C7"/>
    <w:rsid w:val="00BA0248"/>
    <w:rsid w:val="00BA032B"/>
    <w:rsid w:val="00BA0417"/>
    <w:rsid w:val="00BA05F7"/>
    <w:rsid w:val="00BA0C97"/>
    <w:rsid w:val="00BA0FB1"/>
    <w:rsid w:val="00BA162A"/>
    <w:rsid w:val="00BA1906"/>
    <w:rsid w:val="00BA1AA9"/>
    <w:rsid w:val="00BA212C"/>
    <w:rsid w:val="00BA247F"/>
    <w:rsid w:val="00BA27C8"/>
    <w:rsid w:val="00BA2BA8"/>
    <w:rsid w:val="00BA2E17"/>
    <w:rsid w:val="00BA2F35"/>
    <w:rsid w:val="00BA3190"/>
    <w:rsid w:val="00BA3888"/>
    <w:rsid w:val="00BA4362"/>
    <w:rsid w:val="00BA480D"/>
    <w:rsid w:val="00BA4C14"/>
    <w:rsid w:val="00BA4CEF"/>
    <w:rsid w:val="00BA5181"/>
    <w:rsid w:val="00BA54B6"/>
    <w:rsid w:val="00BA573E"/>
    <w:rsid w:val="00BA584B"/>
    <w:rsid w:val="00BA5C66"/>
    <w:rsid w:val="00BA6689"/>
    <w:rsid w:val="00BA6F91"/>
    <w:rsid w:val="00BA70CB"/>
    <w:rsid w:val="00BA738F"/>
    <w:rsid w:val="00BA7391"/>
    <w:rsid w:val="00BB0A34"/>
    <w:rsid w:val="00BB10EF"/>
    <w:rsid w:val="00BB1134"/>
    <w:rsid w:val="00BB17D6"/>
    <w:rsid w:val="00BB17FF"/>
    <w:rsid w:val="00BB1901"/>
    <w:rsid w:val="00BB1A17"/>
    <w:rsid w:val="00BB1CB5"/>
    <w:rsid w:val="00BB1F8D"/>
    <w:rsid w:val="00BB2232"/>
    <w:rsid w:val="00BB2AFB"/>
    <w:rsid w:val="00BB2F91"/>
    <w:rsid w:val="00BB342B"/>
    <w:rsid w:val="00BB448F"/>
    <w:rsid w:val="00BB4AA9"/>
    <w:rsid w:val="00BB53C0"/>
    <w:rsid w:val="00BB5BF1"/>
    <w:rsid w:val="00BB5D87"/>
    <w:rsid w:val="00BB6DC6"/>
    <w:rsid w:val="00BB71FF"/>
    <w:rsid w:val="00BB75CC"/>
    <w:rsid w:val="00BB77AD"/>
    <w:rsid w:val="00BB77F6"/>
    <w:rsid w:val="00BB793D"/>
    <w:rsid w:val="00BB7A33"/>
    <w:rsid w:val="00BB7B30"/>
    <w:rsid w:val="00BC0397"/>
    <w:rsid w:val="00BC04B9"/>
    <w:rsid w:val="00BC0C80"/>
    <w:rsid w:val="00BC0CD4"/>
    <w:rsid w:val="00BC13F4"/>
    <w:rsid w:val="00BC143B"/>
    <w:rsid w:val="00BC19B2"/>
    <w:rsid w:val="00BC1AC1"/>
    <w:rsid w:val="00BC207B"/>
    <w:rsid w:val="00BC22BF"/>
    <w:rsid w:val="00BC2457"/>
    <w:rsid w:val="00BC27BB"/>
    <w:rsid w:val="00BC293E"/>
    <w:rsid w:val="00BC369F"/>
    <w:rsid w:val="00BC38A3"/>
    <w:rsid w:val="00BC52F6"/>
    <w:rsid w:val="00BC5596"/>
    <w:rsid w:val="00BC5B1C"/>
    <w:rsid w:val="00BC65FB"/>
    <w:rsid w:val="00BC6926"/>
    <w:rsid w:val="00BC697A"/>
    <w:rsid w:val="00BC7ED4"/>
    <w:rsid w:val="00BD013F"/>
    <w:rsid w:val="00BD015C"/>
    <w:rsid w:val="00BD025A"/>
    <w:rsid w:val="00BD02BF"/>
    <w:rsid w:val="00BD048B"/>
    <w:rsid w:val="00BD0DF5"/>
    <w:rsid w:val="00BD1EC7"/>
    <w:rsid w:val="00BD23A6"/>
    <w:rsid w:val="00BD248E"/>
    <w:rsid w:val="00BD25DA"/>
    <w:rsid w:val="00BD3055"/>
    <w:rsid w:val="00BD3728"/>
    <w:rsid w:val="00BD3948"/>
    <w:rsid w:val="00BD3AF5"/>
    <w:rsid w:val="00BD3FC9"/>
    <w:rsid w:val="00BD4382"/>
    <w:rsid w:val="00BD4AD1"/>
    <w:rsid w:val="00BD4C2E"/>
    <w:rsid w:val="00BD4E18"/>
    <w:rsid w:val="00BD52F6"/>
    <w:rsid w:val="00BD5B45"/>
    <w:rsid w:val="00BD6657"/>
    <w:rsid w:val="00BD6788"/>
    <w:rsid w:val="00BD6859"/>
    <w:rsid w:val="00BD6AAF"/>
    <w:rsid w:val="00BD6EC3"/>
    <w:rsid w:val="00BE0274"/>
    <w:rsid w:val="00BE035F"/>
    <w:rsid w:val="00BE0A92"/>
    <w:rsid w:val="00BE0E33"/>
    <w:rsid w:val="00BE12E8"/>
    <w:rsid w:val="00BE1420"/>
    <w:rsid w:val="00BE145D"/>
    <w:rsid w:val="00BE19E1"/>
    <w:rsid w:val="00BE2778"/>
    <w:rsid w:val="00BE2935"/>
    <w:rsid w:val="00BE295B"/>
    <w:rsid w:val="00BE2BA5"/>
    <w:rsid w:val="00BE2C81"/>
    <w:rsid w:val="00BE33FB"/>
    <w:rsid w:val="00BE3CBB"/>
    <w:rsid w:val="00BE5313"/>
    <w:rsid w:val="00BE53B0"/>
    <w:rsid w:val="00BE54A4"/>
    <w:rsid w:val="00BE6798"/>
    <w:rsid w:val="00BE6BE3"/>
    <w:rsid w:val="00BE71D8"/>
    <w:rsid w:val="00BE743A"/>
    <w:rsid w:val="00BE77F1"/>
    <w:rsid w:val="00BE7992"/>
    <w:rsid w:val="00BED423"/>
    <w:rsid w:val="00BF023D"/>
    <w:rsid w:val="00BF1D03"/>
    <w:rsid w:val="00BF20B1"/>
    <w:rsid w:val="00BF230C"/>
    <w:rsid w:val="00BF26E8"/>
    <w:rsid w:val="00BF39BA"/>
    <w:rsid w:val="00BF4262"/>
    <w:rsid w:val="00BF4935"/>
    <w:rsid w:val="00BF4E5B"/>
    <w:rsid w:val="00BF513E"/>
    <w:rsid w:val="00BF5406"/>
    <w:rsid w:val="00BF5BF3"/>
    <w:rsid w:val="00BF5F0C"/>
    <w:rsid w:val="00BF66CB"/>
    <w:rsid w:val="00BF6AA4"/>
    <w:rsid w:val="00BF6C39"/>
    <w:rsid w:val="00BF6E61"/>
    <w:rsid w:val="00BF70D3"/>
    <w:rsid w:val="00BF7CA1"/>
    <w:rsid w:val="00BF7EC2"/>
    <w:rsid w:val="00C00050"/>
    <w:rsid w:val="00C00637"/>
    <w:rsid w:val="00C0068E"/>
    <w:rsid w:val="00C00DD4"/>
    <w:rsid w:val="00C00EA9"/>
    <w:rsid w:val="00C0122E"/>
    <w:rsid w:val="00C0127F"/>
    <w:rsid w:val="00C0131B"/>
    <w:rsid w:val="00C01431"/>
    <w:rsid w:val="00C01602"/>
    <w:rsid w:val="00C01774"/>
    <w:rsid w:val="00C01B43"/>
    <w:rsid w:val="00C01EF2"/>
    <w:rsid w:val="00C02162"/>
    <w:rsid w:val="00C02359"/>
    <w:rsid w:val="00C02417"/>
    <w:rsid w:val="00C02939"/>
    <w:rsid w:val="00C02DAE"/>
    <w:rsid w:val="00C037B6"/>
    <w:rsid w:val="00C039E6"/>
    <w:rsid w:val="00C03D87"/>
    <w:rsid w:val="00C03DB0"/>
    <w:rsid w:val="00C03FD3"/>
    <w:rsid w:val="00C04252"/>
    <w:rsid w:val="00C046D3"/>
    <w:rsid w:val="00C04E8F"/>
    <w:rsid w:val="00C05220"/>
    <w:rsid w:val="00C05230"/>
    <w:rsid w:val="00C05B41"/>
    <w:rsid w:val="00C05BB3"/>
    <w:rsid w:val="00C06131"/>
    <w:rsid w:val="00C06353"/>
    <w:rsid w:val="00C07B0D"/>
    <w:rsid w:val="00C07DF5"/>
    <w:rsid w:val="00C1050C"/>
    <w:rsid w:val="00C10DC3"/>
    <w:rsid w:val="00C1117F"/>
    <w:rsid w:val="00C116B4"/>
    <w:rsid w:val="00C117BB"/>
    <w:rsid w:val="00C12274"/>
    <w:rsid w:val="00C1314C"/>
    <w:rsid w:val="00C133A2"/>
    <w:rsid w:val="00C135C5"/>
    <w:rsid w:val="00C1371F"/>
    <w:rsid w:val="00C139BB"/>
    <w:rsid w:val="00C13FAB"/>
    <w:rsid w:val="00C14552"/>
    <w:rsid w:val="00C1492D"/>
    <w:rsid w:val="00C149A3"/>
    <w:rsid w:val="00C14BA4"/>
    <w:rsid w:val="00C1544D"/>
    <w:rsid w:val="00C15B3B"/>
    <w:rsid w:val="00C15C20"/>
    <w:rsid w:val="00C167DB"/>
    <w:rsid w:val="00C16B11"/>
    <w:rsid w:val="00C1773C"/>
    <w:rsid w:val="00C17A5C"/>
    <w:rsid w:val="00C17AF4"/>
    <w:rsid w:val="00C17B70"/>
    <w:rsid w:val="00C2069B"/>
    <w:rsid w:val="00C2095B"/>
    <w:rsid w:val="00C20C62"/>
    <w:rsid w:val="00C20FA0"/>
    <w:rsid w:val="00C212BD"/>
    <w:rsid w:val="00C21917"/>
    <w:rsid w:val="00C21ACC"/>
    <w:rsid w:val="00C226D2"/>
    <w:rsid w:val="00C2372B"/>
    <w:rsid w:val="00C23954"/>
    <w:rsid w:val="00C239D0"/>
    <w:rsid w:val="00C23B94"/>
    <w:rsid w:val="00C241CD"/>
    <w:rsid w:val="00C2496C"/>
    <w:rsid w:val="00C24BB2"/>
    <w:rsid w:val="00C2530C"/>
    <w:rsid w:val="00C25A18"/>
    <w:rsid w:val="00C25C50"/>
    <w:rsid w:val="00C25EF0"/>
    <w:rsid w:val="00C26346"/>
    <w:rsid w:val="00C267FE"/>
    <w:rsid w:val="00C270CC"/>
    <w:rsid w:val="00C27293"/>
    <w:rsid w:val="00C272F8"/>
    <w:rsid w:val="00C2748A"/>
    <w:rsid w:val="00C27543"/>
    <w:rsid w:val="00C2765E"/>
    <w:rsid w:val="00C27E59"/>
    <w:rsid w:val="00C30485"/>
    <w:rsid w:val="00C306A1"/>
    <w:rsid w:val="00C3180A"/>
    <w:rsid w:val="00C31A82"/>
    <w:rsid w:val="00C31BA1"/>
    <w:rsid w:val="00C31EAE"/>
    <w:rsid w:val="00C3274B"/>
    <w:rsid w:val="00C3284C"/>
    <w:rsid w:val="00C32AEE"/>
    <w:rsid w:val="00C32DD6"/>
    <w:rsid w:val="00C32F25"/>
    <w:rsid w:val="00C3320D"/>
    <w:rsid w:val="00C33B09"/>
    <w:rsid w:val="00C33B40"/>
    <w:rsid w:val="00C33D46"/>
    <w:rsid w:val="00C34549"/>
    <w:rsid w:val="00C3464F"/>
    <w:rsid w:val="00C34702"/>
    <w:rsid w:val="00C34B08"/>
    <w:rsid w:val="00C34BBC"/>
    <w:rsid w:val="00C34EFA"/>
    <w:rsid w:val="00C34FAA"/>
    <w:rsid w:val="00C350FF"/>
    <w:rsid w:val="00C3562A"/>
    <w:rsid w:val="00C358BC"/>
    <w:rsid w:val="00C35F84"/>
    <w:rsid w:val="00C364F1"/>
    <w:rsid w:val="00C376EB"/>
    <w:rsid w:val="00C40B32"/>
    <w:rsid w:val="00C40CB1"/>
    <w:rsid w:val="00C413C5"/>
    <w:rsid w:val="00C41A7B"/>
    <w:rsid w:val="00C41A7C"/>
    <w:rsid w:val="00C41ABF"/>
    <w:rsid w:val="00C42A8A"/>
    <w:rsid w:val="00C42BA5"/>
    <w:rsid w:val="00C42D7B"/>
    <w:rsid w:val="00C42E3F"/>
    <w:rsid w:val="00C430EE"/>
    <w:rsid w:val="00C430FC"/>
    <w:rsid w:val="00C43823"/>
    <w:rsid w:val="00C43875"/>
    <w:rsid w:val="00C440B2"/>
    <w:rsid w:val="00C44534"/>
    <w:rsid w:val="00C45034"/>
    <w:rsid w:val="00C45882"/>
    <w:rsid w:val="00C4592D"/>
    <w:rsid w:val="00C4595D"/>
    <w:rsid w:val="00C45A41"/>
    <w:rsid w:val="00C465B4"/>
    <w:rsid w:val="00C46B98"/>
    <w:rsid w:val="00C46CC7"/>
    <w:rsid w:val="00C478CA"/>
    <w:rsid w:val="00C478CF"/>
    <w:rsid w:val="00C47D07"/>
    <w:rsid w:val="00C47D75"/>
    <w:rsid w:val="00C50CB6"/>
    <w:rsid w:val="00C50DAF"/>
    <w:rsid w:val="00C50F99"/>
    <w:rsid w:val="00C51C7C"/>
    <w:rsid w:val="00C52237"/>
    <w:rsid w:val="00C522DC"/>
    <w:rsid w:val="00C522E7"/>
    <w:rsid w:val="00C523DA"/>
    <w:rsid w:val="00C52735"/>
    <w:rsid w:val="00C53057"/>
    <w:rsid w:val="00C53B8A"/>
    <w:rsid w:val="00C53C04"/>
    <w:rsid w:val="00C53E33"/>
    <w:rsid w:val="00C53FE6"/>
    <w:rsid w:val="00C53FF6"/>
    <w:rsid w:val="00C54526"/>
    <w:rsid w:val="00C550E5"/>
    <w:rsid w:val="00C55218"/>
    <w:rsid w:val="00C55477"/>
    <w:rsid w:val="00C55949"/>
    <w:rsid w:val="00C55C78"/>
    <w:rsid w:val="00C55E75"/>
    <w:rsid w:val="00C55EDE"/>
    <w:rsid w:val="00C5608B"/>
    <w:rsid w:val="00C56235"/>
    <w:rsid w:val="00C56290"/>
    <w:rsid w:val="00C56BBC"/>
    <w:rsid w:val="00C56E3B"/>
    <w:rsid w:val="00C5723A"/>
    <w:rsid w:val="00C57302"/>
    <w:rsid w:val="00C5737A"/>
    <w:rsid w:val="00C5738A"/>
    <w:rsid w:val="00C57812"/>
    <w:rsid w:val="00C57AA0"/>
    <w:rsid w:val="00C57D66"/>
    <w:rsid w:val="00C600B1"/>
    <w:rsid w:val="00C60A7C"/>
    <w:rsid w:val="00C61169"/>
    <w:rsid w:val="00C611A5"/>
    <w:rsid w:val="00C618A1"/>
    <w:rsid w:val="00C618F8"/>
    <w:rsid w:val="00C61B70"/>
    <w:rsid w:val="00C61C21"/>
    <w:rsid w:val="00C62229"/>
    <w:rsid w:val="00C63912"/>
    <w:rsid w:val="00C63966"/>
    <w:rsid w:val="00C64263"/>
    <w:rsid w:val="00C6441F"/>
    <w:rsid w:val="00C64522"/>
    <w:rsid w:val="00C64A2D"/>
    <w:rsid w:val="00C651D5"/>
    <w:rsid w:val="00C6546E"/>
    <w:rsid w:val="00C65871"/>
    <w:rsid w:val="00C66128"/>
    <w:rsid w:val="00C66248"/>
    <w:rsid w:val="00C66329"/>
    <w:rsid w:val="00C66DF4"/>
    <w:rsid w:val="00C670AE"/>
    <w:rsid w:val="00C67BB5"/>
    <w:rsid w:val="00C700A2"/>
    <w:rsid w:val="00C7033F"/>
    <w:rsid w:val="00C704EC"/>
    <w:rsid w:val="00C707BB"/>
    <w:rsid w:val="00C71D24"/>
    <w:rsid w:val="00C71FE8"/>
    <w:rsid w:val="00C72327"/>
    <w:rsid w:val="00C72682"/>
    <w:rsid w:val="00C72CCF"/>
    <w:rsid w:val="00C72F86"/>
    <w:rsid w:val="00C73573"/>
    <w:rsid w:val="00C735DA"/>
    <w:rsid w:val="00C73A9C"/>
    <w:rsid w:val="00C73ACE"/>
    <w:rsid w:val="00C74390"/>
    <w:rsid w:val="00C7475F"/>
    <w:rsid w:val="00C753BA"/>
    <w:rsid w:val="00C754FB"/>
    <w:rsid w:val="00C757B6"/>
    <w:rsid w:val="00C75CAF"/>
    <w:rsid w:val="00C76CA1"/>
    <w:rsid w:val="00C8072C"/>
    <w:rsid w:val="00C81368"/>
    <w:rsid w:val="00C814BE"/>
    <w:rsid w:val="00C814DF"/>
    <w:rsid w:val="00C81701"/>
    <w:rsid w:val="00C81FAE"/>
    <w:rsid w:val="00C81FDD"/>
    <w:rsid w:val="00C8248C"/>
    <w:rsid w:val="00C82642"/>
    <w:rsid w:val="00C8270A"/>
    <w:rsid w:val="00C82B69"/>
    <w:rsid w:val="00C82DEB"/>
    <w:rsid w:val="00C83598"/>
    <w:rsid w:val="00C8386B"/>
    <w:rsid w:val="00C8537B"/>
    <w:rsid w:val="00C860F3"/>
    <w:rsid w:val="00C86588"/>
    <w:rsid w:val="00C8676C"/>
    <w:rsid w:val="00C86938"/>
    <w:rsid w:val="00C878B8"/>
    <w:rsid w:val="00C87CA2"/>
    <w:rsid w:val="00C90097"/>
    <w:rsid w:val="00C908FD"/>
    <w:rsid w:val="00C91098"/>
    <w:rsid w:val="00C914D6"/>
    <w:rsid w:val="00C917AB"/>
    <w:rsid w:val="00C91D37"/>
    <w:rsid w:val="00C92135"/>
    <w:rsid w:val="00C92255"/>
    <w:rsid w:val="00C9277C"/>
    <w:rsid w:val="00C93757"/>
    <w:rsid w:val="00C939A6"/>
    <w:rsid w:val="00C944D4"/>
    <w:rsid w:val="00C94AD0"/>
    <w:rsid w:val="00C95C7F"/>
    <w:rsid w:val="00C95CA1"/>
    <w:rsid w:val="00C95E81"/>
    <w:rsid w:val="00C965BA"/>
    <w:rsid w:val="00C96634"/>
    <w:rsid w:val="00C9691E"/>
    <w:rsid w:val="00C96A3C"/>
    <w:rsid w:val="00C9725E"/>
    <w:rsid w:val="00C97451"/>
    <w:rsid w:val="00C9760F"/>
    <w:rsid w:val="00C97A78"/>
    <w:rsid w:val="00C97BF2"/>
    <w:rsid w:val="00C97EE0"/>
    <w:rsid w:val="00C97FF3"/>
    <w:rsid w:val="00CA01DD"/>
    <w:rsid w:val="00CA0930"/>
    <w:rsid w:val="00CA12BC"/>
    <w:rsid w:val="00CA1BAC"/>
    <w:rsid w:val="00CA1FF0"/>
    <w:rsid w:val="00CA30AC"/>
    <w:rsid w:val="00CA3AC5"/>
    <w:rsid w:val="00CA3D60"/>
    <w:rsid w:val="00CA3F0E"/>
    <w:rsid w:val="00CA41DF"/>
    <w:rsid w:val="00CA41F0"/>
    <w:rsid w:val="00CA4E3D"/>
    <w:rsid w:val="00CA54E0"/>
    <w:rsid w:val="00CA5659"/>
    <w:rsid w:val="00CA588E"/>
    <w:rsid w:val="00CA5E01"/>
    <w:rsid w:val="00CA63EE"/>
    <w:rsid w:val="00CA6420"/>
    <w:rsid w:val="00CA7053"/>
    <w:rsid w:val="00CA757F"/>
    <w:rsid w:val="00CA7763"/>
    <w:rsid w:val="00CA7A99"/>
    <w:rsid w:val="00CB034C"/>
    <w:rsid w:val="00CB043F"/>
    <w:rsid w:val="00CB062F"/>
    <w:rsid w:val="00CB0D9F"/>
    <w:rsid w:val="00CB11A8"/>
    <w:rsid w:val="00CB1243"/>
    <w:rsid w:val="00CB18C4"/>
    <w:rsid w:val="00CB1985"/>
    <w:rsid w:val="00CB1A99"/>
    <w:rsid w:val="00CB1B9E"/>
    <w:rsid w:val="00CB1FA6"/>
    <w:rsid w:val="00CB20D1"/>
    <w:rsid w:val="00CB334D"/>
    <w:rsid w:val="00CB42AF"/>
    <w:rsid w:val="00CB447F"/>
    <w:rsid w:val="00CB4C92"/>
    <w:rsid w:val="00CB4F11"/>
    <w:rsid w:val="00CB582D"/>
    <w:rsid w:val="00CB59DD"/>
    <w:rsid w:val="00CB5B7D"/>
    <w:rsid w:val="00CB5DE3"/>
    <w:rsid w:val="00CB63B6"/>
    <w:rsid w:val="00CB64EE"/>
    <w:rsid w:val="00CB69FD"/>
    <w:rsid w:val="00CB7E8B"/>
    <w:rsid w:val="00CC1009"/>
    <w:rsid w:val="00CC1063"/>
    <w:rsid w:val="00CC11A5"/>
    <w:rsid w:val="00CC18C2"/>
    <w:rsid w:val="00CC1A3C"/>
    <w:rsid w:val="00CC1B39"/>
    <w:rsid w:val="00CC1B81"/>
    <w:rsid w:val="00CC1C14"/>
    <w:rsid w:val="00CC266B"/>
    <w:rsid w:val="00CC2671"/>
    <w:rsid w:val="00CC362E"/>
    <w:rsid w:val="00CC3F31"/>
    <w:rsid w:val="00CC3F81"/>
    <w:rsid w:val="00CC47F8"/>
    <w:rsid w:val="00CC52D9"/>
    <w:rsid w:val="00CC5711"/>
    <w:rsid w:val="00CC577B"/>
    <w:rsid w:val="00CC6533"/>
    <w:rsid w:val="00CC6F65"/>
    <w:rsid w:val="00CC7350"/>
    <w:rsid w:val="00CC7C7F"/>
    <w:rsid w:val="00CD015A"/>
    <w:rsid w:val="00CD0D23"/>
    <w:rsid w:val="00CD17D0"/>
    <w:rsid w:val="00CD1810"/>
    <w:rsid w:val="00CD185F"/>
    <w:rsid w:val="00CD196C"/>
    <w:rsid w:val="00CD265E"/>
    <w:rsid w:val="00CD2A39"/>
    <w:rsid w:val="00CD2C0D"/>
    <w:rsid w:val="00CD2D55"/>
    <w:rsid w:val="00CD37E3"/>
    <w:rsid w:val="00CD37FD"/>
    <w:rsid w:val="00CD47A1"/>
    <w:rsid w:val="00CD4AA2"/>
    <w:rsid w:val="00CD4C9A"/>
    <w:rsid w:val="00CD57AC"/>
    <w:rsid w:val="00CD5A05"/>
    <w:rsid w:val="00CD5F8E"/>
    <w:rsid w:val="00CD61F3"/>
    <w:rsid w:val="00CD6B8F"/>
    <w:rsid w:val="00CD7264"/>
    <w:rsid w:val="00CD746E"/>
    <w:rsid w:val="00CD74D3"/>
    <w:rsid w:val="00CD7EC9"/>
    <w:rsid w:val="00CE0B89"/>
    <w:rsid w:val="00CE0E02"/>
    <w:rsid w:val="00CE0EDA"/>
    <w:rsid w:val="00CE0F95"/>
    <w:rsid w:val="00CE1EB0"/>
    <w:rsid w:val="00CE2239"/>
    <w:rsid w:val="00CE2564"/>
    <w:rsid w:val="00CE2B86"/>
    <w:rsid w:val="00CE2C33"/>
    <w:rsid w:val="00CE2EC9"/>
    <w:rsid w:val="00CE2F02"/>
    <w:rsid w:val="00CE2F79"/>
    <w:rsid w:val="00CE307B"/>
    <w:rsid w:val="00CE3443"/>
    <w:rsid w:val="00CE390D"/>
    <w:rsid w:val="00CE396B"/>
    <w:rsid w:val="00CE4087"/>
    <w:rsid w:val="00CE433E"/>
    <w:rsid w:val="00CE4456"/>
    <w:rsid w:val="00CE455E"/>
    <w:rsid w:val="00CE5C75"/>
    <w:rsid w:val="00CE5E80"/>
    <w:rsid w:val="00CE6121"/>
    <w:rsid w:val="00CE64FE"/>
    <w:rsid w:val="00CE78A7"/>
    <w:rsid w:val="00CE7B7B"/>
    <w:rsid w:val="00CF030C"/>
    <w:rsid w:val="00CF0625"/>
    <w:rsid w:val="00CF24B2"/>
    <w:rsid w:val="00CF2550"/>
    <w:rsid w:val="00CF25D1"/>
    <w:rsid w:val="00CF3105"/>
    <w:rsid w:val="00CF37A3"/>
    <w:rsid w:val="00CF3BB2"/>
    <w:rsid w:val="00CF3CA7"/>
    <w:rsid w:val="00CF4034"/>
    <w:rsid w:val="00CF41B6"/>
    <w:rsid w:val="00CF5147"/>
    <w:rsid w:val="00CF5501"/>
    <w:rsid w:val="00CF5769"/>
    <w:rsid w:val="00CF59B8"/>
    <w:rsid w:val="00CF5B78"/>
    <w:rsid w:val="00CF5ECF"/>
    <w:rsid w:val="00CF624E"/>
    <w:rsid w:val="00CF6597"/>
    <w:rsid w:val="00CF7190"/>
    <w:rsid w:val="00CF7370"/>
    <w:rsid w:val="00CF7481"/>
    <w:rsid w:val="00CF76FD"/>
    <w:rsid w:val="00CF78F6"/>
    <w:rsid w:val="00CF7E13"/>
    <w:rsid w:val="00D0014D"/>
    <w:rsid w:val="00D002B7"/>
    <w:rsid w:val="00D00469"/>
    <w:rsid w:val="00D00792"/>
    <w:rsid w:val="00D00800"/>
    <w:rsid w:val="00D00882"/>
    <w:rsid w:val="00D01A0C"/>
    <w:rsid w:val="00D01EA9"/>
    <w:rsid w:val="00D022AC"/>
    <w:rsid w:val="00D0244E"/>
    <w:rsid w:val="00D02871"/>
    <w:rsid w:val="00D02D21"/>
    <w:rsid w:val="00D02FAE"/>
    <w:rsid w:val="00D042AA"/>
    <w:rsid w:val="00D043A3"/>
    <w:rsid w:val="00D04649"/>
    <w:rsid w:val="00D046BD"/>
    <w:rsid w:val="00D04AC8"/>
    <w:rsid w:val="00D05279"/>
    <w:rsid w:val="00D054C0"/>
    <w:rsid w:val="00D05688"/>
    <w:rsid w:val="00D05727"/>
    <w:rsid w:val="00D05B2B"/>
    <w:rsid w:val="00D0653F"/>
    <w:rsid w:val="00D06972"/>
    <w:rsid w:val="00D06CBA"/>
    <w:rsid w:val="00D06D07"/>
    <w:rsid w:val="00D07337"/>
    <w:rsid w:val="00D106CD"/>
    <w:rsid w:val="00D10F8C"/>
    <w:rsid w:val="00D111F0"/>
    <w:rsid w:val="00D11804"/>
    <w:rsid w:val="00D118AA"/>
    <w:rsid w:val="00D11FA7"/>
    <w:rsid w:val="00D1219E"/>
    <w:rsid w:val="00D12C43"/>
    <w:rsid w:val="00D12CB4"/>
    <w:rsid w:val="00D12DDC"/>
    <w:rsid w:val="00D12E92"/>
    <w:rsid w:val="00D132FF"/>
    <w:rsid w:val="00D1388C"/>
    <w:rsid w:val="00D14BA5"/>
    <w:rsid w:val="00D14F23"/>
    <w:rsid w:val="00D15241"/>
    <w:rsid w:val="00D152F6"/>
    <w:rsid w:val="00D1553B"/>
    <w:rsid w:val="00D159E7"/>
    <w:rsid w:val="00D15E9E"/>
    <w:rsid w:val="00D1650E"/>
    <w:rsid w:val="00D16703"/>
    <w:rsid w:val="00D1706E"/>
    <w:rsid w:val="00D17F82"/>
    <w:rsid w:val="00D1CA4D"/>
    <w:rsid w:val="00D20337"/>
    <w:rsid w:val="00D208DF"/>
    <w:rsid w:val="00D208F0"/>
    <w:rsid w:val="00D210ED"/>
    <w:rsid w:val="00D22493"/>
    <w:rsid w:val="00D22561"/>
    <w:rsid w:val="00D22F91"/>
    <w:rsid w:val="00D24667"/>
    <w:rsid w:val="00D24D25"/>
    <w:rsid w:val="00D24DE5"/>
    <w:rsid w:val="00D2523C"/>
    <w:rsid w:val="00D252DC"/>
    <w:rsid w:val="00D2568D"/>
    <w:rsid w:val="00D25D1C"/>
    <w:rsid w:val="00D25FF8"/>
    <w:rsid w:val="00D26B33"/>
    <w:rsid w:val="00D26B53"/>
    <w:rsid w:val="00D2796F"/>
    <w:rsid w:val="00D27A5B"/>
    <w:rsid w:val="00D27B62"/>
    <w:rsid w:val="00D30280"/>
    <w:rsid w:val="00D304A5"/>
    <w:rsid w:val="00D304C2"/>
    <w:rsid w:val="00D308C7"/>
    <w:rsid w:val="00D30D98"/>
    <w:rsid w:val="00D30E36"/>
    <w:rsid w:val="00D30EAD"/>
    <w:rsid w:val="00D3191E"/>
    <w:rsid w:val="00D31B6B"/>
    <w:rsid w:val="00D31C31"/>
    <w:rsid w:val="00D31DB7"/>
    <w:rsid w:val="00D320D5"/>
    <w:rsid w:val="00D3285A"/>
    <w:rsid w:val="00D32AB9"/>
    <w:rsid w:val="00D32E60"/>
    <w:rsid w:val="00D333E7"/>
    <w:rsid w:val="00D34A1C"/>
    <w:rsid w:val="00D34E78"/>
    <w:rsid w:val="00D352B0"/>
    <w:rsid w:val="00D353B4"/>
    <w:rsid w:val="00D35DFA"/>
    <w:rsid w:val="00D35F4D"/>
    <w:rsid w:val="00D3614F"/>
    <w:rsid w:val="00D3685B"/>
    <w:rsid w:val="00D369B9"/>
    <w:rsid w:val="00D36BA9"/>
    <w:rsid w:val="00D37120"/>
    <w:rsid w:val="00D37890"/>
    <w:rsid w:val="00D37B8D"/>
    <w:rsid w:val="00D37E73"/>
    <w:rsid w:val="00D37FB5"/>
    <w:rsid w:val="00D37FD2"/>
    <w:rsid w:val="00D40850"/>
    <w:rsid w:val="00D40B43"/>
    <w:rsid w:val="00D40B87"/>
    <w:rsid w:val="00D40C82"/>
    <w:rsid w:val="00D411BF"/>
    <w:rsid w:val="00D41275"/>
    <w:rsid w:val="00D41400"/>
    <w:rsid w:val="00D417F0"/>
    <w:rsid w:val="00D4182A"/>
    <w:rsid w:val="00D41E48"/>
    <w:rsid w:val="00D41EDF"/>
    <w:rsid w:val="00D424C2"/>
    <w:rsid w:val="00D42788"/>
    <w:rsid w:val="00D42DA7"/>
    <w:rsid w:val="00D42E69"/>
    <w:rsid w:val="00D430B1"/>
    <w:rsid w:val="00D4317C"/>
    <w:rsid w:val="00D43198"/>
    <w:rsid w:val="00D43A6A"/>
    <w:rsid w:val="00D43AA0"/>
    <w:rsid w:val="00D44DB2"/>
    <w:rsid w:val="00D450DE"/>
    <w:rsid w:val="00D452D4"/>
    <w:rsid w:val="00D455FB"/>
    <w:rsid w:val="00D46368"/>
    <w:rsid w:val="00D46465"/>
    <w:rsid w:val="00D46615"/>
    <w:rsid w:val="00D46E02"/>
    <w:rsid w:val="00D50167"/>
    <w:rsid w:val="00D502C8"/>
    <w:rsid w:val="00D504A9"/>
    <w:rsid w:val="00D517F0"/>
    <w:rsid w:val="00D51A3B"/>
    <w:rsid w:val="00D51A9D"/>
    <w:rsid w:val="00D51AD5"/>
    <w:rsid w:val="00D51CBE"/>
    <w:rsid w:val="00D51DDD"/>
    <w:rsid w:val="00D51E06"/>
    <w:rsid w:val="00D52CBE"/>
    <w:rsid w:val="00D52E56"/>
    <w:rsid w:val="00D5371D"/>
    <w:rsid w:val="00D53F8C"/>
    <w:rsid w:val="00D54316"/>
    <w:rsid w:val="00D5464B"/>
    <w:rsid w:val="00D5467F"/>
    <w:rsid w:val="00D54875"/>
    <w:rsid w:val="00D551B4"/>
    <w:rsid w:val="00D55996"/>
    <w:rsid w:val="00D55A1F"/>
    <w:rsid w:val="00D55F5D"/>
    <w:rsid w:val="00D563AE"/>
    <w:rsid w:val="00D57575"/>
    <w:rsid w:val="00D603D0"/>
    <w:rsid w:val="00D60D6F"/>
    <w:rsid w:val="00D627CB"/>
    <w:rsid w:val="00D62945"/>
    <w:rsid w:val="00D62B31"/>
    <w:rsid w:val="00D62FE4"/>
    <w:rsid w:val="00D63517"/>
    <w:rsid w:val="00D63519"/>
    <w:rsid w:val="00D63C70"/>
    <w:rsid w:val="00D63EFC"/>
    <w:rsid w:val="00D64694"/>
    <w:rsid w:val="00D64927"/>
    <w:rsid w:val="00D649FC"/>
    <w:rsid w:val="00D64CD2"/>
    <w:rsid w:val="00D651E5"/>
    <w:rsid w:val="00D65506"/>
    <w:rsid w:val="00D6556B"/>
    <w:rsid w:val="00D6590D"/>
    <w:rsid w:val="00D65B4E"/>
    <w:rsid w:val="00D660B0"/>
    <w:rsid w:val="00D6699A"/>
    <w:rsid w:val="00D66DBC"/>
    <w:rsid w:val="00D67DF7"/>
    <w:rsid w:val="00D67FA9"/>
    <w:rsid w:val="00D698CC"/>
    <w:rsid w:val="00D70062"/>
    <w:rsid w:val="00D703B2"/>
    <w:rsid w:val="00D70FE5"/>
    <w:rsid w:val="00D70FF3"/>
    <w:rsid w:val="00D71D46"/>
    <w:rsid w:val="00D725F7"/>
    <w:rsid w:val="00D727B6"/>
    <w:rsid w:val="00D72BA5"/>
    <w:rsid w:val="00D731FC"/>
    <w:rsid w:val="00D734A3"/>
    <w:rsid w:val="00D739BA"/>
    <w:rsid w:val="00D73A45"/>
    <w:rsid w:val="00D74709"/>
    <w:rsid w:val="00D74AF6"/>
    <w:rsid w:val="00D74F06"/>
    <w:rsid w:val="00D75795"/>
    <w:rsid w:val="00D760AF"/>
    <w:rsid w:val="00D76243"/>
    <w:rsid w:val="00D764A2"/>
    <w:rsid w:val="00D76802"/>
    <w:rsid w:val="00D76D60"/>
    <w:rsid w:val="00D7709B"/>
    <w:rsid w:val="00D77797"/>
    <w:rsid w:val="00D806F7"/>
    <w:rsid w:val="00D80D1B"/>
    <w:rsid w:val="00D81B34"/>
    <w:rsid w:val="00D8208E"/>
    <w:rsid w:val="00D82673"/>
    <w:rsid w:val="00D82F11"/>
    <w:rsid w:val="00D83047"/>
    <w:rsid w:val="00D83517"/>
    <w:rsid w:val="00D83727"/>
    <w:rsid w:val="00D83AC1"/>
    <w:rsid w:val="00D83C8F"/>
    <w:rsid w:val="00D846F0"/>
    <w:rsid w:val="00D84A42"/>
    <w:rsid w:val="00D85135"/>
    <w:rsid w:val="00D85683"/>
    <w:rsid w:val="00D86429"/>
    <w:rsid w:val="00D86666"/>
    <w:rsid w:val="00D8672C"/>
    <w:rsid w:val="00D86792"/>
    <w:rsid w:val="00D867B6"/>
    <w:rsid w:val="00D86B18"/>
    <w:rsid w:val="00D86C30"/>
    <w:rsid w:val="00D86D75"/>
    <w:rsid w:val="00D87749"/>
    <w:rsid w:val="00D87FD2"/>
    <w:rsid w:val="00D9005B"/>
    <w:rsid w:val="00D908F1"/>
    <w:rsid w:val="00D909F9"/>
    <w:rsid w:val="00D913D8"/>
    <w:rsid w:val="00D9147A"/>
    <w:rsid w:val="00D91545"/>
    <w:rsid w:val="00D91B4D"/>
    <w:rsid w:val="00D92357"/>
    <w:rsid w:val="00D92581"/>
    <w:rsid w:val="00D926F8"/>
    <w:rsid w:val="00D92779"/>
    <w:rsid w:val="00D92EBA"/>
    <w:rsid w:val="00D931BA"/>
    <w:rsid w:val="00D937FC"/>
    <w:rsid w:val="00D93A8E"/>
    <w:rsid w:val="00D93AFD"/>
    <w:rsid w:val="00D93E03"/>
    <w:rsid w:val="00D93E5A"/>
    <w:rsid w:val="00D93F03"/>
    <w:rsid w:val="00D94153"/>
    <w:rsid w:val="00D94602"/>
    <w:rsid w:val="00D9473A"/>
    <w:rsid w:val="00D94883"/>
    <w:rsid w:val="00D94896"/>
    <w:rsid w:val="00D94A8B"/>
    <w:rsid w:val="00D95911"/>
    <w:rsid w:val="00D95A90"/>
    <w:rsid w:val="00D961D8"/>
    <w:rsid w:val="00D9630C"/>
    <w:rsid w:val="00D96319"/>
    <w:rsid w:val="00D96345"/>
    <w:rsid w:val="00D969FE"/>
    <w:rsid w:val="00DA00A5"/>
    <w:rsid w:val="00DA024B"/>
    <w:rsid w:val="00DA099B"/>
    <w:rsid w:val="00DA0E88"/>
    <w:rsid w:val="00DA1093"/>
    <w:rsid w:val="00DA1667"/>
    <w:rsid w:val="00DA1C08"/>
    <w:rsid w:val="00DA1E32"/>
    <w:rsid w:val="00DA1FEF"/>
    <w:rsid w:val="00DA24FE"/>
    <w:rsid w:val="00DA2671"/>
    <w:rsid w:val="00DA274A"/>
    <w:rsid w:val="00DA29A0"/>
    <w:rsid w:val="00DA2A0D"/>
    <w:rsid w:val="00DA2BB7"/>
    <w:rsid w:val="00DA2D07"/>
    <w:rsid w:val="00DA33BE"/>
    <w:rsid w:val="00DA36B6"/>
    <w:rsid w:val="00DA3AFF"/>
    <w:rsid w:val="00DA3B72"/>
    <w:rsid w:val="00DA3D11"/>
    <w:rsid w:val="00DA3EED"/>
    <w:rsid w:val="00DA4A5D"/>
    <w:rsid w:val="00DA4E92"/>
    <w:rsid w:val="00DA5042"/>
    <w:rsid w:val="00DA53FD"/>
    <w:rsid w:val="00DA5D54"/>
    <w:rsid w:val="00DA5FEE"/>
    <w:rsid w:val="00DA6308"/>
    <w:rsid w:val="00DA6471"/>
    <w:rsid w:val="00DA68F9"/>
    <w:rsid w:val="00DA6A7F"/>
    <w:rsid w:val="00DA6B39"/>
    <w:rsid w:val="00DA7574"/>
    <w:rsid w:val="00DB013E"/>
    <w:rsid w:val="00DB0436"/>
    <w:rsid w:val="00DB05C3"/>
    <w:rsid w:val="00DB0C8F"/>
    <w:rsid w:val="00DB12EC"/>
    <w:rsid w:val="00DB14FF"/>
    <w:rsid w:val="00DB205B"/>
    <w:rsid w:val="00DB23C2"/>
    <w:rsid w:val="00DB27B8"/>
    <w:rsid w:val="00DB2806"/>
    <w:rsid w:val="00DB2AF6"/>
    <w:rsid w:val="00DB304F"/>
    <w:rsid w:val="00DB3230"/>
    <w:rsid w:val="00DB3327"/>
    <w:rsid w:val="00DB36BD"/>
    <w:rsid w:val="00DB36E1"/>
    <w:rsid w:val="00DB3917"/>
    <w:rsid w:val="00DB3B14"/>
    <w:rsid w:val="00DB49F2"/>
    <w:rsid w:val="00DB4AEC"/>
    <w:rsid w:val="00DB4CE6"/>
    <w:rsid w:val="00DB5436"/>
    <w:rsid w:val="00DB5B38"/>
    <w:rsid w:val="00DB5E2B"/>
    <w:rsid w:val="00DB64CA"/>
    <w:rsid w:val="00DB658F"/>
    <w:rsid w:val="00DB6BA9"/>
    <w:rsid w:val="00DB77E3"/>
    <w:rsid w:val="00DB7A6D"/>
    <w:rsid w:val="00DC0392"/>
    <w:rsid w:val="00DC0B94"/>
    <w:rsid w:val="00DC0E1C"/>
    <w:rsid w:val="00DC0F47"/>
    <w:rsid w:val="00DC10DA"/>
    <w:rsid w:val="00DC1110"/>
    <w:rsid w:val="00DC2DA6"/>
    <w:rsid w:val="00DC340F"/>
    <w:rsid w:val="00DC3520"/>
    <w:rsid w:val="00DC3961"/>
    <w:rsid w:val="00DC3BD0"/>
    <w:rsid w:val="00DC3DE3"/>
    <w:rsid w:val="00DC4687"/>
    <w:rsid w:val="00DC4712"/>
    <w:rsid w:val="00DC4E9E"/>
    <w:rsid w:val="00DC51E2"/>
    <w:rsid w:val="00DC533F"/>
    <w:rsid w:val="00DC5633"/>
    <w:rsid w:val="00DC56B0"/>
    <w:rsid w:val="00DC5C08"/>
    <w:rsid w:val="00DC5DAC"/>
    <w:rsid w:val="00DC61D9"/>
    <w:rsid w:val="00DC6838"/>
    <w:rsid w:val="00DC6AA5"/>
    <w:rsid w:val="00DC6F5D"/>
    <w:rsid w:val="00DC7289"/>
    <w:rsid w:val="00DC7511"/>
    <w:rsid w:val="00DC7B8B"/>
    <w:rsid w:val="00DC7C3A"/>
    <w:rsid w:val="00DD00B2"/>
    <w:rsid w:val="00DD05A7"/>
    <w:rsid w:val="00DD0671"/>
    <w:rsid w:val="00DD11A8"/>
    <w:rsid w:val="00DD1204"/>
    <w:rsid w:val="00DD13DD"/>
    <w:rsid w:val="00DD182B"/>
    <w:rsid w:val="00DD1B9C"/>
    <w:rsid w:val="00DD1D07"/>
    <w:rsid w:val="00DD1E47"/>
    <w:rsid w:val="00DD209D"/>
    <w:rsid w:val="00DD2CA1"/>
    <w:rsid w:val="00DD2D31"/>
    <w:rsid w:val="00DD30E6"/>
    <w:rsid w:val="00DD343E"/>
    <w:rsid w:val="00DD467D"/>
    <w:rsid w:val="00DD4707"/>
    <w:rsid w:val="00DD4E3C"/>
    <w:rsid w:val="00DD527F"/>
    <w:rsid w:val="00DD5A60"/>
    <w:rsid w:val="00DD5E0B"/>
    <w:rsid w:val="00DD5FCC"/>
    <w:rsid w:val="00DD6230"/>
    <w:rsid w:val="00DD64BC"/>
    <w:rsid w:val="00DD6684"/>
    <w:rsid w:val="00DD6DA2"/>
    <w:rsid w:val="00DD7772"/>
    <w:rsid w:val="00DD780C"/>
    <w:rsid w:val="00DD7A47"/>
    <w:rsid w:val="00DE0518"/>
    <w:rsid w:val="00DE0653"/>
    <w:rsid w:val="00DE0A27"/>
    <w:rsid w:val="00DE0CB4"/>
    <w:rsid w:val="00DE1346"/>
    <w:rsid w:val="00DE150D"/>
    <w:rsid w:val="00DE150E"/>
    <w:rsid w:val="00DE1ADB"/>
    <w:rsid w:val="00DE1D43"/>
    <w:rsid w:val="00DE2207"/>
    <w:rsid w:val="00DE365D"/>
    <w:rsid w:val="00DE3678"/>
    <w:rsid w:val="00DE399E"/>
    <w:rsid w:val="00DE3C3F"/>
    <w:rsid w:val="00DE3EEC"/>
    <w:rsid w:val="00DE4266"/>
    <w:rsid w:val="00DE4E71"/>
    <w:rsid w:val="00DE522D"/>
    <w:rsid w:val="00DE5855"/>
    <w:rsid w:val="00DE598F"/>
    <w:rsid w:val="00DE5FF5"/>
    <w:rsid w:val="00DE6A89"/>
    <w:rsid w:val="00DE70F2"/>
    <w:rsid w:val="00DE73E8"/>
    <w:rsid w:val="00DF0032"/>
    <w:rsid w:val="00DF0AF0"/>
    <w:rsid w:val="00DF10C5"/>
    <w:rsid w:val="00DF121F"/>
    <w:rsid w:val="00DF1A0F"/>
    <w:rsid w:val="00DF2115"/>
    <w:rsid w:val="00DF252E"/>
    <w:rsid w:val="00DF2948"/>
    <w:rsid w:val="00DF31A3"/>
    <w:rsid w:val="00DF349C"/>
    <w:rsid w:val="00DF3675"/>
    <w:rsid w:val="00DF3950"/>
    <w:rsid w:val="00DF3BC7"/>
    <w:rsid w:val="00DF3BD9"/>
    <w:rsid w:val="00DF491D"/>
    <w:rsid w:val="00DF4E67"/>
    <w:rsid w:val="00DF55BE"/>
    <w:rsid w:val="00DF58DA"/>
    <w:rsid w:val="00DF5AB6"/>
    <w:rsid w:val="00DF5B7D"/>
    <w:rsid w:val="00DF5C04"/>
    <w:rsid w:val="00DF5C65"/>
    <w:rsid w:val="00DF6415"/>
    <w:rsid w:val="00DF68AE"/>
    <w:rsid w:val="00DF6904"/>
    <w:rsid w:val="00DF692D"/>
    <w:rsid w:val="00DF69C6"/>
    <w:rsid w:val="00DF6ACB"/>
    <w:rsid w:val="00DF6D6D"/>
    <w:rsid w:val="00DF6FB6"/>
    <w:rsid w:val="00DF7069"/>
    <w:rsid w:val="00DF73AC"/>
    <w:rsid w:val="00DF78B5"/>
    <w:rsid w:val="00E00557"/>
    <w:rsid w:val="00E00A84"/>
    <w:rsid w:val="00E00ECD"/>
    <w:rsid w:val="00E013C9"/>
    <w:rsid w:val="00E0151B"/>
    <w:rsid w:val="00E01787"/>
    <w:rsid w:val="00E023DE"/>
    <w:rsid w:val="00E0258B"/>
    <w:rsid w:val="00E02736"/>
    <w:rsid w:val="00E02C15"/>
    <w:rsid w:val="00E03155"/>
    <w:rsid w:val="00E03218"/>
    <w:rsid w:val="00E03662"/>
    <w:rsid w:val="00E037F4"/>
    <w:rsid w:val="00E037FC"/>
    <w:rsid w:val="00E03B87"/>
    <w:rsid w:val="00E045F2"/>
    <w:rsid w:val="00E04B88"/>
    <w:rsid w:val="00E04C7D"/>
    <w:rsid w:val="00E04DC5"/>
    <w:rsid w:val="00E0532B"/>
    <w:rsid w:val="00E05803"/>
    <w:rsid w:val="00E059EE"/>
    <w:rsid w:val="00E05AB8"/>
    <w:rsid w:val="00E05C4F"/>
    <w:rsid w:val="00E05F53"/>
    <w:rsid w:val="00E0611D"/>
    <w:rsid w:val="00E061BE"/>
    <w:rsid w:val="00E06202"/>
    <w:rsid w:val="00E062AB"/>
    <w:rsid w:val="00E06B1A"/>
    <w:rsid w:val="00E06BF4"/>
    <w:rsid w:val="00E0703A"/>
    <w:rsid w:val="00E07B26"/>
    <w:rsid w:val="00E10007"/>
    <w:rsid w:val="00E10769"/>
    <w:rsid w:val="00E108C0"/>
    <w:rsid w:val="00E10A4B"/>
    <w:rsid w:val="00E10FD8"/>
    <w:rsid w:val="00E11D96"/>
    <w:rsid w:val="00E12535"/>
    <w:rsid w:val="00E1261D"/>
    <w:rsid w:val="00E12DE6"/>
    <w:rsid w:val="00E12EC6"/>
    <w:rsid w:val="00E131F4"/>
    <w:rsid w:val="00E13456"/>
    <w:rsid w:val="00E13AC6"/>
    <w:rsid w:val="00E13AF3"/>
    <w:rsid w:val="00E14AA5"/>
    <w:rsid w:val="00E15588"/>
    <w:rsid w:val="00E15823"/>
    <w:rsid w:val="00E15BF5"/>
    <w:rsid w:val="00E15C9A"/>
    <w:rsid w:val="00E16000"/>
    <w:rsid w:val="00E16617"/>
    <w:rsid w:val="00E1670D"/>
    <w:rsid w:val="00E16A63"/>
    <w:rsid w:val="00E17045"/>
    <w:rsid w:val="00E1723F"/>
    <w:rsid w:val="00E17D4B"/>
    <w:rsid w:val="00E19197"/>
    <w:rsid w:val="00E2073A"/>
    <w:rsid w:val="00E208BB"/>
    <w:rsid w:val="00E20929"/>
    <w:rsid w:val="00E20BAB"/>
    <w:rsid w:val="00E21036"/>
    <w:rsid w:val="00E21038"/>
    <w:rsid w:val="00E215A3"/>
    <w:rsid w:val="00E21E9F"/>
    <w:rsid w:val="00E22340"/>
    <w:rsid w:val="00E22378"/>
    <w:rsid w:val="00E22655"/>
    <w:rsid w:val="00E22778"/>
    <w:rsid w:val="00E22B4C"/>
    <w:rsid w:val="00E22DC6"/>
    <w:rsid w:val="00E2342C"/>
    <w:rsid w:val="00E2376D"/>
    <w:rsid w:val="00E2382F"/>
    <w:rsid w:val="00E23BD9"/>
    <w:rsid w:val="00E23E35"/>
    <w:rsid w:val="00E243B2"/>
    <w:rsid w:val="00E243CB"/>
    <w:rsid w:val="00E244D8"/>
    <w:rsid w:val="00E248A3"/>
    <w:rsid w:val="00E258FD"/>
    <w:rsid w:val="00E25CD8"/>
    <w:rsid w:val="00E26068"/>
    <w:rsid w:val="00E260BE"/>
    <w:rsid w:val="00E2644D"/>
    <w:rsid w:val="00E266F2"/>
    <w:rsid w:val="00E26CC4"/>
    <w:rsid w:val="00E26E07"/>
    <w:rsid w:val="00E26E86"/>
    <w:rsid w:val="00E26F4A"/>
    <w:rsid w:val="00E27A85"/>
    <w:rsid w:val="00E30180"/>
    <w:rsid w:val="00E301ED"/>
    <w:rsid w:val="00E30426"/>
    <w:rsid w:val="00E315DB"/>
    <w:rsid w:val="00E32103"/>
    <w:rsid w:val="00E323A9"/>
    <w:rsid w:val="00E323F8"/>
    <w:rsid w:val="00E32658"/>
    <w:rsid w:val="00E32D31"/>
    <w:rsid w:val="00E3306E"/>
    <w:rsid w:val="00E331DC"/>
    <w:rsid w:val="00E331EC"/>
    <w:rsid w:val="00E3349A"/>
    <w:rsid w:val="00E335CF"/>
    <w:rsid w:val="00E3408F"/>
    <w:rsid w:val="00E34102"/>
    <w:rsid w:val="00E34259"/>
    <w:rsid w:val="00E34CF7"/>
    <w:rsid w:val="00E35B07"/>
    <w:rsid w:val="00E360A1"/>
    <w:rsid w:val="00E3652D"/>
    <w:rsid w:val="00E369DA"/>
    <w:rsid w:val="00E36CEC"/>
    <w:rsid w:val="00E36E14"/>
    <w:rsid w:val="00E36F76"/>
    <w:rsid w:val="00E3751C"/>
    <w:rsid w:val="00E3757C"/>
    <w:rsid w:val="00E37B80"/>
    <w:rsid w:val="00E40140"/>
    <w:rsid w:val="00E40FCC"/>
    <w:rsid w:val="00E41130"/>
    <w:rsid w:val="00E41261"/>
    <w:rsid w:val="00E41397"/>
    <w:rsid w:val="00E41AEB"/>
    <w:rsid w:val="00E4271B"/>
    <w:rsid w:val="00E429B7"/>
    <w:rsid w:val="00E429E1"/>
    <w:rsid w:val="00E42F71"/>
    <w:rsid w:val="00E42FF2"/>
    <w:rsid w:val="00E43B49"/>
    <w:rsid w:val="00E43B9B"/>
    <w:rsid w:val="00E43F36"/>
    <w:rsid w:val="00E44229"/>
    <w:rsid w:val="00E446E9"/>
    <w:rsid w:val="00E4520B"/>
    <w:rsid w:val="00E452E8"/>
    <w:rsid w:val="00E45364"/>
    <w:rsid w:val="00E45FE0"/>
    <w:rsid w:val="00E4616B"/>
    <w:rsid w:val="00E46186"/>
    <w:rsid w:val="00E469AC"/>
    <w:rsid w:val="00E46A00"/>
    <w:rsid w:val="00E46AEF"/>
    <w:rsid w:val="00E47279"/>
    <w:rsid w:val="00E473D3"/>
    <w:rsid w:val="00E47AF0"/>
    <w:rsid w:val="00E4AD3C"/>
    <w:rsid w:val="00E4E816"/>
    <w:rsid w:val="00E5005C"/>
    <w:rsid w:val="00E50118"/>
    <w:rsid w:val="00E505FD"/>
    <w:rsid w:val="00E50C8B"/>
    <w:rsid w:val="00E50DDC"/>
    <w:rsid w:val="00E51BF3"/>
    <w:rsid w:val="00E52004"/>
    <w:rsid w:val="00E5230D"/>
    <w:rsid w:val="00E52334"/>
    <w:rsid w:val="00E5262F"/>
    <w:rsid w:val="00E529B0"/>
    <w:rsid w:val="00E52DF6"/>
    <w:rsid w:val="00E52F84"/>
    <w:rsid w:val="00E53090"/>
    <w:rsid w:val="00E53637"/>
    <w:rsid w:val="00E537C1"/>
    <w:rsid w:val="00E5406A"/>
    <w:rsid w:val="00E5462C"/>
    <w:rsid w:val="00E55400"/>
    <w:rsid w:val="00E56694"/>
    <w:rsid w:val="00E566BB"/>
    <w:rsid w:val="00E56CF1"/>
    <w:rsid w:val="00E5755B"/>
    <w:rsid w:val="00E579AC"/>
    <w:rsid w:val="00E57D1F"/>
    <w:rsid w:val="00E60393"/>
    <w:rsid w:val="00E60567"/>
    <w:rsid w:val="00E6080E"/>
    <w:rsid w:val="00E60A0E"/>
    <w:rsid w:val="00E60C89"/>
    <w:rsid w:val="00E621FD"/>
    <w:rsid w:val="00E62862"/>
    <w:rsid w:val="00E628A4"/>
    <w:rsid w:val="00E6335C"/>
    <w:rsid w:val="00E63415"/>
    <w:rsid w:val="00E63DB3"/>
    <w:rsid w:val="00E641A0"/>
    <w:rsid w:val="00E64529"/>
    <w:rsid w:val="00E647C4"/>
    <w:rsid w:val="00E64B89"/>
    <w:rsid w:val="00E64BE1"/>
    <w:rsid w:val="00E6505C"/>
    <w:rsid w:val="00E655F9"/>
    <w:rsid w:val="00E656A3"/>
    <w:rsid w:val="00E6583F"/>
    <w:rsid w:val="00E65D3E"/>
    <w:rsid w:val="00E65D5D"/>
    <w:rsid w:val="00E65FA7"/>
    <w:rsid w:val="00E66F84"/>
    <w:rsid w:val="00E670D9"/>
    <w:rsid w:val="00E67584"/>
    <w:rsid w:val="00E6758B"/>
    <w:rsid w:val="00E675CB"/>
    <w:rsid w:val="00E67807"/>
    <w:rsid w:val="00E703A2"/>
    <w:rsid w:val="00E70661"/>
    <w:rsid w:val="00E707A6"/>
    <w:rsid w:val="00E70DFA"/>
    <w:rsid w:val="00E71039"/>
    <w:rsid w:val="00E71202"/>
    <w:rsid w:val="00E71256"/>
    <w:rsid w:val="00E71FAC"/>
    <w:rsid w:val="00E72163"/>
    <w:rsid w:val="00E72683"/>
    <w:rsid w:val="00E729D3"/>
    <w:rsid w:val="00E72C58"/>
    <w:rsid w:val="00E72E25"/>
    <w:rsid w:val="00E730D3"/>
    <w:rsid w:val="00E731AC"/>
    <w:rsid w:val="00E73384"/>
    <w:rsid w:val="00E7351E"/>
    <w:rsid w:val="00E73C1B"/>
    <w:rsid w:val="00E73F7C"/>
    <w:rsid w:val="00E741C2"/>
    <w:rsid w:val="00E74916"/>
    <w:rsid w:val="00E749CE"/>
    <w:rsid w:val="00E75334"/>
    <w:rsid w:val="00E757A8"/>
    <w:rsid w:val="00E75821"/>
    <w:rsid w:val="00E75C6A"/>
    <w:rsid w:val="00E7691B"/>
    <w:rsid w:val="00E76B89"/>
    <w:rsid w:val="00E76F69"/>
    <w:rsid w:val="00E77226"/>
    <w:rsid w:val="00E77357"/>
    <w:rsid w:val="00E77B23"/>
    <w:rsid w:val="00E77B30"/>
    <w:rsid w:val="00E77D39"/>
    <w:rsid w:val="00E77FE1"/>
    <w:rsid w:val="00E80175"/>
    <w:rsid w:val="00E802F3"/>
    <w:rsid w:val="00E803D3"/>
    <w:rsid w:val="00E81168"/>
    <w:rsid w:val="00E81572"/>
    <w:rsid w:val="00E81B48"/>
    <w:rsid w:val="00E81F41"/>
    <w:rsid w:val="00E82336"/>
    <w:rsid w:val="00E828B3"/>
    <w:rsid w:val="00E8294C"/>
    <w:rsid w:val="00E82D79"/>
    <w:rsid w:val="00E8338A"/>
    <w:rsid w:val="00E83404"/>
    <w:rsid w:val="00E838A1"/>
    <w:rsid w:val="00E83D66"/>
    <w:rsid w:val="00E84401"/>
    <w:rsid w:val="00E8440A"/>
    <w:rsid w:val="00E845BF"/>
    <w:rsid w:val="00E852F2"/>
    <w:rsid w:val="00E8580D"/>
    <w:rsid w:val="00E8581F"/>
    <w:rsid w:val="00E85954"/>
    <w:rsid w:val="00E85B35"/>
    <w:rsid w:val="00E86034"/>
    <w:rsid w:val="00E8669A"/>
    <w:rsid w:val="00E8779F"/>
    <w:rsid w:val="00E905AB"/>
    <w:rsid w:val="00E912BA"/>
    <w:rsid w:val="00E91A2A"/>
    <w:rsid w:val="00E920B7"/>
    <w:rsid w:val="00E92BD7"/>
    <w:rsid w:val="00E931BA"/>
    <w:rsid w:val="00E934EA"/>
    <w:rsid w:val="00E9359A"/>
    <w:rsid w:val="00E93EEA"/>
    <w:rsid w:val="00E949ED"/>
    <w:rsid w:val="00E94A36"/>
    <w:rsid w:val="00E9573F"/>
    <w:rsid w:val="00E95B14"/>
    <w:rsid w:val="00E95CCC"/>
    <w:rsid w:val="00E95F22"/>
    <w:rsid w:val="00E95FAF"/>
    <w:rsid w:val="00E960FB"/>
    <w:rsid w:val="00E96797"/>
    <w:rsid w:val="00E96AD2"/>
    <w:rsid w:val="00E97004"/>
    <w:rsid w:val="00E97011"/>
    <w:rsid w:val="00E970E7"/>
    <w:rsid w:val="00E978E7"/>
    <w:rsid w:val="00E97F1D"/>
    <w:rsid w:val="00EA063B"/>
    <w:rsid w:val="00EA068C"/>
    <w:rsid w:val="00EA1AC7"/>
    <w:rsid w:val="00EA1C8D"/>
    <w:rsid w:val="00EA1DCF"/>
    <w:rsid w:val="00EA258B"/>
    <w:rsid w:val="00EA29C4"/>
    <w:rsid w:val="00EA2AEA"/>
    <w:rsid w:val="00EA2C14"/>
    <w:rsid w:val="00EA2C62"/>
    <w:rsid w:val="00EA2EED"/>
    <w:rsid w:val="00EA3B08"/>
    <w:rsid w:val="00EA3C6B"/>
    <w:rsid w:val="00EA3C6F"/>
    <w:rsid w:val="00EA3F79"/>
    <w:rsid w:val="00EA40BA"/>
    <w:rsid w:val="00EA418E"/>
    <w:rsid w:val="00EA4AAA"/>
    <w:rsid w:val="00EA4B32"/>
    <w:rsid w:val="00EA4DEF"/>
    <w:rsid w:val="00EA504E"/>
    <w:rsid w:val="00EA50F3"/>
    <w:rsid w:val="00EA5871"/>
    <w:rsid w:val="00EA58DE"/>
    <w:rsid w:val="00EA5BCF"/>
    <w:rsid w:val="00EA64E4"/>
    <w:rsid w:val="00EA6899"/>
    <w:rsid w:val="00EA6ADF"/>
    <w:rsid w:val="00EA6F0D"/>
    <w:rsid w:val="00EA7242"/>
    <w:rsid w:val="00EA7358"/>
    <w:rsid w:val="00EA76F3"/>
    <w:rsid w:val="00EA7862"/>
    <w:rsid w:val="00EA7C5E"/>
    <w:rsid w:val="00EA7F22"/>
    <w:rsid w:val="00EB0257"/>
    <w:rsid w:val="00EB0D5C"/>
    <w:rsid w:val="00EB17CB"/>
    <w:rsid w:val="00EB1EEA"/>
    <w:rsid w:val="00EB2AA9"/>
    <w:rsid w:val="00EB30B9"/>
    <w:rsid w:val="00EB3118"/>
    <w:rsid w:val="00EB3262"/>
    <w:rsid w:val="00EB3F5F"/>
    <w:rsid w:val="00EB4002"/>
    <w:rsid w:val="00EB4272"/>
    <w:rsid w:val="00EB4BD1"/>
    <w:rsid w:val="00EB574A"/>
    <w:rsid w:val="00EB5967"/>
    <w:rsid w:val="00EB59CD"/>
    <w:rsid w:val="00EB5FEA"/>
    <w:rsid w:val="00EB61E6"/>
    <w:rsid w:val="00EB6889"/>
    <w:rsid w:val="00EB77F3"/>
    <w:rsid w:val="00EB7EC5"/>
    <w:rsid w:val="00EC0553"/>
    <w:rsid w:val="00EC058C"/>
    <w:rsid w:val="00EC15A8"/>
    <w:rsid w:val="00EC21B6"/>
    <w:rsid w:val="00EC2729"/>
    <w:rsid w:val="00EC2896"/>
    <w:rsid w:val="00EC2E00"/>
    <w:rsid w:val="00EC2E1A"/>
    <w:rsid w:val="00EC3AD3"/>
    <w:rsid w:val="00EC48AE"/>
    <w:rsid w:val="00EC4ABF"/>
    <w:rsid w:val="00EC4E82"/>
    <w:rsid w:val="00EC5013"/>
    <w:rsid w:val="00EC5171"/>
    <w:rsid w:val="00EC56F0"/>
    <w:rsid w:val="00EC59C1"/>
    <w:rsid w:val="00EC5CD8"/>
    <w:rsid w:val="00EC5D3B"/>
    <w:rsid w:val="00EC60F8"/>
    <w:rsid w:val="00EC63EE"/>
    <w:rsid w:val="00EC6CE4"/>
    <w:rsid w:val="00EC78DD"/>
    <w:rsid w:val="00EC7938"/>
    <w:rsid w:val="00EC798A"/>
    <w:rsid w:val="00ED0537"/>
    <w:rsid w:val="00ED09C3"/>
    <w:rsid w:val="00ED0F1C"/>
    <w:rsid w:val="00ED134F"/>
    <w:rsid w:val="00ED1794"/>
    <w:rsid w:val="00ED1C1E"/>
    <w:rsid w:val="00ED1C7C"/>
    <w:rsid w:val="00ED1EE8"/>
    <w:rsid w:val="00ED22EB"/>
    <w:rsid w:val="00ED2954"/>
    <w:rsid w:val="00ED29CC"/>
    <w:rsid w:val="00ED2E06"/>
    <w:rsid w:val="00ED37E3"/>
    <w:rsid w:val="00ED39DE"/>
    <w:rsid w:val="00ED3CB9"/>
    <w:rsid w:val="00ED4893"/>
    <w:rsid w:val="00ED49FA"/>
    <w:rsid w:val="00ED4FC2"/>
    <w:rsid w:val="00ED5B88"/>
    <w:rsid w:val="00ED5FDE"/>
    <w:rsid w:val="00ED5FEC"/>
    <w:rsid w:val="00ED613B"/>
    <w:rsid w:val="00ED6857"/>
    <w:rsid w:val="00ED6A76"/>
    <w:rsid w:val="00ED72A2"/>
    <w:rsid w:val="00ED7B70"/>
    <w:rsid w:val="00ED7FDF"/>
    <w:rsid w:val="00EE0586"/>
    <w:rsid w:val="00EE1357"/>
    <w:rsid w:val="00EE13B9"/>
    <w:rsid w:val="00EE13F2"/>
    <w:rsid w:val="00EE188E"/>
    <w:rsid w:val="00EE18FF"/>
    <w:rsid w:val="00EE248C"/>
    <w:rsid w:val="00EE251A"/>
    <w:rsid w:val="00EE2788"/>
    <w:rsid w:val="00EE2937"/>
    <w:rsid w:val="00EE2F88"/>
    <w:rsid w:val="00EE4AA4"/>
    <w:rsid w:val="00EE4DDF"/>
    <w:rsid w:val="00EE4FDE"/>
    <w:rsid w:val="00EE52B4"/>
    <w:rsid w:val="00EE576C"/>
    <w:rsid w:val="00EE57B8"/>
    <w:rsid w:val="00EE5FC5"/>
    <w:rsid w:val="00EE670E"/>
    <w:rsid w:val="00EE6C8F"/>
    <w:rsid w:val="00EE7231"/>
    <w:rsid w:val="00EE7523"/>
    <w:rsid w:val="00EE7620"/>
    <w:rsid w:val="00EE77A0"/>
    <w:rsid w:val="00EF0049"/>
    <w:rsid w:val="00EF06E6"/>
    <w:rsid w:val="00EF1C5F"/>
    <w:rsid w:val="00EF1F0E"/>
    <w:rsid w:val="00EF2BEC"/>
    <w:rsid w:val="00EF2E56"/>
    <w:rsid w:val="00EF3312"/>
    <w:rsid w:val="00EF38CC"/>
    <w:rsid w:val="00EF3AD4"/>
    <w:rsid w:val="00EF45DA"/>
    <w:rsid w:val="00EF4BE9"/>
    <w:rsid w:val="00EF6200"/>
    <w:rsid w:val="00EF63D0"/>
    <w:rsid w:val="00EF6690"/>
    <w:rsid w:val="00EF6777"/>
    <w:rsid w:val="00EF6DCF"/>
    <w:rsid w:val="00EF779C"/>
    <w:rsid w:val="00EF7DCB"/>
    <w:rsid w:val="00EF7E3B"/>
    <w:rsid w:val="00EF7FA5"/>
    <w:rsid w:val="00F00427"/>
    <w:rsid w:val="00F010C8"/>
    <w:rsid w:val="00F01150"/>
    <w:rsid w:val="00F0136E"/>
    <w:rsid w:val="00F017C4"/>
    <w:rsid w:val="00F01935"/>
    <w:rsid w:val="00F01983"/>
    <w:rsid w:val="00F01D55"/>
    <w:rsid w:val="00F02094"/>
    <w:rsid w:val="00F027C2"/>
    <w:rsid w:val="00F0285C"/>
    <w:rsid w:val="00F02A6D"/>
    <w:rsid w:val="00F03726"/>
    <w:rsid w:val="00F04CA9"/>
    <w:rsid w:val="00F04D18"/>
    <w:rsid w:val="00F04D77"/>
    <w:rsid w:val="00F04F92"/>
    <w:rsid w:val="00F04FC4"/>
    <w:rsid w:val="00F05473"/>
    <w:rsid w:val="00F0549A"/>
    <w:rsid w:val="00F05BB5"/>
    <w:rsid w:val="00F06118"/>
    <w:rsid w:val="00F06268"/>
    <w:rsid w:val="00F0677F"/>
    <w:rsid w:val="00F0679D"/>
    <w:rsid w:val="00F067DA"/>
    <w:rsid w:val="00F067F1"/>
    <w:rsid w:val="00F07062"/>
    <w:rsid w:val="00F07301"/>
    <w:rsid w:val="00F073FB"/>
    <w:rsid w:val="00F0779D"/>
    <w:rsid w:val="00F07824"/>
    <w:rsid w:val="00F078C1"/>
    <w:rsid w:val="00F10729"/>
    <w:rsid w:val="00F10BBC"/>
    <w:rsid w:val="00F110AA"/>
    <w:rsid w:val="00F11438"/>
    <w:rsid w:val="00F1149C"/>
    <w:rsid w:val="00F114F5"/>
    <w:rsid w:val="00F11A36"/>
    <w:rsid w:val="00F127AC"/>
    <w:rsid w:val="00F12AA5"/>
    <w:rsid w:val="00F130C7"/>
    <w:rsid w:val="00F14320"/>
    <w:rsid w:val="00F143C7"/>
    <w:rsid w:val="00F146C9"/>
    <w:rsid w:val="00F1489C"/>
    <w:rsid w:val="00F14A34"/>
    <w:rsid w:val="00F14D6A"/>
    <w:rsid w:val="00F1519A"/>
    <w:rsid w:val="00F15916"/>
    <w:rsid w:val="00F15EB5"/>
    <w:rsid w:val="00F15FD3"/>
    <w:rsid w:val="00F15FF9"/>
    <w:rsid w:val="00F1647F"/>
    <w:rsid w:val="00F17853"/>
    <w:rsid w:val="00F17E65"/>
    <w:rsid w:val="00F20582"/>
    <w:rsid w:val="00F20A8F"/>
    <w:rsid w:val="00F20B78"/>
    <w:rsid w:val="00F235B3"/>
    <w:rsid w:val="00F238BF"/>
    <w:rsid w:val="00F23986"/>
    <w:rsid w:val="00F23D5E"/>
    <w:rsid w:val="00F241DB"/>
    <w:rsid w:val="00F244BA"/>
    <w:rsid w:val="00F24924"/>
    <w:rsid w:val="00F24A52"/>
    <w:rsid w:val="00F24EED"/>
    <w:rsid w:val="00F25664"/>
    <w:rsid w:val="00F30ACA"/>
    <w:rsid w:val="00F32F6F"/>
    <w:rsid w:val="00F33AC0"/>
    <w:rsid w:val="00F33FE9"/>
    <w:rsid w:val="00F34140"/>
    <w:rsid w:val="00F34395"/>
    <w:rsid w:val="00F34428"/>
    <w:rsid w:val="00F3466B"/>
    <w:rsid w:val="00F34FFF"/>
    <w:rsid w:val="00F3516B"/>
    <w:rsid w:val="00F35722"/>
    <w:rsid w:val="00F360F5"/>
    <w:rsid w:val="00F36BAB"/>
    <w:rsid w:val="00F372D7"/>
    <w:rsid w:val="00F37791"/>
    <w:rsid w:val="00F404DD"/>
    <w:rsid w:val="00F415D1"/>
    <w:rsid w:val="00F421B1"/>
    <w:rsid w:val="00F42233"/>
    <w:rsid w:val="00F4256F"/>
    <w:rsid w:val="00F43101"/>
    <w:rsid w:val="00F43984"/>
    <w:rsid w:val="00F43D0A"/>
    <w:rsid w:val="00F4468C"/>
    <w:rsid w:val="00F44C23"/>
    <w:rsid w:val="00F44C43"/>
    <w:rsid w:val="00F44F0D"/>
    <w:rsid w:val="00F450F6"/>
    <w:rsid w:val="00F45472"/>
    <w:rsid w:val="00F45D1E"/>
    <w:rsid w:val="00F462C4"/>
    <w:rsid w:val="00F46591"/>
    <w:rsid w:val="00F46A0D"/>
    <w:rsid w:val="00F46D8B"/>
    <w:rsid w:val="00F478BB"/>
    <w:rsid w:val="00F50244"/>
    <w:rsid w:val="00F50377"/>
    <w:rsid w:val="00F50CC5"/>
    <w:rsid w:val="00F50F80"/>
    <w:rsid w:val="00F5159B"/>
    <w:rsid w:val="00F524F0"/>
    <w:rsid w:val="00F52A7E"/>
    <w:rsid w:val="00F53079"/>
    <w:rsid w:val="00F53A97"/>
    <w:rsid w:val="00F55052"/>
    <w:rsid w:val="00F554AA"/>
    <w:rsid w:val="00F5569E"/>
    <w:rsid w:val="00F56EB1"/>
    <w:rsid w:val="00F56F98"/>
    <w:rsid w:val="00F57326"/>
    <w:rsid w:val="00F5737D"/>
    <w:rsid w:val="00F573D4"/>
    <w:rsid w:val="00F5794E"/>
    <w:rsid w:val="00F57CC4"/>
    <w:rsid w:val="00F60330"/>
    <w:rsid w:val="00F60611"/>
    <w:rsid w:val="00F6065D"/>
    <w:rsid w:val="00F60CD4"/>
    <w:rsid w:val="00F617ED"/>
    <w:rsid w:val="00F619E7"/>
    <w:rsid w:val="00F61F3E"/>
    <w:rsid w:val="00F62026"/>
    <w:rsid w:val="00F622CE"/>
    <w:rsid w:val="00F622CF"/>
    <w:rsid w:val="00F62C28"/>
    <w:rsid w:val="00F6315F"/>
    <w:rsid w:val="00F63353"/>
    <w:rsid w:val="00F6407F"/>
    <w:rsid w:val="00F6415B"/>
    <w:rsid w:val="00F6479B"/>
    <w:rsid w:val="00F64CB8"/>
    <w:rsid w:val="00F64D07"/>
    <w:rsid w:val="00F64EE0"/>
    <w:rsid w:val="00F6509D"/>
    <w:rsid w:val="00F650B4"/>
    <w:rsid w:val="00F65A4D"/>
    <w:rsid w:val="00F65C34"/>
    <w:rsid w:val="00F65C67"/>
    <w:rsid w:val="00F65D61"/>
    <w:rsid w:val="00F66177"/>
    <w:rsid w:val="00F66640"/>
    <w:rsid w:val="00F66A32"/>
    <w:rsid w:val="00F6706F"/>
    <w:rsid w:val="00F672EC"/>
    <w:rsid w:val="00F673E9"/>
    <w:rsid w:val="00F67473"/>
    <w:rsid w:val="00F67E77"/>
    <w:rsid w:val="00F70459"/>
    <w:rsid w:val="00F7046E"/>
    <w:rsid w:val="00F708DB"/>
    <w:rsid w:val="00F7093B"/>
    <w:rsid w:val="00F70993"/>
    <w:rsid w:val="00F70D5A"/>
    <w:rsid w:val="00F71079"/>
    <w:rsid w:val="00F71E06"/>
    <w:rsid w:val="00F726CF"/>
    <w:rsid w:val="00F72C9A"/>
    <w:rsid w:val="00F72F67"/>
    <w:rsid w:val="00F733EF"/>
    <w:rsid w:val="00F73519"/>
    <w:rsid w:val="00F736A0"/>
    <w:rsid w:val="00F73C6D"/>
    <w:rsid w:val="00F74288"/>
    <w:rsid w:val="00F752D6"/>
    <w:rsid w:val="00F7543B"/>
    <w:rsid w:val="00F75824"/>
    <w:rsid w:val="00F75936"/>
    <w:rsid w:val="00F75C14"/>
    <w:rsid w:val="00F75C36"/>
    <w:rsid w:val="00F764C2"/>
    <w:rsid w:val="00F765A9"/>
    <w:rsid w:val="00F76878"/>
    <w:rsid w:val="00F77246"/>
    <w:rsid w:val="00F77387"/>
    <w:rsid w:val="00F777E6"/>
    <w:rsid w:val="00F77B06"/>
    <w:rsid w:val="00F80AA1"/>
    <w:rsid w:val="00F80BE5"/>
    <w:rsid w:val="00F80FE3"/>
    <w:rsid w:val="00F80FE9"/>
    <w:rsid w:val="00F81198"/>
    <w:rsid w:val="00F8158F"/>
    <w:rsid w:val="00F82B73"/>
    <w:rsid w:val="00F830D3"/>
    <w:rsid w:val="00F83366"/>
    <w:rsid w:val="00F838A3"/>
    <w:rsid w:val="00F83C81"/>
    <w:rsid w:val="00F8497C"/>
    <w:rsid w:val="00F84D76"/>
    <w:rsid w:val="00F84E3B"/>
    <w:rsid w:val="00F8595C"/>
    <w:rsid w:val="00F85F7D"/>
    <w:rsid w:val="00F8607A"/>
    <w:rsid w:val="00F86ABA"/>
    <w:rsid w:val="00F86F3F"/>
    <w:rsid w:val="00F904D5"/>
    <w:rsid w:val="00F906E1"/>
    <w:rsid w:val="00F90E9F"/>
    <w:rsid w:val="00F923B7"/>
    <w:rsid w:val="00F924AD"/>
    <w:rsid w:val="00F92DC6"/>
    <w:rsid w:val="00F93093"/>
    <w:rsid w:val="00F93161"/>
    <w:rsid w:val="00F9326C"/>
    <w:rsid w:val="00F9392F"/>
    <w:rsid w:val="00F93BA5"/>
    <w:rsid w:val="00F95149"/>
    <w:rsid w:val="00F954FE"/>
    <w:rsid w:val="00F956C2"/>
    <w:rsid w:val="00F95879"/>
    <w:rsid w:val="00F95930"/>
    <w:rsid w:val="00F95A42"/>
    <w:rsid w:val="00F95D13"/>
    <w:rsid w:val="00F95E13"/>
    <w:rsid w:val="00F95E8A"/>
    <w:rsid w:val="00F96094"/>
    <w:rsid w:val="00F96118"/>
    <w:rsid w:val="00F96CEF"/>
    <w:rsid w:val="00F96EF8"/>
    <w:rsid w:val="00F970F7"/>
    <w:rsid w:val="00F97749"/>
    <w:rsid w:val="00F97AA8"/>
    <w:rsid w:val="00F97EC4"/>
    <w:rsid w:val="00FA03C7"/>
    <w:rsid w:val="00FA07BC"/>
    <w:rsid w:val="00FA0979"/>
    <w:rsid w:val="00FA0DEE"/>
    <w:rsid w:val="00FA0E33"/>
    <w:rsid w:val="00FA1116"/>
    <w:rsid w:val="00FA1543"/>
    <w:rsid w:val="00FA1913"/>
    <w:rsid w:val="00FA1B03"/>
    <w:rsid w:val="00FA2D61"/>
    <w:rsid w:val="00FA2EAE"/>
    <w:rsid w:val="00FA345A"/>
    <w:rsid w:val="00FA3934"/>
    <w:rsid w:val="00FA42C7"/>
    <w:rsid w:val="00FA4542"/>
    <w:rsid w:val="00FA46AF"/>
    <w:rsid w:val="00FA4C38"/>
    <w:rsid w:val="00FA547E"/>
    <w:rsid w:val="00FA580A"/>
    <w:rsid w:val="00FA666F"/>
    <w:rsid w:val="00FA6BBE"/>
    <w:rsid w:val="00FA6C82"/>
    <w:rsid w:val="00FA6E8A"/>
    <w:rsid w:val="00FA77FC"/>
    <w:rsid w:val="00FB0161"/>
    <w:rsid w:val="00FB01C8"/>
    <w:rsid w:val="00FB0D62"/>
    <w:rsid w:val="00FB0E06"/>
    <w:rsid w:val="00FB10C8"/>
    <w:rsid w:val="00FB10FB"/>
    <w:rsid w:val="00FB1178"/>
    <w:rsid w:val="00FB1AED"/>
    <w:rsid w:val="00FB1BAE"/>
    <w:rsid w:val="00FB1F01"/>
    <w:rsid w:val="00FB2874"/>
    <w:rsid w:val="00FB29B9"/>
    <w:rsid w:val="00FB3684"/>
    <w:rsid w:val="00FB3B9B"/>
    <w:rsid w:val="00FB3CDF"/>
    <w:rsid w:val="00FB4860"/>
    <w:rsid w:val="00FB4C9D"/>
    <w:rsid w:val="00FB4DDF"/>
    <w:rsid w:val="00FB56E4"/>
    <w:rsid w:val="00FB56F6"/>
    <w:rsid w:val="00FB581C"/>
    <w:rsid w:val="00FB5978"/>
    <w:rsid w:val="00FB5C14"/>
    <w:rsid w:val="00FB5F1D"/>
    <w:rsid w:val="00FB5F48"/>
    <w:rsid w:val="00FB66D7"/>
    <w:rsid w:val="00FB6F82"/>
    <w:rsid w:val="00FB7633"/>
    <w:rsid w:val="00FB79CC"/>
    <w:rsid w:val="00FB7BCF"/>
    <w:rsid w:val="00FC03D5"/>
    <w:rsid w:val="00FC06C9"/>
    <w:rsid w:val="00FC108A"/>
    <w:rsid w:val="00FC14AF"/>
    <w:rsid w:val="00FC1AB6"/>
    <w:rsid w:val="00FC1D92"/>
    <w:rsid w:val="00FC1F1C"/>
    <w:rsid w:val="00FC2FA8"/>
    <w:rsid w:val="00FC33EA"/>
    <w:rsid w:val="00FC3B8E"/>
    <w:rsid w:val="00FC3BE3"/>
    <w:rsid w:val="00FC4006"/>
    <w:rsid w:val="00FC44EF"/>
    <w:rsid w:val="00FC4543"/>
    <w:rsid w:val="00FC4780"/>
    <w:rsid w:val="00FC496C"/>
    <w:rsid w:val="00FC4ECF"/>
    <w:rsid w:val="00FC71B5"/>
    <w:rsid w:val="00FC7546"/>
    <w:rsid w:val="00FC7950"/>
    <w:rsid w:val="00FD0449"/>
    <w:rsid w:val="00FD0DE2"/>
    <w:rsid w:val="00FD0ED0"/>
    <w:rsid w:val="00FD14D0"/>
    <w:rsid w:val="00FD1605"/>
    <w:rsid w:val="00FD1750"/>
    <w:rsid w:val="00FD1DC1"/>
    <w:rsid w:val="00FD1FB9"/>
    <w:rsid w:val="00FD25F4"/>
    <w:rsid w:val="00FD2697"/>
    <w:rsid w:val="00FD26AE"/>
    <w:rsid w:val="00FD2885"/>
    <w:rsid w:val="00FD2B07"/>
    <w:rsid w:val="00FD36CB"/>
    <w:rsid w:val="00FD462B"/>
    <w:rsid w:val="00FD4ECB"/>
    <w:rsid w:val="00FD530F"/>
    <w:rsid w:val="00FD5AFD"/>
    <w:rsid w:val="00FD5D49"/>
    <w:rsid w:val="00FD5E8C"/>
    <w:rsid w:val="00FD6367"/>
    <w:rsid w:val="00FD696D"/>
    <w:rsid w:val="00FD6A25"/>
    <w:rsid w:val="00FD731F"/>
    <w:rsid w:val="00FD7338"/>
    <w:rsid w:val="00FD777D"/>
    <w:rsid w:val="00FD7905"/>
    <w:rsid w:val="00FE1066"/>
    <w:rsid w:val="00FE10AD"/>
    <w:rsid w:val="00FE1230"/>
    <w:rsid w:val="00FE174E"/>
    <w:rsid w:val="00FE2094"/>
    <w:rsid w:val="00FE2A6F"/>
    <w:rsid w:val="00FE2F8A"/>
    <w:rsid w:val="00FE328B"/>
    <w:rsid w:val="00FE3329"/>
    <w:rsid w:val="00FE3732"/>
    <w:rsid w:val="00FE37E2"/>
    <w:rsid w:val="00FE39D1"/>
    <w:rsid w:val="00FE3EF4"/>
    <w:rsid w:val="00FE49B2"/>
    <w:rsid w:val="00FE5B6F"/>
    <w:rsid w:val="00FE6AB9"/>
    <w:rsid w:val="00FE7A1C"/>
    <w:rsid w:val="00FE7D81"/>
    <w:rsid w:val="00FE7F24"/>
    <w:rsid w:val="00FF01CE"/>
    <w:rsid w:val="00FF034E"/>
    <w:rsid w:val="00FF0592"/>
    <w:rsid w:val="00FF0AFB"/>
    <w:rsid w:val="00FF0B2B"/>
    <w:rsid w:val="00FF0D0F"/>
    <w:rsid w:val="00FF0FBE"/>
    <w:rsid w:val="00FF18CA"/>
    <w:rsid w:val="00FF21E5"/>
    <w:rsid w:val="00FF2A50"/>
    <w:rsid w:val="00FF3325"/>
    <w:rsid w:val="00FF33EE"/>
    <w:rsid w:val="00FF3BF1"/>
    <w:rsid w:val="00FF44B3"/>
    <w:rsid w:val="00FF4683"/>
    <w:rsid w:val="00FF49F7"/>
    <w:rsid w:val="00FF4B4A"/>
    <w:rsid w:val="00FF526E"/>
    <w:rsid w:val="00FF56AD"/>
    <w:rsid w:val="00FF5976"/>
    <w:rsid w:val="00FF5FC9"/>
    <w:rsid w:val="00FF647D"/>
    <w:rsid w:val="00FF6522"/>
    <w:rsid w:val="00FF669C"/>
    <w:rsid w:val="00FF7661"/>
    <w:rsid w:val="00FF796B"/>
    <w:rsid w:val="01024A8B"/>
    <w:rsid w:val="011086D0"/>
    <w:rsid w:val="01126FD7"/>
    <w:rsid w:val="011374A8"/>
    <w:rsid w:val="0123ABA2"/>
    <w:rsid w:val="0124B56F"/>
    <w:rsid w:val="0126788A"/>
    <w:rsid w:val="0128B469"/>
    <w:rsid w:val="01309260"/>
    <w:rsid w:val="0131CF1A"/>
    <w:rsid w:val="0169C846"/>
    <w:rsid w:val="016DFC56"/>
    <w:rsid w:val="0180B2AE"/>
    <w:rsid w:val="01B94D6A"/>
    <w:rsid w:val="01B9805F"/>
    <w:rsid w:val="01C526C4"/>
    <w:rsid w:val="01D1F567"/>
    <w:rsid w:val="01DE8FAF"/>
    <w:rsid w:val="01E073F5"/>
    <w:rsid w:val="01F2BBFC"/>
    <w:rsid w:val="01FC91B0"/>
    <w:rsid w:val="02001673"/>
    <w:rsid w:val="02055220"/>
    <w:rsid w:val="021EFD63"/>
    <w:rsid w:val="02272218"/>
    <w:rsid w:val="02338778"/>
    <w:rsid w:val="0234DC4E"/>
    <w:rsid w:val="023E89A2"/>
    <w:rsid w:val="02423E38"/>
    <w:rsid w:val="02430D7E"/>
    <w:rsid w:val="02442D01"/>
    <w:rsid w:val="02497A36"/>
    <w:rsid w:val="024E47EC"/>
    <w:rsid w:val="024FFC86"/>
    <w:rsid w:val="025DF067"/>
    <w:rsid w:val="026140C4"/>
    <w:rsid w:val="0262CA15"/>
    <w:rsid w:val="02697413"/>
    <w:rsid w:val="0276BCBD"/>
    <w:rsid w:val="0279AB3E"/>
    <w:rsid w:val="027BAD77"/>
    <w:rsid w:val="027E8257"/>
    <w:rsid w:val="02854714"/>
    <w:rsid w:val="0291DE3A"/>
    <w:rsid w:val="029FB732"/>
    <w:rsid w:val="02B0543C"/>
    <w:rsid w:val="02B1A329"/>
    <w:rsid w:val="02BD0D72"/>
    <w:rsid w:val="02C055CC"/>
    <w:rsid w:val="02C9A714"/>
    <w:rsid w:val="02E0535E"/>
    <w:rsid w:val="02E39F0F"/>
    <w:rsid w:val="02F4B747"/>
    <w:rsid w:val="02FC84A2"/>
    <w:rsid w:val="030DF4A8"/>
    <w:rsid w:val="030E1D5C"/>
    <w:rsid w:val="0312D650"/>
    <w:rsid w:val="032432E8"/>
    <w:rsid w:val="033B78F8"/>
    <w:rsid w:val="034CCAFE"/>
    <w:rsid w:val="0352EDD7"/>
    <w:rsid w:val="035C7907"/>
    <w:rsid w:val="035DA466"/>
    <w:rsid w:val="0363EEEE"/>
    <w:rsid w:val="0364A853"/>
    <w:rsid w:val="036B08D8"/>
    <w:rsid w:val="03852C2D"/>
    <w:rsid w:val="03993477"/>
    <w:rsid w:val="03A88916"/>
    <w:rsid w:val="03AD49B0"/>
    <w:rsid w:val="03B4CB16"/>
    <w:rsid w:val="03B69875"/>
    <w:rsid w:val="03BE3689"/>
    <w:rsid w:val="03C2DF71"/>
    <w:rsid w:val="03C4ED5E"/>
    <w:rsid w:val="03C58A79"/>
    <w:rsid w:val="03E72CD9"/>
    <w:rsid w:val="03F111C9"/>
    <w:rsid w:val="03F505AD"/>
    <w:rsid w:val="03F899A7"/>
    <w:rsid w:val="03FE4529"/>
    <w:rsid w:val="0404BE94"/>
    <w:rsid w:val="0413EE5B"/>
    <w:rsid w:val="0430CDB6"/>
    <w:rsid w:val="04345F58"/>
    <w:rsid w:val="0437B31B"/>
    <w:rsid w:val="0441B44D"/>
    <w:rsid w:val="04501E07"/>
    <w:rsid w:val="04553DEC"/>
    <w:rsid w:val="045AA5B2"/>
    <w:rsid w:val="046D555B"/>
    <w:rsid w:val="046D9C7A"/>
    <w:rsid w:val="04723D66"/>
    <w:rsid w:val="0479624D"/>
    <w:rsid w:val="04868E56"/>
    <w:rsid w:val="049A76BC"/>
    <w:rsid w:val="049F5D58"/>
    <w:rsid w:val="04AA2850"/>
    <w:rsid w:val="04ABFC7E"/>
    <w:rsid w:val="04B073FC"/>
    <w:rsid w:val="04B33576"/>
    <w:rsid w:val="04B7241D"/>
    <w:rsid w:val="04BB266D"/>
    <w:rsid w:val="04C7394F"/>
    <w:rsid w:val="04C8438B"/>
    <w:rsid w:val="04CCDF4E"/>
    <w:rsid w:val="04D69E12"/>
    <w:rsid w:val="04D89BEB"/>
    <w:rsid w:val="04DA4072"/>
    <w:rsid w:val="04ECCFE5"/>
    <w:rsid w:val="04F95655"/>
    <w:rsid w:val="04FCB25C"/>
    <w:rsid w:val="0500F6D2"/>
    <w:rsid w:val="0503FE00"/>
    <w:rsid w:val="051A33F5"/>
    <w:rsid w:val="05273428"/>
    <w:rsid w:val="052C1607"/>
    <w:rsid w:val="053AA069"/>
    <w:rsid w:val="054B5A10"/>
    <w:rsid w:val="0557C98E"/>
    <w:rsid w:val="056F01E5"/>
    <w:rsid w:val="056FA511"/>
    <w:rsid w:val="057872FB"/>
    <w:rsid w:val="057F54A5"/>
    <w:rsid w:val="05838A23"/>
    <w:rsid w:val="0586486E"/>
    <w:rsid w:val="0586740E"/>
    <w:rsid w:val="05883610"/>
    <w:rsid w:val="058CE19D"/>
    <w:rsid w:val="058E1FCB"/>
    <w:rsid w:val="0591F5B9"/>
    <w:rsid w:val="0597DCA3"/>
    <w:rsid w:val="05A83E97"/>
    <w:rsid w:val="05C16EE4"/>
    <w:rsid w:val="05C63D06"/>
    <w:rsid w:val="05CD5E75"/>
    <w:rsid w:val="05D8ACBC"/>
    <w:rsid w:val="05DA9D69"/>
    <w:rsid w:val="05DD47FE"/>
    <w:rsid w:val="05E31C14"/>
    <w:rsid w:val="05E80BCD"/>
    <w:rsid w:val="05F9C60A"/>
    <w:rsid w:val="05FB727C"/>
    <w:rsid w:val="05FDDAAF"/>
    <w:rsid w:val="05FF8315"/>
    <w:rsid w:val="0621D7E0"/>
    <w:rsid w:val="062A02BA"/>
    <w:rsid w:val="063AF345"/>
    <w:rsid w:val="0644ACE9"/>
    <w:rsid w:val="064AA80F"/>
    <w:rsid w:val="064BED80"/>
    <w:rsid w:val="064C0524"/>
    <w:rsid w:val="064C960F"/>
    <w:rsid w:val="06541C2D"/>
    <w:rsid w:val="0656CED2"/>
    <w:rsid w:val="0660E596"/>
    <w:rsid w:val="066317A6"/>
    <w:rsid w:val="066BA68B"/>
    <w:rsid w:val="067233CE"/>
    <w:rsid w:val="06738DD1"/>
    <w:rsid w:val="067C0831"/>
    <w:rsid w:val="067C3DC3"/>
    <w:rsid w:val="067DFF55"/>
    <w:rsid w:val="06836172"/>
    <w:rsid w:val="068D13CC"/>
    <w:rsid w:val="069C094B"/>
    <w:rsid w:val="069EA9C0"/>
    <w:rsid w:val="06A00324"/>
    <w:rsid w:val="06CCD2B9"/>
    <w:rsid w:val="06CD3669"/>
    <w:rsid w:val="06D372F0"/>
    <w:rsid w:val="06D46653"/>
    <w:rsid w:val="06D481D9"/>
    <w:rsid w:val="06E5584E"/>
    <w:rsid w:val="06EE039E"/>
    <w:rsid w:val="06F4DF33"/>
    <w:rsid w:val="06FA6480"/>
    <w:rsid w:val="06FCE2C9"/>
    <w:rsid w:val="07019AE0"/>
    <w:rsid w:val="0701A539"/>
    <w:rsid w:val="07187ABA"/>
    <w:rsid w:val="071FFEC0"/>
    <w:rsid w:val="072E4262"/>
    <w:rsid w:val="072F29FD"/>
    <w:rsid w:val="0734831D"/>
    <w:rsid w:val="073A2B1E"/>
    <w:rsid w:val="075738F0"/>
    <w:rsid w:val="076060CF"/>
    <w:rsid w:val="0761D349"/>
    <w:rsid w:val="076365AA"/>
    <w:rsid w:val="07692EEE"/>
    <w:rsid w:val="077B969D"/>
    <w:rsid w:val="078046E8"/>
    <w:rsid w:val="0782F38C"/>
    <w:rsid w:val="078606FA"/>
    <w:rsid w:val="07901710"/>
    <w:rsid w:val="0791D17C"/>
    <w:rsid w:val="07922F27"/>
    <w:rsid w:val="079A57F4"/>
    <w:rsid w:val="07A04003"/>
    <w:rsid w:val="07A3D0AE"/>
    <w:rsid w:val="07A3DA85"/>
    <w:rsid w:val="07A3E79E"/>
    <w:rsid w:val="07C54B15"/>
    <w:rsid w:val="07C88AF4"/>
    <w:rsid w:val="07CA6F3B"/>
    <w:rsid w:val="07D97499"/>
    <w:rsid w:val="07DC1A65"/>
    <w:rsid w:val="07DD18FB"/>
    <w:rsid w:val="07E27325"/>
    <w:rsid w:val="07E8F550"/>
    <w:rsid w:val="07ED0E29"/>
    <w:rsid w:val="07F9EE7D"/>
    <w:rsid w:val="07FD462D"/>
    <w:rsid w:val="0803EE9C"/>
    <w:rsid w:val="0803EEF7"/>
    <w:rsid w:val="080657E2"/>
    <w:rsid w:val="0808CECE"/>
    <w:rsid w:val="0811C183"/>
    <w:rsid w:val="08138FA0"/>
    <w:rsid w:val="08182A40"/>
    <w:rsid w:val="081F0E81"/>
    <w:rsid w:val="08209182"/>
    <w:rsid w:val="0820B0F7"/>
    <w:rsid w:val="08238D67"/>
    <w:rsid w:val="08280A7A"/>
    <w:rsid w:val="08288B06"/>
    <w:rsid w:val="08324213"/>
    <w:rsid w:val="0835B1B5"/>
    <w:rsid w:val="083F9F63"/>
    <w:rsid w:val="084166A6"/>
    <w:rsid w:val="0841B9D4"/>
    <w:rsid w:val="08521EC0"/>
    <w:rsid w:val="085D99B4"/>
    <w:rsid w:val="08665280"/>
    <w:rsid w:val="086DCA6E"/>
    <w:rsid w:val="087568C0"/>
    <w:rsid w:val="087BF2B2"/>
    <w:rsid w:val="08AE92EC"/>
    <w:rsid w:val="08B0AE12"/>
    <w:rsid w:val="08BDB817"/>
    <w:rsid w:val="08BE4796"/>
    <w:rsid w:val="08BF2D2B"/>
    <w:rsid w:val="08C6AE34"/>
    <w:rsid w:val="08D2FEDB"/>
    <w:rsid w:val="08D78742"/>
    <w:rsid w:val="08D9AB6D"/>
    <w:rsid w:val="08E1CF52"/>
    <w:rsid w:val="08E530A8"/>
    <w:rsid w:val="08E58114"/>
    <w:rsid w:val="08ECF6DB"/>
    <w:rsid w:val="08EE1493"/>
    <w:rsid w:val="090D0479"/>
    <w:rsid w:val="0912E22F"/>
    <w:rsid w:val="09216A73"/>
    <w:rsid w:val="0934972E"/>
    <w:rsid w:val="093555AB"/>
    <w:rsid w:val="0947E96E"/>
    <w:rsid w:val="094EA77D"/>
    <w:rsid w:val="0950D98D"/>
    <w:rsid w:val="09563F09"/>
    <w:rsid w:val="09576726"/>
    <w:rsid w:val="095DF382"/>
    <w:rsid w:val="095E4E25"/>
    <w:rsid w:val="096B9D1B"/>
    <w:rsid w:val="09756122"/>
    <w:rsid w:val="09785783"/>
    <w:rsid w:val="097EB6C2"/>
    <w:rsid w:val="09857AFE"/>
    <w:rsid w:val="09911968"/>
    <w:rsid w:val="09976F84"/>
    <w:rsid w:val="0998EE3C"/>
    <w:rsid w:val="099BC77C"/>
    <w:rsid w:val="099C3CE3"/>
    <w:rsid w:val="099C635A"/>
    <w:rsid w:val="09ADA5D9"/>
    <w:rsid w:val="09B3D179"/>
    <w:rsid w:val="09BFCE2B"/>
    <w:rsid w:val="09CCAEB7"/>
    <w:rsid w:val="09D8848C"/>
    <w:rsid w:val="09DFD177"/>
    <w:rsid w:val="0A01579D"/>
    <w:rsid w:val="0A03C3D0"/>
    <w:rsid w:val="0A04E2CE"/>
    <w:rsid w:val="0A0D32E4"/>
    <w:rsid w:val="0A0FBB64"/>
    <w:rsid w:val="0A140E82"/>
    <w:rsid w:val="0A2115AE"/>
    <w:rsid w:val="0A31EF73"/>
    <w:rsid w:val="0A34740A"/>
    <w:rsid w:val="0A446DB5"/>
    <w:rsid w:val="0A6B4DB0"/>
    <w:rsid w:val="0A6D1DE2"/>
    <w:rsid w:val="0A729610"/>
    <w:rsid w:val="0A8698E7"/>
    <w:rsid w:val="0AA94DCF"/>
    <w:rsid w:val="0AB02FC1"/>
    <w:rsid w:val="0ACB7E42"/>
    <w:rsid w:val="0ACBCB18"/>
    <w:rsid w:val="0ACE5DBD"/>
    <w:rsid w:val="0AD66C51"/>
    <w:rsid w:val="0AE4C995"/>
    <w:rsid w:val="0AE8BBE4"/>
    <w:rsid w:val="0AEDDF89"/>
    <w:rsid w:val="0AFA689D"/>
    <w:rsid w:val="0B0EA120"/>
    <w:rsid w:val="0B12D285"/>
    <w:rsid w:val="0B1588B0"/>
    <w:rsid w:val="0B183D14"/>
    <w:rsid w:val="0B2519BF"/>
    <w:rsid w:val="0B313E68"/>
    <w:rsid w:val="0B369BE6"/>
    <w:rsid w:val="0B37DA5D"/>
    <w:rsid w:val="0B3D4FBC"/>
    <w:rsid w:val="0B3F2044"/>
    <w:rsid w:val="0B3FE2A9"/>
    <w:rsid w:val="0B489C64"/>
    <w:rsid w:val="0B571BEC"/>
    <w:rsid w:val="0B5A73F4"/>
    <w:rsid w:val="0B5C0BBA"/>
    <w:rsid w:val="0B67E485"/>
    <w:rsid w:val="0B6CF6E8"/>
    <w:rsid w:val="0B750AD8"/>
    <w:rsid w:val="0B77CE09"/>
    <w:rsid w:val="0B7A043A"/>
    <w:rsid w:val="0B8DF78B"/>
    <w:rsid w:val="0B9830BA"/>
    <w:rsid w:val="0B9C2FF3"/>
    <w:rsid w:val="0BABB49D"/>
    <w:rsid w:val="0BC036EA"/>
    <w:rsid w:val="0BC2FE38"/>
    <w:rsid w:val="0BC6411C"/>
    <w:rsid w:val="0BC8EAC1"/>
    <w:rsid w:val="0BD28A4F"/>
    <w:rsid w:val="0BD5F61A"/>
    <w:rsid w:val="0BE023F1"/>
    <w:rsid w:val="0BF40E47"/>
    <w:rsid w:val="0BFA2FF6"/>
    <w:rsid w:val="0BFE00EB"/>
    <w:rsid w:val="0C136CF0"/>
    <w:rsid w:val="0C23EED2"/>
    <w:rsid w:val="0C2686E5"/>
    <w:rsid w:val="0C2B58C3"/>
    <w:rsid w:val="0C2B86F7"/>
    <w:rsid w:val="0C324464"/>
    <w:rsid w:val="0C36F788"/>
    <w:rsid w:val="0C3CFB75"/>
    <w:rsid w:val="0C4086EA"/>
    <w:rsid w:val="0C4DE154"/>
    <w:rsid w:val="0C52A2F6"/>
    <w:rsid w:val="0C5887FF"/>
    <w:rsid w:val="0C6395BC"/>
    <w:rsid w:val="0C6D19FB"/>
    <w:rsid w:val="0C71D328"/>
    <w:rsid w:val="0CBE33A2"/>
    <w:rsid w:val="0CC50310"/>
    <w:rsid w:val="0CC6B24E"/>
    <w:rsid w:val="0CCC829A"/>
    <w:rsid w:val="0CDD535A"/>
    <w:rsid w:val="0CDF4961"/>
    <w:rsid w:val="0CE0C750"/>
    <w:rsid w:val="0CF608B5"/>
    <w:rsid w:val="0CF7CA86"/>
    <w:rsid w:val="0CF91AE6"/>
    <w:rsid w:val="0CFD987A"/>
    <w:rsid w:val="0D11E4F3"/>
    <w:rsid w:val="0D14E46D"/>
    <w:rsid w:val="0D1A3EDD"/>
    <w:rsid w:val="0D31C9D5"/>
    <w:rsid w:val="0D5A250F"/>
    <w:rsid w:val="0D5B1C3D"/>
    <w:rsid w:val="0D6743F5"/>
    <w:rsid w:val="0D68A900"/>
    <w:rsid w:val="0D73B5AA"/>
    <w:rsid w:val="0D777271"/>
    <w:rsid w:val="0D883DA0"/>
    <w:rsid w:val="0D9FA2EB"/>
    <w:rsid w:val="0DA214FB"/>
    <w:rsid w:val="0DA5EB90"/>
    <w:rsid w:val="0DA96CA9"/>
    <w:rsid w:val="0DD7D255"/>
    <w:rsid w:val="0DD96464"/>
    <w:rsid w:val="0DDE6BEB"/>
    <w:rsid w:val="0DDFC81B"/>
    <w:rsid w:val="0DE79B82"/>
    <w:rsid w:val="0DEF6CFB"/>
    <w:rsid w:val="0DF0B4F8"/>
    <w:rsid w:val="0DF57209"/>
    <w:rsid w:val="0E0494D3"/>
    <w:rsid w:val="0E08DC87"/>
    <w:rsid w:val="0E0CD098"/>
    <w:rsid w:val="0E0FB262"/>
    <w:rsid w:val="0E16F87F"/>
    <w:rsid w:val="0E19B177"/>
    <w:rsid w:val="0E223CC0"/>
    <w:rsid w:val="0E48E120"/>
    <w:rsid w:val="0E5404C8"/>
    <w:rsid w:val="0E579AE0"/>
    <w:rsid w:val="0E6A4FAD"/>
    <w:rsid w:val="0E719816"/>
    <w:rsid w:val="0E86F825"/>
    <w:rsid w:val="0E888D09"/>
    <w:rsid w:val="0E894E62"/>
    <w:rsid w:val="0E8AA33C"/>
    <w:rsid w:val="0E8E3314"/>
    <w:rsid w:val="0E96BB27"/>
    <w:rsid w:val="0E97C5FD"/>
    <w:rsid w:val="0EA6E121"/>
    <w:rsid w:val="0EB01041"/>
    <w:rsid w:val="0EB02BFA"/>
    <w:rsid w:val="0EB14F8C"/>
    <w:rsid w:val="0EB7BED9"/>
    <w:rsid w:val="0EB8BF70"/>
    <w:rsid w:val="0EBA2066"/>
    <w:rsid w:val="0EBA2594"/>
    <w:rsid w:val="0EBD804C"/>
    <w:rsid w:val="0EC0C3B5"/>
    <w:rsid w:val="0EC83713"/>
    <w:rsid w:val="0ED9B426"/>
    <w:rsid w:val="0EE0A4A0"/>
    <w:rsid w:val="0EF40131"/>
    <w:rsid w:val="0F111363"/>
    <w:rsid w:val="0F1E6904"/>
    <w:rsid w:val="0F36C483"/>
    <w:rsid w:val="0F3B952D"/>
    <w:rsid w:val="0F3BA788"/>
    <w:rsid w:val="0F3FEE89"/>
    <w:rsid w:val="0F537A5F"/>
    <w:rsid w:val="0F577925"/>
    <w:rsid w:val="0F5791A1"/>
    <w:rsid w:val="0F6039D7"/>
    <w:rsid w:val="0F65D877"/>
    <w:rsid w:val="0F6E4233"/>
    <w:rsid w:val="0F7B1468"/>
    <w:rsid w:val="0F7D1593"/>
    <w:rsid w:val="0F813673"/>
    <w:rsid w:val="0F8EC163"/>
    <w:rsid w:val="0F967377"/>
    <w:rsid w:val="0FA25DC2"/>
    <w:rsid w:val="0FA8F687"/>
    <w:rsid w:val="0FB28696"/>
    <w:rsid w:val="0FC7558D"/>
    <w:rsid w:val="0FDB1409"/>
    <w:rsid w:val="0FDF5DE7"/>
    <w:rsid w:val="0FE43B07"/>
    <w:rsid w:val="0FFC430D"/>
    <w:rsid w:val="0FFC7D37"/>
    <w:rsid w:val="0FFCA18F"/>
    <w:rsid w:val="10006CAC"/>
    <w:rsid w:val="100812D1"/>
    <w:rsid w:val="10083D69"/>
    <w:rsid w:val="100B6770"/>
    <w:rsid w:val="1013F6FB"/>
    <w:rsid w:val="101DDFC6"/>
    <w:rsid w:val="101E4E04"/>
    <w:rsid w:val="102395B7"/>
    <w:rsid w:val="10463D7F"/>
    <w:rsid w:val="1049EFB4"/>
    <w:rsid w:val="105203FA"/>
    <w:rsid w:val="10532976"/>
    <w:rsid w:val="10624B32"/>
    <w:rsid w:val="1065ABE6"/>
    <w:rsid w:val="1065EDC9"/>
    <w:rsid w:val="10723645"/>
    <w:rsid w:val="1079D0DF"/>
    <w:rsid w:val="107A8A25"/>
    <w:rsid w:val="1084BD58"/>
    <w:rsid w:val="1096C20B"/>
    <w:rsid w:val="10ADEB12"/>
    <w:rsid w:val="10D62DB1"/>
    <w:rsid w:val="110B6835"/>
    <w:rsid w:val="11136FCE"/>
    <w:rsid w:val="111DB555"/>
    <w:rsid w:val="112626D1"/>
    <w:rsid w:val="1126C2B4"/>
    <w:rsid w:val="1131B28F"/>
    <w:rsid w:val="11406403"/>
    <w:rsid w:val="114177A7"/>
    <w:rsid w:val="11575374"/>
    <w:rsid w:val="115CB459"/>
    <w:rsid w:val="116E66E1"/>
    <w:rsid w:val="1184AB0C"/>
    <w:rsid w:val="11876DCA"/>
    <w:rsid w:val="1196A093"/>
    <w:rsid w:val="11975FF6"/>
    <w:rsid w:val="119D0EA1"/>
    <w:rsid w:val="11A4926F"/>
    <w:rsid w:val="11A822EE"/>
    <w:rsid w:val="11AD7502"/>
    <w:rsid w:val="11BAC679"/>
    <w:rsid w:val="11BC811B"/>
    <w:rsid w:val="11D29A95"/>
    <w:rsid w:val="11D3C7E6"/>
    <w:rsid w:val="11E169F6"/>
    <w:rsid w:val="11E54AC9"/>
    <w:rsid w:val="11E86372"/>
    <w:rsid w:val="11F8F02B"/>
    <w:rsid w:val="11F922E0"/>
    <w:rsid w:val="11FA346D"/>
    <w:rsid w:val="120AA153"/>
    <w:rsid w:val="121029CE"/>
    <w:rsid w:val="121AFA5F"/>
    <w:rsid w:val="121CF584"/>
    <w:rsid w:val="1222AC91"/>
    <w:rsid w:val="122A51D3"/>
    <w:rsid w:val="122D0B9D"/>
    <w:rsid w:val="1232C46D"/>
    <w:rsid w:val="1233E842"/>
    <w:rsid w:val="12352CF2"/>
    <w:rsid w:val="1237B797"/>
    <w:rsid w:val="12400690"/>
    <w:rsid w:val="12410123"/>
    <w:rsid w:val="1260EF93"/>
    <w:rsid w:val="126647A2"/>
    <w:rsid w:val="126BC2B0"/>
    <w:rsid w:val="126CB50B"/>
    <w:rsid w:val="128002F1"/>
    <w:rsid w:val="128A75DF"/>
    <w:rsid w:val="128BD904"/>
    <w:rsid w:val="129A2F67"/>
    <w:rsid w:val="129EE081"/>
    <w:rsid w:val="12A6A342"/>
    <w:rsid w:val="12AB9837"/>
    <w:rsid w:val="12B15C42"/>
    <w:rsid w:val="12C08B17"/>
    <w:rsid w:val="12C1CC71"/>
    <w:rsid w:val="12C2ACB3"/>
    <w:rsid w:val="12CFCF10"/>
    <w:rsid w:val="12D1415F"/>
    <w:rsid w:val="12E0F255"/>
    <w:rsid w:val="12FD5D42"/>
    <w:rsid w:val="130440D0"/>
    <w:rsid w:val="13044286"/>
    <w:rsid w:val="131043DB"/>
    <w:rsid w:val="131E8A92"/>
    <w:rsid w:val="1332C375"/>
    <w:rsid w:val="134C96C8"/>
    <w:rsid w:val="135224C1"/>
    <w:rsid w:val="1358A8C0"/>
    <w:rsid w:val="13647F3A"/>
    <w:rsid w:val="13680DE9"/>
    <w:rsid w:val="136CCDDB"/>
    <w:rsid w:val="1370F384"/>
    <w:rsid w:val="137E72D9"/>
    <w:rsid w:val="13827B90"/>
    <w:rsid w:val="1384284D"/>
    <w:rsid w:val="138CAC10"/>
    <w:rsid w:val="138D0E46"/>
    <w:rsid w:val="138DBB49"/>
    <w:rsid w:val="1399B8D9"/>
    <w:rsid w:val="139E9862"/>
    <w:rsid w:val="13AB1652"/>
    <w:rsid w:val="13AB9D62"/>
    <w:rsid w:val="13B78197"/>
    <w:rsid w:val="13BBD210"/>
    <w:rsid w:val="13C4FBBC"/>
    <w:rsid w:val="13CA45B6"/>
    <w:rsid w:val="13E44B3F"/>
    <w:rsid w:val="13FD5267"/>
    <w:rsid w:val="14032CE6"/>
    <w:rsid w:val="1417F09D"/>
    <w:rsid w:val="141B173E"/>
    <w:rsid w:val="141ED19D"/>
    <w:rsid w:val="14209399"/>
    <w:rsid w:val="1420E44A"/>
    <w:rsid w:val="1426DD4F"/>
    <w:rsid w:val="1430EC0D"/>
    <w:rsid w:val="1431CE37"/>
    <w:rsid w:val="14453941"/>
    <w:rsid w:val="144CB877"/>
    <w:rsid w:val="1461674E"/>
    <w:rsid w:val="14621EBB"/>
    <w:rsid w:val="14674E9F"/>
    <w:rsid w:val="146771A1"/>
    <w:rsid w:val="1467D79D"/>
    <w:rsid w:val="146C8E32"/>
    <w:rsid w:val="147774FC"/>
    <w:rsid w:val="147BF739"/>
    <w:rsid w:val="147C4463"/>
    <w:rsid w:val="147FC25F"/>
    <w:rsid w:val="14833315"/>
    <w:rsid w:val="149208B9"/>
    <w:rsid w:val="1492711E"/>
    <w:rsid w:val="14A02E78"/>
    <w:rsid w:val="14ACA7D7"/>
    <w:rsid w:val="14AE31D2"/>
    <w:rsid w:val="14B17E4A"/>
    <w:rsid w:val="14B562BC"/>
    <w:rsid w:val="14B9C0D8"/>
    <w:rsid w:val="14C74294"/>
    <w:rsid w:val="14C753B8"/>
    <w:rsid w:val="14CA65C4"/>
    <w:rsid w:val="14D1AC38"/>
    <w:rsid w:val="14DD48F5"/>
    <w:rsid w:val="14EB0906"/>
    <w:rsid w:val="14EF921F"/>
    <w:rsid w:val="14F552C8"/>
    <w:rsid w:val="15027561"/>
    <w:rsid w:val="150918CD"/>
    <w:rsid w:val="150B0AC7"/>
    <w:rsid w:val="1517F7DC"/>
    <w:rsid w:val="152586F2"/>
    <w:rsid w:val="15387E3C"/>
    <w:rsid w:val="15467CD6"/>
    <w:rsid w:val="1549B07E"/>
    <w:rsid w:val="154CBD91"/>
    <w:rsid w:val="154EDF8B"/>
    <w:rsid w:val="1551B5B8"/>
    <w:rsid w:val="1551BA6C"/>
    <w:rsid w:val="1554BF82"/>
    <w:rsid w:val="15618D23"/>
    <w:rsid w:val="15657290"/>
    <w:rsid w:val="156A857D"/>
    <w:rsid w:val="1571490E"/>
    <w:rsid w:val="1573D96A"/>
    <w:rsid w:val="157823B0"/>
    <w:rsid w:val="15AEC8A8"/>
    <w:rsid w:val="15B9CB0A"/>
    <w:rsid w:val="15DDFA43"/>
    <w:rsid w:val="15E33761"/>
    <w:rsid w:val="15E3FDA7"/>
    <w:rsid w:val="15E8FFB3"/>
    <w:rsid w:val="15E9E4A1"/>
    <w:rsid w:val="15F1DED0"/>
    <w:rsid w:val="15FA3DC1"/>
    <w:rsid w:val="15FB16C2"/>
    <w:rsid w:val="15FD15B8"/>
    <w:rsid w:val="15FE24AD"/>
    <w:rsid w:val="163CC584"/>
    <w:rsid w:val="16421B77"/>
    <w:rsid w:val="16440510"/>
    <w:rsid w:val="164CD9AF"/>
    <w:rsid w:val="164DC1C7"/>
    <w:rsid w:val="165D1B2C"/>
    <w:rsid w:val="16681553"/>
    <w:rsid w:val="1668EB5B"/>
    <w:rsid w:val="166CD058"/>
    <w:rsid w:val="167850C7"/>
    <w:rsid w:val="167BDCF2"/>
    <w:rsid w:val="1684AEAD"/>
    <w:rsid w:val="1694D4F5"/>
    <w:rsid w:val="16982CA9"/>
    <w:rsid w:val="16A2D3FA"/>
    <w:rsid w:val="16C3C86F"/>
    <w:rsid w:val="16C64F10"/>
    <w:rsid w:val="16DFA8CB"/>
    <w:rsid w:val="16E27AA0"/>
    <w:rsid w:val="16E4FD66"/>
    <w:rsid w:val="16E98674"/>
    <w:rsid w:val="16EEEBC9"/>
    <w:rsid w:val="16F1574B"/>
    <w:rsid w:val="171AE388"/>
    <w:rsid w:val="171B58A4"/>
    <w:rsid w:val="1728A65F"/>
    <w:rsid w:val="17388F30"/>
    <w:rsid w:val="1740D662"/>
    <w:rsid w:val="174692E4"/>
    <w:rsid w:val="17525065"/>
    <w:rsid w:val="1753242D"/>
    <w:rsid w:val="17538C1D"/>
    <w:rsid w:val="175A4CDA"/>
    <w:rsid w:val="17618088"/>
    <w:rsid w:val="17663155"/>
    <w:rsid w:val="1768734A"/>
    <w:rsid w:val="177258BA"/>
    <w:rsid w:val="17777E80"/>
    <w:rsid w:val="177F906B"/>
    <w:rsid w:val="1781102D"/>
    <w:rsid w:val="1790EDBD"/>
    <w:rsid w:val="17966EA7"/>
    <w:rsid w:val="17984BE3"/>
    <w:rsid w:val="179E3288"/>
    <w:rsid w:val="17A33873"/>
    <w:rsid w:val="17A7350F"/>
    <w:rsid w:val="17AA2DA9"/>
    <w:rsid w:val="17AC75B4"/>
    <w:rsid w:val="17B50B86"/>
    <w:rsid w:val="17B6E5F1"/>
    <w:rsid w:val="17BC368F"/>
    <w:rsid w:val="17BDCB82"/>
    <w:rsid w:val="17D79AB7"/>
    <w:rsid w:val="17D9030D"/>
    <w:rsid w:val="17DB3071"/>
    <w:rsid w:val="17E101A0"/>
    <w:rsid w:val="17E6B904"/>
    <w:rsid w:val="17F574E8"/>
    <w:rsid w:val="181219D5"/>
    <w:rsid w:val="182351B2"/>
    <w:rsid w:val="18245F8E"/>
    <w:rsid w:val="182685D7"/>
    <w:rsid w:val="182D26A4"/>
    <w:rsid w:val="1839B2DB"/>
    <w:rsid w:val="183E50BE"/>
    <w:rsid w:val="1846D64A"/>
    <w:rsid w:val="1852B5D7"/>
    <w:rsid w:val="18609BC2"/>
    <w:rsid w:val="18649759"/>
    <w:rsid w:val="186A2153"/>
    <w:rsid w:val="186A7953"/>
    <w:rsid w:val="1876D2DF"/>
    <w:rsid w:val="187BD1F4"/>
    <w:rsid w:val="188095C4"/>
    <w:rsid w:val="1884EF80"/>
    <w:rsid w:val="189A4F9A"/>
    <w:rsid w:val="189B8FEE"/>
    <w:rsid w:val="18A1C652"/>
    <w:rsid w:val="18A2436F"/>
    <w:rsid w:val="18AD357C"/>
    <w:rsid w:val="18AEF716"/>
    <w:rsid w:val="18B40309"/>
    <w:rsid w:val="18BD8674"/>
    <w:rsid w:val="18CD61BC"/>
    <w:rsid w:val="18E438C5"/>
    <w:rsid w:val="18EC1AAB"/>
    <w:rsid w:val="18F009CF"/>
    <w:rsid w:val="18F20751"/>
    <w:rsid w:val="18F52D06"/>
    <w:rsid w:val="18F53EB7"/>
    <w:rsid w:val="18FD9C23"/>
    <w:rsid w:val="18FEC571"/>
    <w:rsid w:val="19069E55"/>
    <w:rsid w:val="19149302"/>
    <w:rsid w:val="191CAB1D"/>
    <w:rsid w:val="19213777"/>
    <w:rsid w:val="193D2FEC"/>
    <w:rsid w:val="194D15F2"/>
    <w:rsid w:val="195A4EE4"/>
    <w:rsid w:val="195D6A21"/>
    <w:rsid w:val="1961F486"/>
    <w:rsid w:val="1963EDF8"/>
    <w:rsid w:val="1963F96B"/>
    <w:rsid w:val="196906B9"/>
    <w:rsid w:val="197D0BF1"/>
    <w:rsid w:val="1984013F"/>
    <w:rsid w:val="19985D03"/>
    <w:rsid w:val="199D0811"/>
    <w:rsid w:val="19A2C979"/>
    <w:rsid w:val="19A8F073"/>
    <w:rsid w:val="19BD8108"/>
    <w:rsid w:val="19C7DB34"/>
    <w:rsid w:val="19CF2C4C"/>
    <w:rsid w:val="19CF3F0B"/>
    <w:rsid w:val="19D04977"/>
    <w:rsid w:val="19D48B19"/>
    <w:rsid w:val="19D70D86"/>
    <w:rsid w:val="19E037E3"/>
    <w:rsid w:val="19E17DE1"/>
    <w:rsid w:val="19FAC496"/>
    <w:rsid w:val="1A029EC3"/>
    <w:rsid w:val="1A02DE72"/>
    <w:rsid w:val="1A043491"/>
    <w:rsid w:val="1A0D76DE"/>
    <w:rsid w:val="1A15CC12"/>
    <w:rsid w:val="1A17945B"/>
    <w:rsid w:val="1A1DA584"/>
    <w:rsid w:val="1A2299DF"/>
    <w:rsid w:val="1A26A78A"/>
    <w:rsid w:val="1A2B30E1"/>
    <w:rsid w:val="1A46BACA"/>
    <w:rsid w:val="1A4B2192"/>
    <w:rsid w:val="1A54BC9E"/>
    <w:rsid w:val="1A5C82A0"/>
    <w:rsid w:val="1A655722"/>
    <w:rsid w:val="1A663BF9"/>
    <w:rsid w:val="1A6B1264"/>
    <w:rsid w:val="1A795DAE"/>
    <w:rsid w:val="1A7AB496"/>
    <w:rsid w:val="1A7D5FCD"/>
    <w:rsid w:val="1A888325"/>
    <w:rsid w:val="1A8C2029"/>
    <w:rsid w:val="1A8C83AE"/>
    <w:rsid w:val="1A8DBA6C"/>
    <w:rsid w:val="1AA49EB4"/>
    <w:rsid w:val="1ABB45EB"/>
    <w:rsid w:val="1ABDAFB2"/>
    <w:rsid w:val="1AC9762F"/>
    <w:rsid w:val="1AD0A0CF"/>
    <w:rsid w:val="1ADBFAD4"/>
    <w:rsid w:val="1B04D56B"/>
    <w:rsid w:val="1B16EBD6"/>
    <w:rsid w:val="1B18C714"/>
    <w:rsid w:val="1B1EF788"/>
    <w:rsid w:val="1B1FBC78"/>
    <w:rsid w:val="1B2452A1"/>
    <w:rsid w:val="1B47DB0A"/>
    <w:rsid w:val="1B47E2C0"/>
    <w:rsid w:val="1B5907EC"/>
    <w:rsid w:val="1B6590D9"/>
    <w:rsid w:val="1B67C9E9"/>
    <w:rsid w:val="1B72C970"/>
    <w:rsid w:val="1B74319D"/>
    <w:rsid w:val="1B7A5CC7"/>
    <w:rsid w:val="1B806476"/>
    <w:rsid w:val="1B816493"/>
    <w:rsid w:val="1B83E963"/>
    <w:rsid w:val="1B98F403"/>
    <w:rsid w:val="1BA2F4C4"/>
    <w:rsid w:val="1BA8B791"/>
    <w:rsid w:val="1BBD3DFC"/>
    <w:rsid w:val="1BC84C7A"/>
    <w:rsid w:val="1BC9DD44"/>
    <w:rsid w:val="1BD1795E"/>
    <w:rsid w:val="1BD54C88"/>
    <w:rsid w:val="1BD818F2"/>
    <w:rsid w:val="1BE15DDC"/>
    <w:rsid w:val="1BEE8DB5"/>
    <w:rsid w:val="1BF2F6E4"/>
    <w:rsid w:val="1BFC8585"/>
    <w:rsid w:val="1C0170C8"/>
    <w:rsid w:val="1C02664B"/>
    <w:rsid w:val="1C13D519"/>
    <w:rsid w:val="1C220804"/>
    <w:rsid w:val="1C2ED4A5"/>
    <w:rsid w:val="1C306917"/>
    <w:rsid w:val="1C34F60B"/>
    <w:rsid w:val="1C3D6792"/>
    <w:rsid w:val="1C42AA52"/>
    <w:rsid w:val="1C44D814"/>
    <w:rsid w:val="1C4A9029"/>
    <w:rsid w:val="1C4D944E"/>
    <w:rsid w:val="1C50E482"/>
    <w:rsid w:val="1C5948CF"/>
    <w:rsid w:val="1C59C914"/>
    <w:rsid w:val="1C6E2AF3"/>
    <w:rsid w:val="1C6E37CD"/>
    <w:rsid w:val="1C7203EC"/>
    <w:rsid w:val="1C7238A6"/>
    <w:rsid w:val="1C7A1F1A"/>
    <w:rsid w:val="1C7B9168"/>
    <w:rsid w:val="1C7CF9B4"/>
    <w:rsid w:val="1C7DBE9D"/>
    <w:rsid w:val="1C810CF5"/>
    <w:rsid w:val="1C87670D"/>
    <w:rsid w:val="1C8ECFC5"/>
    <w:rsid w:val="1C9485D0"/>
    <w:rsid w:val="1C9A6B0D"/>
    <w:rsid w:val="1C9BE9EB"/>
    <w:rsid w:val="1CAB2326"/>
    <w:rsid w:val="1CADC3E3"/>
    <w:rsid w:val="1CAF3E4F"/>
    <w:rsid w:val="1CB28F04"/>
    <w:rsid w:val="1CC683CB"/>
    <w:rsid w:val="1CD20FF7"/>
    <w:rsid w:val="1CDDFEDA"/>
    <w:rsid w:val="1CDF9DFF"/>
    <w:rsid w:val="1CE60C7E"/>
    <w:rsid w:val="1CE8937D"/>
    <w:rsid w:val="1CED3F83"/>
    <w:rsid w:val="1CF21A99"/>
    <w:rsid w:val="1CFA9A12"/>
    <w:rsid w:val="1CFF081E"/>
    <w:rsid w:val="1CFF139A"/>
    <w:rsid w:val="1D0456A2"/>
    <w:rsid w:val="1D081C50"/>
    <w:rsid w:val="1D2E3417"/>
    <w:rsid w:val="1D3FE43F"/>
    <w:rsid w:val="1D44D4D9"/>
    <w:rsid w:val="1D4C87AD"/>
    <w:rsid w:val="1D57C1B0"/>
    <w:rsid w:val="1D7AEAFF"/>
    <w:rsid w:val="1DAB0C3A"/>
    <w:rsid w:val="1DBE3BE9"/>
    <w:rsid w:val="1DC0686A"/>
    <w:rsid w:val="1DDE3014"/>
    <w:rsid w:val="1DE1022B"/>
    <w:rsid w:val="1DEE15BE"/>
    <w:rsid w:val="1DF41B42"/>
    <w:rsid w:val="1DFA7189"/>
    <w:rsid w:val="1E0049EE"/>
    <w:rsid w:val="1E02686F"/>
    <w:rsid w:val="1E18F845"/>
    <w:rsid w:val="1E24708B"/>
    <w:rsid w:val="1E4171F5"/>
    <w:rsid w:val="1E419A4C"/>
    <w:rsid w:val="1E4E35A6"/>
    <w:rsid w:val="1E4E87A9"/>
    <w:rsid w:val="1E615B08"/>
    <w:rsid w:val="1E638998"/>
    <w:rsid w:val="1E705333"/>
    <w:rsid w:val="1E81914F"/>
    <w:rsid w:val="1E855BD4"/>
    <w:rsid w:val="1E8F4434"/>
    <w:rsid w:val="1EA074F2"/>
    <w:rsid w:val="1EA7871E"/>
    <w:rsid w:val="1EA98422"/>
    <w:rsid w:val="1EB5904F"/>
    <w:rsid w:val="1EBDDE48"/>
    <w:rsid w:val="1EBF1172"/>
    <w:rsid w:val="1ED45C24"/>
    <w:rsid w:val="1EE32FAC"/>
    <w:rsid w:val="1EE8F415"/>
    <w:rsid w:val="1EF89172"/>
    <w:rsid w:val="1F05716F"/>
    <w:rsid w:val="1F11087C"/>
    <w:rsid w:val="1F1B23BD"/>
    <w:rsid w:val="1F25A549"/>
    <w:rsid w:val="1F2A3A01"/>
    <w:rsid w:val="1F2AC949"/>
    <w:rsid w:val="1F335ADC"/>
    <w:rsid w:val="1F34B9D4"/>
    <w:rsid w:val="1F3761D2"/>
    <w:rsid w:val="1F44DD2D"/>
    <w:rsid w:val="1F4865CB"/>
    <w:rsid w:val="1F487636"/>
    <w:rsid w:val="1F6CF61A"/>
    <w:rsid w:val="1F73AAEA"/>
    <w:rsid w:val="1F74964D"/>
    <w:rsid w:val="1F750C8F"/>
    <w:rsid w:val="1F75C7B1"/>
    <w:rsid w:val="1F795B7C"/>
    <w:rsid w:val="1F8BB8A3"/>
    <w:rsid w:val="1F8D6319"/>
    <w:rsid w:val="1F948554"/>
    <w:rsid w:val="1F9EBB85"/>
    <w:rsid w:val="1FAB1D95"/>
    <w:rsid w:val="1FB694CF"/>
    <w:rsid w:val="1FC1D358"/>
    <w:rsid w:val="1FC3CD3B"/>
    <w:rsid w:val="1FD79C7C"/>
    <w:rsid w:val="1FD927DA"/>
    <w:rsid w:val="1FEE3C2E"/>
    <w:rsid w:val="2003B49A"/>
    <w:rsid w:val="2009BA00"/>
    <w:rsid w:val="200BF2A6"/>
    <w:rsid w:val="200EC7E5"/>
    <w:rsid w:val="2019B00F"/>
    <w:rsid w:val="201B5EAD"/>
    <w:rsid w:val="202CEC2C"/>
    <w:rsid w:val="20336E38"/>
    <w:rsid w:val="203AF4A3"/>
    <w:rsid w:val="204A4B36"/>
    <w:rsid w:val="2050271B"/>
    <w:rsid w:val="209B84A3"/>
    <w:rsid w:val="20A03A80"/>
    <w:rsid w:val="20ABDDB4"/>
    <w:rsid w:val="20B70A25"/>
    <w:rsid w:val="20B8EF68"/>
    <w:rsid w:val="20C4A715"/>
    <w:rsid w:val="20DDEA3B"/>
    <w:rsid w:val="20E7DDDC"/>
    <w:rsid w:val="21495873"/>
    <w:rsid w:val="214E45FC"/>
    <w:rsid w:val="2155DDD3"/>
    <w:rsid w:val="215C5373"/>
    <w:rsid w:val="215E3DB8"/>
    <w:rsid w:val="216062CE"/>
    <w:rsid w:val="21608869"/>
    <w:rsid w:val="2178B175"/>
    <w:rsid w:val="2180FCB5"/>
    <w:rsid w:val="21819E25"/>
    <w:rsid w:val="218477E7"/>
    <w:rsid w:val="21943F24"/>
    <w:rsid w:val="219FE59A"/>
    <w:rsid w:val="21A09D32"/>
    <w:rsid w:val="21A0AB3A"/>
    <w:rsid w:val="21A2C82E"/>
    <w:rsid w:val="21A4571B"/>
    <w:rsid w:val="21A6FD56"/>
    <w:rsid w:val="21AB6F2F"/>
    <w:rsid w:val="21AD58F7"/>
    <w:rsid w:val="21CCA7A4"/>
    <w:rsid w:val="21E8AF93"/>
    <w:rsid w:val="21EC4188"/>
    <w:rsid w:val="21F40961"/>
    <w:rsid w:val="220AD90E"/>
    <w:rsid w:val="2212DB2D"/>
    <w:rsid w:val="221386D8"/>
    <w:rsid w:val="22182EEC"/>
    <w:rsid w:val="2221DC21"/>
    <w:rsid w:val="222223A2"/>
    <w:rsid w:val="2229F2CA"/>
    <w:rsid w:val="222D5A80"/>
    <w:rsid w:val="222E9283"/>
    <w:rsid w:val="22362327"/>
    <w:rsid w:val="22370B60"/>
    <w:rsid w:val="223D5D41"/>
    <w:rsid w:val="223DC574"/>
    <w:rsid w:val="2240F0BF"/>
    <w:rsid w:val="2258A9C9"/>
    <w:rsid w:val="225E3A1C"/>
    <w:rsid w:val="2268406E"/>
    <w:rsid w:val="226A9E4B"/>
    <w:rsid w:val="22709275"/>
    <w:rsid w:val="2272F894"/>
    <w:rsid w:val="227E65DC"/>
    <w:rsid w:val="229223F4"/>
    <w:rsid w:val="2292BE09"/>
    <w:rsid w:val="2293026E"/>
    <w:rsid w:val="229D3368"/>
    <w:rsid w:val="22A338EE"/>
    <w:rsid w:val="22A3E58D"/>
    <w:rsid w:val="22AEBDE1"/>
    <w:rsid w:val="22B54DA3"/>
    <w:rsid w:val="22B6E32A"/>
    <w:rsid w:val="22C212F5"/>
    <w:rsid w:val="22C74920"/>
    <w:rsid w:val="22C8CABE"/>
    <w:rsid w:val="22E1A2D3"/>
    <w:rsid w:val="22E35B42"/>
    <w:rsid w:val="2321316C"/>
    <w:rsid w:val="23237956"/>
    <w:rsid w:val="2323DD08"/>
    <w:rsid w:val="2324AE28"/>
    <w:rsid w:val="2328C7AE"/>
    <w:rsid w:val="23335AB1"/>
    <w:rsid w:val="2338500C"/>
    <w:rsid w:val="234146DA"/>
    <w:rsid w:val="23430D81"/>
    <w:rsid w:val="23485494"/>
    <w:rsid w:val="235195B6"/>
    <w:rsid w:val="235A3584"/>
    <w:rsid w:val="23619BEF"/>
    <w:rsid w:val="23861A00"/>
    <w:rsid w:val="238CC614"/>
    <w:rsid w:val="23901128"/>
    <w:rsid w:val="239791DA"/>
    <w:rsid w:val="23A1703D"/>
    <w:rsid w:val="23B6EA48"/>
    <w:rsid w:val="23B775DD"/>
    <w:rsid w:val="23BE3B3D"/>
    <w:rsid w:val="23C5837B"/>
    <w:rsid w:val="23CBD749"/>
    <w:rsid w:val="23CF3215"/>
    <w:rsid w:val="23DD8D67"/>
    <w:rsid w:val="23E3ADEF"/>
    <w:rsid w:val="23E69510"/>
    <w:rsid w:val="23F846A5"/>
    <w:rsid w:val="23F90F7D"/>
    <w:rsid w:val="23FE436B"/>
    <w:rsid w:val="2400E58D"/>
    <w:rsid w:val="24060D84"/>
    <w:rsid w:val="240F30B8"/>
    <w:rsid w:val="24167FAE"/>
    <w:rsid w:val="242012D6"/>
    <w:rsid w:val="24284D17"/>
    <w:rsid w:val="242924B1"/>
    <w:rsid w:val="242FF83D"/>
    <w:rsid w:val="2432D1C4"/>
    <w:rsid w:val="243A1F44"/>
    <w:rsid w:val="2444A239"/>
    <w:rsid w:val="24451384"/>
    <w:rsid w:val="2450CFC0"/>
    <w:rsid w:val="24597216"/>
    <w:rsid w:val="246F8695"/>
    <w:rsid w:val="24789953"/>
    <w:rsid w:val="2478FFAB"/>
    <w:rsid w:val="248771A8"/>
    <w:rsid w:val="2496D820"/>
    <w:rsid w:val="24A74B90"/>
    <w:rsid w:val="24A91886"/>
    <w:rsid w:val="24ABF939"/>
    <w:rsid w:val="24BA26DC"/>
    <w:rsid w:val="24DB1BE5"/>
    <w:rsid w:val="24F528DE"/>
    <w:rsid w:val="24F8F2BD"/>
    <w:rsid w:val="250012B3"/>
    <w:rsid w:val="2514285C"/>
    <w:rsid w:val="251E3E08"/>
    <w:rsid w:val="251EBDFC"/>
    <w:rsid w:val="2520F95D"/>
    <w:rsid w:val="2531F61D"/>
    <w:rsid w:val="25386FB7"/>
    <w:rsid w:val="2541761F"/>
    <w:rsid w:val="2543C183"/>
    <w:rsid w:val="254DE9CE"/>
    <w:rsid w:val="255FEC8F"/>
    <w:rsid w:val="25630032"/>
    <w:rsid w:val="2572FEE6"/>
    <w:rsid w:val="257CFEBF"/>
    <w:rsid w:val="25918E7C"/>
    <w:rsid w:val="25A25E2A"/>
    <w:rsid w:val="25A50D30"/>
    <w:rsid w:val="25AAD403"/>
    <w:rsid w:val="25AC236C"/>
    <w:rsid w:val="25ADD37F"/>
    <w:rsid w:val="25CB0769"/>
    <w:rsid w:val="25EAD092"/>
    <w:rsid w:val="26043636"/>
    <w:rsid w:val="2610DCEA"/>
    <w:rsid w:val="2613EFD7"/>
    <w:rsid w:val="2615AECB"/>
    <w:rsid w:val="2623D703"/>
    <w:rsid w:val="26246032"/>
    <w:rsid w:val="262DE1C0"/>
    <w:rsid w:val="262E5E01"/>
    <w:rsid w:val="2633F682"/>
    <w:rsid w:val="26367DDE"/>
    <w:rsid w:val="263845E0"/>
    <w:rsid w:val="263C68D2"/>
    <w:rsid w:val="26428939"/>
    <w:rsid w:val="26488C5F"/>
    <w:rsid w:val="264ED7F4"/>
    <w:rsid w:val="2668D362"/>
    <w:rsid w:val="26709C21"/>
    <w:rsid w:val="2671C088"/>
    <w:rsid w:val="267C5DE3"/>
    <w:rsid w:val="267F9897"/>
    <w:rsid w:val="269994F5"/>
    <w:rsid w:val="269A448C"/>
    <w:rsid w:val="26A268F8"/>
    <w:rsid w:val="26B50B89"/>
    <w:rsid w:val="26BD2C9E"/>
    <w:rsid w:val="26C70F5C"/>
    <w:rsid w:val="26D08403"/>
    <w:rsid w:val="26E340E0"/>
    <w:rsid w:val="2706B4F8"/>
    <w:rsid w:val="270904DD"/>
    <w:rsid w:val="27145066"/>
    <w:rsid w:val="27168013"/>
    <w:rsid w:val="27294986"/>
    <w:rsid w:val="272AFCCB"/>
    <w:rsid w:val="272B3B30"/>
    <w:rsid w:val="272B949A"/>
    <w:rsid w:val="272D6435"/>
    <w:rsid w:val="273892E9"/>
    <w:rsid w:val="273E8BF4"/>
    <w:rsid w:val="274D2845"/>
    <w:rsid w:val="274F5ACC"/>
    <w:rsid w:val="275208FA"/>
    <w:rsid w:val="2755E802"/>
    <w:rsid w:val="2759DACC"/>
    <w:rsid w:val="2766FB2F"/>
    <w:rsid w:val="276B9D62"/>
    <w:rsid w:val="276BD82E"/>
    <w:rsid w:val="276ECFC7"/>
    <w:rsid w:val="2770091C"/>
    <w:rsid w:val="27781DD1"/>
    <w:rsid w:val="277C54B8"/>
    <w:rsid w:val="277DAD29"/>
    <w:rsid w:val="278B3588"/>
    <w:rsid w:val="27910943"/>
    <w:rsid w:val="27936C7F"/>
    <w:rsid w:val="27956AA7"/>
    <w:rsid w:val="2799F4DA"/>
    <w:rsid w:val="279AA599"/>
    <w:rsid w:val="27A13A00"/>
    <w:rsid w:val="27B031E4"/>
    <w:rsid w:val="27B1E3BE"/>
    <w:rsid w:val="27B32A90"/>
    <w:rsid w:val="27B5BFE7"/>
    <w:rsid w:val="27B9FDE4"/>
    <w:rsid w:val="27C83F39"/>
    <w:rsid w:val="27CA6E0E"/>
    <w:rsid w:val="27D0A0EA"/>
    <w:rsid w:val="27D0E8F8"/>
    <w:rsid w:val="27D1E5E3"/>
    <w:rsid w:val="27D6814E"/>
    <w:rsid w:val="27D9993C"/>
    <w:rsid w:val="27E8BC4B"/>
    <w:rsid w:val="27EC2709"/>
    <w:rsid w:val="280A9FAD"/>
    <w:rsid w:val="2816A060"/>
    <w:rsid w:val="2817790F"/>
    <w:rsid w:val="28196932"/>
    <w:rsid w:val="28233068"/>
    <w:rsid w:val="2827E921"/>
    <w:rsid w:val="2829BC2B"/>
    <w:rsid w:val="282F8D28"/>
    <w:rsid w:val="283D9FCB"/>
    <w:rsid w:val="2840D262"/>
    <w:rsid w:val="2840FFCA"/>
    <w:rsid w:val="28414A26"/>
    <w:rsid w:val="28463602"/>
    <w:rsid w:val="284E4403"/>
    <w:rsid w:val="284FF744"/>
    <w:rsid w:val="2854E503"/>
    <w:rsid w:val="285F8DC2"/>
    <w:rsid w:val="28618C6F"/>
    <w:rsid w:val="2863E618"/>
    <w:rsid w:val="287281F4"/>
    <w:rsid w:val="287BDC64"/>
    <w:rsid w:val="2881AB20"/>
    <w:rsid w:val="288ADC6F"/>
    <w:rsid w:val="2891B6FD"/>
    <w:rsid w:val="2894AB63"/>
    <w:rsid w:val="2898EABD"/>
    <w:rsid w:val="289F1EE3"/>
    <w:rsid w:val="28A632D4"/>
    <w:rsid w:val="28A686CD"/>
    <w:rsid w:val="28B54F2E"/>
    <w:rsid w:val="28E79767"/>
    <w:rsid w:val="28EB6F9F"/>
    <w:rsid w:val="28EF93FE"/>
    <w:rsid w:val="28FB3EF8"/>
    <w:rsid w:val="2907B39F"/>
    <w:rsid w:val="290BDD11"/>
    <w:rsid w:val="290D38C6"/>
    <w:rsid w:val="290DB9C4"/>
    <w:rsid w:val="290FB5ED"/>
    <w:rsid w:val="291D674A"/>
    <w:rsid w:val="291FE08A"/>
    <w:rsid w:val="2924E5B2"/>
    <w:rsid w:val="29331338"/>
    <w:rsid w:val="293BA946"/>
    <w:rsid w:val="293C5884"/>
    <w:rsid w:val="293F79B7"/>
    <w:rsid w:val="293FAA52"/>
    <w:rsid w:val="2949F82F"/>
    <w:rsid w:val="29660D69"/>
    <w:rsid w:val="29719DBB"/>
    <w:rsid w:val="29772B03"/>
    <w:rsid w:val="297FA8B0"/>
    <w:rsid w:val="2981211F"/>
    <w:rsid w:val="2982015A"/>
    <w:rsid w:val="298F0DC7"/>
    <w:rsid w:val="299A23FC"/>
    <w:rsid w:val="299BCA33"/>
    <w:rsid w:val="299BFEAA"/>
    <w:rsid w:val="299ECE02"/>
    <w:rsid w:val="29B11AB2"/>
    <w:rsid w:val="29B445B4"/>
    <w:rsid w:val="29BDFC40"/>
    <w:rsid w:val="29C8C54D"/>
    <w:rsid w:val="29CE6405"/>
    <w:rsid w:val="29DD05F6"/>
    <w:rsid w:val="29E91069"/>
    <w:rsid w:val="29EA525A"/>
    <w:rsid w:val="29EF2D81"/>
    <w:rsid w:val="29FC7FD9"/>
    <w:rsid w:val="2A002188"/>
    <w:rsid w:val="2A03DDF0"/>
    <w:rsid w:val="2A046F80"/>
    <w:rsid w:val="2A05D699"/>
    <w:rsid w:val="2A0B4CE9"/>
    <w:rsid w:val="2A0E0119"/>
    <w:rsid w:val="2A1F76FF"/>
    <w:rsid w:val="2A2146B3"/>
    <w:rsid w:val="2A37092B"/>
    <w:rsid w:val="2A3979D5"/>
    <w:rsid w:val="2A3CA1ED"/>
    <w:rsid w:val="2A3E29B6"/>
    <w:rsid w:val="2A4ECCB3"/>
    <w:rsid w:val="2A549A88"/>
    <w:rsid w:val="2A56106A"/>
    <w:rsid w:val="2A637E98"/>
    <w:rsid w:val="2A63C375"/>
    <w:rsid w:val="2A6E986A"/>
    <w:rsid w:val="2A709E2F"/>
    <w:rsid w:val="2A7BFB53"/>
    <w:rsid w:val="2A812E6B"/>
    <w:rsid w:val="2A81C3CB"/>
    <w:rsid w:val="2A868789"/>
    <w:rsid w:val="2A8DBB2F"/>
    <w:rsid w:val="2A998A82"/>
    <w:rsid w:val="2AA0343A"/>
    <w:rsid w:val="2AAFDBF5"/>
    <w:rsid w:val="2AB89906"/>
    <w:rsid w:val="2ACDBD0F"/>
    <w:rsid w:val="2AEB4B86"/>
    <w:rsid w:val="2AEDE137"/>
    <w:rsid w:val="2AEFF8D6"/>
    <w:rsid w:val="2AF32F5A"/>
    <w:rsid w:val="2AFF605F"/>
    <w:rsid w:val="2B1A239D"/>
    <w:rsid w:val="2B1DD71C"/>
    <w:rsid w:val="2B2B39A2"/>
    <w:rsid w:val="2B30A6BA"/>
    <w:rsid w:val="2B3EADCB"/>
    <w:rsid w:val="2B4640DC"/>
    <w:rsid w:val="2B481431"/>
    <w:rsid w:val="2B4E7E14"/>
    <w:rsid w:val="2B57D92E"/>
    <w:rsid w:val="2B63782D"/>
    <w:rsid w:val="2B6604B3"/>
    <w:rsid w:val="2B66BBF8"/>
    <w:rsid w:val="2B6855A8"/>
    <w:rsid w:val="2B7BA791"/>
    <w:rsid w:val="2B7CDAA5"/>
    <w:rsid w:val="2B83C196"/>
    <w:rsid w:val="2B8928F8"/>
    <w:rsid w:val="2B89D49B"/>
    <w:rsid w:val="2B8CA9D3"/>
    <w:rsid w:val="2BA5FD61"/>
    <w:rsid w:val="2BA88745"/>
    <w:rsid w:val="2BBCB6F3"/>
    <w:rsid w:val="2BC3B918"/>
    <w:rsid w:val="2BC53B05"/>
    <w:rsid w:val="2BD0FDAF"/>
    <w:rsid w:val="2BD13FE3"/>
    <w:rsid w:val="2BEBBCAA"/>
    <w:rsid w:val="2BEBF9F2"/>
    <w:rsid w:val="2BF7E2A6"/>
    <w:rsid w:val="2BFE93CD"/>
    <w:rsid w:val="2C020576"/>
    <w:rsid w:val="2C0C7F6A"/>
    <w:rsid w:val="2C11CE33"/>
    <w:rsid w:val="2C1F3396"/>
    <w:rsid w:val="2C2D3D23"/>
    <w:rsid w:val="2C2FB075"/>
    <w:rsid w:val="2C3EAA02"/>
    <w:rsid w:val="2C3F0843"/>
    <w:rsid w:val="2C4799C8"/>
    <w:rsid w:val="2C50003C"/>
    <w:rsid w:val="2C6652C1"/>
    <w:rsid w:val="2C68C65F"/>
    <w:rsid w:val="2C69A620"/>
    <w:rsid w:val="2C738532"/>
    <w:rsid w:val="2C75D734"/>
    <w:rsid w:val="2C796C4F"/>
    <w:rsid w:val="2C80745B"/>
    <w:rsid w:val="2C85EF1D"/>
    <w:rsid w:val="2C9ABC53"/>
    <w:rsid w:val="2C9CADC2"/>
    <w:rsid w:val="2C9DF129"/>
    <w:rsid w:val="2CA80A14"/>
    <w:rsid w:val="2CA9BB42"/>
    <w:rsid w:val="2CAF0F6B"/>
    <w:rsid w:val="2CB478EF"/>
    <w:rsid w:val="2CBD95B3"/>
    <w:rsid w:val="2CC68FE1"/>
    <w:rsid w:val="2CC9D9A8"/>
    <w:rsid w:val="2CCE16A3"/>
    <w:rsid w:val="2CD3A327"/>
    <w:rsid w:val="2CDF2476"/>
    <w:rsid w:val="2CDFDCD3"/>
    <w:rsid w:val="2CE100D8"/>
    <w:rsid w:val="2CE207D9"/>
    <w:rsid w:val="2CF2F6BF"/>
    <w:rsid w:val="2CF5D5D7"/>
    <w:rsid w:val="2CF6F408"/>
    <w:rsid w:val="2CFD2472"/>
    <w:rsid w:val="2CFD80F0"/>
    <w:rsid w:val="2D08323D"/>
    <w:rsid w:val="2D0F78DE"/>
    <w:rsid w:val="2D13CF2E"/>
    <w:rsid w:val="2D1D602B"/>
    <w:rsid w:val="2D1F3E2E"/>
    <w:rsid w:val="2D3392F7"/>
    <w:rsid w:val="2D342C41"/>
    <w:rsid w:val="2D3D7673"/>
    <w:rsid w:val="2D3DF120"/>
    <w:rsid w:val="2D3EA06D"/>
    <w:rsid w:val="2D493127"/>
    <w:rsid w:val="2D4A7CDF"/>
    <w:rsid w:val="2D4DF075"/>
    <w:rsid w:val="2D64C204"/>
    <w:rsid w:val="2D65D462"/>
    <w:rsid w:val="2D6BA798"/>
    <w:rsid w:val="2D72A7C3"/>
    <w:rsid w:val="2D764EA2"/>
    <w:rsid w:val="2D7AC2D0"/>
    <w:rsid w:val="2D8CA927"/>
    <w:rsid w:val="2D8FC4A0"/>
    <w:rsid w:val="2D968037"/>
    <w:rsid w:val="2D99AEF1"/>
    <w:rsid w:val="2D9A91C9"/>
    <w:rsid w:val="2DA1E1BF"/>
    <w:rsid w:val="2DB94057"/>
    <w:rsid w:val="2DC76B00"/>
    <w:rsid w:val="2DC96D70"/>
    <w:rsid w:val="2DCFD9B7"/>
    <w:rsid w:val="2DD15CFE"/>
    <w:rsid w:val="2DD3B73C"/>
    <w:rsid w:val="2DDB618B"/>
    <w:rsid w:val="2DE23E84"/>
    <w:rsid w:val="2DE782B7"/>
    <w:rsid w:val="2DF6D201"/>
    <w:rsid w:val="2DF72149"/>
    <w:rsid w:val="2DFEA5FD"/>
    <w:rsid w:val="2E037BC3"/>
    <w:rsid w:val="2E288B88"/>
    <w:rsid w:val="2E3190E5"/>
    <w:rsid w:val="2E3408F2"/>
    <w:rsid w:val="2E499D20"/>
    <w:rsid w:val="2E532C7B"/>
    <w:rsid w:val="2E5B0594"/>
    <w:rsid w:val="2E667D8C"/>
    <w:rsid w:val="2E6A55EE"/>
    <w:rsid w:val="2E831B55"/>
    <w:rsid w:val="2E89EA32"/>
    <w:rsid w:val="2E90E723"/>
    <w:rsid w:val="2EAB8AA8"/>
    <w:rsid w:val="2EB257B2"/>
    <w:rsid w:val="2EB39B80"/>
    <w:rsid w:val="2EB656C3"/>
    <w:rsid w:val="2EB6F09E"/>
    <w:rsid w:val="2EB743E7"/>
    <w:rsid w:val="2EB9C969"/>
    <w:rsid w:val="2EBFAB9F"/>
    <w:rsid w:val="2EC5CE8D"/>
    <w:rsid w:val="2ECAFB94"/>
    <w:rsid w:val="2ECE59E3"/>
    <w:rsid w:val="2ED0C952"/>
    <w:rsid w:val="2ED12034"/>
    <w:rsid w:val="2EE80293"/>
    <w:rsid w:val="2EEE580F"/>
    <w:rsid w:val="2F077444"/>
    <w:rsid w:val="2F17B52E"/>
    <w:rsid w:val="2F1B796C"/>
    <w:rsid w:val="2F1D95CF"/>
    <w:rsid w:val="2F2C7536"/>
    <w:rsid w:val="2F3D46FB"/>
    <w:rsid w:val="2F45ACC1"/>
    <w:rsid w:val="2F49810C"/>
    <w:rsid w:val="2F53F6A3"/>
    <w:rsid w:val="2F66F230"/>
    <w:rsid w:val="2F6D6132"/>
    <w:rsid w:val="2F7A3717"/>
    <w:rsid w:val="2F7ADA37"/>
    <w:rsid w:val="2F7CD6D7"/>
    <w:rsid w:val="2F82D07C"/>
    <w:rsid w:val="2F8361FB"/>
    <w:rsid w:val="2F840C4E"/>
    <w:rsid w:val="2F8FAD3D"/>
    <w:rsid w:val="2FB49C5C"/>
    <w:rsid w:val="2FBA7D4A"/>
    <w:rsid w:val="2FBB8F40"/>
    <w:rsid w:val="2FC1F26E"/>
    <w:rsid w:val="2FC25C75"/>
    <w:rsid w:val="2FC30EA4"/>
    <w:rsid w:val="2FC340E6"/>
    <w:rsid w:val="2FC3883F"/>
    <w:rsid w:val="2FC7536D"/>
    <w:rsid w:val="2FCAC120"/>
    <w:rsid w:val="2FCCAD06"/>
    <w:rsid w:val="2FD32B4B"/>
    <w:rsid w:val="2FDE5411"/>
    <w:rsid w:val="2FE20CCB"/>
    <w:rsid w:val="2FEB6F73"/>
    <w:rsid w:val="2FF18E24"/>
    <w:rsid w:val="3015E698"/>
    <w:rsid w:val="301FB3D6"/>
    <w:rsid w:val="302062F7"/>
    <w:rsid w:val="3061081B"/>
    <w:rsid w:val="3065407A"/>
    <w:rsid w:val="306657EF"/>
    <w:rsid w:val="30675707"/>
    <w:rsid w:val="3091C0DE"/>
    <w:rsid w:val="309482BC"/>
    <w:rsid w:val="30AA3B5F"/>
    <w:rsid w:val="30AE5FC4"/>
    <w:rsid w:val="30AFB6A7"/>
    <w:rsid w:val="30B7C957"/>
    <w:rsid w:val="30C62F71"/>
    <w:rsid w:val="30D89FC1"/>
    <w:rsid w:val="30DEE66F"/>
    <w:rsid w:val="30E7C735"/>
    <w:rsid w:val="30E830CD"/>
    <w:rsid w:val="30EE0E31"/>
    <w:rsid w:val="30F4C094"/>
    <w:rsid w:val="30FAD76A"/>
    <w:rsid w:val="3103B7B5"/>
    <w:rsid w:val="3105E757"/>
    <w:rsid w:val="311A7D2A"/>
    <w:rsid w:val="312916C6"/>
    <w:rsid w:val="31299383"/>
    <w:rsid w:val="312CCEBA"/>
    <w:rsid w:val="3139CD0F"/>
    <w:rsid w:val="3140CDDE"/>
    <w:rsid w:val="31515585"/>
    <w:rsid w:val="315C289B"/>
    <w:rsid w:val="315FFBAE"/>
    <w:rsid w:val="3165FB6F"/>
    <w:rsid w:val="3168F0B8"/>
    <w:rsid w:val="3178DD4F"/>
    <w:rsid w:val="317A8043"/>
    <w:rsid w:val="31828B63"/>
    <w:rsid w:val="3183598B"/>
    <w:rsid w:val="318711D6"/>
    <w:rsid w:val="318FBB6F"/>
    <w:rsid w:val="3195DC39"/>
    <w:rsid w:val="3197AC9A"/>
    <w:rsid w:val="31A1914F"/>
    <w:rsid w:val="31A3B7C5"/>
    <w:rsid w:val="31A53CB1"/>
    <w:rsid w:val="31AA8240"/>
    <w:rsid w:val="31B14BEC"/>
    <w:rsid w:val="31B28C0E"/>
    <w:rsid w:val="31BD7F28"/>
    <w:rsid w:val="31C46606"/>
    <w:rsid w:val="31C4F7DF"/>
    <w:rsid w:val="31C50290"/>
    <w:rsid w:val="31CA81A6"/>
    <w:rsid w:val="31DBE0D6"/>
    <w:rsid w:val="31DEA2D0"/>
    <w:rsid w:val="31E9029F"/>
    <w:rsid w:val="31F81788"/>
    <w:rsid w:val="32007254"/>
    <w:rsid w:val="32029030"/>
    <w:rsid w:val="320E4301"/>
    <w:rsid w:val="3210CC56"/>
    <w:rsid w:val="321926CF"/>
    <w:rsid w:val="3224CF7C"/>
    <w:rsid w:val="322C6423"/>
    <w:rsid w:val="3231DDA2"/>
    <w:rsid w:val="323648EE"/>
    <w:rsid w:val="323C1996"/>
    <w:rsid w:val="324F9477"/>
    <w:rsid w:val="3251F090"/>
    <w:rsid w:val="3261A689"/>
    <w:rsid w:val="3264EECA"/>
    <w:rsid w:val="328AD31E"/>
    <w:rsid w:val="328EC7EF"/>
    <w:rsid w:val="3291EC4B"/>
    <w:rsid w:val="32A050B0"/>
    <w:rsid w:val="32ADA574"/>
    <w:rsid w:val="32CBC3C8"/>
    <w:rsid w:val="32D2A72E"/>
    <w:rsid w:val="32DA3F75"/>
    <w:rsid w:val="330A0B64"/>
    <w:rsid w:val="333E3E8D"/>
    <w:rsid w:val="33459AF4"/>
    <w:rsid w:val="3357D917"/>
    <w:rsid w:val="336576FF"/>
    <w:rsid w:val="3366CF18"/>
    <w:rsid w:val="33687E89"/>
    <w:rsid w:val="33763045"/>
    <w:rsid w:val="337E5826"/>
    <w:rsid w:val="339FF69F"/>
    <w:rsid w:val="33A49378"/>
    <w:rsid w:val="33A8D2AB"/>
    <w:rsid w:val="33A91CEE"/>
    <w:rsid w:val="33AACD22"/>
    <w:rsid w:val="33B75AA9"/>
    <w:rsid w:val="33B96B5B"/>
    <w:rsid w:val="33C24F1C"/>
    <w:rsid w:val="33CB57B8"/>
    <w:rsid w:val="33CC5207"/>
    <w:rsid w:val="33DED23E"/>
    <w:rsid w:val="33FDFA14"/>
    <w:rsid w:val="34009764"/>
    <w:rsid w:val="3409A186"/>
    <w:rsid w:val="340B11A1"/>
    <w:rsid w:val="3410F33D"/>
    <w:rsid w:val="341736E1"/>
    <w:rsid w:val="3417B21C"/>
    <w:rsid w:val="34205B7B"/>
    <w:rsid w:val="3427FF1F"/>
    <w:rsid w:val="342984C8"/>
    <w:rsid w:val="34372926"/>
    <w:rsid w:val="343E0F38"/>
    <w:rsid w:val="34421BEC"/>
    <w:rsid w:val="3455D2C8"/>
    <w:rsid w:val="3459770C"/>
    <w:rsid w:val="3459A662"/>
    <w:rsid w:val="346944B5"/>
    <w:rsid w:val="34799E45"/>
    <w:rsid w:val="347CA837"/>
    <w:rsid w:val="3480E748"/>
    <w:rsid w:val="34A59780"/>
    <w:rsid w:val="34AA28B4"/>
    <w:rsid w:val="34B0EEEA"/>
    <w:rsid w:val="34B1A348"/>
    <w:rsid w:val="34B3037C"/>
    <w:rsid w:val="34B48FF6"/>
    <w:rsid w:val="34B7CD7E"/>
    <w:rsid w:val="34BA825E"/>
    <w:rsid w:val="34BBD815"/>
    <w:rsid w:val="34C36853"/>
    <w:rsid w:val="34CA2F78"/>
    <w:rsid w:val="34D0A534"/>
    <w:rsid w:val="34D17FCE"/>
    <w:rsid w:val="34D1F703"/>
    <w:rsid w:val="34D70EFF"/>
    <w:rsid w:val="34DB746C"/>
    <w:rsid w:val="34DBA6C5"/>
    <w:rsid w:val="34E2E58F"/>
    <w:rsid w:val="34E75D23"/>
    <w:rsid w:val="34E96466"/>
    <w:rsid w:val="34F68B25"/>
    <w:rsid w:val="34FD134C"/>
    <w:rsid w:val="3503E14A"/>
    <w:rsid w:val="35048D18"/>
    <w:rsid w:val="3505F147"/>
    <w:rsid w:val="35069FC0"/>
    <w:rsid w:val="351568B5"/>
    <w:rsid w:val="3517449D"/>
    <w:rsid w:val="351FAFA4"/>
    <w:rsid w:val="353370ED"/>
    <w:rsid w:val="3538592B"/>
    <w:rsid w:val="354349F9"/>
    <w:rsid w:val="35478D19"/>
    <w:rsid w:val="3551A524"/>
    <w:rsid w:val="3553FD4F"/>
    <w:rsid w:val="3554C307"/>
    <w:rsid w:val="356F3E88"/>
    <w:rsid w:val="3589A2FF"/>
    <w:rsid w:val="358A552C"/>
    <w:rsid w:val="35962A21"/>
    <w:rsid w:val="35A04170"/>
    <w:rsid w:val="35AE466F"/>
    <w:rsid w:val="35B4BEC3"/>
    <w:rsid w:val="35C4E063"/>
    <w:rsid w:val="35C5A3DE"/>
    <w:rsid w:val="35CA307A"/>
    <w:rsid w:val="35CD3DD0"/>
    <w:rsid w:val="35D16897"/>
    <w:rsid w:val="35D49D57"/>
    <w:rsid w:val="35D70301"/>
    <w:rsid w:val="35DBD483"/>
    <w:rsid w:val="35DD0DB9"/>
    <w:rsid w:val="35EFF5B2"/>
    <w:rsid w:val="35FCB2D2"/>
    <w:rsid w:val="360157AC"/>
    <w:rsid w:val="360324B4"/>
    <w:rsid w:val="3604AFA5"/>
    <w:rsid w:val="360C7F28"/>
    <w:rsid w:val="36132AD4"/>
    <w:rsid w:val="361C49FF"/>
    <w:rsid w:val="361C5C4A"/>
    <w:rsid w:val="36219956"/>
    <w:rsid w:val="36304C94"/>
    <w:rsid w:val="36397C77"/>
    <w:rsid w:val="363A725F"/>
    <w:rsid w:val="365DC7E5"/>
    <w:rsid w:val="366F07B9"/>
    <w:rsid w:val="36704E0C"/>
    <w:rsid w:val="36797211"/>
    <w:rsid w:val="36896DAA"/>
    <w:rsid w:val="368EBEB3"/>
    <w:rsid w:val="36A00AF3"/>
    <w:rsid w:val="36A4DF9E"/>
    <w:rsid w:val="36B19E30"/>
    <w:rsid w:val="36BB376E"/>
    <w:rsid w:val="36C02E78"/>
    <w:rsid w:val="36C3D259"/>
    <w:rsid w:val="36DC6FF9"/>
    <w:rsid w:val="36DD7EFF"/>
    <w:rsid w:val="36E16226"/>
    <w:rsid w:val="36EDA6F6"/>
    <w:rsid w:val="36FB4DDE"/>
    <w:rsid w:val="3701406C"/>
    <w:rsid w:val="3708087F"/>
    <w:rsid w:val="370C492F"/>
    <w:rsid w:val="370D9DCE"/>
    <w:rsid w:val="37125F8D"/>
    <w:rsid w:val="37167E1A"/>
    <w:rsid w:val="37657387"/>
    <w:rsid w:val="37726FA3"/>
    <w:rsid w:val="3774A3B7"/>
    <w:rsid w:val="37764B16"/>
    <w:rsid w:val="377782D7"/>
    <w:rsid w:val="377BF829"/>
    <w:rsid w:val="37906E07"/>
    <w:rsid w:val="379B32A1"/>
    <w:rsid w:val="37A08690"/>
    <w:rsid w:val="37A423F1"/>
    <w:rsid w:val="37A654FF"/>
    <w:rsid w:val="37A6A9A2"/>
    <w:rsid w:val="37A7C41F"/>
    <w:rsid w:val="37B52CDE"/>
    <w:rsid w:val="37BA6F5B"/>
    <w:rsid w:val="37BAAAC0"/>
    <w:rsid w:val="37C129E1"/>
    <w:rsid w:val="37C61129"/>
    <w:rsid w:val="37D26376"/>
    <w:rsid w:val="37D444E6"/>
    <w:rsid w:val="37DAB842"/>
    <w:rsid w:val="37DFF8D0"/>
    <w:rsid w:val="37E2ABC9"/>
    <w:rsid w:val="37E2AFA6"/>
    <w:rsid w:val="37E825FA"/>
    <w:rsid w:val="37EA9138"/>
    <w:rsid w:val="37EBD576"/>
    <w:rsid w:val="37ED0C1B"/>
    <w:rsid w:val="37F02EDC"/>
    <w:rsid w:val="37F068D7"/>
    <w:rsid w:val="37F183D8"/>
    <w:rsid w:val="37F33DE5"/>
    <w:rsid w:val="37F529D4"/>
    <w:rsid w:val="37F59616"/>
    <w:rsid w:val="37F89A0C"/>
    <w:rsid w:val="37FA77CE"/>
    <w:rsid w:val="37FF4F58"/>
    <w:rsid w:val="37FFAF13"/>
    <w:rsid w:val="3807FABC"/>
    <w:rsid w:val="380F811F"/>
    <w:rsid w:val="38150D24"/>
    <w:rsid w:val="3815F7C0"/>
    <w:rsid w:val="382EFF47"/>
    <w:rsid w:val="383BDC96"/>
    <w:rsid w:val="383E89E8"/>
    <w:rsid w:val="3857E8C5"/>
    <w:rsid w:val="38596BF1"/>
    <w:rsid w:val="38602E2C"/>
    <w:rsid w:val="3867798A"/>
    <w:rsid w:val="386CD6FD"/>
    <w:rsid w:val="3875A8BF"/>
    <w:rsid w:val="388590BD"/>
    <w:rsid w:val="38924A68"/>
    <w:rsid w:val="3892C9AA"/>
    <w:rsid w:val="3896F749"/>
    <w:rsid w:val="389ACF7D"/>
    <w:rsid w:val="38A586F6"/>
    <w:rsid w:val="38A8D97E"/>
    <w:rsid w:val="38AA267C"/>
    <w:rsid w:val="38CC61FE"/>
    <w:rsid w:val="38D8CC71"/>
    <w:rsid w:val="38E716EF"/>
    <w:rsid w:val="38FA5B0B"/>
    <w:rsid w:val="38FC227B"/>
    <w:rsid w:val="38FD3EE3"/>
    <w:rsid w:val="38FF9867"/>
    <w:rsid w:val="391A5663"/>
    <w:rsid w:val="391DF088"/>
    <w:rsid w:val="391EC9AA"/>
    <w:rsid w:val="391FF79E"/>
    <w:rsid w:val="39311827"/>
    <w:rsid w:val="393AB1D3"/>
    <w:rsid w:val="393DD4CE"/>
    <w:rsid w:val="39507EBD"/>
    <w:rsid w:val="3951D03C"/>
    <w:rsid w:val="39540F60"/>
    <w:rsid w:val="3963B051"/>
    <w:rsid w:val="39658482"/>
    <w:rsid w:val="39677E3B"/>
    <w:rsid w:val="396C2472"/>
    <w:rsid w:val="3972B695"/>
    <w:rsid w:val="39749D90"/>
    <w:rsid w:val="397995E4"/>
    <w:rsid w:val="397AADA5"/>
    <w:rsid w:val="39808D07"/>
    <w:rsid w:val="39A679AA"/>
    <w:rsid w:val="39AE5209"/>
    <w:rsid w:val="39B6983E"/>
    <w:rsid w:val="39B740EA"/>
    <w:rsid w:val="39BC039D"/>
    <w:rsid w:val="39C47DF0"/>
    <w:rsid w:val="39CE3157"/>
    <w:rsid w:val="39F3B195"/>
    <w:rsid w:val="39F739B1"/>
    <w:rsid w:val="3A015762"/>
    <w:rsid w:val="3A039B85"/>
    <w:rsid w:val="3A1631F5"/>
    <w:rsid w:val="3A18D1EE"/>
    <w:rsid w:val="3A1A71F0"/>
    <w:rsid w:val="3A1DDF19"/>
    <w:rsid w:val="3A1FFB00"/>
    <w:rsid w:val="3A204DBC"/>
    <w:rsid w:val="3A20C5F7"/>
    <w:rsid w:val="3A21471D"/>
    <w:rsid w:val="3A25275B"/>
    <w:rsid w:val="3A282CBB"/>
    <w:rsid w:val="3A31165F"/>
    <w:rsid w:val="3A3463A0"/>
    <w:rsid w:val="3A4B265C"/>
    <w:rsid w:val="3A57EA90"/>
    <w:rsid w:val="3A59F0E7"/>
    <w:rsid w:val="3A653A0D"/>
    <w:rsid w:val="3A66BDF4"/>
    <w:rsid w:val="3A6CC875"/>
    <w:rsid w:val="3A6F6F88"/>
    <w:rsid w:val="3A724874"/>
    <w:rsid w:val="3A749E1B"/>
    <w:rsid w:val="3A84D03D"/>
    <w:rsid w:val="3A8878F5"/>
    <w:rsid w:val="3A892115"/>
    <w:rsid w:val="3A8F579B"/>
    <w:rsid w:val="3A94A3BD"/>
    <w:rsid w:val="3A9A7063"/>
    <w:rsid w:val="3A9B50DD"/>
    <w:rsid w:val="3AA0086E"/>
    <w:rsid w:val="3AA10BEF"/>
    <w:rsid w:val="3AA7BBE0"/>
    <w:rsid w:val="3AB04F1B"/>
    <w:rsid w:val="3AB4F603"/>
    <w:rsid w:val="3ABB515B"/>
    <w:rsid w:val="3ACD1502"/>
    <w:rsid w:val="3AD252DF"/>
    <w:rsid w:val="3AE1313D"/>
    <w:rsid w:val="3AE71B5D"/>
    <w:rsid w:val="3AE97FEF"/>
    <w:rsid w:val="3AE9E1E5"/>
    <w:rsid w:val="3B0B35DA"/>
    <w:rsid w:val="3B150ACA"/>
    <w:rsid w:val="3B213ACD"/>
    <w:rsid w:val="3B2611B7"/>
    <w:rsid w:val="3B29889C"/>
    <w:rsid w:val="3B2F0AC5"/>
    <w:rsid w:val="3B48E27C"/>
    <w:rsid w:val="3B4D2804"/>
    <w:rsid w:val="3B4FDC38"/>
    <w:rsid w:val="3B5073C7"/>
    <w:rsid w:val="3B57612B"/>
    <w:rsid w:val="3B58D82C"/>
    <w:rsid w:val="3B5F8436"/>
    <w:rsid w:val="3B610A21"/>
    <w:rsid w:val="3B62B14B"/>
    <w:rsid w:val="3B62E39E"/>
    <w:rsid w:val="3B670F83"/>
    <w:rsid w:val="3B86C24D"/>
    <w:rsid w:val="3B8F9750"/>
    <w:rsid w:val="3B938B8D"/>
    <w:rsid w:val="3B9B5196"/>
    <w:rsid w:val="3BB7CA64"/>
    <w:rsid w:val="3BBEB93B"/>
    <w:rsid w:val="3BC4355D"/>
    <w:rsid w:val="3BCF68CC"/>
    <w:rsid w:val="3BD3C7C4"/>
    <w:rsid w:val="3BEA14A5"/>
    <w:rsid w:val="3BF1EBF6"/>
    <w:rsid w:val="3BF281C2"/>
    <w:rsid w:val="3BF3318F"/>
    <w:rsid w:val="3BF66B5B"/>
    <w:rsid w:val="3BFF9410"/>
    <w:rsid w:val="3C01436E"/>
    <w:rsid w:val="3C06EDFE"/>
    <w:rsid w:val="3C08CE3E"/>
    <w:rsid w:val="3C0DBD79"/>
    <w:rsid w:val="3C0F167D"/>
    <w:rsid w:val="3C0F2D45"/>
    <w:rsid w:val="3C133682"/>
    <w:rsid w:val="3C1A4C43"/>
    <w:rsid w:val="3C21D64E"/>
    <w:rsid w:val="3C26F4C4"/>
    <w:rsid w:val="3C2E802C"/>
    <w:rsid w:val="3C30F0E4"/>
    <w:rsid w:val="3C337CA4"/>
    <w:rsid w:val="3C527DF9"/>
    <w:rsid w:val="3C60E730"/>
    <w:rsid w:val="3C646C2A"/>
    <w:rsid w:val="3C814D1B"/>
    <w:rsid w:val="3C844589"/>
    <w:rsid w:val="3C87A90D"/>
    <w:rsid w:val="3C89B30B"/>
    <w:rsid w:val="3C991D06"/>
    <w:rsid w:val="3C9937A0"/>
    <w:rsid w:val="3CADEFD5"/>
    <w:rsid w:val="3CB002FE"/>
    <w:rsid w:val="3CB0F7C0"/>
    <w:rsid w:val="3CB5C5A9"/>
    <w:rsid w:val="3CB648F8"/>
    <w:rsid w:val="3CB6D7DC"/>
    <w:rsid w:val="3CBDAA88"/>
    <w:rsid w:val="3CC6970D"/>
    <w:rsid w:val="3D047F7A"/>
    <w:rsid w:val="3D0A14F1"/>
    <w:rsid w:val="3D0C8088"/>
    <w:rsid w:val="3D0FB245"/>
    <w:rsid w:val="3D14F705"/>
    <w:rsid w:val="3D1C7FA9"/>
    <w:rsid w:val="3D2FCAD5"/>
    <w:rsid w:val="3D400E6B"/>
    <w:rsid w:val="3D553C25"/>
    <w:rsid w:val="3D5569F9"/>
    <w:rsid w:val="3D5847F5"/>
    <w:rsid w:val="3D5DD245"/>
    <w:rsid w:val="3D6058D9"/>
    <w:rsid w:val="3D60639B"/>
    <w:rsid w:val="3D60DB90"/>
    <w:rsid w:val="3D60E8BF"/>
    <w:rsid w:val="3D644E29"/>
    <w:rsid w:val="3D654E13"/>
    <w:rsid w:val="3D665A66"/>
    <w:rsid w:val="3D705059"/>
    <w:rsid w:val="3D79C16D"/>
    <w:rsid w:val="3D88FD3B"/>
    <w:rsid w:val="3D8A0D50"/>
    <w:rsid w:val="3D92B3D2"/>
    <w:rsid w:val="3DA3A344"/>
    <w:rsid w:val="3DA694BB"/>
    <w:rsid w:val="3DAEE1DF"/>
    <w:rsid w:val="3DAF9607"/>
    <w:rsid w:val="3DB45E73"/>
    <w:rsid w:val="3DB4F985"/>
    <w:rsid w:val="3DC455C7"/>
    <w:rsid w:val="3DC50533"/>
    <w:rsid w:val="3DD3255A"/>
    <w:rsid w:val="3DEE0AF9"/>
    <w:rsid w:val="3DFA86D5"/>
    <w:rsid w:val="3DFD05FD"/>
    <w:rsid w:val="3E00B371"/>
    <w:rsid w:val="3E02C087"/>
    <w:rsid w:val="3E03916A"/>
    <w:rsid w:val="3E0B131C"/>
    <w:rsid w:val="3E117C01"/>
    <w:rsid w:val="3E19ADEF"/>
    <w:rsid w:val="3E2227D3"/>
    <w:rsid w:val="3E2722E4"/>
    <w:rsid w:val="3E2CBBEA"/>
    <w:rsid w:val="3E2DE0D5"/>
    <w:rsid w:val="3E5902A9"/>
    <w:rsid w:val="3E5BB166"/>
    <w:rsid w:val="3E6E6A08"/>
    <w:rsid w:val="3E89A487"/>
    <w:rsid w:val="3E8AD260"/>
    <w:rsid w:val="3E8CEC05"/>
    <w:rsid w:val="3E8D0C6B"/>
    <w:rsid w:val="3E905AA8"/>
    <w:rsid w:val="3E95E898"/>
    <w:rsid w:val="3E9D96EA"/>
    <w:rsid w:val="3EA6424F"/>
    <w:rsid w:val="3EAA7239"/>
    <w:rsid w:val="3ECAB752"/>
    <w:rsid w:val="3ECF090F"/>
    <w:rsid w:val="3ED408D5"/>
    <w:rsid w:val="3ED4C8D0"/>
    <w:rsid w:val="3EEE56EC"/>
    <w:rsid w:val="3EEEBEFF"/>
    <w:rsid w:val="3F02E08D"/>
    <w:rsid w:val="3F0F413F"/>
    <w:rsid w:val="3F156FAB"/>
    <w:rsid w:val="3F1830EC"/>
    <w:rsid w:val="3F27F9A5"/>
    <w:rsid w:val="3F35CF68"/>
    <w:rsid w:val="3F3687AD"/>
    <w:rsid w:val="3F395E59"/>
    <w:rsid w:val="3F3E7118"/>
    <w:rsid w:val="3F4DAA97"/>
    <w:rsid w:val="3F4F0209"/>
    <w:rsid w:val="3F501C93"/>
    <w:rsid w:val="3F5822A1"/>
    <w:rsid w:val="3F653E9D"/>
    <w:rsid w:val="3F69FF97"/>
    <w:rsid w:val="3F7194FC"/>
    <w:rsid w:val="3F73CB86"/>
    <w:rsid w:val="3F953BCA"/>
    <w:rsid w:val="3F9F8FF7"/>
    <w:rsid w:val="3FA9528E"/>
    <w:rsid w:val="3FACE67E"/>
    <w:rsid w:val="3FBDC976"/>
    <w:rsid w:val="3FBF6FED"/>
    <w:rsid w:val="3FC79BF1"/>
    <w:rsid w:val="3FC8A1B9"/>
    <w:rsid w:val="3FD02331"/>
    <w:rsid w:val="3FD14F77"/>
    <w:rsid w:val="3FDCB243"/>
    <w:rsid w:val="3FE216CA"/>
    <w:rsid w:val="3FE44D29"/>
    <w:rsid w:val="3FEE21CB"/>
    <w:rsid w:val="3FEF34DA"/>
    <w:rsid w:val="3FF32B00"/>
    <w:rsid w:val="3FFAFBA9"/>
    <w:rsid w:val="40070F37"/>
    <w:rsid w:val="401551E9"/>
    <w:rsid w:val="40197634"/>
    <w:rsid w:val="402ECAF8"/>
    <w:rsid w:val="40331191"/>
    <w:rsid w:val="40354184"/>
    <w:rsid w:val="4043A442"/>
    <w:rsid w:val="4048F863"/>
    <w:rsid w:val="404A2E76"/>
    <w:rsid w:val="4050C596"/>
    <w:rsid w:val="40627F86"/>
    <w:rsid w:val="4065B544"/>
    <w:rsid w:val="40669155"/>
    <w:rsid w:val="4067096A"/>
    <w:rsid w:val="406EFBBE"/>
    <w:rsid w:val="407C4113"/>
    <w:rsid w:val="407E0B01"/>
    <w:rsid w:val="408C170B"/>
    <w:rsid w:val="4091FCB5"/>
    <w:rsid w:val="4097C937"/>
    <w:rsid w:val="40B1FFA2"/>
    <w:rsid w:val="40C024B5"/>
    <w:rsid w:val="40C1C545"/>
    <w:rsid w:val="40C305DE"/>
    <w:rsid w:val="40C3AB00"/>
    <w:rsid w:val="40C7A242"/>
    <w:rsid w:val="40CE1B36"/>
    <w:rsid w:val="40DD1325"/>
    <w:rsid w:val="40E6C8E0"/>
    <w:rsid w:val="410ABF76"/>
    <w:rsid w:val="4123A364"/>
    <w:rsid w:val="412AF3BB"/>
    <w:rsid w:val="412D49D1"/>
    <w:rsid w:val="4130EE6B"/>
    <w:rsid w:val="414083D9"/>
    <w:rsid w:val="41432C34"/>
    <w:rsid w:val="414609F4"/>
    <w:rsid w:val="414916B1"/>
    <w:rsid w:val="41502FD5"/>
    <w:rsid w:val="4154154A"/>
    <w:rsid w:val="41566956"/>
    <w:rsid w:val="41672A18"/>
    <w:rsid w:val="416A49BF"/>
    <w:rsid w:val="416ACC00"/>
    <w:rsid w:val="4171D984"/>
    <w:rsid w:val="4175E1E2"/>
    <w:rsid w:val="41792CA8"/>
    <w:rsid w:val="418A8A25"/>
    <w:rsid w:val="418BDA3B"/>
    <w:rsid w:val="418F516C"/>
    <w:rsid w:val="4199BB67"/>
    <w:rsid w:val="419B34C4"/>
    <w:rsid w:val="41AF156E"/>
    <w:rsid w:val="41B04854"/>
    <w:rsid w:val="41B4A312"/>
    <w:rsid w:val="41BC4330"/>
    <w:rsid w:val="41CB5A84"/>
    <w:rsid w:val="41CCEE0E"/>
    <w:rsid w:val="41D143B5"/>
    <w:rsid w:val="41D8E404"/>
    <w:rsid w:val="41E0AEFA"/>
    <w:rsid w:val="41F042D9"/>
    <w:rsid w:val="4205934A"/>
    <w:rsid w:val="42142E4B"/>
    <w:rsid w:val="42279CEE"/>
    <w:rsid w:val="423DF510"/>
    <w:rsid w:val="4243DE73"/>
    <w:rsid w:val="42504BD4"/>
    <w:rsid w:val="425396BA"/>
    <w:rsid w:val="4264CC7C"/>
    <w:rsid w:val="4266A437"/>
    <w:rsid w:val="427525F3"/>
    <w:rsid w:val="42830552"/>
    <w:rsid w:val="428430DE"/>
    <w:rsid w:val="4287F68A"/>
    <w:rsid w:val="42908AD0"/>
    <w:rsid w:val="42A2052E"/>
    <w:rsid w:val="42B83AEC"/>
    <w:rsid w:val="42C0BEC2"/>
    <w:rsid w:val="42D98185"/>
    <w:rsid w:val="42D9C476"/>
    <w:rsid w:val="42E45B00"/>
    <w:rsid w:val="42EA75F3"/>
    <w:rsid w:val="42FA8D82"/>
    <w:rsid w:val="430344AD"/>
    <w:rsid w:val="430C7170"/>
    <w:rsid w:val="430F889B"/>
    <w:rsid w:val="430FACDB"/>
    <w:rsid w:val="431476CB"/>
    <w:rsid w:val="431CFA1E"/>
    <w:rsid w:val="431F8432"/>
    <w:rsid w:val="4331DEE1"/>
    <w:rsid w:val="4338BCA4"/>
    <w:rsid w:val="4348FBFD"/>
    <w:rsid w:val="434992E0"/>
    <w:rsid w:val="43520DF0"/>
    <w:rsid w:val="43551C66"/>
    <w:rsid w:val="435584F8"/>
    <w:rsid w:val="43580A03"/>
    <w:rsid w:val="43598B25"/>
    <w:rsid w:val="4368CBE2"/>
    <w:rsid w:val="436DBC4B"/>
    <w:rsid w:val="4370F120"/>
    <w:rsid w:val="437360C6"/>
    <w:rsid w:val="4376A8E5"/>
    <w:rsid w:val="437F8293"/>
    <w:rsid w:val="438E192B"/>
    <w:rsid w:val="43A8A40C"/>
    <w:rsid w:val="43AB0A9A"/>
    <w:rsid w:val="43C2AFAC"/>
    <w:rsid w:val="43C429BF"/>
    <w:rsid w:val="43D5E3FB"/>
    <w:rsid w:val="43DE02A9"/>
    <w:rsid w:val="43E774F5"/>
    <w:rsid w:val="43E93F18"/>
    <w:rsid w:val="43EFDE57"/>
    <w:rsid w:val="440699B0"/>
    <w:rsid w:val="4413459E"/>
    <w:rsid w:val="441B6237"/>
    <w:rsid w:val="442382E6"/>
    <w:rsid w:val="442B3CE8"/>
    <w:rsid w:val="44378770"/>
    <w:rsid w:val="4448336C"/>
    <w:rsid w:val="44492199"/>
    <w:rsid w:val="444B9F11"/>
    <w:rsid w:val="4451B1D3"/>
    <w:rsid w:val="446B6695"/>
    <w:rsid w:val="44715165"/>
    <w:rsid w:val="44847455"/>
    <w:rsid w:val="448C2967"/>
    <w:rsid w:val="448CA396"/>
    <w:rsid w:val="449613C9"/>
    <w:rsid w:val="449A1EF6"/>
    <w:rsid w:val="449DA4AD"/>
    <w:rsid w:val="44A1AB0F"/>
    <w:rsid w:val="44B0775D"/>
    <w:rsid w:val="44B27609"/>
    <w:rsid w:val="44B39CA6"/>
    <w:rsid w:val="44C0ABD7"/>
    <w:rsid w:val="44C1A7A9"/>
    <w:rsid w:val="44CA0E86"/>
    <w:rsid w:val="44CB0CA2"/>
    <w:rsid w:val="44D982DD"/>
    <w:rsid w:val="44DB627E"/>
    <w:rsid w:val="44E267C4"/>
    <w:rsid w:val="44EAC64F"/>
    <w:rsid w:val="44EE4E6E"/>
    <w:rsid w:val="44F7BDAF"/>
    <w:rsid w:val="4504F1DD"/>
    <w:rsid w:val="4509B64D"/>
    <w:rsid w:val="45106E7E"/>
    <w:rsid w:val="451516C8"/>
    <w:rsid w:val="451A0330"/>
    <w:rsid w:val="451E814B"/>
    <w:rsid w:val="4522E429"/>
    <w:rsid w:val="4527B12D"/>
    <w:rsid w:val="454F09A7"/>
    <w:rsid w:val="45510626"/>
    <w:rsid w:val="455EF08A"/>
    <w:rsid w:val="45606CD0"/>
    <w:rsid w:val="4563FE69"/>
    <w:rsid w:val="456E002B"/>
    <w:rsid w:val="4582958C"/>
    <w:rsid w:val="458374D9"/>
    <w:rsid w:val="458845BC"/>
    <w:rsid w:val="4596DA8C"/>
    <w:rsid w:val="4599AFB1"/>
    <w:rsid w:val="45AB8F15"/>
    <w:rsid w:val="45ACEF35"/>
    <w:rsid w:val="45AFAA7F"/>
    <w:rsid w:val="45B279F1"/>
    <w:rsid w:val="45B91DE8"/>
    <w:rsid w:val="45C06249"/>
    <w:rsid w:val="45C193BA"/>
    <w:rsid w:val="45D7269C"/>
    <w:rsid w:val="45D95D90"/>
    <w:rsid w:val="45DAF146"/>
    <w:rsid w:val="45DD671D"/>
    <w:rsid w:val="45DD6856"/>
    <w:rsid w:val="45DF132A"/>
    <w:rsid w:val="45E346EE"/>
    <w:rsid w:val="45E879D6"/>
    <w:rsid w:val="45ED7D34"/>
    <w:rsid w:val="45F117D0"/>
    <w:rsid w:val="45FDEFB9"/>
    <w:rsid w:val="46186222"/>
    <w:rsid w:val="4620D7E1"/>
    <w:rsid w:val="462516E2"/>
    <w:rsid w:val="46321C39"/>
    <w:rsid w:val="4632FC2C"/>
    <w:rsid w:val="463EE477"/>
    <w:rsid w:val="46577AA2"/>
    <w:rsid w:val="4666EAE6"/>
    <w:rsid w:val="467387A2"/>
    <w:rsid w:val="467E316D"/>
    <w:rsid w:val="4680E921"/>
    <w:rsid w:val="4689A5EA"/>
    <w:rsid w:val="4689AC9E"/>
    <w:rsid w:val="4691F68B"/>
    <w:rsid w:val="46A2B514"/>
    <w:rsid w:val="46D80BC5"/>
    <w:rsid w:val="46DDCFF3"/>
    <w:rsid w:val="46E36373"/>
    <w:rsid w:val="46E52951"/>
    <w:rsid w:val="46F1784A"/>
    <w:rsid w:val="46F5F980"/>
    <w:rsid w:val="46F79600"/>
    <w:rsid w:val="46F9DD6E"/>
    <w:rsid w:val="46FE4B42"/>
    <w:rsid w:val="47098B3B"/>
    <w:rsid w:val="4718212F"/>
    <w:rsid w:val="471E81DD"/>
    <w:rsid w:val="47253066"/>
    <w:rsid w:val="4727858C"/>
    <w:rsid w:val="472AB680"/>
    <w:rsid w:val="472CF359"/>
    <w:rsid w:val="47400B72"/>
    <w:rsid w:val="47403C16"/>
    <w:rsid w:val="474C042E"/>
    <w:rsid w:val="47663E6B"/>
    <w:rsid w:val="47693956"/>
    <w:rsid w:val="47750C04"/>
    <w:rsid w:val="479222E4"/>
    <w:rsid w:val="47975314"/>
    <w:rsid w:val="479F9E4B"/>
    <w:rsid w:val="47A21690"/>
    <w:rsid w:val="47A29397"/>
    <w:rsid w:val="47B0261A"/>
    <w:rsid w:val="47B30C43"/>
    <w:rsid w:val="47BA157E"/>
    <w:rsid w:val="47C0779B"/>
    <w:rsid w:val="47C897F2"/>
    <w:rsid w:val="47C977AD"/>
    <w:rsid w:val="47D33DCB"/>
    <w:rsid w:val="47D4A868"/>
    <w:rsid w:val="47DD1D6C"/>
    <w:rsid w:val="47DD7343"/>
    <w:rsid w:val="47EFF546"/>
    <w:rsid w:val="47F29BBD"/>
    <w:rsid w:val="47FEEAAD"/>
    <w:rsid w:val="4801820C"/>
    <w:rsid w:val="48026887"/>
    <w:rsid w:val="4802906F"/>
    <w:rsid w:val="480864F7"/>
    <w:rsid w:val="480B6674"/>
    <w:rsid w:val="480E6B6A"/>
    <w:rsid w:val="4817F813"/>
    <w:rsid w:val="4818A605"/>
    <w:rsid w:val="48194F08"/>
    <w:rsid w:val="481E2B75"/>
    <w:rsid w:val="482E5D44"/>
    <w:rsid w:val="4835DEFF"/>
    <w:rsid w:val="4850EF62"/>
    <w:rsid w:val="48702F22"/>
    <w:rsid w:val="487C7C6B"/>
    <w:rsid w:val="488072E3"/>
    <w:rsid w:val="4883831B"/>
    <w:rsid w:val="488BB61F"/>
    <w:rsid w:val="48981292"/>
    <w:rsid w:val="489EFC38"/>
    <w:rsid w:val="48A0311A"/>
    <w:rsid w:val="48A352CE"/>
    <w:rsid w:val="48AF8C98"/>
    <w:rsid w:val="48B31477"/>
    <w:rsid w:val="48B60114"/>
    <w:rsid w:val="48BFDB77"/>
    <w:rsid w:val="48C3B37A"/>
    <w:rsid w:val="48C84E43"/>
    <w:rsid w:val="48C8B811"/>
    <w:rsid w:val="48D29017"/>
    <w:rsid w:val="48DC1579"/>
    <w:rsid w:val="48DFD98C"/>
    <w:rsid w:val="48E000DC"/>
    <w:rsid w:val="48EE8765"/>
    <w:rsid w:val="48FA30E9"/>
    <w:rsid w:val="49023D4E"/>
    <w:rsid w:val="4902B693"/>
    <w:rsid w:val="491A6726"/>
    <w:rsid w:val="491C957E"/>
    <w:rsid w:val="49219A0E"/>
    <w:rsid w:val="4921C910"/>
    <w:rsid w:val="4923BE00"/>
    <w:rsid w:val="492CC52B"/>
    <w:rsid w:val="4932E8F4"/>
    <w:rsid w:val="49369C45"/>
    <w:rsid w:val="49397A8B"/>
    <w:rsid w:val="4945427C"/>
    <w:rsid w:val="49520778"/>
    <w:rsid w:val="495369E7"/>
    <w:rsid w:val="4958E835"/>
    <w:rsid w:val="495C95E2"/>
    <w:rsid w:val="495F7C37"/>
    <w:rsid w:val="4977BFFB"/>
    <w:rsid w:val="497DCDAD"/>
    <w:rsid w:val="49875135"/>
    <w:rsid w:val="498EDF69"/>
    <w:rsid w:val="499520FB"/>
    <w:rsid w:val="49A84A98"/>
    <w:rsid w:val="49B9F7A4"/>
    <w:rsid w:val="49CF315B"/>
    <w:rsid w:val="49D24E48"/>
    <w:rsid w:val="49D6768D"/>
    <w:rsid w:val="49D6B926"/>
    <w:rsid w:val="49E6B6EC"/>
    <w:rsid w:val="49E8F149"/>
    <w:rsid w:val="49EE4BCE"/>
    <w:rsid w:val="49EE8159"/>
    <w:rsid w:val="49F3DC25"/>
    <w:rsid w:val="4A075B10"/>
    <w:rsid w:val="4A0C1995"/>
    <w:rsid w:val="4A25A66E"/>
    <w:rsid w:val="4A2A26E0"/>
    <w:rsid w:val="4A314A42"/>
    <w:rsid w:val="4A3C1D1F"/>
    <w:rsid w:val="4A3FB2DA"/>
    <w:rsid w:val="4A55555F"/>
    <w:rsid w:val="4A56A092"/>
    <w:rsid w:val="4A61317F"/>
    <w:rsid w:val="4A6292D2"/>
    <w:rsid w:val="4A72A9D1"/>
    <w:rsid w:val="4A786E4F"/>
    <w:rsid w:val="4A794552"/>
    <w:rsid w:val="4A891945"/>
    <w:rsid w:val="4A932E5B"/>
    <w:rsid w:val="4A934448"/>
    <w:rsid w:val="4A966E9C"/>
    <w:rsid w:val="4AA777DF"/>
    <w:rsid w:val="4AB45E05"/>
    <w:rsid w:val="4ACA647C"/>
    <w:rsid w:val="4ACEF764"/>
    <w:rsid w:val="4AD214BB"/>
    <w:rsid w:val="4AF18612"/>
    <w:rsid w:val="4AFBCE7A"/>
    <w:rsid w:val="4B0EE1FA"/>
    <w:rsid w:val="4B144C25"/>
    <w:rsid w:val="4B15D9A2"/>
    <w:rsid w:val="4B2C09BA"/>
    <w:rsid w:val="4B2F4DA7"/>
    <w:rsid w:val="4B33BE72"/>
    <w:rsid w:val="4B3AF0A2"/>
    <w:rsid w:val="4B4976FA"/>
    <w:rsid w:val="4B4E4062"/>
    <w:rsid w:val="4B596699"/>
    <w:rsid w:val="4B62B89C"/>
    <w:rsid w:val="4B64BFB4"/>
    <w:rsid w:val="4B6FF06E"/>
    <w:rsid w:val="4B72DF0B"/>
    <w:rsid w:val="4B80BC0E"/>
    <w:rsid w:val="4B86DEB8"/>
    <w:rsid w:val="4B8B19DF"/>
    <w:rsid w:val="4B96440B"/>
    <w:rsid w:val="4B992F66"/>
    <w:rsid w:val="4BA1FA92"/>
    <w:rsid w:val="4BA5434B"/>
    <w:rsid w:val="4BA606FA"/>
    <w:rsid w:val="4BAFB2A2"/>
    <w:rsid w:val="4BB1C461"/>
    <w:rsid w:val="4BB6B25C"/>
    <w:rsid w:val="4BC3266A"/>
    <w:rsid w:val="4BC9398F"/>
    <w:rsid w:val="4BCC1255"/>
    <w:rsid w:val="4BDE8DA3"/>
    <w:rsid w:val="4BDF2417"/>
    <w:rsid w:val="4BE31E0B"/>
    <w:rsid w:val="4BEEC88C"/>
    <w:rsid w:val="4BF21CE0"/>
    <w:rsid w:val="4BF4FDAA"/>
    <w:rsid w:val="4BF5CDBE"/>
    <w:rsid w:val="4BFD0861"/>
    <w:rsid w:val="4C1DB3F5"/>
    <w:rsid w:val="4C1FDD75"/>
    <w:rsid w:val="4C2CD66E"/>
    <w:rsid w:val="4C2E1A17"/>
    <w:rsid w:val="4C305B5D"/>
    <w:rsid w:val="4C31A3DE"/>
    <w:rsid w:val="4C360737"/>
    <w:rsid w:val="4C53F6C5"/>
    <w:rsid w:val="4C5EC17D"/>
    <w:rsid w:val="4C63DCC0"/>
    <w:rsid w:val="4C85178B"/>
    <w:rsid w:val="4C860160"/>
    <w:rsid w:val="4C92F2B6"/>
    <w:rsid w:val="4C95AC5D"/>
    <w:rsid w:val="4C9BDA45"/>
    <w:rsid w:val="4CAC278D"/>
    <w:rsid w:val="4CB4E564"/>
    <w:rsid w:val="4CC3D50F"/>
    <w:rsid w:val="4CD015F2"/>
    <w:rsid w:val="4CD9B072"/>
    <w:rsid w:val="4CDF1CF7"/>
    <w:rsid w:val="4CE1457A"/>
    <w:rsid w:val="4CE4617F"/>
    <w:rsid w:val="4CE72FEB"/>
    <w:rsid w:val="4CE80358"/>
    <w:rsid w:val="4CECE180"/>
    <w:rsid w:val="4CF3E5FA"/>
    <w:rsid w:val="4CF83C08"/>
    <w:rsid w:val="4CF91251"/>
    <w:rsid w:val="4CFBB272"/>
    <w:rsid w:val="4CFCB45F"/>
    <w:rsid w:val="4D03169B"/>
    <w:rsid w:val="4D05FE11"/>
    <w:rsid w:val="4D067E65"/>
    <w:rsid w:val="4D0748CF"/>
    <w:rsid w:val="4D138D57"/>
    <w:rsid w:val="4D178E80"/>
    <w:rsid w:val="4D1DB6D0"/>
    <w:rsid w:val="4D225470"/>
    <w:rsid w:val="4D26F7C9"/>
    <w:rsid w:val="4D27BF5B"/>
    <w:rsid w:val="4D280E4F"/>
    <w:rsid w:val="4D304727"/>
    <w:rsid w:val="4D3BCF03"/>
    <w:rsid w:val="4D55D036"/>
    <w:rsid w:val="4D55F1E7"/>
    <w:rsid w:val="4D5732C1"/>
    <w:rsid w:val="4D606135"/>
    <w:rsid w:val="4D627B86"/>
    <w:rsid w:val="4D658E83"/>
    <w:rsid w:val="4D6681F1"/>
    <w:rsid w:val="4D6D8DEC"/>
    <w:rsid w:val="4D7549E1"/>
    <w:rsid w:val="4D9A693D"/>
    <w:rsid w:val="4DA30868"/>
    <w:rsid w:val="4DADFA62"/>
    <w:rsid w:val="4DB8091C"/>
    <w:rsid w:val="4DC5F516"/>
    <w:rsid w:val="4DCC12DD"/>
    <w:rsid w:val="4DD2E7EB"/>
    <w:rsid w:val="4DDCAB00"/>
    <w:rsid w:val="4DEE0AEA"/>
    <w:rsid w:val="4DEE689C"/>
    <w:rsid w:val="4DEF0D7E"/>
    <w:rsid w:val="4DF26531"/>
    <w:rsid w:val="4DF80F5E"/>
    <w:rsid w:val="4DF887B9"/>
    <w:rsid w:val="4DFCD512"/>
    <w:rsid w:val="4DFEBD82"/>
    <w:rsid w:val="4E0136AE"/>
    <w:rsid w:val="4E057D3A"/>
    <w:rsid w:val="4E09A343"/>
    <w:rsid w:val="4E1242EA"/>
    <w:rsid w:val="4E1395A6"/>
    <w:rsid w:val="4E13C46B"/>
    <w:rsid w:val="4E14778B"/>
    <w:rsid w:val="4E2B4C87"/>
    <w:rsid w:val="4E3845BF"/>
    <w:rsid w:val="4E39AEDF"/>
    <w:rsid w:val="4E3C2C1F"/>
    <w:rsid w:val="4E502502"/>
    <w:rsid w:val="4E673846"/>
    <w:rsid w:val="4E718699"/>
    <w:rsid w:val="4E7294C6"/>
    <w:rsid w:val="4E75CDE6"/>
    <w:rsid w:val="4E7BED63"/>
    <w:rsid w:val="4E8E47CB"/>
    <w:rsid w:val="4E9E0652"/>
    <w:rsid w:val="4EB6164F"/>
    <w:rsid w:val="4EBA0DFB"/>
    <w:rsid w:val="4EC04C3F"/>
    <w:rsid w:val="4EC8C3AF"/>
    <w:rsid w:val="4ECA6016"/>
    <w:rsid w:val="4ECBDE36"/>
    <w:rsid w:val="4EE5E2CC"/>
    <w:rsid w:val="4EED3DF1"/>
    <w:rsid w:val="4EF84256"/>
    <w:rsid w:val="4EF8D131"/>
    <w:rsid w:val="4F0BB762"/>
    <w:rsid w:val="4F155D4D"/>
    <w:rsid w:val="4F15AEC8"/>
    <w:rsid w:val="4F206914"/>
    <w:rsid w:val="4F22C62C"/>
    <w:rsid w:val="4F2407B5"/>
    <w:rsid w:val="4F24230C"/>
    <w:rsid w:val="4F2FB0E8"/>
    <w:rsid w:val="4F31F717"/>
    <w:rsid w:val="4F3B7BBF"/>
    <w:rsid w:val="4F488D6C"/>
    <w:rsid w:val="4F6301A9"/>
    <w:rsid w:val="4F6E816A"/>
    <w:rsid w:val="4F797BB0"/>
    <w:rsid w:val="4F7F32FD"/>
    <w:rsid w:val="4F8A371D"/>
    <w:rsid w:val="4F91222D"/>
    <w:rsid w:val="4F92A000"/>
    <w:rsid w:val="4FABDD4A"/>
    <w:rsid w:val="4FDD00EC"/>
    <w:rsid w:val="4FEB1232"/>
    <w:rsid w:val="4FECBE8A"/>
    <w:rsid w:val="4FF21266"/>
    <w:rsid w:val="4FFC4B51"/>
    <w:rsid w:val="4FFF36D1"/>
    <w:rsid w:val="50028935"/>
    <w:rsid w:val="5007A61B"/>
    <w:rsid w:val="5022271E"/>
    <w:rsid w:val="5025AEAF"/>
    <w:rsid w:val="50356B2E"/>
    <w:rsid w:val="50389645"/>
    <w:rsid w:val="503CA00F"/>
    <w:rsid w:val="50540525"/>
    <w:rsid w:val="5055640B"/>
    <w:rsid w:val="505DA01B"/>
    <w:rsid w:val="505FA701"/>
    <w:rsid w:val="50689001"/>
    <w:rsid w:val="507844BC"/>
    <w:rsid w:val="507FC0C5"/>
    <w:rsid w:val="5081A797"/>
    <w:rsid w:val="508406C1"/>
    <w:rsid w:val="50894DD6"/>
    <w:rsid w:val="508FE518"/>
    <w:rsid w:val="5094454D"/>
    <w:rsid w:val="509ADF09"/>
    <w:rsid w:val="50A36378"/>
    <w:rsid w:val="50A6AB87"/>
    <w:rsid w:val="50AA83C7"/>
    <w:rsid w:val="50B66123"/>
    <w:rsid w:val="50B6EB90"/>
    <w:rsid w:val="50B70114"/>
    <w:rsid w:val="50C299FF"/>
    <w:rsid w:val="50C72C97"/>
    <w:rsid w:val="50CA12CB"/>
    <w:rsid w:val="50CA7C75"/>
    <w:rsid w:val="50CC3034"/>
    <w:rsid w:val="50DFD075"/>
    <w:rsid w:val="50F7B19A"/>
    <w:rsid w:val="5100CAF8"/>
    <w:rsid w:val="5107597D"/>
    <w:rsid w:val="51182FF7"/>
    <w:rsid w:val="512AC9C1"/>
    <w:rsid w:val="5135AFB7"/>
    <w:rsid w:val="5138198D"/>
    <w:rsid w:val="513F6F3F"/>
    <w:rsid w:val="5140AB30"/>
    <w:rsid w:val="51654066"/>
    <w:rsid w:val="516E6097"/>
    <w:rsid w:val="51725E44"/>
    <w:rsid w:val="51745207"/>
    <w:rsid w:val="5174AE3F"/>
    <w:rsid w:val="51752D88"/>
    <w:rsid w:val="517C6F83"/>
    <w:rsid w:val="518887B8"/>
    <w:rsid w:val="5192886D"/>
    <w:rsid w:val="519D4F7A"/>
    <w:rsid w:val="519F58DB"/>
    <w:rsid w:val="51B388EC"/>
    <w:rsid w:val="51B55A4E"/>
    <w:rsid w:val="51BE5834"/>
    <w:rsid w:val="51C2E76D"/>
    <w:rsid w:val="51D9E0E0"/>
    <w:rsid w:val="51E79511"/>
    <w:rsid w:val="51EFB78F"/>
    <w:rsid w:val="52006832"/>
    <w:rsid w:val="5203AA63"/>
    <w:rsid w:val="521B91A1"/>
    <w:rsid w:val="521E1408"/>
    <w:rsid w:val="52206E10"/>
    <w:rsid w:val="52422E04"/>
    <w:rsid w:val="52462227"/>
    <w:rsid w:val="524D020B"/>
    <w:rsid w:val="524F7C8F"/>
    <w:rsid w:val="525570A0"/>
    <w:rsid w:val="5256B99A"/>
    <w:rsid w:val="5257E366"/>
    <w:rsid w:val="5259FD69"/>
    <w:rsid w:val="525A6B69"/>
    <w:rsid w:val="525C6DF9"/>
    <w:rsid w:val="526669DF"/>
    <w:rsid w:val="526C5089"/>
    <w:rsid w:val="526D7654"/>
    <w:rsid w:val="526EB091"/>
    <w:rsid w:val="5273849B"/>
    <w:rsid w:val="527D10C1"/>
    <w:rsid w:val="528116C4"/>
    <w:rsid w:val="528F822C"/>
    <w:rsid w:val="52989C54"/>
    <w:rsid w:val="52A37600"/>
    <w:rsid w:val="52A87A8A"/>
    <w:rsid w:val="52BA5EE5"/>
    <w:rsid w:val="52D27ACE"/>
    <w:rsid w:val="52D9348D"/>
    <w:rsid w:val="52DE4D2F"/>
    <w:rsid w:val="52E0D73A"/>
    <w:rsid w:val="52EFEFAC"/>
    <w:rsid w:val="52F4C681"/>
    <w:rsid w:val="52F81562"/>
    <w:rsid w:val="52FA0AB6"/>
    <w:rsid w:val="530AD9A3"/>
    <w:rsid w:val="530BC036"/>
    <w:rsid w:val="53331750"/>
    <w:rsid w:val="533C7911"/>
    <w:rsid w:val="534053A3"/>
    <w:rsid w:val="534A4BDA"/>
    <w:rsid w:val="53538147"/>
    <w:rsid w:val="5356F330"/>
    <w:rsid w:val="535CE602"/>
    <w:rsid w:val="536E9A33"/>
    <w:rsid w:val="5377C4CF"/>
    <w:rsid w:val="537BBD6D"/>
    <w:rsid w:val="537C296F"/>
    <w:rsid w:val="5384B895"/>
    <w:rsid w:val="53889B4C"/>
    <w:rsid w:val="538D3D54"/>
    <w:rsid w:val="538FA1F6"/>
    <w:rsid w:val="53937A14"/>
    <w:rsid w:val="5393BD25"/>
    <w:rsid w:val="539BF2B4"/>
    <w:rsid w:val="539E15E7"/>
    <w:rsid w:val="53AAF5BA"/>
    <w:rsid w:val="53AB33A6"/>
    <w:rsid w:val="53AC4291"/>
    <w:rsid w:val="53AF08E7"/>
    <w:rsid w:val="53B33664"/>
    <w:rsid w:val="53C1F590"/>
    <w:rsid w:val="53C93E24"/>
    <w:rsid w:val="53D4A06B"/>
    <w:rsid w:val="53E768B8"/>
    <w:rsid w:val="53EAF7F1"/>
    <w:rsid w:val="53F2F86E"/>
    <w:rsid w:val="53F5DA10"/>
    <w:rsid w:val="541AF562"/>
    <w:rsid w:val="541C8706"/>
    <w:rsid w:val="541E1052"/>
    <w:rsid w:val="542A2A4F"/>
    <w:rsid w:val="542CA6D6"/>
    <w:rsid w:val="542D7DFA"/>
    <w:rsid w:val="543636AE"/>
    <w:rsid w:val="543B0118"/>
    <w:rsid w:val="5442706E"/>
    <w:rsid w:val="544D1455"/>
    <w:rsid w:val="54557FD8"/>
    <w:rsid w:val="5455CD41"/>
    <w:rsid w:val="545EFF05"/>
    <w:rsid w:val="54685CF8"/>
    <w:rsid w:val="54882359"/>
    <w:rsid w:val="548C6A71"/>
    <w:rsid w:val="549AC489"/>
    <w:rsid w:val="54CC4AB6"/>
    <w:rsid w:val="54D04714"/>
    <w:rsid w:val="54D48AEE"/>
    <w:rsid w:val="54DBEE26"/>
    <w:rsid w:val="54FF1B9E"/>
    <w:rsid w:val="550D3BF9"/>
    <w:rsid w:val="55106294"/>
    <w:rsid w:val="553DC0FC"/>
    <w:rsid w:val="554419C2"/>
    <w:rsid w:val="55464A6A"/>
    <w:rsid w:val="55567AF2"/>
    <w:rsid w:val="5557431A"/>
    <w:rsid w:val="5557C8AA"/>
    <w:rsid w:val="5566C736"/>
    <w:rsid w:val="556CA8DB"/>
    <w:rsid w:val="5573F9A3"/>
    <w:rsid w:val="55741DFD"/>
    <w:rsid w:val="557C8159"/>
    <w:rsid w:val="55833F34"/>
    <w:rsid w:val="558800CA"/>
    <w:rsid w:val="5589744C"/>
    <w:rsid w:val="558A842D"/>
    <w:rsid w:val="559445B5"/>
    <w:rsid w:val="55A0CC9E"/>
    <w:rsid w:val="55A69A82"/>
    <w:rsid w:val="55AD4D5A"/>
    <w:rsid w:val="55AE1E59"/>
    <w:rsid w:val="55D5B26A"/>
    <w:rsid w:val="55DBC858"/>
    <w:rsid w:val="55DDA939"/>
    <w:rsid w:val="55E31B16"/>
    <w:rsid w:val="55E9A82D"/>
    <w:rsid w:val="55FAB08F"/>
    <w:rsid w:val="56069862"/>
    <w:rsid w:val="5607E540"/>
    <w:rsid w:val="5611B384"/>
    <w:rsid w:val="56125E7A"/>
    <w:rsid w:val="56166690"/>
    <w:rsid w:val="561B233F"/>
    <w:rsid w:val="5627DD3F"/>
    <w:rsid w:val="56313889"/>
    <w:rsid w:val="563A27D4"/>
    <w:rsid w:val="563C598F"/>
    <w:rsid w:val="563CD486"/>
    <w:rsid w:val="563DA38D"/>
    <w:rsid w:val="56461FE9"/>
    <w:rsid w:val="5646502C"/>
    <w:rsid w:val="564D9FE6"/>
    <w:rsid w:val="565A1C02"/>
    <w:rsid w:val="566541FE"/>
    <w:rsid w:val="566EA2B9"/>
    <w:rsid w:val="56702D70"/>
    <w:rsid w:val="567744B4"/>
    <w:rsid w:val="5685CFF8"/>
    <w:rsid w:val="569166CE"/>
    <w:rsid w:val="5693C51F"/>
    <w:rsid w:val="56A13C52"/>
    <w:rsid w:val="56A62E87"/>
    <w:rsid w:val="56A7732C"/>
    <w:rsid w:val="56B16C98"/>
    <w:rsid w:val="56B7E5FA"/>
    <w:rsid w:val="56B9865D"/>
    <w:rsid w:val="56BB25C2"/>
    <w:rsid w:val="56D64930"/>
    <w:rsid w:val="56DD137D"/>
    <w:rsid w:val="56E549FB"/>
    <w:rsid w:val="56F281F2"/>
    <w:rsid w:val="56FB6186"/>
    <w:rsid w:val="570869FB"/>
    <w:rsid w:val="570B7695"/>
    <w:rsid w:val="5713D444"/>
    <w:rsid w:val="5715A5A4"/>
    <w:rsid w:val="5721C31D"/>
    <w:rsid w:val="572D1115"/>
    <w:rsid w:val="572E09AC"/>
    <w:rsid w:val="5745340F"/>
    <w:rsid w:val="5753498E"/>
    <w:rsid w:val="575B259B"/>
    <w:rsid w:val="575D1A16"/>
    <w:rsid w:val="575DB5A5"/>
    <w:rsid w:val="57793F21"/>
    <w:rsid w:val="577EF2B2"/>
    <w:rsid w:val="5788D827"/>
    <w:rsid w:val="57973399"/>
    <w:rsid w:val="57A24699"/>
    <w:rsid w:val="57A3D73D"/>
    <w:rsid w:val="57B2CAD4"/>
    <w:rsid w:val="57C23BDA"/>
    <w:rsid w:val="57C7F6CC"/>
    <w:rsid w:val="57D5F88F"/>
    <w:rsid w:val="57D958D7"/>
    <w:rsid w:val="57F3BDBB"/>
    <w:rsid w:val="57FFDDFB"/>
    <w:rsid w:val="580E6288"/>
    <w:rsid w:val="581B51A2"/>
    <w:rsid w:val="581E08C4"/>
    <w:rsid w:val="582554B7"/>
    <w:rsid w:val="58328C89"/>
    <w:rsid w:val="583813D0"/>
    <w:rsid w:val="583E0496"/>
    <w:rsid w:val="58553DD7"/>
    <w:rsid w:val="585D223D"/>
    <w:rsid w:val="586F644C"/>
    <w:rsid w:val="58778AE6"/>
    <w:rsid w:val="587BEAC7"/>
    <w:rsid w:val="587EF60D"/>
    <w:rsid w:val="5894197A"/>
    <w:rsid w:val="58B337FE"/>
    <w:rsid w:val="58B75734"/>
    <w:rsid w:val="58B85233"/>
    <w:rsid w:val="58C72EF3"/>
    <w:rsid w:val="58CA2325"/>
    <w:rsid w:val="58CA8A5A"/>
    <w:rsid w:val="58D44BE2"/>
    <w:rsid w:val="58DC1322"/>
    <w:rsid w:val="58DFEFE8"/>
    <w:rsid w:val="58E239F0"/>
    <w:rsid w:val="58E330DA"/>
    <w:rsid w:val="58E4ABED"/>
    <w:rsid w:val="58EA11A3"/>
    <w:rsid w:val="58EABABF"/>
    <w:rsid w:val="58F0E843"/>
    <w:rsid w:val="58FE6A49"/>
    <w:rsid w:val="5907905F"/>
    <w:rsid w:val="591252FC"/>
    <w:rsid w:val="591DF3CB"/>
    <w:rsid w:val="5924220B"/>
    <w:rsid w:val="592992CC"/>
    <w:rsid w:val="592F427F"/>
    <w:rsid w:val="593697D6"/>
    <w:rsid w:val="59383009"/>
    <w:rsid w:val="5942310F"/>
    <w:rsid w:val="5943178D"/>
    <w:rsid w:val="5948FB2D"/>
    <w:rsid w:val="594E1047"/>
    <w:rsid w:val="5954C33B"/>
    <w:rsid w:val="5971F5FE"/>
    <w:rsid w:val="59947AA5"/>
    <w:rsid w:val="5998700D"/>
    <w:rsid w:val="599C29BB"/>
    <w:rsid w:val="59AFBDBE"/>
    <w:rsid w:val="59CDAE0E"/>
    <w:rsid w:val="59DDF1B3"/>
    <w:rsid w:val="59ECDE70"/>
    <w:rsid w:val="59F119B7"/>
    <w:rsid w:val="5A0230A1"/>
    <w:rsid w:val="5A0E83B7"/>
    <w:rsid w:val="5A10912D"/>
    <w:rsid w:val="5A1B5F6A"/>
    <w:rsid w:val="5A1D95CF"/>
    <w:rsid w:val="5A2752A3"/>
    <w:rsid w:val="5A410C69"/>
    <w:rsid w:val="5A484354"/>
    <w:rsid w:val="5A49E3BB"/>
    <w:rsid w:val="5A4AA1DA"/>
    <w:rsid w:val="5A4F6BAA"/>
    <w:rsid w:val="5A676B03"/>
    <w:rsid w:val="5A766A91"/>
    <w:rsid w:val="5A79DA57"/>
    <w:rsid w:val="5A79FC31"/>
    <w:rsid w:val="5A7FAE84"/>
    <w:rsid w:val="5A839222"/>
    <w:rsid w:val="5A84BB2B"/>
    <w:rsid w:val="5A97B780"/>
    <w:rsid w:val="5AA9833C"/>
    <w:rsid w:val="5AAA4148"/>
    <w:rsid w:val="5AAC09B6"/>
    <w:rsid w:val="5AAF64D3"/>
    <w:rsid w:val="5ABB2B0C"/>
    <w:rsid w:val="5AD8EC61"/>
    <w:rsid w:val="5AF814C8"/>
    <w:rsid w:val="5AFCDACE"/>
    <w:rsid w:val="5AFE1BE0"/>
    <w:rsid w:val="5B112394"/>
    <w:rsid w:val="5B161202"/>
    <w:rsid w:val="5B1CFF24"/>
    <w:rsid w:val="5B1EC97D"/>
    <w:rsid w:val="5B2B3E91"/>
    <w:rsid w:val="5B2D4838"/>
    <w:rsid w:val="5B3174F4"/>
    <w:rsid w:val="5B436106"/>
    <w:rsid w:val="5B594805"/>
    <w:rsid w:val="5B5AD2EE"/>
    <w:rsid w:val="5B5C6F25"/>
    <w:rsid w:val="5B6ADB47"/>
    <w:rsid w:val="5B7E8BA8"/>
    <w:rsid w:val="5B7FA4EB"/>
    <w:rsid w:val="5B7FA9C0"/>
    <w:rsid w:val="5B8811DB"/>
    <w:rsid w:val="5B9E2CF1"/>
    <w:rsid w:val="5BA5C3A4"/>
    <w:rsid w:val="5BA6C684"/>
    <w:rsid w:val="5BABE64E"/>
    <w:rsid w:val="5BC839A9"/>
    <w:rsid w:val="5BCEE2D6"/>
    <w:rsid w:val="5BD2EA49"/>
    <w:rsid w:val="5BD529D1"/>
    <w:rsid w:val="5BD8BCB0"/>
    <w:rsid w:val="5BDE4EAE"/>
    <w:rsid w:val="5BF0C215"/>
    <w:rsid w:val="5BFC23FB"/>
    <w:rsid w:val="5BFD18F5"/>
    <w:rsid w:val="5BFF0953"/>
    <w:rsid w:val="5C0721FD"/>
    <w:rsid w:val="5C196A1B"/>
    <w:rsid w:val="5C1F6D71"/>
    <w:rsid w:val="5C2086E8"/>
    <w:rsid w:val="5C3279F4"/>
    <w:rsid w:val="5C3583E5"/>
    <w:rsid w:val="5C3ECFD9"/>
    <w:rsid w:val="5C441DE4"/>
    <w:rsid w:val="5C448682"/>
    <w:rsid w:val="5C607DC9"/>
    <w:rsid w:val="5C62BFB2"/>
    <w:rsid w:val="5C6C74F3"/>
    <w:rsid w:val="5C6D86B7"/>
    <w:rsid w:val="5C6F0E44"/>
    <w:rsid w:val="5C86341A"/>
    <w:rsid w:val="5C8AA034"/>
    <w:rsid w:val="5C91FBA3"/>
    <w:rsid w:val="5C983968"/>
    <w:rsid w:val="5CB1D25D"/>
    <w:rsid w:val="5CB9009F"/>
    <w:rsid w:val="5CBA4880"/>
    <w:rsid w:val="5CCD0D46"/>
    <w:rsid w:val="5CDC37B1"/>
    <w:rsid w:val="5CE06F24"/>
    <w:rsid w:val="5CE32D62"/>
    <w:rsid w:val="5CF656A6"/>
    <w:rsid w:val="5CF6B295"/>
    <w:rsid w:val="5D014D73"/>
    <w:rsid w:val="5D085765"/>
    <w:rsid w:val="5D21C3B6"/>
    <w:rsid w:val="5D2B63E9"/>
    <w:rsid w:val="5D36E85B"/>
    <w:rsid w:val="5D38297E"/>
    <w:rsid w:val="5D3D1E79"/>
    <w:rsid w:val="5D4AAFA9"/>
    <w:rsid w:val="5D6BB332"/>
    <w:rsid w:val="5D718ACD"/>
    <w:rsid w:val="5D75C363"/>
    <w:rsid w:val="5D7AA8ED"/>
    <w:rsid w:val="5D7F7B93"/>
    <w:rsid w:val="5D975B7C"/>
    <w:rsid w:val="5DAFBC93"/>
    <w:rsid w:val="5DB1C970"/>
    <w:rsid w:val="5DC2990B"/>
    <w:rsid w:val="5DC43611"/>
    <w:rsid w:val="5DCBBBED"/>
    <w:rsid w:val="5DCE764C"/>
    <w:rsid w:val="5DD0FC9F"/>
    <w:rsid w:val="5DE11AFF"/>
    <w:rsid w:val="5DF0D459"/>
    <w:rsid w:val="5DF1DAF2"/>
    <w:rsid w:val="5DFC5669"/>
    <w:rsid w:val="5E1F6C74"/>
    <w:rsid w:val="5E38FBA2"/>
    <w:rsid w:val="5E3AFABF"/>
    <w:rsid w:val="5E47DB62"/>
    <w:rsid w:val="5E4B2E34"/>
    <w:rsid w:val="5E4E37F4"/>
    <w:rsid w:val="5E50F5A5"/>
    <w:rsid w:val="5E584DF6"/>
    <w:rsid w:val="5E5FE108"/>
    <w:rsid w:val="5E64DBB2"/>
    <w:rsid w:val="5E73FD60"/>
    <w:rsid w:val="5E7ACFDA"/>
    <w:rsid w:val="5E7E6F08"/>
    <w:rsid w:val="5E7F7B74"/>
    <w:rsid w:val="5E893393"/>
    <w:rsid w:val="5E90005A"/>
    <w:rsid w:val="5E915A6A"/>
    <w:rsid w:val="5E94450E"/>
    <w:rsid w:val="5EA16F9E"/>
    <w:rsid w:val="5EA8CE2E"/>
    <w:rsid w:val="5EB74F62"/>
    <w:rsid w:val="5EE0CDA7"/>
    <w:rsid w:val="5EE78DCB"/>
    <w:rsid w:val="5EF4AA80"/>
    <w:rsid w:val="5F13EB95"/>
    <w:rsid w:val="5F1AB1FA"/>
    <w:rsid w:val="5F259BD0"/>
    <w:rsid w:val="5F279828"/>
    <w:rsid w:val="5F282C52"/>
    <w:rsid w:val="5F301D66"/>
    <w:rsid w:val="5F31FEE7"/>
    <w:rsid w:val="5F38423D"/>
    <w:rsid w:val="5F47901F"/>
    <w:rsid w:val="5F4FFAA3"/>
    <w:rsid w:val="5F5E3993"/>
    <w:rsid w:val="5F61CDAA"/>
    <w:rsid w:val="5F7145AB"/>
    <w:rsid w:val="5F750B97"/>
    <w:rsid w:val="5F75A9FE"/>
    <w:rsid w:val="5F7C2094"/>
    <w:rsid w:val="5F7FE3FA"/>
    <w:rsid w:val="5F854A11"/>
    <w:rsid w:val="5F897D99"/>
    <w:rsid w:val="5F9703D0"/>
    <w:rsid w:val="5F99A88E"/>
    <w:rsid w:val="5F9DA467"/>
    <w:rsid w:val="5F9ECFAF"/>
    <w:rsid w:val="5FA2C050"/>
    <w:rsid w:val="5FA78D95"/>
    <w:rsid w:val="5FB3E0C3"/>
    <w:rsid w:val="5FBDF7C0"/>
    <w:rsid w:val="5FC45396"/>
    <w:rsid w:val="5FCC3755"/>
    <w:rsid w:val="5FE1B4D7"/>
    <w:rsid w:val="5FE47996"/>
    <w:rsid w:val="5FE667D5"/>
    <w:rsid w:val="5FE8B43D"/>
    <w:rsid w:val="5FEC3C86"/>
    <w:rsid w:val="5FEC40FA"/>
    <w:rsid w:val="5FF4063C"/>
    <w:rsid w:val="5FF56351"/>
    <w:rsid w:val="5FF841FD"/>
    <w:rsid w:val="60137474"/>
    <w:rsid w:val="601683DF"/>
    <w:rsid w:val="601749AA"/>
    <w:rsid w:val="6041CD81"/>
    <w:rsid w:val="6051B5F8"/>
    <w:rsid w:val="605B8E2F"/>
    <w:rsid w:val="606656BC"/>
    <w:rsid w:val="606C3FA7"/>
    <w:rsid w:val="606EEF83"/>
    <w:rsid w:val="607AF7F0"/>
    <w:rsid w:val="6083014D"/>
    <w:rsid w:val="60876BB7"/>
    <w:rsid w:val="608A0EE6"/>
    <w:rsid w:val="608B58E7"/>
    <w:rsid w:val="608C0490"/>
    <w:rsid w:val="6095F7C9"/>
    <w:rsid w:val="6096BC1C"/>
    <w:rsid w:val="609D62B6"/>
    <w:rsid w:val="609E23F5"/>
    <w:rsid w:val="609E384F"/>
    <w:rsid w:val="609EC810"/>
    <w:rsid w:val="609EFFD8"/>
    <w:rsid w:val="60B6C7D2"/>
    <w:rsid w:val="60CC9870"/>
    <w:rsid w:val="60D49260"/>
    <w:rsid w:val="60D51350"/>
    <w:rsid w:val="60E61434"/>
    <w:rsid w:val="60EA8763"/>
    <w:rsid w:val="60EEDF5F"/>
    <w:rsid w:val="60F49BBF"/>
    <w:rsid w:val="60F8712C"/>
    <w:rsid w:val="61026E8B"/>
    <w:rsid w:val="6139B2A8"/>
    <w:rsid w:val="61454957"/>
    <w:rsid w:val="614E2E81"/>
    <w:rsid w:val="614FFC65"/>
    <w:rsid w:val="615348F4"/>
    <w:rsid w:val="6165462C"/>
    <w:rsid w:val="61679AA6"/>
    <w:rsid w:val="6168A8B9"/>
    <w:rsid w:val="616A3276"/>
    <w:rsid w:val="617ED687"/>
    <w:rsid w:val="6180323B"/>
    <w:rsid w:val="6187BE6A"/>
    <w:rsid w:val="6189702B"/>
    <w:rsid w:val="619ACAAE"/>
    <w:rsid w:val="61A81531"/>
    <w:rsid w:val="61ACCADF"/>
    <w:rsid w:val="61B87F21"/>
    <w:rsid w:val="61CD2634"/>
    <w:rsid w:val="61DA814A"/>
    <w:rsid w:val="61E52D97"/>
    <w:rsid w:val="61EBC20C"/>
    <w:rsid w:val="61F044D3"/>
    <w:rsid w:val="61F46A02"/>
    <w:rsid w:val="6201023A"/>
    <w:rsid w:val="62028FDC"/>
    <w:rsid w:val="621292B1"/>
    <w:rsid w:val="6226523B"/>
    <w:rsid w:val="62455A6B"/>
    <w:rsid w:val="6248116E"/>
    <w:rsid w:val="624EC607"/>
    <w:rsid w:val="626E70A6"/>
    <w:rsid w:val="6271129E"/>
    <w:rsid w:val="6272CF4C"/>
    <w:rsid w:val="62761F3F"/>
    <w:rsid w:val="627B0202"/>
    <w:rsid w:val="627E29BC"/>
    <w:rsid w:val="6282D9EF"/>
    <w:rsid w:val="62830A8F"/>
    <w:rsid w:val="62862C17"/>
    <w:rsid w:val="62894199"/>
    <w:rsid w:val="6294A60B"/>
    <w:rsid w:val="62984903"/>
    <w:rsid w:val="629A6A62"/>
    <w:rsid w:val="62A190C4"/>
    <w:rsid w:val="62A20382"/>
    <w:rsid w:val="62A6F922"/>
    <w:rsid w:val="62BB390E"/>
    <w:rsid w:val="62C202DB"/>
    <w:rsid w:val="62D943A6"/>
    <w:rsid w:val="62F38A1B"/>
    <w:rsid w:val="62F4120D"/>
    <w:rsid w:val="62FB1C0F"/>
    <w:rsid w:val="62FDC131"/>
    <w:rsid w:val="63012233"/>
    <w:rsid w:val="63053120"/>
    <w:rsid w:val="63179752"/>
    <w:rsid w:val="631930AA"/>
    <w:rsid w:val="631AC67B"/>
    <w:rsid w:val="63312863"/>
    <w:rsid w:val="63317F98"/>
    <w:rsid w:val="633B9CD9"/>
    <w:rsid w:val="63433C85"/>
    <w:rsid w:val="634CE38B"/>
    <w:rsid w:val="634FCBC7"/>
    <w:rsid w:val="63594A52"/>
    <w:rsid w:val="63596607"/>
    <w:rsid w:val="635AB066"/>
    <w:rsid w:val="636F04FD"/>
    <w:rsid w:val="6389395A"/>
    <w:rsid w:val="63920E84"/>
    <w:rsid w:val="6394C304"/>
    <w:rsid w:val="639598EC"/>
    <w:rsid w:val="63968BC2"/>
    <w:rsid w:val="6398000C"/>
    <w:rsid w:val="63996908"/>
    <w:rsid w:val="6399AD2B"/>
    <w:rsid w:val="639CDF77"/>
    <w:rsid w:val="639FA779"/>
    <w:rsid w:val="63A0A71D"/>
    <w:rsid w:val="63A1574B"/>
    <w:rsid w:val="63A9985F"/>
    <w:rsid w:val="63CAB55A"/>
    <w:rsid w:val="63CE36EF"/>
    <w:rsid w:val="63D0FEE3"/>
    <w:rsid w:val="63D10814"/>
    <w:rsid w:val="63D58A57"/>
    <w:rsid w:val="63E109BB"/>
    <w:rsid w:val="63E63B6C"/>
    <w:rsid w:val="63E7A765"/>
    <w:rsid w:val="63F5E1D4"/>
    <w:rsid w:val="6405A961"/>
    <w:rsid w:val="64092DD0"/>
    <w:rsid w:val="640B55AB"/>
    <w:rsid w:val="640CA5A8"/>
    <w:rsid w:val="640DC110"/>
    <w:rsid w:val="6412AF59"/>
    <w:rsid w:val="64145D2A"/>
    <w:rsid w:val="64177114"/>
    <w:rsid w:val="641773E4"/>
    <w:rsid w:val="6417F38F"/>
    <w:rsid w:val="642F483E"/>
    <w:rsid w:val="64319144"/>
    <w:rsid w:val="6432E214"/>
    <w:rsid w:val="6439F172"/>
    <w:rsid w:val="643BE60C"/>
    <w:rsid w:val="643C8BCC"/>
    <w:rsid w:val="6441D9CE"/>
    <w:rsid w:val="6445CF48"/>
    <w:rsid w:val="644715D5"/>
    <w:rsid w:val="64478D8E"/>
    <w:rsid w:val="64499C54"/>
    <w:rsid w:val="6457BDC9"/>
    <w:rsid w:val="64660EEC"/>
    <w:rsid w:val="6476341D"/>
    <w:rsid w:val="647B0699"/>
    <w:rsid w:val="648B0BB0"/>
    <w:rsid w:val="649EFC85"/>
    <w:rsid w:val="649F824C"/>
    <w:rsid w:val="64A07DF4"/>
    <w:rsid w:val="64AC17B1"/>
    <w:rsid w:val="64B03BC0"/>
    <w:rsid w:val="64B10D18"/>
    <w:rsid w:val="64BE90A8"/>
    <w:rsid w:val="64C290FB"/>
    <w:rsid w:val="64CF46A4"/>
    <w:rsid w:val="64D36CA0"/>
    <w:rsid w:val="64D3B1C8"/>
    <w:rsid w:val="64E0825E"/>
    <w:rsid w:val="64F026E7"/>
    <w:rsid w:val="64F39B9F"/>
    <w:rsid w:val="64FA5B0A"/>
    <w:rsid w:val="651525B4"/>
    <w:rsid w:val="65156032"/>
    <w:rsid w:val="65244925"/>
    <w:rsid w:val="653641FD"/>
    <w:rsid w:val="6545DC22"/>
    <w:rsid w:val="654E7190"/>
    <w:rsid w:val="655B227D"/>
    <w:rsid w:val="6560DBF2"/>
    <w:rsid w:val="65611A04"/>
    <w:rsid w:val="65672CE1"/>
    <w:rsid w:val="656C20EE"/>
    <w:rsid w:val="6571B9DE"/>
    <w:rsid w:val="65738CB3"/>
    <w:rsid w:val="65814453"/>
    <w:rsid w:val="6586A00D"/>
    <w:rsid w:val="658E0E6F"/>
    <w:rsid w:val="658E6AA8"/>
    <w:rsid w:val="658F399C"/>
    <w:rsid w:val="65A21EF0"/>
    <w:rsid w:val="65AADC46"/>
    <w:rsid w:val="65AAE281"/>
    <w:rsid w:val="65AB10BA"/>
    <w:rsid w:val="65B8AE71"/>
    <w:rsid w:val="65E036BC"/>
    <w:rsid w:val="65E4E50B"/>
    <w:rsid w:val="65FC8157"/>
    <w:rsid w:val="65FD314E"/>
    <w:rsid w:val="65FFB2C6"/>
    <w:rsid w:val="6610CCFC"/>
    <w:rsid w:val="6621FD89"/>
    <w:rsid w:val="662B4D82"/>
    <w:rsid w:val="663BF27B"/>
    <w:rsid w:val="6646571E"/>
    <w:rsid w:val="66495828"/>
    <w:rsid w:val="664D445C"/>
    <w:rsid w:val="664F13D2"/>
    <w:rsid w:val="6666915E"/>
    <w:rsid w:val="6673EFDC"/>
    <w:rsid w:val="66755E85"/>
    <w:rsid w:val="6676AF54"/>
    <w:rsid w:val="6679E194"/>
    <w:rsid w:val="6680B6C3"/>
    <w:rsid w:val="668722F2"/>
    <w:rsid w:val="668CB2E8"/>
    <w:rsid w:val="668EB4BD"/>
    <w:rsid w:val="66B4A5E6"/>
    <w:rsid w:val="66B85E37"/>
    <w:rsid w:val="66C4609E"/>
    <w:rsid w:val="66CBFE5F"/>
    <w:rsid w:val="66D16896"/>
    <w:rsid w:val="66DBA738"/>
    <w:rsid w:val="66DD1132"/>
    <w:rsid w:val="66EB81A5"/>
    <w:rsid w:val="66ED74E1"/>
    <w:rsid w:val="66F4C368"/>
    <w:rsid w:val="66F798A6"/>
    <w:rsid w:val="6708A04A"/>
    <w:rsid w:val="6709FA93"/>
    <w:rsid w:val="6710ABD2"/>
    <w:rsid w:val="67161055"/>
    <w:rsid w:val="671AA020"/>
    <w:rsid w:val="672D9FC5"/>
    <w:rsid w:val="673001B3"/>
    <w:rsid w:val="673ADF15"/>
    <w:rsid w:val="673D1C7D"/>
    <w:rsid w:val="673D475B"/>
    <w:rsid w:val="6749EBB9"/>
    <w:rsid w:val="675455E6"/>
    <w:rsid w:val="6757E02D"/>
    <w:rsid w:val="675C39C5"/>
    <w:rsid w:val="675C774F"/>
    <w:rsid w:val="676813ED"/>
    <w:rsid w:val="6769D027"/>
    <w:rsid w:val="676A0D6F"/>
    <w:rsid w:val="676B2855"/>
    <w:rsid w:val="67704355"/>
    <w:rsid w:val="67865AEC"/>
    <w:rsid w:val="678AF680"/>
    <w:rsid w:val="678D6819"/>
    <w:rsid w:val="6799CC63"/>
    <w:rsid w:val="679DC08A"/>
    <w:rsid w:val="67A2272E"/>
    <w:rsid w:val="67A59D26"/>
    <w:rsid w:val="67AF481F"/>
    <w:rsid w:val="67C1D7A8"/>
    <w:rsid w:val="67C25766"/>
    <w:rsid w:val="67C46A94"/>
    <w:rsid w:val="67CEA178"/>
    <w:rsid w:val="67DC57CD"/>
    <w:rsid w:val="67DCB26A"/>
    <w:rsid w:val="67E225F3"/>
    <w:rsid w:val="67E5D2C5"/>
    <w:rsid w:val="67F911BF"/>
    <w:rsid w:val="680071B3"/>
    <w:rsid w:val="6809DCC9"/>
    <w:rsid w:val="681F1D17"/>
    <w:rsid w:val="6836CBD7"/>
    <w:rsid w:val="683A00B1"/>
    <w:rsid w:val="683DBBD6"/>
    <w:rsid w:val="68483CDC"/>
    <w:rsid w:val="68540B94"/>
    <w:rsid w:val="685DBBD2"/>
    <w:rsid w:val="685F07CF"/>
    <w:rsid w:val="6861E9EB"/>
    <w:rsid w:val="6871B0A2"/>
    <w:rsid w:val="6885B2F2"/>
    <w:rsid w:val="688CC802"/>
    <w:rsid w:val="688F3831"/>
    <w:rsid w:val="688F450B"/>
    <w:rsid w:val="68942B72"/>
    <w:rsid w:val="6896092C"/>
    <w:rsid w:val="68A4D7A6"/>
    <w:rsid w:val="68B2AD09"/>
    <w:rsid w:val="68BADB93"/>
    <w:rsid w:val="68BC2665"/>
    <w:rsid w:val="68C1F7D2"/>
    <w:rsid w:val="68C89655"/>
    <w:rsid w:val="68CFE3C6"/>
    <w:rsid w:val="68D1616B"/>
    <w:rsid w:val="68D9CE57"/>
    <w:rsid w:val="68E7C259"/>
    <w:rsid w:val="68F3CFB9"/>
    <w:rsid w:val="68F9284D"/>
    <w:rsid w:val="68FBB319"/>
    <w:rsid w:val="6903174B"/>
    <w:rsid w:val="690A8853"/>
    <w:rsid w:val="690B6A6C"/>
    <w:rsid w:val="69258592"/>
    <w:rsid w:val="69400095"/>
    <w:rsid w:val="69407260"/>
    <w:rsid w:val="6941B104"/>
    <w:rsid w:val="6946E54C"/>
    <w:rsid w:val="694AE4D1"/>
    <w:rsid w:val="694C88E8"/>
    <w:rsid w:val="6955B388"/>
    <w:rsid w:val="696E285B"/>
    <w:rsid w:val="696FDB92"/>
    <w:rsid w:val="69894FBF"/>
    <w:rsid w:val="699B8054"/>
    <w:rsid w:val="69A0AEEC"/>
    <w:rsid w:val="69B08680"/>
    <w:rsid w:val="69BDA9D2"/>
    <w:rsid w:val="69BDE92B"/>
    <w:rsid w:val="69C363DD"/>
    <w:rsid w:val="69C83F36"/>
    <w:rsid w:val="69CEB494"/>
    <w:rsid w:val="69D27427"/>
    <w:rsid w:val="69D9E077"/>
    <w:rsid w:val="69DF1AD7"/>
    <w:rsid w:val="69DF936C"/>
    <w:rsid w:val="69E04DE3"/>
    <w:rsid w:val="69E0E0F0"/>
    <w:rsid w:val="69E6F641"/>
    <w:rsid w:val="69FCF490"/>
    <w:rsid w:val="69FE0360"/>
    <w:rsid w:val="6A0F921A"/>
    <w:rsid w:val="6A119F23"/>
    <w:rsid w:val="6A123748"/>
    <w:rsid w:val="6A18CDE9"/>
    <w:rsid w:val="6A35D72E"/>
    <w:rsid w:val="6A3B31AD"/>
    <w:rsid w:val="6A464471"/>
    <w:rsid w:val="6A4CA12C"/>
    <w:rsid w:val="6A4D87F8"/>
    <w:rsid w:val="6A5302C4"/>
    <w:rsid w:val="6A5F918D"/>
    <w:rsid w:val="6A7B25E9"/>
    <w:rsid w:val="6A8312EC"/>
    <w:rsid w:val="6A83244D"/>
    <w:rsid w:val="6AA60570"/>
    <w:rsid w:val="6AA91B3E"/>
    <w:rsid w:val="6ABB8BF7"/>
    <w:rsid w:val="6ABC7BC8"/>
    <w:rsid w:val="6AC52BF1"/>
    <w:rsid w:val="6ACB5454"/>
    <w:rsid w:val="6ACD3817"/>
    <w:rsid w:val="6AD586F3"/>
    <w:rsid w:val="6AE0DB12"/>
    <w:rsid w:val="6AEDD43C"/>
    <w:rsid w:val="6AF288FC"/>
    <w:rsid w:val="6B007614"/>
    <w:rsid w:val="6B05D831"/>
    <w:rsid w:val="6B05EBB0"/>
    <w:rsid w:val="6B0EDE30"/>
    <w:rsid w:val="6B15EB80"/>
    <w:rsid w:val="6B197E9B"/>
    <w:rsid w:val="6B307E71"/>
    <w:rsid w:val="6B3848D9"/>
    <w:rsid w:val="6B44386A"/>
    <w:rsid w:val="6B4B3408"/>
    <w:rsid w:val="6B4EA7B1"/>
    <w:rsid w:val="6B558149"/>
    <w:rsid w:val="6B55A527"/>
    <w:rsid w:val="6B5819DC"/>
    <w:rsid w:val="6B5F98E5"/>
    <w:rsid w:val="6B676F6E"/>
    <w:rsid w:val="6B6C7F79"/>
    <w:rsid w:val="6B76F283"/>
    <w:rsid w:val="6B8D9EAC"/>
    <w:rsid w:val="6B968705"/>
    <w:rsid w:val="6BA03601"/>
    <w:rsid w:val="6BA8CFEF"/>
    <w:rsid w:val="6BB8BDF8"/>
    <w:rsid w:val="6BBCA9DD"/>
    <w:rsid w:val="6BCC03AE"/>
    <w:rsid w:val="6BCFF51D"/>
    <w:rsid w:val="6BD63783"/>
    <w:rsid w:val="6BD79E22"/>
    <w:rsid w:val="6BDF7D27"/>
    <w:rsid w:val="6BE6C54B"/>
    <w:rsid w:val="6BF0D2C1"/>
    <w:rsid w:val="6BF939A2"/>
    <w:rsid w:val="6C0B6242"/>
    <w:rsid w:val="6C10FE56"/>
    <w:rsid w:val="6C13C047"/>
    <w:rsid w:val="6C15E722"/>
    <w:rsid w:val="6C35CA3E"/>
    <w:rsid w:val="6C3CBE35"/>
    <w:rsid w:val="6C42C74D"/>
    <w:rsid w:val="6C529F81"/>
    <w:rsid w:val="6C5F10ED"/>
    <w:rsid w:val="6C71B5AC"/>
    <w:rsid w:val="6C73EED1"/>
    <w:rsid w:val="6C74D0DF"/>
    <w:rsid w:val="6C7B1C0D"/>
    <w:rsid w:val="6C7BA81B"/>
    <w:rsid w:val="6C7F3C1C"/>
    <w:rsid w:val="6C878204"/>
    <w:rsid w:val="6C976DA2"/>
    <w:rsid w:val="6C97AA09"/>
    <w:rsid w:val="6CA97FBF"/>
    <w:rsid w:val="6CC485AE"/>
    <w:rsid w:val="6CC903BF"/>
    <w:rsid w:val="6CC91345"/>
    <w:rsid w:val="6CD0DFC4"/>
    <w:rsid w:val="6CD26FD9"/>
    <w:rsid w:val="6CD59A06"/>
    <w:rsid w:val="6CE3A6E5"/>
    <w:rsid w:val="6CE69DF2"/>
    <w:rsid w:val="6CF084DE"/>
    <w:rsid w:val="6CF1D651"/>
    <w:rsid w:val="6CF72301"/>
    <w:rsid w:val="6D04643E"/>
    <w:rsid w:val="6D10F3C3"/>
    <w:rsid w:val="6D14E313"/>
    <w:rsid w:val="6D15AFF6"/>
    <w:rsid w:val="6D1C98AE"/>
    <w:rsid w:val="6D2AA1DB"/>
    <w:rsid w:val="6D301B12"/>
    <w:rsid w:val="6D30568F"/>
    <w:rsid w:val="6D3DF867"/>
    <w:rsid w:val="6D4E87A3"/>
    <w:rsid w:val="6D5C3B76"/>
    <w:rsid w:val="6D6FA6C5"/>
    <w:rsid w:val="6D74867D"/>
    <w:rsid w:val="6D75B376"/>
    <w:rsid w:val="6DA32F56"/>
    <w:rsid w:val="6DA7A4B4"/>
    <w:rsid w:val="6DABFD84"/>
    <w:rsid w:val="6DB48009"/>
    <w:rsid w:val="6DB8DB02"/>
    <w:rsid w:val="6DBD8032"/>
    <w:rsid w:val="6DC4F5A4"/>
    <w:rsid w:val="6DCB3255"/>
    <w:rsid w:val="6DD8DC22"/>
    <w:rsid w:val="6DDFCB3D"/>
    <w:rsid w:val="6DE75627"/>
    <w:rsid w:val="6DEA0C7E"/>
    <w:rsid w:val="6DEC9198"/>
    <w:rsid w:val="6DFEC7DA"/>
    <w:rsid w:val="6E10763A"/>
    <w:rsid w:val="6E1E103A"/>
    <w:rsid w:val="6E213281"/>
    <w:rsid w:val="6E24ECFB"/>
    <w:rsid w:val="6E3723A4"/>
    <w:rsid w:val="6E38BE72"/>
    <w:rsid w:val="6E48793A"/>
    <w:rsid w:val="6E544567"/>
    <w:rsid w:val="6E54A7AE"/>
    <w:rsid w:val="6E84C3CF"/>
    <w:rsid w:val="6EAF68E2"/>
    <w:rsid w:val="6EB1487A"/>
    <w:rsid w:val="6EC5EFB1"/>
    <w:rsid w:val="6ECFF5A2"/>
    <w:rsid w:val="6EF0B335"/>
    <w:rsid w:val="6EF9A8B4"/>
    <w:rsid w:val="6F03332D"/>
    <w:rsid w:val="6F06C942"/>
    <w:rsid w:val="6F109578"/>
    <w:rsid w:val="6F20F1DF"/>
    <w:rsid w:val="6F5A52AB"/>
    <w:rsid w:val="6F61BBA4"/>
    <w:rsid w:val="6F68B8A3"/>
    <w:rsid w:val="6F6AFC8B"/>
    <w:rsid w:val="6F7E1D39"/>
    <w:rsid w:val="6F853FD7"/>
    <w:rsid w:val="6F91D404"/>
    <w:rsid w:val="6F944B67"/>
    <w:rsid w:val="6F9BD97B"/>
    <w:rsid w:val="6FA5BB61"/>
    <w:rsid w:val="6FA819AE"/>
    <w:rsid w:val="6FB95841"/>
    <w:rsid w:val="6FB9A274"/>
    <w:rsid w:val="6FB9F00A"/>
    <w:rsid w:val="6FB9FBAC"/>
    <w:rsid w:val="6FBC8D84"/>
    <w:rsid w:val="6FBD1823"/>
    <w:rsid w:val="6FCA2C4A"/>
    <w:rsid w:val="6FCF94A9"/>
    <w:rsid w:val="6FD24FD7"/>
    <w:rsid w:val="6FD5537D"/>
    <w:rsid w:val="6FD5E620"/>
    <w:rsid w:val="6FE87830"/>
    <w:rsid w:val="6FF0A831"/>
    <w:rsid w:val="6FF19259"/>
    <w:rsid w:val="6FF57FFE"/>
    <w:rsid w:val="6FF5DD79"/>
    <w:rsid w:val="6FFF093D"/>
    <w:rsid w:val="70104B6D"/>
    <w:rsid w:val="70208DA3"/>
    <w:rsid w:val="70231515"/>
    <w:rsid w:val="7035FEBB"/>
    <w:rsid w:val="703A89CF"/>
    <w:rsid w:val="703C314C"/>
    <w:rsid w:val="70449A34"/>
    <w:rsid w:val="704B3DAB"/>
    <w:rsid w:val="70516238"/>
    <w:rsid w:val="7052A801"/>
    <w:rsid w:val="70533D21"/>
    <w:rsid w:val="7058B01E"/>
    <w:rsid w:val="706AD0D8"/>
    <w:rsid w:val="707C4FAE"/>
    <w:rsid w:val="708AF296"/>
    <w:rsid w:val="708D7AE0"/>
    <w:rsid w:val="7099EA5A"/>
    <w:rsid w:val="709A0BAC"/>
    <w:rsid w:val="709DA4C0"/>
    <w:rsid w:val="70A59E8A"/>
    <w:rsid w:val="70C03C8A"/>
    <w:rsid w:val="70C27574"/>
    <w:rsid w:val="70C77DE8"/>
    <w:rsid w:val="70CE95BE"/>
    <w:rsid w:val="70D205CF"/>
    <w:rsid w:val="70D3CA4A"/>
    <w:rsid w:val="70D3FB11"/>
    <w:rsid w:val="70DC875E"/>
    <w:rsid w:val="70DF3E26"/>
    <w:rsid w:val="70DF5318"/>
    <w:rsid w:val="70E147DE"/>
    <w:rsid w:val="70E8A572"/>
    <w:rsid w:val="70F5B1E1"/>
    <w:rsid w:val="70FF4B52"/>
    <w:rsid w:val="710174C6"/>
    <w:rsid w:val="7106E95D"/>
    <w:rsid w:val="71084A6E"/>
    <w:rsid w:val="710A48B2"/>
    <w:rsid w:val="710F9965"/>
    <w:rsid w:val="7111E12F"/>
    <w:rsid w:val="71162151"/>
    <w:rsid w:val="711EB25A"/>
    <w:rsid w:val="71234375"/>
    <w:rsid w:val="7124A590"/>
    <w:rsid w:val="712EF913"/>
    <w:rsid w:val="7137C9B8"/>
    <w:rsid w:val="71416712"/>
    <w:rsid w:val="714A153C"/>
    <w:rsid w:val="714F638C"/>
    <w:rsid w:val="71693102"/>
    <w:rsid w:val="717526AF"/>
    <w:rsid w:val="718DF539"/>
    <w:rsid w:val="718DF998"/>
    <w:rsid w:val="718E7B98"/>
    <w:rsid w:val="719101CF"/>
    <w:rsid w:val="7192BADF"/>
    <w:rsid w:val="7197365E"/>
    <w:rsid w:val="71A196B5"/>
    <w:rsid w:val="71A44394"/>
    <w:rsid w:val="71AD0D5A"/>
    <w:rsid w:val="71ADF22B"/>
    <w:rsid w:val="71B2EFEC"/>
    <w:rsid w:val="71BEE8E2"/>
    <w:rsid w:val="71C8994B"/>
    <w:rsid w:val="71D320EC"/>
    <w:rsid w:val="71D7BF98"/>
    <w:rsid w:val="71DBFF42"/>
    <w:rsid w:val="71E79F4D"/>
    <w:rsid w:val="71F05108"/>
    <w:rsid w:val="71F114C0"/>
    <w:rsid w:val="7216660D"/>
    <w:rsid w:val="721A9E2B"/>
    <w:rsid w:val="7227552B"/>
    <w:rsid w:val="722B7E33"/>
    <w:rsid w:val="7235C508"/>
    <w:rsid w:val="72380537"/>
    <w:rsid w:val="72401B4D"/>
    <w:rsid w:val="7240E9E8"/>
    <w:rsid w:val="7248319F"/>
    <w:rsid w:val="7250FF38"/>
    <w:rsid w:val="72658139"/>
    <w:rsid w:val="726BF7B0"/>
    <w:rsid w:val="727EE6C5"/>
    <w:rsid w:val="7285E585"/>
    <w:rsid w:val="72898065"/>
    <w:rsid w:val="728E547E"/>
    <w:rsid w:val="728F9BA8"/>
    <w:rsid w:val="7296EC41"/>
    <w:rsid w:val="72A43542"/>
    <w:rsid w:val="72AD73D6"/>
    <w:rsid w:val="72AF44F2"/>
    <w:rsid w:val="72B0B48E"/>
    <w:rsid w:val="72B32E59"/>
    <w:rsid w:val="72C11D4D"/>
    <w:rsid w:val="72C731EB"/>
    <w:rsid w:val="72CD48FF"/>
    <w:rsid w:val="72CE4794"/>
    <w:rsid w:val="72D019CE"/>
    <w:rsid w:val="72E567AF"/>
    <w:rsid w:val="72E82105"/>
    <w:rsid w:val="72EB3765"/>
    <w:rsid w:val="72FB9092"/>
    <w:rsid w:val="733FAF3B"/>
    <w:rsid w:val="7341D47B"/>
    <w:rsid w:val="7355A118"/>
    <w:rsid w:val="7355B86F"/>
    <w:rsid w:val="7355DEF3"/>
    <w:rsid w:val="73623E51"/>
    <w:rsid w:val="73668D48"/>
    <w:rsid w:val="7366FCFB"/>
    <w:rsid w:val="73677C3B"/>
    <w:rsid w:val="736AA081"/>
    <w:rsid w:val="73748B9F"/>
    <w:rsid w:val="73773C0D"/>
    <w:rsid w:val="737B0B04"/>
    <w:rsid w:val="7388808B"/>
    <w:rsid w:val="738F2FCE"/>
    <w:rsid w:val="739E1ABD"/>
    <w:rsid w:val="73A17E5E"/>
    <w:rsid w:val="73ACF074"/>
    <w:rsid w:val="73C479C4"/>
    <w:rsid w:val="73CA3F1B"/>
    <w:rsid w:val="73CA611C"/>
    <w:rsid w:val="73CDEA03"/>
    <w:rsid w:val="73CE45BB"/>
    <w:rsid w:val="73D2577E"/>
    <w:rsid w:val="73D2CB9D"/>
    <w:rsid w:val="73D3F644"/>
    <w:rsid w:val="73D73A0D"/>
    <w:rsid w:val="73DCE503"/>
    <w:rsid w:val="73E85E93"/>
    <w:rsid w:val="73F0DBF6"/>
    <w:rsid w:val="73FB71E3"/>
    <w:rsid w:val="74056408"/>
    <w:rsid w:val="7405C17E"/>
    <w:rsid w:val="7406EC23"/>
    <w:rsid w:val="7407D460"/>
    <w:rsid w:val="74113D54"/>
    <w:rsid w:val="7420B06D"/>
    <w:rsid w:val="74257EE2"/>
    <w:rsid w:val="742F1711"/>
    <w:rsid w:val="7432649B"/>
    <w:rsid w:val="74450885"/>
    <w:rsid w:val="744DF0E9"/>
    <w:rsid w:val="7458E951"/>
    <w:rsid w:val="7460C85A"/>
    <w:rsid w:val="7469484A"/>
    <w:rsid w:val="7471C63E"/>
    <w:rsid w:val="7473E910"/>
    <w:rsid w:val="7478EE4F"/>
    <w:rsid w:val="747F0227"/>
    <w:rsid w:val="74825372"/>
    <w:rsid w:val="748D4102"/>
    <w:rsid w:val="748D4D12"/>
    <w:rsid w:val="74A86F34"/>
    <w:rsid w:val="74AA844D"/>
    <w:rsid w:val="74B003C1"/>
    <w:rsid w:val="74B859F3"/>
    <w:rsid w:val="74C00403"/>
    <w:rsid w:val="74CA48C3"/>
    <w:rsid w:val="74D201EB"/>
    <w:rsid w:val="74D53695"/>
    <w:rsid w:val="74D7A7BF"/>
    <w:rsid w:val="74E24CBC"/>
    <w:rsid w:val="74E6BECD"/>
    <w:rsid w:val="74EF1595"/>
    <w:rsid w:val="74F1BCFD"/>
    <w:rsid w:val="750AD97F"/>
    <w:rsid w:val="75111C92"/>
    <w:rsid w:val="752E9252"/>
    <w:rsid w:val="7533D254"/>
    <w:rsid w:val="75445F6F"/>
    <w:rsid w:val="754B4D8A"/>
    <w:rsid w:val="75591BC0"/>
    <w:rsid w:val="755D0BB8"/>
    <w:rsid w:val="75666971"/>
    <w:rsid w:val="757A1D0E"/>
    <w:rsid w:val="757CA5DF"/>
    <w:rsid w:val="758353B8"/>
    <w:rsid w:val="7584B288"/>
    <w:rsid w:val="75899B89"/>
    <w:rsid w:val="75A15396"/>
    <w:rsid w:val="75A698D5"/>
    <w:rsid w:val="75C2D233"/>
    <w:rsid w:val="75D2C15B"/>
    <w:rsid w:val="75E3F407"/>
    <w:rsid w:val="7603B2AB"/>
    <w:rsid w:val="76153E89"/>
    <w:rsid w:val="762B0DF6"/>
    <w:rsid w:val="762CEB91"/>
    <w:rsid w:val="76310D92"/>
    <w:rsid w:val="76339315"/>
    <w:rsid w:val="76357139"/>
    <w:rsid w:val="76375802"/>
    <w:rsid w:val="763A0F60"/>
    <w:rsid w:val="763E0FAE"/>
    <w:rsid w:val="764C9720"/>
    <w:rsid w:val="76559DBC"/>
    <w:rsid w:val="765C63DA"/>
    <w:rsid w:val="7660419B"/>
    <w:rsid w:val="76645C5F"/>
    <w:rsid w:val="7674ADE5"/>
    <w:rsid w:val="7680D5C5"/>
    <w:rsid w:val="768D71EF"/>
    <w:rsid w:val="7690FE7B"/>
    <w:rsid w:val="769E402A"/>
    <w:rsid w:val="76A05428"/>
    <w:rsid w:val="76A23DB7"/>
    <w:rsid w:val="76A3B5B3"/>
    <w:rsid w:val="76A43D98"/>
    <w:rsid w:val="76A548AB"/>
    <w:rsid w:val="76AD4A7E"/>
    <w:rsid w:val="76AE7502"/>
    <w:rsid w:val="76B5DC7E"/>
    <w:rsid w:val="76B5DC82"/>
    <w:rsid w:val="76B5E209"/>
    <w:rsid w:val="76B8B361"/>
    <w:rsid w:val="76BA7FFA"/>
    <w:rsid w:val="76BE14F8"/>
    <w:rsid w:val="76C233D8"/>
    <w:rsid w:val="76D1A155"/>
    <w:rsid w:val="76D701AE"/>
    <w:rsid w:val="76D950D8"/>
    <w:rsid w:val="76DDE91C"/>
    <w:rsid w:val="76EF83A3"/>
    <w:rsid w:val="76F3E4A5"/>
    <w:rsid w:val="770690CB"/>
    <w:rsid w:val="77095A55"/>
    <w:rsid w:val="7709B000"/>
    <w:rsid w:val="770C6660"/>
    <w:rsid w:val="770F21A1"/>
    <w:rsid w:val="7713E5D6"/>
    <w:rsid w:val="77159CDD"/>
    <w:rsid w:val="7716B481"/>
    <w:rsid w:val="77174D30"/>
    <w:rsid w:val="77207E00"/>
    <w:rsid w:val="77226670"/>
    <w:rsid w:val="774853F3"/>
    <w:rsid w:val="774E9726"/>
    <w:rsid w:val="774EE192"/>
    <w:rsid w:val="7751D6BB"/>
    <w:rsid w:val="7754E5E3"/>
    <w:rsid w:val="7755AA50"/>
    <w:rsid w:val="7759E5E1"/>
    <w:rsid w:val="775F628A"/>
    <w:rsid w:val="77616835"/>
    <w:rsid w:val="777F608A"/>
    <w:rsid w:val="7783127B"/>
    <w:rsid w:val="778B055A"/>
    <w:rsid w:val="778CD879"/>
    <w:rsid w:val="77C51CEE"/>
    <w:rsid w:val="77C7F444"/>
    <w:rsid w:val="77CA1657"/>
    <w:rsid w:val="77CB5AC1"/>
    <w:rsid w:val="77D35FE4"/>
    <w:rsid w:val="77E0EA07"/>
    <w:rsid w:val="77E8F552"/>
    <w:rsid w:val="77EFD4E1"/>
    <w:rsid w:val="780034A0"/>
    <w:rsid w:val="78012CEF"/>
    <w:rsid w:val="7810F859"/>
    <w:rsid w:val="7817E092"/>
    <w:rsid w:val="781B91DA"/>
    <w:rsid w:val="781FE1C5"/>
    <w:rsid w:val="7820E0E4"/>
    <w:rsid w:val="783DE1FD"/>
    <w:rsid w:val="785E7D83"/>
    <w:rsid w:val="7861CE10"/>
    <w:rsid w:val="7863E7D2"/>
    <w:rsid w:val="78781143"/>
    <w:rsid w:val="788659D3"/>
    <w:rsid w:val="78903090"/>
    <w:rsid w:val="78907C76"/>
    <w:rsid w:val="789B9BE4"/>
    <w:rsid w:val="78A003B8"/>
    <w:rsid w:val="78A25B6F"/>
    <w:rsid w:val="78A40499"/>
    <w:rsid w:val="78ABBA62"/>
    <w:rsid w:val="78AD9516"/>
    <w:rsid w:val="78B7C683"/>
    <w:rsid w:val="78C25CEE"/>
    <w:rsid w:val="78D9B720"/>
    <w:rsid w:val="78DD795A"/>
    <w:rsid w:val="78E0DBD3"/>
    <w:rsid w:val="78EB95FB"/>
    <w:rsid w:val="78ED2978"/>
    <w:rsid w:val="78F5E729"/>
    <w:rsid w:val="78F696F2"/>
    <w:rsid w:val="78FB6B5B"/>
    <w:rsid w:val="78FFCBC1"/>
    <w:rsid w:val="7900ED75"/>
    <w:rsid w:val="790600DD"/>
    <w:rsid w:val="790AA46E"/>
    <w:rsid w:val="7918DF66"/>
    <w:rsid w:val="791A098F"/>
    <w:rsid w:val="791D85AD"/>
    <w:rsid w:val="79201764"/>
    <w:rsid w:val="79336DC9"/>
    <w:rsid w:val="793B1702"/>
    <w:rsid w:val="7948ECB3"/>
    <w:rsid w:val="7962E89A"/>
    <w:rsid w:val="79769FF4"/>
    <w:rsid w:val="797A67CD"/>
    <w:rsid w:val="797B059D"/>
    <w:rsid w:val="7999921C"/>
    <w:rsid w:val="79ABFCB3"/>
    <w:rsid w:val="79B82B06"/>
    <w:rsid w:val="79BF56E4"/>
    <w:rsid w:val="79C43E67"/>
    <w:rsid w:val="79C5F7AE"/>
    <w:rsid w:val="79E0D370"/>
    <w:rsid w:val="79E1A589"/>
    <w:rsid w:val="79E790F8"/>
    <w:rsid w:val="79E896A5"/>
    <w:rsid w:val="79E96940"/>
    <w:rsid w:val="79F27965"/>
    <w:rsid w:val="79F2CFC1"/>
    <w:rsid w:val="79F62337"/>
    <w:rsid w:val="7A00E99C"/>
    <w:rsid w:val="7A07B50C"/>
    <w:rsid w:val="7A0BB30E"/>
    <w:rsid w:val="7A0F00DC"/>
    <w:rsid w:val="7A10ED2D"/>
    <w:rsid w:val="7A2D4A22"/>
    <w:rsid w:val="7A395E03"/>
    <w:rsid w:val="7A40E7B6"/>
    <w:rsid w:val="7A4A6972"/>
    <w:rsid w:val="7A5B6A57"/>
    <w:rsid w:val="7A66B003"/>
    <w:rsid w:val="7A67FA39"/>
    <w:rsid w:val="7A6BB61C"/>
    <w:rsid w:val="7A72304F"/>
    <w:rsid w:val="7A74CF8A"/>
    <w:rsid w:val="7A7CAEF3"/>
    <w:rsid w:val="7A804EC4"/>
    <w:rsid w:val="7A81E7F7"/>
    <w:rsid w:val="7A821855"/>
    <w:rsid w:val="7A8424DC"/>
    <w:rsid w:val="7A97D461"/>
    <w:rsid w:val="7A9E506C"/>
    <w:rsid w:val="7AA2B987"/>
    <w:rsid w:val="7AC04992"/>
    <w:rsid w:val="7AC6FCC5"/>
    <w:rsid w:val="7AE93C0C"/>
    <w:rsid w:val="7AF8E68B"/>
    <w:rsid w:val="7AFC2BC6"/>
    <w:rsid w:val="7AFDAA22"/>
    <w:rsid w:val="7B097EED"/>
    <w:rsid w:val="7B31E317"/>
    <w:rsid w:val="7B4F9317"/>
    <w:rsid w:val="7B6CFCD9"/>
    <w:rsid w:val="7B8D8CAE"/>
    <w:rsid w:val="7B975520"/>
    <w:rsid w:val="7BA23553"/>
    <w:rsid w:val="7BA80B23"/>
    <w:rsid w:val="7BAA1F26"/>
    <w:rsid w:val="7BAC7CEB"/>
    <w:rsid w:val="7BB3ACFD"/>
    <w:rsid w:val="7BBF736A"/>
    <w:rsid w:val="7BCE774D"/>
    <w:rsid w:val="7BD33BBE"/>
    <w:rsid w:val="7BD83D5C"/>
    <w:rsid w:val="7BDA689E"/>
    <w:rsid w:val="7BE1DABF"/>
    <w:rsid w:val="7BF2C3D8"/>
    <w:rsid w:val="7BF35948"/>
    <w:rsid w:val="7C02B242"/>
    <w:rsid w:val="7C142327"/>
    <w:rsid w:val="7C25D0EB"/>
    <w:rsid w:val="7C2C145C"/>
    <w:rsid w:val="7C34C27C"/>
    <w:rsid w:val="7C4046D8"/>
    <w:rsid w:val="7C438917"/>
    <w:rsid w:val="7C45EA2C"/>
    <w:rsid w:val="7C512509"/>
    <w:rsid w:val="7C5A5576"/>
    <w:rsid w:val="7C60B876"/>
    <w:rsid w:val="7C64C22A"/>
    <w:rsid w:val="7C6E7957"/>
    <w:rsid w:val="7C7DA657"/>
    <w:rsid w:val="7C836697"/>
    <w:rsid w:val="7C88BC82"/>
    <w:rsid w:val="7C8C7E2F"/>
    <w:rsid w:val="7C9AC31D"/>
    <w:rsid w:val="7CAE33B2"/>
    <w:rsid w:val="7CAE7CC7"/>
    <w:rsid w:val="7CC04862"/>
    <w:rsid w:val="7CC68559"/>
    <w:rsid w:val="7CCFBB33"/>
    <w:rsid w:val="7CD5CEDB"/>
    <w:rsid w:val="7CDAA9F4"/>
    <w:rsid w:val="7CE36B6E"/>
    <w:rsid w:val="7CE3768E"/>
    <w:rsid w:val="7CEA0CCC"/>
    <w:rsid w:val="7CECB984"/>
    <w:rsid w:val="7D04836D"/>
    <w:rsid w:val="7D1A4BBD"/>
    <w:rsid w:val="7D1CB441"/>
    <w:rsid w:val="7D1D0BEB"/>
    <w:rsid w:val="7D228B31"/>
    <w:rsid w:val="7D2D2B9C"/>
    <w:rsid w:val="7D35C243"/>
    <w:rsid w:val="7D394C80"/>
    <w:rsid w:val="7D3D8305"/>
    <w:rsid w:val="7D4D2C0C"/>
    <w:rsid w:val="7D6448A5"/>
    <w:rsid w:val="7D6DFDC5"/>
    <w:rsid w:val="7D704965"/>
    <w:rsid w:val="7D719F2C"/>
    <w:rsid w:val="7D778C3F"/>
    <w:rsid w:val="7D794744"/>
    <w:rsid w:val="7D7E66FD"/>
    <w:rsid w:val="7D87BB6A"/>
    <w:rsid w:val="7D96DC79"/>
    <w:rsid w:val="7D9B1889"/>
    <w:rsid w:val="7D9B4217"/>
    <w:rsid w:val="7D9D978F"/>
    <w:rsid w:val="7DA6FFA0"/>
    <w:rsid w:val="7DAE2610"/>
    <w:rsid w:val="7DB07C68"/>
    <w:rsid w:val="7DB91313"/>
    <w:rsid w:val="7DBD7759"/>
    <w:rsid w:val="7DBF8665"/>
    <w:rsid w:val="7DC114B1"/>
    <w:rsid w:val="7DC8FE2A"/>
    <w:rsid w:val="7DCB7106"/>
    <w:rsid w:val="7DCD9967"/>
    <w:rsid w:val="7DD9029E"/>
    <w:rsid w:val="7DE77754"/>
    <w:rsid w:val="7DF1326A"/>
    <w:rsid w:val="7DF1DC8E"/>
    <w:rsid w:val="7DF6A011"/>
    <w:rsid w:val="7DFADA3A"/>
    <w:rsid w:val="7DFCCA04"/>
    <w:rsid w:val="7E00DBBB"/>
    <w:rsid w:val="7E03A689"/>
    <w:rsid w:val="7E08006A"/>
    <w:rsid w:val="7E1D4CA7"/>
    <w:rsid w:val="7E269810"/>
    <w:rsid w:val="7E3641B1"/>
    <w:rsid w:val="7E3E75EB"/>
    <w:rsid w:val="7E3E7691"/>
    <w:rsid w:val="7E4BBB5E"/>
    <w:rsid w:val="7E5D6E69"/>
    <w:rsid w:val="7E6173EE"/>
    <w:rsid w:val="7E6907CA"/>
    <w:rsid w:val="7E6BDF19"/>
    <w:rsid w:val="7E71A430"/>
    <w:rsid w:val="7E799EAC"/>
    <w:rsid w:val="7E7FE9F2"/>
    <w:rsid w:val="7E8809B3"/>
    <w:rsid w:val="7E8A2C94"/>
    <w:rsid w:val="7E9AC98D"/>
    <w:rsid w:val="7E9FB52B"/>
    <w:rsid w:val="7EAA8A5A"/>
    <w:rsid w:val="7EABE3B5"/>
    <w:rsid w:val="7EB6A777"/>
    <w:rsid w:val="7EB7F257"/>
    <w:rsid w:val="7EB9B3B1"/>
    <w:rsid w:val="7EDC0C21"/>
    <w:rsid w:val="7EDD72FC"/>
    <w:rsid w:val="7EE4F9B4"/>
    <w:rsid w:val="7EE5D86E"/>
    <w:rsid w:val="7EEEC111"/>
    <w:rsid w:val="7EFF7328"/>
    <w:rsid w:val="7F05821B"/>
    <w:rsid w:val="7F0D5FF0"/>
    <w:rsid w:val="7F1DFC27"/>
    <w:rsid w:val="7F1EB54F"/>
    <w:rsid w:val="7F21E801"/>
    <w:rsid w:val="7F2B28D6"/>
    <w:rsid w:val="7F434A2A"/>
    <w:rsid w:val="7F4BAAE0"/>
    <w:rsid w:val="7F4BF2C5"/>
    <w:rsid w:val="7F521F92"/>
    <w:rsid w:val="7F540DF6"/>
    <w:rsid w:val="7F5F4CC6"/>
    <w:rsid w:val="7F6047B2"/>
    <w:rsid w:val="7F64226E"/>
    <w:rsid w:val="7F65461B"/>
    <w:rsid w:val="7F6D1C9A"/>
    <w:rsid w:val="7F74876D"/>
    <w:rsid w:val="7F820612"/>
    <w:rsid w:val="7F85B808"/>
    <w:rsid w:val="7F8BAF0A"/>
    <w:rsid w:val="7F8FA95B"/>
    <w:rsid w:val="7F97F4E6"/>
    <w:rsid w:val="7F9A5760"/>
    <w:rsid w:val="7FA301AE"/>
    <w:rsid w:val="7FAFF242"/>
    <w:rsid w:val="7FB4DA9B"/>
    <w:rsid w:val="7FB71704"/>
    <w:rsid w:val="7FB71C63"/>
    <w:rsid w:val="7FB7D04D"/>
    <w:rsid w:val="7FCE5699"/>
    <w:rsid w:val="7FD2EEBC"/>
    <w:rsid w:val="7FD4617F"/>
    <w:rsid w:val="7FE02AEB"/>
    <w:rsid w:val="7FED49E6"/>
    <w:rsid w:val="7FEF1A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82E6ECC"/>
  <w15:docId w15:val="{D0FD19EB-9645-485F-A75F-4C8C769B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fr-FR"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eastAsia="en-US"/>
    </w:rPr>
  </w:style>
  <w:style w:type="paragraph" w:styleId="Heading1">
    <w:name w:val="heading 1"/>
    <w:basedOn w:val="Normal"/>
    <w:uiPriority w:val="9"/>
    <w:qFormat/>
    <w:pPr>
      <w:ind w:left="383" w:hanging="480"/>
      <w:outlineLvl w:val="0"/>
    </w:pPr>
    <w:rPr>
      <w:b/>
      <w:bCs/>
      <w:sz w:val="24"/>
      <w:szCs w:val="24"/>
    </w:rPr>
  </w:style>
  <w:style w:type="paragraph" w:styleId="Heading2">
    <w:name w:val="heading 2"/>
    <w:basedOn w:val="Normal"/>
    <w:uiPriority w:val="9"/>
    <w:unhideWhenUsed/>
    <w:qFormat/>
    <w:pPr>
      <w:spacing w:before="201"/>
      <w:ind w:left="743"/>
      <w:outlineLvl w:val="1"/>
    </w:pPr>
    <w:rPr>
      <w:b/>
      <w:bCs/>
      <w:sz w:val="24"/>
      <w:szCs w:val="24"/>
    </w:rPr>
  </w:style>
  <w:style w:type="paragraph" w:styleId="Heading3">
    <w:name w:val="heading 3"/>
    <w:basedOn w:val="Normal"/>
    <w:uiPriority w:val="9"/>
    <w:unhideWhenUsed/>
    <w:qFormat/>
    <w:pPr>
      <w:spacing w:before="79"/>
      <w:ind w:left="742" w:hanging="359"/>
      <w:outlineLvl w:val="2"/>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41"/>
    </w:pPr>
    <w:rPr>
      <w:rFonts w:ascii="Arial" w:eastAsia="Arial" w:hAnsi="Arial" w:cs="Arial"/>
      <w:b/>
      <w:bCs/>
      <w:sz w:val="48"/>
      <w:szCs w:val="48"/>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paragraph" w:styleId="FootnoteText">
    <w:name w:val="footnote text"/>
    <w:basedOn w:val="Normal"/>
    <w:uiPriority w:val="99"/>
    <w:unhideWhenUsed/>
    <w:rsid w:val="00DA3B72"/>
    <w:rPr>
      <w:sz w:val="20"/>
      <w:szCs w:val="20"/>
    </w:rPr>
  </w:style>
  <w:style w:type="character" w:customStyle="1" w:styleId="FootnoteTextChar">
    <w:name w:val="Footnote Text Char"/>
    <w:uiPriority w:val="99"/>
    <w:rsid w:val="00DA3B72"/>
    <w:rPr>
      <w:rFonts w:ascii="Times New Roman" w:eastAsia="Times New Roman" w:hAnsi="Times New Roman" w:cs="Times New Roman"/>
      <w:sz w:val="20"/>
      <w:szCs w:val="20"/>
    </w:rPr>
  </w:style>
  <w:style w:type="character" w:styleId="FootnoteReference">
    <w:name w:val="footnote reference"/>
    <w:uiPriority w:val="99"/>
    <w:semiHidden/>
    <w:unhideWhenUsed/>
    <w:rsid w:val="00DA3B72"/>
    <w:rPr>
      <w:vertAlign w:val="superscript"/>
    </w:rPr>
  </w:style>
  <w:style w:type="character" w:styleId="Hyperlink">
    <w:name w:val="Hyperlink"/>
    <w:uiPriority w:val="99"/>
    <w:unhideWhenUsed/>
    <w:rsid w:val="00DA3B72"/>
    <w:rPr>
      <w:color w:val="0000FF"/>
      <w:u w:val="single"/>
    </w:rPr>
  </w:style>
  <w:style w:type="character" w:customStyle="1" w:styleId="UnresolvedMention1">
    <w:name w:val="Unresolved Mention1"/>
    <w:uiPriority w:val="99"/>
    <w:semiHidden/>
    <w:unhideWhenUsed/>
    <w:rsid w:val="00DA3B72"/>
    <w:rPr>
      <w:color w:val="605E5C"/>
      <w:shd w:val="clear" w:color="auto" w:fill="E1DFDD"/>
    </w:rPr>
  </w:style>
  <w:style w:type="character" w:customStyle="1" w:styleId="BodyTextChar">
    <w:name w:val="Body Text Char"/>
    <w:link w:val="BodyText"/>
    <w:uiPriority w:val="1"/>
    <w:rsid w:val="00E8340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76BA"/>
    <w:pPr>
      <w:tabs>
        <w:tab w:val="center" w:pos="4680"/>
        <w:tab w:val="right" w:pos="9360"/>
      </w:tabs>
    </w:pPr>
  </w:style>
  <w:style w:type="character" w:customStyle="1" w:styleId="HeaderChar">
    <w:name w:val="Header Char"/>
    <w:link w:val="Header"/>
    <w:uiPriority w:val="99"/>
    <w:rsid w:val="001B76BA"/>
    <w:rPr>
      <w:rFonts w:ascii="Times New Roman" w:eastAsia="Times New Roman" w:hAnsi="Times New Roman" w:cs="Times New Roman"/>
    </w:rPr>
  </w:style>
  <w:style w:type="paragraph" w:styleId="Footer">
    <w:name w:val="footer"/>
    <w:basedOn w:val="Normal"/>
    <w:link w:val="FooterChar"/>
    <w:uiPriority w:val="99"/>
    <w:unhideWhenUsed/>
    <w:rsid w:val="001B76BA"/>
    <w:pPr>
      <w:tabs>
        <w:tab w:val="center" w:pos="4680"/>
        <w:tab w:val="right" w:pos="9360"/>
      </w:tabs>
    </w:pPr>
  </w:style>
  <w:style w:type="character" w:customStyle="1" w:styleId="FooterChar">
    <w:name w:val="Footer Char"/>
    <w:link w:val="Footer"/>
    <w:uiPriority w:val="99"/>
    <w:rsid w:val="001B76BA"/>
    <w:rPr>
      <w:rFonts w:ascii="Times New Roman" w:eastAsia="Times New Roman" w:hAnsi="Times New Roman" w:cs="Times New Roman"/>
    </w:rPr>
  </w:style>
  <w:style w:type="paragraph" w:styleId="CommentText">
    <w:name w:val="annotation text"/>
    <w:basedOn w:val="Normal"/>
    <w:link w:val="CommentTextChar"/>
    <w:uiPriority w:val="99"/>
    <w:unhideWhenUsed/>
    <w:rsid w:val="00D96319"/>
    <w:rPr>
      <w:sz w:val="20"/>
      <w:szCs w:val="20"/>
    </w:rPr>
  </w:style>
  <w:style w:type="character" w:customStyle="1" w:styleId="CommentTextChar">
    <w:name w:val="Comment Text Char"/>
    <w:link w:val="CommentText"/>
    <w:uiPriority w:val="99"/>
    <w:rsid w:val="00D96319"/>
    <w:rPr>
      <w:rFonts w:ascii="Times New Roman" w:eastAsia="Times New Roman" w:hAnsi="Times New Roman" w:cs="Times New Roman"/>
      <w:sz w:val="20"/>
      <w:szCs w:val="20"/>
    </w:rPr>
  </w:style>
  <w:style w:type="character" w:styleId="CommentReference">
    <w:name w:val="annotation reference"/>
    <w:uiPriority w:val="99"/>
    <w:semiHidden/>
    <w:unhideWhenUsed/>
    <w:rsid w:val="00D96319"/>
    <w:rPr>
      <w:sz w:val="16"/>
      <w:szCs w:val="16"/>
    </w:rPr>
  </w:style>
  <w:style w:type="paragraph" w:styleId="Revision">
    <w:name w:val="Revision"/>
    <w:hidden/>
    <w:uiPriority w:val="99"/>
    <w:semiHidden/>
    <w:rsid w:val="00B41D51"/>
    <w:rPr>
      <w:rFonts w:ascii="Times New Roman" w:eastAsia="Times New Roman" w:hAnsi="Times New Roman" w:cs="Times New Roman"/>
      <w:sz w:val="22"/>
      <w:szCs w:val="22"/>
      <w:lang w:eastAsia="en-US"/>
    </w:rPr>
  </w:style>
  <w:style w:type="paragraph" w:styleId="CommentSubject">
    <w:name w:val="annotation subject"/>
    <w:basedOn w:val="CommentText"/>
    <w:next w:val="CommentText"/>
    <w:link w:val="CommentSubjectChar"/>
    <w:uiPriority w:val="99"/>
    <w:semiHidden/>
    <w:unhideWhenUsed/>
    <w:rsid w:val="008A1D89"/>
    <w:rPr>
      <w:b/>
      <w:bCs/>
    </w:rPr>
  </w:style>
  <w:style w:type="character" w:customStyle="1" w:styleId="CommentSubjectChar">
    <w:name w:val="Comment Subject Char"/>
    <w:link w:val="CommentSubject"/>
    <w:uiPriority w:val="99"/>
    <w:semiHidden/>
    <w:rsid w:val="008A1D89"/>
    <w:rPr>
      <w:rFonts w:ascii="Times New Roman" w:eastAsia="Times New Roman" w:hAnsi="Times New Roman" w:cs="Times New Roman"/>
      <w:b/>
      <w:bCs/>
      <w:sz w:val="20"/>
      <w:szCs w:val="20"/>
    </w:rPr>
  </w:style>
  <w:style w:type="character" w:customStyle="1" w:styleId="Mention1">
    <w:name w:val="Mention1"/>
    <w:uiPriority w:val="99"/>
    <w:unhideWhenUsed/>
    <w:rsid w:val="00220C5B"/>
    <w:rPr>
      <w:color w:val="2B579A"/>
      <w:shd w:val="clear" w:color="auto" w:fill="E1DFDD"/>
    </w:rPr>
  </w:style>
  <w:style w:type="paragraph" w:styleId="EndnoteText">
    <w:name w:val="endnote text"/>
    <w:basedOn w:val="Normal"/>
    <w:link w:val="EndnoteTextChar"/>
    <w:uiPriority w:val="99"/>
    <w:semiHidden/>
    <w:unhideWhenUsed/>
    <w:rsid w:val="0034627C"/>
    <w:rPr>
      <w:sz w:val="20"/>
      <w:szCs w:val="20"/>
    </w:rPr>
  </w:style>
  <w:style w:type="character" w:customStyle="1" w:styleId="EndnoteTextChar">
    <w:name w:val="Endnote Text Char"/>
    <w:link w:val="EndnoteText"/>
    <w:uiPriority w:val="99"/>
    <w:semiHidden/>
    <w:rsid w:val="0034627C"/>
    <w:rPr>
      <w:rFonts w:ascii="Times New Roman" w:eastAsia="Times New Roman" w:hAnsi="Times New Roman" w:cs="Times New Roman"/>
      <w:sz w:val="20"/>
      <w:szCs w:val="20"/>
    </w:rPr>
  </w:style>
  <w:style w:type="character" w:styleId="EndnoteReference">
    <w:name w:val="endnote reference"/>
    <w:uiPriority w:val="99"/>
    <w:semiHidden/>
    <w:unhideWhenUsed/>
    <w:rsid w:val="0034627C"/>
    <w:rPr>
      <w:vertAlign w:val="superscript"/>
    </w:rPr>
  </w:style>
  <w:style w:type="character" w:customStyle="1" w:styleId="Marker">
    <w:name w:val="Marker"/>
    <w:rsid w:val="00E32103"/>
    <w:rPr>
      <w:color w:val="0000FF"/>
      <w:shd w:val="clear" w:color="auto" w:fill="auto"/>
    </w:rPr>
  </w:style>
  <w:style w:type="paragraph" w:customStyle="1" w:styleId="Pagedecouverture">
    <w:name w:val="Page de couverture"/>
    <w:basedOn w:val="Normal"/>
    <w:next w:val="Normal"/>
    <w:link w:val="PagedecouvertureChar"/>
    <w:rsid w:val="00E32103"/>
    <w:pPr>
      <w:widowControl/>
      <w:autoSpaceDE/>
      <w:autoSpaceDN/>
      <w:jc w:val="both"/>
    </w:pPr>
    <w:rPr>
      <w:rFonts w:eastAsia="Calibri"/>
      <w:sz w:val="24"/>
    </w:rPr>
  </w:style>
  <w:style w:type="paragraph" w:customStyle="1" w:styleId="Typedudocument">
    <w:name w:val="Type du document"/>
    <w:basedOn w:val="Normal"/>
    <w:next w:val="Normal"/>
    <w:rsid w:val="00E32103"/>
    <w:pPr>
      <w:widowControl/>
      <w:autoSpaceDE/>
      <w:autoSpaceDN/>
      <w:spacing w:before="360"/>
      <w:jc w:val="center"/>
    </w:pPr>
    <w:rPr>
      <w:rFonts w:eastAsia="Calibri"/>
      <w:b/>
      <w:sz w:val="24"/>
    </w:rPr>
  </w:style>
  <w:style w:type="paragraph" w:customStyle="1" w:styleId="Titreobjet">
    <w:name w:val="Titre objet"/>
    <w:basedOn w:val="Normal"/>
    <w:next w:val="Normal"/>
    <w:rsid w:val="00E32103"/>
    <w:pPr>
      <w:widowControl/>
      <w:autoSpaceDE/>
      <w:autoSpaceDN/>
      <w:spacing w:before="360" w:after="360"/>
      <w:jc w:val="center"/>
    </w:pPr>
    <w:rPr>
      <w:rFonts w:eastAsia="Calibri"/>
      <w:b/>
      <w:sz w:val="24"/>
    </w:rPr>
  </w:style>
  <w:style w:type="paragraph" w:customStyle="1" w:styleId="FooterCoverPage">
    <w:name w:val="Footer Cover Page"/>
    <w:basedOn w:val="Normal"/>
    <w:link w:val="FooterCoverPageChar"/>
    <w:rsid w:val="00E32103"/>
    <w:pPr>
      <w:tabs>
        <w:tab w:val="center" w:pos="4535"/>
        <w:tab w:val="right" w:pos="9071"/>
        <w:tab w:val="right" w:pos="9921"/>
      </w:tabs>
      <w:spacing w:before="360"/>
      <w:ind w:left="-850" w:right="-850"/>
    </w:pPr>
    <w:rPr>
      <w:sz w:val="24"/>
    </w:rPr>
  </w:style>
  <w:style w:type="character" w:customStyle="1" w:styleId="PagedecouvertureChar">
    <w:name w:val="Page de couverture Char"/>
    <w:link w:val="Pagedecouverture"/>
    <w:rsid w:val="00E32103"/>
    <w:rPr>
      <w:rFonts w:ascii="Times New Roman" w:hAnsi="Times New Roman" w:cs="Times New Roman"/>
      <w:sz w:val="24"/>
    </w:rPr>
  </w:style>
  <w:style w:type="character" w:customStyle="1" w:styleId="FooterCoverPageChar">
    <w:name w:val="Footer Cover Page Char"/>
    <w:link w:val="FooterCoverPage"/>
    <w:rsid w:val="00E32103"/>
    <w:rPr>
      <w:rFonts w:ascii="Times New Roman" w:eastAsia="Times New Roman" w:hAnsi="Times New Roman" w:cs="Times New Roman"/>
      <w:sz w:val="24"/>
      <w:szCs w:val="22"/>
      <w:lang w:eastAsia="en-US"/>
    </w:rPr>
  </w:style>
  <w:style w:type="paragraph" w:customStyle="1" w:styleId="FooterSensitivity">
    <w:name w:val="Footer Sensitivity"/>
    <w:basedOn w:val="Normal"/>
    <w:link w:val="FooterSensitivityChar"/>
    <w:rsid w:val="00E32103"/>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link w:val="FooterSensitivity"/>
    <w:rsid w:val="00E32103"/>
    <w:rPr>
      <w:rFonts w:ascii="Times New Roman" w:eastAsia="Times New Roman" w:hAnsi="Times New Roman" w:cs="Times New Roman"/>
      <w:b/>
      <w:sz w:val="32"/>
      <w:szCs w:val="22"/>
      <w:lang w:eastAsia="en-US"/>
    </w:rPr>
  </w:style>
  <w:style w:type="paragraph" w:customStyle="1" w:styleId="HeaderCoverPage">
    <w:name w:val="Header Cover Page"/>
    <w:basedOn w:val="Normal"/>
    <w:link w:val="HeaderCoverPageChar"/>
    <w:rsid w:val="00E32103"/>
    <w:pPr>
      <w:tabs>
        <w:tab w:val="center" w:pos="4535"/>
        <w:tab w:val="right" w:pos="9071"/>
      </w:tabs>
      <w:spacing w:after="120"/>
      <w:jc w:val="both"/>
    </w:pPr>
    <w:rPr>
      <w:sz w:val="24"/>
    </w:rPr>
  </w:style>
  <w:style w:type="character" w:customStyle="1" w:styleId="HeaderCoverPageChar">
    <w:name w:val="Header Cover Page Char"/>
    <w:link w:val="HeaderCoverPage"/>
    <w:rsid w:val="00E32103"/>
    <w:rPr>
      <w:rFonts w:ascii="Times New Roman" w:eastAsia="Times New Roman" w:hAnsi="Times New Roman" w:cs="Times New Roman"/>
      <w:sz w:val="24"/>
      <w:szCs w:val="22"/>
      <w:lang w:eastAsia="en-US"/>
    </w:rPr>
  </w:style>
  <w:style w:type="paragraph" w:customStyle="1" w:styleId="HeaderSensitivity">
    <w:name w:val="Header Sensitivity"/>
    <w:basedOn w:val="Normal"/>
    <w:link w:val="HeaderSensitivityChar"/>
    <w:rsid w:val="00E3210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E32103"/>
    <w:rPr>
      <w:rFonts w:ascii="Times New Roman" w:eastAsia="Times New Roman" w:hAnsi="Times New Roman" w:cs="Times New Roman"/>
      <w:b/>
      <w:sz w:val="32"/>
      <w:szCs w:val="22"/>
      <w:lang w:eastAsia="en-US"/>
    </w:rPr>
  </w:style>
  <w:style w:type="paragraph" w:customStyle="1" w:styleId="HeaderSensitivityRight">
    <w:name w:val="Header Sensitivity Right"/>
    <w:basedOn w:val="Normal"/>
    <w:link w:val="HeaderSensitivityRightChar"/>
    <w:rsid w:val="00E32103"/>
    <w:pPr>
      <w:spacing w:after="120"/>
      <w:jc w:val="right"/>
    </w:pPr>
    <w:rPr>
      <w:sz w:val="28"/>
    </w:rPr>
  </w:style>
  <w:style w:type="character" w:customStyle="1" w:styleId="HeaderSensitivityRightChar">
    <w:name w:val="Header Sensitivity Right Char"/>
    <w:link w:val="HeaderSensitivityRight"/>
    <w:rsid w:val="00E32103"/>
    <w:rPr>
      <w:rFonts w:ascii="Times New Roman" w:eastAsia="Times New Roman" w:hAnsi="Times New Roman" w:cs="Times New Roman"/>
      <w:sz w:val="28"/>
      <w:szCs w:val="22"/>
      <w:lang w:eastAsia="en-US"/>
    </w:rPr>
  </w:style>
  <w:style w:type="character" w:styleId="FollowedHyperlink">
    <w:name w:val="FollowedHyperlink"/>
    <w:uiPriority w:val="99"/>
    <w:semiHidden/>
    <w:unhideWhenUsed/>
    <w:rsid w:val="00536B3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24316">
      <w:bodyDiv w:val="1"/>
      <w:marLeft w:val="0"/>
      <w:marRight w:val="0"/>
      <w:marTop w:val="0"/>
      <w:marBottom w:val="0"/>
      <w:divBdr>
        <w:top w:val="none" w:sz="0" w:space="0" w:color="auto"/>
        <w:left w:val="none" w:sz="0" w:space="0" w:color="auto"/>
        <w:bottom w:val="none" w:sz="0" w:space="0" w:color="auto"/>
        <w:right w:val="none" w:sz="0" w:space="0" w:color="auto"/>
      </w:divBdr>
    </w:div>
    <w:div w:id="256836793">
      <w:bodyDiv w:val="1"/>
      <w:marLeft w:val="0"/>
      <w:marRight w:val="0"/>
      <w:marTop w:val="0"/>
      <w:marBottom w:val="0"/>
      <w:divBdr>
        <w:top w:val="none" w:sz="0" w:space="0" w:color="auto"/>
        <w:left w:val="none" w:sz="0" w:space="0" w:color="auto"/>
        <w:bottom w:val="none" w:sz="0" w:space="0" w:color="auto"/>
        <w:right w:val="none" w:sz="0" w:space="0" w:color="auto"/>
      </w:divBdr>
    </w:div>
    <w:div w:id="256838033">
      <w:bodyDiv w:val="1"/>
      <w:marLeft w:val="0"/>
      <w:marRight w:val="0"/>
      <w:marTop w:val="0"/>
      <w:marBottom w:val="0"/>
      <w:divBdr>
        <w:top w:val="none" w:sz="0" w:space="0" w:color="auto"/>
        <w:left w:val="none" w:sz="0" w:space="0" w:color="auto"/>
        <w:bottom w:val="none" w:sz="0" w:space="0" w:color="auto"/>
        <w:right w:val="none" w:sz="0" w:space="0" w:color="auto"/>
      </w:divBdr>
    </w:div>
    <w:div w:id="398983430">
      <w:bodyDiv w:val="1"/>
      <w:marLeft w:val="0"/>
      <w:marRight w:val="0"/>
      <w:marTop w:val="0"/>
      <w:marBottom w:val="0"/>
      <w:divBdr>
        <w:top w:val="none" w:sz="0" w:space="0" w:color="auto"/>
        <w:left w:val="none" w:sz="0" w:space="0" w:color="auto"/>
        <w:bottom w:val="none" w:sz="0" w:space="0" w:color="auto"/>
        <w:right w:val="none" w:sz="0" w:space="0" w:color="auto"/>
      </w:divBdr>
    </w:div>
    <w:div w:id="405418491">
      <w:bodyDiv w:val="1"/>
      <w:marLeft w:val="0"/>
      <w:marRight w:val="0"/>
      <w:marTop w:val="0"/>
      <w:marBottom w:val="0"/>
      <w:divBdr>
        <w:top w:val="none" w:sz="0" w:space="0" w:color="auto"/>
        <w:left w:val="none" w:sz="0" w:space="0" w:color="auto"/>
        <w:bottom w:val="none" w:sz="0" w:space="0" w:color="auto"/>
        <w:right w:val="none" w:sz="0" w:space="0" w:color="auto"/>
      </w:divBdr>
    </w:div>
    <w:div w:id="491409274">
      <w:bodyDiv w:val="1"/>
      <w:marLeft w:val="0"/>
      <w:marRight w:val="0"/>
      <w:marTop w:val="0"/>
      <w:marBottom w:val="0"/>
      <w:divBdr>
        <w:top w:val="none" w:sz="0" w:space="0" w:color="auto"/>
        <w:left w:val="none" w:sz="0" w:space="0" w:color="auto"/>
        <w:bottom w:val="none" w:sz="0" w:space="0" w:color="auto"/>
        <w:right w:val="none" w:sz="0" w:space="0" w:color="auto"/>
      </w:divBdr>
    </w:div>
    <w:div w:id="538126222">
      <w:bodyDiv w:val="1"/>
      <w:marLeft w:val="0"/>
      <w:marRight w:val="0"/>
      <w:marTop w:val="0"/>
      <w:marBottom w:val="0"/>
      <w:divBdr>
        <w:top w:val="none" w:sz="0" w:space="0" w:color="auto"/>
        <w:left w:val="none" w:sz="0" w:space="0" w:color="auto"/>
        <w:bottom w:val="none" w:sz="0" w:space="0" w:color="auto"/>
        <w:right w:val="none" w:sz="0" w:space="0" w:color="auto"/>
      </w:divBdr>
    </w:div>
    <w:div w:id="563417739">
      <w:bodyDiv w:val="1"/>
      <w:marLeft w:val="0"/>
      <w:marRight w:val="0"/>
      <w:marTop w:val="0"/>
      <w:marBottom w:val="0"/>
      <w:divBdr>
        <w:top w:val="none" w:sz="0" w:space="0" w:color="auto"/>
        <w:left w:val="none" w:sz="0" w:space="0" w:color="auto"/>
        <w:bottom w:val="none" w:sz="0" w:space="0" w:color="auto"/>
        <w:right w:val="none" w:sz="0" w:space="0" w:color="auto"/>
      </w:divBdr>
    </w:div>
    <w:div w:id="639917720">
      <w:bodyDiv w:val="1"/>
      <w:marLeft w:val="0"/>
      <w:marRight w:val="0"/>
      <w:marTop w:val="0"/>
      <w:marBottom w:val="0"/>
      <w:divBdr>
        <w:top w:val="none" w:sz="0" w:space="0" w:color="auto"/>
        <w:left w:val="none" w:sz="0" w:space="0" w:color="auto"/>
        <w:bottom w:val="none" w:sz="0" w:space="0" w:color="auto"/>
        <w:right w:val="none" w:sz="0" w:space="0" w:color="auto"/>
      </w:divBdr>
    </w:div>
    <w:div w:id="702443427">
      <w:bodyDiv w:val="1"/>
      <w:marLeft w:val="0"/>
      <w:marRight w:val="0"/>
      <w:marTop w:val="0"/>
      <w:marBottom w:val="0"/>
      <w:divBdr>
        <w:top w:val="none" w:sz="0" w:space="0" w:color="auto"/>
        <w:left w:val="none" w:sz="0" w:space="0" w:color="auto"/>
        <w:bottom w:val="none" w:sz="0" w:space="0" w:color="auto"/>
        <w:right w:val="none" w:sz="0" w:space="0" w:color="auto"/>
      </w:divBdr>
    </w:div>
    <w:div w:id="759912823">
      <w:bodyDiv w:val="1"/>
      <w:marLeft w:val="0"/>
      <w:marRight w:val="0"/>
      <w:marTop w:val="0"/>
      <w:marBottom w:val="0"/>
      <w:divBdr>
        <w:top w:val="none" w:sz="0" w:space="0" w:color="auto"/>
        <w:left w:val="none" w:sz="0" w:space="0" w:color="auto"/>
        <w:bottom w:val="none" w:sz="0" w:space="0" w:color="auto"/>
        <w:right w:val="none" w:sz="0" w:space="0" w:color="auto"/>
      </w:divBdr>
    </w:div>
    <w:div w:id="765807594">
      <w:bodyDiv w:val="1"/>
      <w:marLeft w:val="0"/>
      <w:marRight w:val="0"/>
      <w:marTop w:val="0"/>
      <w:marBottom w:val="0"/>
      <w:divBdr>
        <w:top w:val="none" w:sz="0" w:space="0" w:color="auto"/>
        <w:left w:val="none" w:sz="0" w:space="0" w:color="auto"/>
        <w:bottom w:val="none" w:sz="0" w:space="0" w:color="auto"/>
        <w:right w:val="none" w:sz="0" w:space="0" w:color="auto"/>
      </w:divBdr>
    </w:div>
    <w:div w:id="805657587">
      <w:bodyDiv w:val="1"/>
      <w:marLeft w:val="0"/>
      <w:marRight w:val="0"/>
      <w:marTop w:val="0"/>
      <w:marBottom w:val="0"/>
      <w:divBdr>
        <w:top w:val="none" w:sz="0" w:space="0" w:color="auto"/>
        <w:left w:val="none" w:sz="0" w:space="0" w:color="auto"/>
        <w:bottom w:val="none" w:sz="0" w:space="0" w:color="auto"/>
        <w:right w:val="none" w:sz="0" w:space="0" w:color="auto"/>
      </w:divBdr>
    </w:div>
    <w:div w:id="842472179">
      <w:bodyDiv w:val="1"/>
      <w:marLeft w:val="0"/>
      <w:marRight w:val="0"/>
      <w:marTop w:val="0"/>
      <w:marBottom w:val="0"/>
      <w:divBdr>
        <w:top w:val="none" w:sz="0" w:space="0" w:color="auto"/>
        <w:left w:val="none" w:sz="0" w:space="0" w:color="auto"/>
        <w:bottom w:val="none" w:sz="0" w:space="0" w:color="auto"/>
        <w:right w:val="none" w:sz="0" w:space="0" w:color="auto"/>
      </w:divBdr>
    </w:div>
    <w:div w:id="854538876">
      <w:bodyDiv w:val="1"/>
      <w:marLeft w:val="0"/>
      <w:marRight w:val="0"/>
      <w:marTop w:val="0"/>
      <w:marBottom w:val="0"/>
      <w:divBdr>
        <w:top w:val="none" w:sz="0" w:space="0" w:color="auto"/>
        <w:left w:val="none" w:sz="0" w:space="0" w:color="auto"/>
        <w:bottom w:val="none" w:sz="0" w:space="0" w:color="auto"/>
        <w:right w:val="none" w:sz="0" w:space="0" w:color="auto"/>
      </w:divBdr>
    </w:div>
    <w:div w:id="925767039">
      <w:bodyDiv w:val="1"/>
      <w:marLeft w:val="0"/>
      <w:marRight w:val="0"/>
      <w:marTop w:val="0"/>
      <w:marBottom w:val="0"/>
      <w:divBdr>
        <w:top w:val="none" w:sz="0" w:space="0" w:color="auto"/>
        <w:left w:val="none" w:sz="0" w:space="0" w:color="auto"/>
        <w:bottom w:val="none" w:sz="0" w:space="0" w:color="auto"/>
        <w:right w:val="none" w:sz="0" w:space="0" w:color="auto"/>
      </w:divBdr>
      <w:divsChild>
        <w:div w:id="1931893110">
          <w:marLeft w:val="0"/>
          <w:marRight w:val="0"/>
          <w:marTop w:val="0"/>
          <w:marBottom w:val="0"/>
          <w:divBdr>
            <w:top w:val="none" w:sz="0" w:space="0" w:color="auto"/>
            <w:left w:val="none" w:sz="0" w:space="0" w:color="auto"/>
            <w:bottom w:val="none" w:sz="0" w:space="0" w:color="auto"/>
            <w:right w:val="none" w:sz="0" w:space="0" w:color="auto"/>
          </w:divBdr>
        </w:div>
      </w:divsChild>
    </w:div>
    <w:div w:id="933822565">
      <w:bodyDiv w:val="1"/>
      <w:marLeft w:val="0"/>
      <w:marRight w:val="0"/>
      <w:marTop w:val="0"/>
      <w:marBottom w:val="0"/>
      <w:divBdr>
        <w:top w:val="none" w:sz="0" w:space="0" w:color="auto"/>
        <w:left w:val="none" w:sz="0" w:space="0" w:color="auto"/>
        <w:bottom w:val="none" w:sz="0" w:space="0" w:color="auto"/>
        <w:right w:val="none" w:sz="0" w:space="0" w:color="auto"/>
      </w:divBdr>
    </w:div>
    <w:div w:id="995500220">
      <w:bodyDiv w:val="1"/>
      <w:marLeft w:val="0"/>
      <w:marRight w:val="0"/>
      <w:marTop w:val="0"/>
      <w:marBottom w:val="0"/>
      <w:divBdr>
        <w:top w:val="none" w:sz="0" w:space="0" w:color="auto"/>
        <w:left w:val="none" w:sz="0" w:space="0" w:color="auto"/>
        <w:bottom w:val="none" w:sz="0" w:space="0" w:color="auto"/>
        <w:right w:val="none" w:sz="0" w:space="0" w:color="auto"/>
      </w:divBdr>
    </w:div>
    <w:div w:id="1061515242">
      <w:bodyDiv w:val="1"/>
      <w:marLeft w:val="0"/>
      <w:marRight w:val="0"/>
      <w:marTop w:val="0"/>
      <w:marBottom w:val="0"/>
      <w:divBdr>
        <w:top w:val="none" w:sz="0" w:space="0" w:color="auto"/>
        <w:left w:val="none" w:sz="0" w:space="0" w:color="auto"/>
        <w:bottom w:val="none" w:sz="0" w:space="0" w:color="auto"/>
        <w:right w:val="none" w:sz="0" w:space="0" w:color="auto"/>
      </w:divBdr>
    </w:div>
    <w:div w:id="1063985543">
      <w:bodyDiv w:val="1"/>
      <w:marLeft w:val="0"/>
      <w:marRight w:val="0"/>
      <w:marTop w:val="0"/>
      <w:marBottom w:val="0"/>
      <w:divBdr>
        <w:top w:val="none" w:sz="0" w:space="0" w:color="auto"/>
        <w:left w:val="none" w:sz="0" w:space="0" w:color="auto"/>
        <w:bottom w:val="none" w:sz="0" w:space="0" w:color="auto"/>
        <w:right w:val="none" w:sz="0" w:space="0" w:color="auto"/>
      </w:divBdr>
    </w:div>
    <w:div w:id="1144158084">
      <w:bodyDiv w:val="1"/>
      <w:marLeft w:val="0"/>
      <w:marRight w:val="0"/>
      <w:marTop w:val="0"/>
      <w:marBottom w:val="0"/>
      <w:divBdr>
        <w:top w:val="none" w:sz="0" w:space="0" w:color="auto"/>
        <w:left w:val="none" w:sz="0" w:space="0" w:color="auto"/>
        <w:bottom w:val="none" w:sz="0" w:space="0" w:color="auto"/>
        <w:right w:val="none" w:sz="0" w:space="0" w:color="auto"/>
      </w:divBdr>
    </w:div>
    <w:div w:id="1262378010">
      <w:bodyDiv w:val="1"/>
      <w:marLeft w:val="0"/>
      <w:marRight w:val="0"/>
      <w:marTop w:val="0"/>
      <w:marBottom w:val="0"/>
      <w:divBdr>
        <w:top w:val="none" w:sz="0" w:space="0" w:color="auto"/>
        <w:left w:val="none" w:sz="0" w:space="0" w:color="auto"/>
        <w:bottom w:val="none" w:sz="0" w:space="0" w:color="auto"/>
        <w:right w:val="none" w:sz="0" w:space="0" w:color="auto"/>
      </w:divBdr>
    </w:div>
    <w:div w:id="1328021791">
      <w:bodyDiv w:val="1"/>
      <w:marLeft w:val="0"/>
      <w:marRight w:val="0"/>
      <w:marTop w:val="0"/>
      <w:marBottom w:val="0"/>
      <w:divBdr>
        <w:top w:val="none" w:sz="0" w:space="0" w:color="auto"/>
        <w:left w:val="none" w:sz="0" w:space="0" w:color="auto"/>
        <w:bottom w:val="none" w:sz="0" w:space="0" w:color="auto"/>
        <w:right w:val="none" w:sz="0" w:space="0" w:color="auto"/>
      </w:divBdr>
    </w:div>
    <w:div w:id="1331981997">
      <w:bodyDiv w:val="1"/>
      <w:marLeft w:val="0"/>
      <w:marRight w:val="0"/>
      <w:marTop w:val="0"/>
      <w:marBottom w:val="0"/>
      <w:divBdr>
        <w:top w:val="none" w:sz="0" w:space="0" w:color="auto"/>
        <w:left w:val="none" w:sz="0" w:space="0" w:color="auto"/>
        <w:bottom w:val="none" w:sz="0" w:space="0" w:color="auto"/>
        <w:right w:val="none" w:sz="0" w:space="0" w:color="auto"/>
      </w:divBdr>
    </w:div>
    <w:div w:id="1371875159">
      <w:bodyDiv w:val="1"/>
      <w:marLeft w:val="0"/>
      <w:marRight w:val="0"/>
      <w:marTop w:val="0"/>
      <w:marBottom w:val="0"/>
      <w:divBdr>
        <w:top w:val="none" w:sz="0" w:space="0" w:color="auto"/>
        <w:left w:val="none" w:sz="0" w:space="0" w:color="auto"/>
        <w:bottom w:val="none" w:sz="0" w:space="0" w:color="auto"/>
        <w:right w:val="none" w:sz="0" w:space="0" w:color="auto"/>
      </w:divBdr>
      <w:divsChild>
        <w:div w:id="1912696657">
          <w:marLeft w:val="0"/>
          <w:marRight w:val="0"/>
          <w:marTop w:val="0"/>
          <w:marBottom w:val="0"/>
          <w:divBdr>
            <w:top w:val="none" w:sz="0" w:space="0" w:color="auto"/>
            <w:left w:val="none" w:sz="0" w:space="0" w:color="auto"/>
            <w:bottom w:val="none" w:sz="0" w:space="0" w:color="auto"/>
            <w:right w:val="none" w:sz="0" w:space="0" w:color="auto"/>
          </w:divBdr>
        </w:div>
      </w:divsChild>
    </w:div>
    <w:div w:id="1446198206">
      <w:bodyDiv w:val="1"/>
      <w:marLeft w:val="0"/>
      <w:marRight w:val="0"/>
      <w:marTop w:val="0"/>
      <w:marBottom w:val="0"/>
      <w:divBdr>
        <w:top w:val="none" w:sz="0" w:space="0" w:color="auto"/>
        <w:left w:val="none" w:sz="0" w:space="0" w:color="auto"/>
        <w:bottom w:val="none" w:sz="0" w:space="0" w:color="auto"/>
        <w:right w:val="none" w:sz="0" w:space="0" w:color="auto"/>
      </w:divBdr>
    </w:div>
    <w:div w:id="1502740869">
      <w:bodyDiv w:val="1"/>
      <w:marLeft w:val="0"/>
      <w:marRight w:val="0"/>
      <w:marTop w:val="0"/>
      <w:marBottom w:val="0"/>
      <w:divBdr>
        <w:top w:val="none" w:sz="0" w:space="0" w:color="auto"/>
        <w:left w:val="none" w:sz="0" w:space="0" w:color="auto"/>
        <w:bottom w:val="none" w:sz="0" w:space="0" w:color="auto"/>
        <w:right w:val="none" w:sz="0" w:space="0" w:color="auto"/>
      </w:divBdr>
    </w:div>
    <w:div w:id="1523319542">
      <w:bodyDiv w:val="1"/>
      <w:marLeft w:val="0"/>
      <w:marRight w:val="0"/>
      <w:marTop w:val="0"/>
      <w:marBottom w:val="0"/>
      <w:divBdr>
        <w:top w:val="none" w:sz="0" w:space="0" w:color="auto"/>
        <w:left w:val="none" w:sz="0" w:space="0" w:color="auto"/>
        <w:bottom w:val="none" w:sz="0" w:space="0" w:color="auto"/>
        <w:right w:val="none" w:sz="0" w:space="0" w:color="auto"/>
      </w:divBdr>
    </w:div>
    <w:div w:id="1551502189">
      <w:bodyDiv w:val="1"/>
      <w:marLeft w:val="0"/>
      <w:marRight w:val="0"/>
      <w:marTop w:val="0"/>
      <w:marBottom w:val="0"/>
      <w:divBdr>
        <w:top w:val="none" w:sz="0" w:space="0" w:color="auto"/>
        <w:left w:val="none" w:sz="0" w:space="0" w:color="auto"/>
        <w:bottom w:val="none" w:sz="0" w:space="0" w:color="auto"/>
        <w:right w:val="none" w:sz="0" w:space="0" w:color="auto"/>
      </w:divBdr>
    </w:div>
    <w:div w:id="1564487275">
      <w:bodyDiv w:val="1"/>
      <w:marLeft w:val="0"/>
      <w:marRight w:val="0"/>
      <w:marTop w:val="0"/>
      <w:marBottom w:val="0"/>
      <w:divBdr>
        <w:top w:val="none" w:sz="0" w:space="0" w:color="auto"/>
        <w:left w:val="none" w:sz="0" w:space="0" w:color="auto"/>
        <w:bottom w:val="none" w:sz="0" w:space="0" w:color="auto"/>
        <w:right w:val="none" w:sz="0" w:space="0" w:color="auto"/>
      </w:divBdr>
    </w:div>
    <w:div w:id="1597790715">
      <w:bodyDiv w:val="1"/>
      <w:marLeft w:val="0"/>
      <w:marRight w:val="0"/>
      <w:marTop w:val="0"/>
      <w:marBottom w:val="0"/>
      <w:divBdr>
        <w:top w:val="none" w:sz="0" w:space="0" w:color="auto"/>
        <w:left w:val="none" w:sz="0" w:space="0" w:color="auto"/>
        <w:bottom w:val="none" w:sz="0" w:space="0" w:color="auto"/>
        <w:right w:val="none" w:sz="0" w:space="0" w:color="auto"/>
      </w:divBdr>
    </w:div>
    <w:div w:id="1619067957">
      <w:bodyDiv w:val="1"/>
      <w:marLeft w:val="0"/>
      <w:marRight w:val="0"/>
      <w:marTop w:val="0"/>
      <w:marBottom w:val="0"/>
      <w:divBdr>
        <w:top w:val="none" w:sz="0" w:space="0" w:color="auto"/>
        <w:left w:val="none" w:sz="0" w:space="0" w:color="auto"/>
        <w:bottom w:val="none" w:sz="0" w:space="0" w:color="auto"/>
        <w:right w:val="none" w:sz="0" w:space="0" w:color="auto"/>
      </w:divBdr>
    </w:div>
    <w:div w:id="1649824437">
      <w:bodyDiv w:val="1"/>
      <w:marLeft w:val="0"/>
      <w:marRight w:val="0"/>
      <w:marTop w:val="0"/>
      <w:marBottom w:val="0"/>
      <w:divBdr>
        <w:top w:val="none" w:sz="0" w:space="0" w:color="auto"/>
        <w:left w:val="none" w:sz="0" w:space="0" w:color="auto"/>
        <w:bottom w:val="none" w:sz="0" w:space="0" w:color="auto"/>
        <w:right w:val="none" w:sz="0" w:space="0" w:color="auto"/>
      </w:divBdr>
    </w:div>
    <w:div w:id="1659921556">
      <w:bodyDiv w:val="1"/>
      <w:marLeft w:val="0"/>
      <w:marRight w:val="0"/>
      <w:marTop w:val="0"/>
      <w:marBottom w:val="0"/>
      <w:divBdr>
        <w:top w:val="none" w:sz="0" w:space="0" w:color="auto"/>
        <w:left w:val="none" w:sz="0" w:space="0" w:color="auto"/>
        <w:bottom w:val="none" w:sz="0" w:space="0" w:color="auto"/>
        <w:right w:val="none" w:sz="0" w:space="0" w:color="auto"/>
      </w:divBdr>
    </w:div>
    <w:div w:id="1680889897">
      <w:bodyDiv w:val="1"/>
      <w:marLeft w:val="0"/>
      <w:marRight w:val="0"/>
      <w:marTop w:val="0"/>
      <w:marBottom w:val="0"/>
      <w:divBdr>
        <w:top w:val="none" w:sz="0" w:space="0" w:color="auto"/>
        <w:left w:val="none" w:sz="0" w:space="0" w:color="auto"/>
        <w:bottom w:val="none" w:sz="0" w:space="0" w:color="auto"/>
        <w:right w:val="none" w:sz="0" w:space="0" w:color="auto"/>
      </w:divBdr>
    </w:div>
    <w:div w:id="2030329238">
      <w:bodyDiv w:val="1"/>
      <w:marLeft w:val="0"/>
      <w:marRight w:val="0"/>
      <w:marTop w:val="0"/>
      <w:marBottom w:val="0"/>
      <w:divBdr>
        <w:top w:val="none" w:sz="0" w:space="0" w:color="auto"/>
        <w:left w:val="none" w:sz="0" w:space="0" w:color="auto"/>
        <w:bottom w:val="none" w:sz="0" w:space="0" w:color="auto"/>
        <w:right w:val="none" w:sz="0" w:space="0" w:color="auto"/>
      </w:divBdr>
    </w:div>
    <w:div w:id="2041973922">
      <w:bodyDiv w:val="1"/>
      <w:marLeft w:val="0"/>
      <w:marRight w:val="0"/>
      <w:marTop w:val="0"/>
      <w:marBottom w:val="0"/>
      <w:divBdr>
        <w:top w:val="none" w:sz="0" w:space="0" w:color="auto"/>
        <w:left w:val="none" w:sz="0" w:space="0" w:color="auto"/>
        <w:bottom w:val="none" w:sz="0" w:space="0" w:color="auto"/>
        <w:right w:val="none" w:sz="0" w:space="0" w:color="auto"/>
      </w:divBdr>
    </w:div>
    <w:div w:id="2060860392">
      <w:bodyDiv w:val="1"/>
      <w:marLeft w:val="0"/>
      <w:marRight w:val="0"/>
      <w:marTop w:val="0"/>
      <w:marBottom w:val="0"/>
      <w:divBdr>
        <w:top w:val="none" w:sz="0" w:space="0" w:color="auto"/>
        <w:left w:val="none" w:sz="0" w:space="0" w:color="auto"/>
        <w:bottom w:val="none" w:sz="0" w:space="0" w:color="auto"/>
        <w:right w:val="none" w:sz="0" w:space="0" w:color="auto"/>
      </w:divBdr>
    </w:div>
    <w:div w:id="2080253213">
      <w:bodyDiv w:val="1"/>
      <w:marLeft w:val="0"/>
      <w:marRight w:val="0"/>
      <w:marTop w:val="0"/>
      <w:marBottom w:val="0"/>
      <w:divBdr>
        <w:top w:val="none" w:sz="0" w:space="0" w:color="auto"/>
        <w:left w:val="none" w:sz="0" w:space="0" w:color="auto"/>
        <w:bottom w:val="none" w:sz="0" w:space="0" w:color="auto"/>
        <w:right w:val="none" w:sz="0" w:space="0" w:color="auto"/>
      </w:divBdr>
    </w:div>
    <w:div w:id="2114324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eginfo.legislature.ca.gov" TargetMode="External"/><Relationship Id="rId13" Type="http://schemas.openxmlformats.org/officeDocument/2006/relationships/hyperlink" Target="https://research-and-innovation.ec.europa.eu/funding/funding-opportunities/funding-programmes-and-open-calls/horizon-europe/cluster-2-culture-creativity-and-inclusive-society_fr" TargetMode="External"/><Relationship Id="rId18" Type="http://schemas.openxmlformats.org/officeDocument/2006/relationships/hyperlink" Target="https://stopkillinggames.wiki.gg/wiki/Dead_game_list" TargetMode="External"/><Relationship Id="rId3" Type="http://schemas.openxmlformats.org/officeDocument/2006/relationships/hyperlink" Target="https://www.oecd.org/content/dam/oecd/fr/publications/reports/2016/05/oecd-recommendation-of-the-council-on-consumer-protection-in-e-commerce_g1g66e4e/9789264255272-fr.pdf" TargetMode="External"/><Relationship Id="rId7" Type="http://schemas.openxmlformats.org/officeDocument/2006/relationships/hyperlink" Target="https://petition.parliament.uk/petitions/702074" TargetMode="External"/><Relationship Id="rId12" Type="http://schemas.openxmlformats.org/officeDocument/2006/relationships/hyperlink" Target="https://digital-strategy.ec.europa.eu/fr/library/2025-european-media-industry-outlook-report" TargetMode="External"/><Relationship Id="rId17" Type="http://schemas.openxmlformats.org/officeDocument/2006/relationships/hyperlink" Target="https://digital-strategy.ec.europa.eu/fr/library/2025-european-media-industry-outlook-report" TargetMode="External"/><Relationship Id="rId2" Type="http://schemas.openxmlformats.org/officeDocument/2006/relationships/hyperlink" Target="https://www.oecd.org/sti/consumer/ECommerce-Recommendation-2016.pdf" TargetMode="External"/><Relationship Id="rId16" Type="http://schemas.openxmlformats.org/officeDocument/2006/relationships/hyperlink" Target="https://digital-strategy.ec.europa.eu/fr/policies/mediainvest" TargetMode="External"/><Relationship Id="rId20" Type="http://schemas.openxmlformats.org/officeDocument/2006/relationships/hyperlink" Target="https://ingamejob.com/en/games-industry-employment-survey/2025" TargetMode="External"/><Relationship Id="rId1" Type="http://schemas.openxmlformats.org/officeDocument/2006/relationships/hyperlink" Target="https://eur-lex.europa.eu/legal-content/FR/TXT/?uri=CELEX:32024D1824" TargetMode="External"/><Relationship Id="rId6" Type="http://schemas.openxmlformats.org/officeDocument/2006/relationships/hyperlink" Target="https://petition.parliament.uk/petitions/702074" TargetMode="External"/><Relationship Id="rId11" Type="http://schemas.openxmlformats.org/officeDocument/2006/relationships/hyperlink" Target="https://leginfo.legislature.ca.gov/faces/billTextClient.xhtml?bill_id=202520260AB1921" TargetMode="External"/><Relationship Id="rId5" Type="http://schemas.openxmlformats.org/officeDocument/2006/relationships/hyperlink" Target="https://op.europa.eu/fr/publication-detail/-/publication/075b8bbe-6bd5-11ee-9220-01aa75ed71a1" TargetMode="External"/><Relationship Id="rId15" Type="http://schemas.openxmlformats.org/officeDocument/2006/relationships/hyperlink" Target="https://research-and-innovation.ec.europa.eu/funding/funding-opportunities/funding-programmes-and-open-calls/horizon-europe/cluster-2-culture-creativity-and-inclusive-society_fr" TargetMode="External"/><Relationship Id="rId10" Type="http://schemas.openxmlformats.org/officeDocument/2006/relationships/hyperlink" Target="https://leginfo.legislature.ca.gov/faces/billTextClient.xhtml?bill_id=202520260AB1921" TargetMode="External"/><Relationship Id="rId19" Type="http://schemas.openxmlformats.org/officeDocument/2006/relationships/hyperlink" Target="https://commission.europa.eu/document/download/8af13e88-6540-436c-b137-9853e7fe866a_en?filename=Key%20principles%20on%20in-game%20virtual%20currencies.pdf" TargetMode="External"/><Relationship Id="rId4" Type="http://schemas.openxmlformats.org/officeDocument/2006/relationships/hyperlink" Target="https://unesdoc.unesco.org/ark:/48223/pf0000380477" TargetMode="External"/><Relationship Id="rId9" Type="http://schemas.openxmlformats.org/officeDocument/2006/relationships/hyperlink" Target="https://leginfo.legislature.ca.gov/faces/billNavClient.xhtml?bill_id=202320240AB2426" TargetMode="External"/><Relationship Id="rId14" Type="http://schemas.openxmlformats.org/officeDocument/2006/relationships/hyperlink" Target="https://research-and-innovation.ec.europa.eu/funding/funding-opportunities/funding-programmes-and-open-calls/horizon-europe/cluster-2-culture-creativity-and-inclusive-society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5629E-A3E0-458B-88C7-4860862295F6}">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15</Pages>
  <Words>6704</Words>
  <Characters>38215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2026-06-15T15:48:00Z</dcterms:created>
  <dcterms:modified xsi:type="dcterms:W3CDTF">2026-07-01T08:20:00Z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2026-06-13T17:13:57Z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4efcf7b0-145a-4e42-aea0-94a1fd158c9f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