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A1085" w14:textId="7612F885" w:rsidR="00E32103" w:rsidRPr="00B362D2" w:rsidRDefault="00A51B69" w:rsidP="00A51B69">
      <w:pPr>
        <w:pStyle w:val="Pagedecouverture"/>
        <w:rPr>
          <w:noProof/>
        </w:rPr>
      </w:pPr>
      <w:bookmarkStart w:id="0" w:name="LW_BM_COVERPAGE"/>
      <w:r>
        <w:rPr>
          <w:noProof/>
        </w:rPr>
        <w:pict w14:anchorId="1E666A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7A5B172C-0FDF-44D9-B010-19976CDEC0FC" style="width:455.25pt;height:300pt">
            <v:imagedata r:id="rId8" o:title=""/>
          </v:shape>
        </w:pict>
      </w:r>
    </w:p>
    <w:bookmarkEnd w:id="0"/>
    <w:p w14:paraId="6348A232" w14:textId="77777777" w:rsidR="00E32103" w:rsidRPr="00B362D2" w:rsidRDefault="00E32103" w:rsidP="00E32103">
      <w:pPr>
        <w:rPr>
          <w:noProof/>
        </w:rPr>
        <w:sectPr w:rsidR="00E32103" w:rsidRPr="00B362D2" w:rsidSect="00A51B6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299"/>
        </w:sectPr>
      </w:pPr>
    </w:p>
    <w:p w14:paraId="748336DF" w14:textId="77777777" w:rsidR="000242DE" w:rsidRPr="00B362D2" w:rsidRDefault="00741D01" w:rsidP="0034627C">
      <w:pPr>
        <w:pStyle w:val="ListParagraph"/>
        <w:numPr>
          <w:ilvl w:val="0"/>
          <w:numId w:val="14"/>
        </w:numPr>
        <w:rPr>
          <w:b/>
          <w:bCs/>
          <w:noProof/>
        </w:rPr>
      </w:pPr>
      <w:bookmarkStart w:id="1" w:name="_GoBack"/>
      <w:bookmarkEnd w:id="1"/>
      <w:r w:rsidRPr="00B362D2">
        <w:rPr>
          <w:b/>
          <w:noProof/>
        </w:rPr>
        <w:lastRenderedPageBreak/>
        <w:t>INTRODUCERE: INIȚIATIVA CETĂȚENEASCĂ EUROPEANĂ</w:t>
      </w:r>
    </w:p>
    <w:p w14:paraId="68DCF9A0" w14:textId="77777777" w:rsidR="000242DE" w:rsidRPr="00B362D2" w:rsidRDefault="7DB91313" w:rsidP="00F777E6">
      <w:pPr>
        <w:pStyle w:val="BodyText"/>
        <w:spacing w:before="240"/>
        <w:ind w:left="23" w:right="17"/>
        <w:jc w:val="both"/>
        <w:rPr>
          <w:noProof/>
        </w:rPr>
      </w:pPr>
      <w:r w:rsidRPr="00B362D2">
        <w:rPr>
          <w:noProof/>
        </w:rPr>
        <w:t>„Stop Destroying Videogames” (</w:t>
      </w:r>
      <w:r w:rsidRPr="00B362D2">
        <w:rPr>
          <w:i/>
          <w:iCs/>
          <w:noProof/>
        </w:rPr>
        <w:t>Stop distrugerii jocurilor video!</w:t>
      </w:r>
      <w:r w:rsidRPr="00B362D2">
        <w:rPr>
          <w:noProof/>
        </w:rPr>
        <w:t xml:space="preserve">) este cea de a </w:t>
      </w:r>
      <w:r w:rsidRPr="00CE3321">
        <w:rPr>
          <w:noProof/>
        </w:rPr>
        <w:t>14</w:t>
      </w:r>
      <w:r w:rsidRPr="00B362D2">
        <w:rPr>
          <w:noProof/>
        </w:rPr>
        <w:t>-a inițiativă cetățenească europeană (ICE) prezentată Comisiei spre examinare după atingerea pragurilor</w:t>
      </w:r>
      <w:r w:rsidRPr="00B362D2">
        <w:rPr>
          <w:rStyle w:val="FootnoteReference"/>
          <w:noProof/>
        </w:rPr>
        <w:footnoteReference w:id="1"/>
      </w:r>
      <w:r w:rsidRPr="00B362D2">
        <w:rPr>
          <w:noProof/>
        </w:rPr>
        <w:t xml:space="preserve"> prevăzute de Tratatul privind Uniunea Europeană și de Regulamentul (UE) </w:t>
      </w:r>
      <w:r w:rsidRPr="00CE3321">
        <w:rPr>
          <w:noProof/>
        </w:rPr>
        <w:t>2019</w:t>
      </w:r>
      <w:r w:rsidRPr="00B362D2">
        <w:rPr>
          <w:noProof/>
        </w:rPr>
        <w:t>/</w:t>
      </w:r>
      <w:r w:rsidRPr="00CE3321">
        <w:rPr>
          <w:noProof/>
        </w:rPr>
        <w:t>788</w:t>
      </w:r>
      <w:r w:rsidRPr="00B362D2">
        <w:rPr>
          <w:rStyle w:val="FootnoteReference"/>
          <w:noProof/>
        </w:rPr>
        <w:footnoteReference w:id="2"/>
      </w:r>
      <w:r w:rsidRPr="00B362D2">
        <w:rPr>
          <w:noProof/>
        </w:rPr>
        <w:t xml:space="preserve"> („Regulamentul privind ICE”).</w:t>
      </w:r>
    </w:p>
    <w:p w14:paraId="00616FA2" w14:textId="77777777" w:rsidR="000242DE" w:rsidRPr="00B362D2" w:rsidRDefault="00741D01" w:rsidP="00F44C23">
      <w:pPr>
        <w:pStyle w:val="BodyText"/>
        <w:spacing w:before="199"/>
        <w:ind w:left="23"/>
        <w:jc w:val="both"/>
        <w:rPr>
          <w:noProof/>
          <w:spacing w:val="-2"/>
        </w:rPr>
      </w:pPr>
      <w:r w:rsidRPr="00B362D2">
        <w:rPr>
          <w:noProof/>
        </w:rPr>
        <w:t>Organizatorii își descriu obiectivele după cum urmează:</w:t>
      </w:r>
    </w:p>
    <w:p w14:paraId="35043AAC" w14:textId="77777777" w:rsidR="00F44C23" w:rsidRPr="00B362D2" w:rsidRDefault="00F44C23" w:rsidP="00F44C23">
      <w:pPr>
        <w:pStyle w:val="BodyText"/>
        <w:jc w:val="both"/>
        <w:rPr>
          <w:i/>
          <w:noProof/>
          <w:szCs w:val="22"/>
        </w:rPr>
      </w:pPr>
    </w:p>
    <w:p w14:paraId="7E4BA163" w14:textId="77777777" w:rsidR="00F44C23" w:rsidRPr="00B362D2" w:rsidRDefault="00F44C23" w:rsidP="00F44C23">
      <w:pPr>
        <w:pStyle w:val="BodyText"/>
        <w:jc w:val="both"/>
        <w:rPr>
          <w:i/>
          <w:noProof/>
          <w:szCs w:val="22"/>
        </w:rPr>
      </w:pPr>
      <w:r w:rsidRPr="00B362D2">
        <w:rPr>
          <w:i/>
          <w:noProof/>
        </w:rPr>
        <w:t>Jocurile video s-au transformat într-o industrie care valorează sute de miliarde de euro, cu miliarde de clienți. Însă cu timpul, s-a dezvoltat treptat o practică comercială specifică sectorului, care nu este doar un atac asupra drepturilor de bază ale consumatorilor, ci distruge mediul jocurilor în sine.</w:t>
      </w:r>
    </w:p>
    <w:p w14:paraId="367B5770" w14:textId="77777777" w:rsidR="00F44C23" w:rsidRPr="00B362D2" w:rsidRDefault="00F44C23" w:rsidP="00F44C23">
      <w:pPr>
        <w:pStyle w:val="BodyText"/>
        <w:jc w:val="both"/>
        <w:rPr>
          <w:i/>
          <w:noProof/>
          <w:szCs w:val="22"/>
        </w:rPr>
      </w:pPr>
    </w:p>
    <w:p w14:paraId="34D642EC" w14:textId="77777777" w:rsidR="00F44C23" w:rsidRPr="00B362D2" w:rsidRDefault="1065ABE6" w:rsidP="12352CF2">
      <w:pPr>
        <w:pStyle w:val="BodyText"/>
        <w:jc w:val="both"/>
        <w:rPr>
          <w:i/>
          <w:iCs/>
          <w:noProof/>
        </w:rPr>
      </w:pPr>
      <w:r w:rsidRPr="00B362D2">
        <w:rPr>
          <w:i/>
          <w:noProof/>
        </w:rPr>
        <w:t>Tot mai mulți editori vând jocuri video care, pentru a funcționa, necesită o conexiune prin internet la editorul jocului sau „apelarea acasă”. Deși aceasta nu este o problemă în sine, atunci când se încheie asistența tehnică necesară pentru funcționarea acestor tipuri de jocuri, foarte adesea, editorii procedează pur și simplu la tăierea conexiunii necesare pentru funcționarea jocului și la distrugerea tuturor copiilor funcționale ale jocului și pun în aplicare măsuri extinse pentru a împiedica clientul să repare jocul.</w:t>
      </w:r>
    </w:p>
    <w:p w14:paraId="1AD22C68" w14:textId="77777777" w:rsidR="00F44C23" w:rsidRPr="00B362D2" w:rsidRDefault="00F44C23" w:rsidP="00F44C23">
      <w:pPr>
        <w:pStyle w:val="BodyText"/>
        <w:jc w:val="both"/>
        <w:rPr>
          <w:i/>
          <w:noProof/>
          <w:szCs w:val="22"/>
        </w:rPr>
      </w:pPr>
    </w:p>
    <w:p w14:paraId="0BFE4F00" w14:textId="77777777" w:rsidR="00F44C23" w:rsidRPr="00B362D2" w:rsidRDefault="1065ABE6" w:rsidP="12352CF2">
      <w:pPr>
        <w:pStyle w:val="BodyText"/>
        <w:jc w:val="both"/>
        <w:rPr>
          <w:i/>
          <w:iCs/>
          <w:noProof/>
        </w:rPr>
      </w:pPr>
      <w:r w:rsidRPr="00B362D2">
        <w:rPr>
          <w:i/>
          <w:noProof/>
        </w:rPr>
        <w:t>Această practică „deposedează” efectiv clienții de produsele pe care le-au cumpărat și exclude restaurarea jocurilor. Ea este un afront la adresa drepturilor consumatorilor. În plus, jocurile video sunt opere de creație intelectuală unice. La fel ca filmele sau cântecele, un joc nu poate fi pur și simplu înlocuit cu un altul. Distrugerea lor reprezintă o pierdere creativă pentru toți cei implicați și șterge istoria în moduri imposibile în alte medii.</w:t>
      </w:r>
    </w:p>
    <w:p w14:paraId="362975D6" w14:textId="77777777" w:rsidR="00F44C23" w:rsidRPr="00B362D2" w:rsidRDefault="00F44C23" w:rsidP="00F44C23">
      <w:pPr>
        <w:pStyle w:val="BodyText"/>
        <w:jc w:val="both"/>
        <w:rPr>
          <w:i/>
          <w:noProof/>
          <w:szCs w:val="22"/>
        </w:rPr>
      </w:pPr>
    </w:p>
    <w:p w14:paraId="6F9A6D7A" w14:textId="77777777" w:rsidR="00F44C23" w:rsidRPr="00B362D2" w:rsidRDefault="1065ABE6" w:rsidP="12352CF2">
      <w:pPr>
        <w:pStyle w:val="BodyText"/>
        <w:jc w:val="both"/>
        <w:rPr>
          <w:i/>
          <w:iCs/>
          <w:noProof/>
        </w:rPr>
      </w:pPr>
      <w:r w:rsidRPr="00B362D2">
        <w:rPr>
          <w:i/>
          <w:noProof/>
        </w:rPr>
        <w:t>Legislația existentă și organismele de protecție a consumatorilor nu sunt pregătite să protejeze clienții împotriva acestei practici. Posibilitatea ca o firmă să distrugă un articol pe care l-a vândut deja clientului la mult timp după vânzare nu există în mod natural în alte sectoare. Având în vedere că pentru simpla rulare a jocurilor sunt necesare acorduri de licență, multe dintre măsurile existente de protecție a consumatorilor sunt eludate. Această practică pune sub semnul întrebării însuși conceptul de proprietate, deoarece consumatorul nu rămâne cu nimic după ce a „cumpărat” un joc.</w:t>
      </w:r>
    </w:p>
    <w:p w14:paraId="1266E041" w14:textId="77777777" w:rsidR="00F44C23" w:rsidRPr="00B362D2" w:rsidRDefault="00F44C23" w:rsidP="00F44C23">
      <w:pPr>
        <w:pStyle w:val="BodyText"/>
        <w:jc w:val="both"/>
        <w:rPr>
          <w:i/>
          <w:noProof/>
          <w:szCs w:val="22"/>
        </w:rPr>
      </w:pPr>
    </w:p>
    <w:p w14:paraId="0FB5C5B4" w14:textId="77777777" w:rsidR="00F44C23" w:rsidRPr="00B362D2" w:rsidRDefault="1065ABE6" w:rsidP="12352CF2">
      <w:pPr>
        <w:pStyle w:val="BodyText"/>
        <w:jc w:val="both"/>
        <w:rPr>
          <w:i/>
          <w:iCs/>
          <w:noProof/>
        </w:rPr>
      </w:pPr>
      <w:r w:rsidRPr="00B362D2">
        <w:rPr>
          <w:i/>
          <w:noProof/>
        </w:rPr>
        <w:t>Inițiativa cere să li se impună editorilor care vând sau acordă licențe pentru jocuri video consumatorilor din Uniunea Europeană (sau caracteristicile și activele aferente, vândute pentru jocurile video pe care le exploatează) să lase respectivele jocuri video într-o stare funcțională (executabilă).</w:t>
      </w:r>
    </w:p>
    <w:p w14:paraId="4B6E44AF" w14:textId="77777777" w:rsidR="00F44C23" w:rsidRPr="00B362D2" w:rsidRDefault="00F44C23" w:rsidP="00F44C23">
      <w:pPr>
        <w:pStyle w:val="BodyText"/>
        <w:jc w:val="both"/>
        <w:rPr>
          <w:i/>
          <w:noProof/>
        </w:rPr>
      </w:pPr>
    </w:p>
    <w:p w14:paraId="604DD38D" w14:textId="77777777" w:rsidR="00F44C23" w:rsidRPr="00B362D2" w:rsidRDefault="1065ABE6" w:rsidP="12352CF2">
      <w:pPr>
        <w:pStyle w:val="BodyText"/>
        <w:jc w:val="both"/>
        <w:rPr>
          <w:i/>
          <w:iCs/>
          <w:noProof/>
        </w:rPr>
      </w:pPr>
      <w:r w:rsidRPr="00B362D2">
        <w:rPr>
          <w:i/>
          <w:noProof/>
        </w:rPr>
        <w:t>Mai precis, inițiativa caută să evite dezactivarea de la distanță a jocurilor video de către editori înainte de a furniza modalități rezonabile care să permită funcționarea în continuare a jocurilor video respective, fără implicarea editorului.</w:t>
      </w:r>
    </w:p>
    <w:p w14:paraId="24B9AA3B" w14:textId="77777777" w:rsidR="00F44C23" w:rsidRPr="00B362D2" w:rsidRDefault="00F44C23" w:rsidP="00F44C23">
      <w:pPr>
        <w:pStyle w:val="BodyText"/>
        <w:jc w:val="both"/>
        <w:rPr>
          <w:i/>
          <w:noProof/>
        </w:rPr>
      </w:pPr>
    </w:p>
    <w:p w14:paraId="01C46364" w14:textId="77777777" w:rsidR="00F44C23" w:rsidRPr="00B362D2" w:rsidRDefault="1065ABE6" w:rsidP="12352CF2">
      <w:pPr>
        <w:pStyle w:val="BodyText"/>
        <w:jc w:val="both"/>
        <w:rPr>
          <w:i/>
          <w:iCs/>
          <w:noProof/>
        </w:rPr>
      </w:pPr>
      <w:r w:rsidRPr="00B362D2">
        <w:rPr>
          <w:i/>
          <w:noProof/>
        </w:rPr>
        <w:t>Inițiativa nu urmărește să dobândească proprietatea asupra respectivelor jocuri video, drepturile intelectuale asociate sau drepturile de monetizare și nici nu se așteaptă ca editorii să furnizeze resurse pentru respectivele jocuri video odată ce întrerup vânzarea acestora și serviciile post-vânzare asociate. În schimb, inițiativa cere ca editorii să lase jocurile respective într-o stare rezonabilă de funcționare (executabilă).</w:t>
      </w:r>
    </w:p>
    <w:p w14:paraId="6625B184" w14:textId="77777777" w:rsidR="005C0939" w:rsidRPr="00B362D2" w:rsidRDefault="005C0939" w:rsidP="005C0939">
      <w:pPr>
        <w:pStyle w:val="BodyText"/>
        <w:jc w:val="both"/>
        <w:rPr>
          <w:i/>
          <w:noProof/>
        </w:rPr>
      </w:pPr>
    </w:p>
    <w:p w14:paraId="4F180C04" w14:textId="40849EBB" w:rsidR="000242DE" w:rsidRPr="00B362D2" w:rsidRDefault="7DB91313" w:rsidP="00F777E6">
      <w:pPr>
        <w:pStyle w:val="BodyText"/>
        <w:ind w:left="23" w:right="19"/>
        <w:jc w:val="both"/>
        <w:rPr>
          <w:noProof/>
        </w:rPr>
      </w:pPr>
      <w:r w:rsidRPr="00B362D2">
        <w:rPr>
          <w:noProof/>
        </w:rPr>
        <w:t xml:space="preserve">În urma solicitării prezentate de organizatori la </w:t>
      </w:r>
      <w:r w:rsidRPr="00CE3321">
        <w:rPr>
          <w:noProof/>
          <w:color w:val="333333"/>
        </w:rPr>
        <w:t>4</w:t>
      </w:r>
      <w:r w:rsidRPr="00B362D2">
        <w:rPr>
          <w:noProof/>
          <w:color w:val="333333"/>
        </w:rPr>
        <w:t xml:space="preserve"> mai </w:t>
      </w:r>
      <w:r w:rsidRPr="00CE3321">
        <w:rPr>
          <w:noProof/>
          <w:color w:val="333333"/>
        </w:rPr>
        <w:t>2024</w:t>
      </w:r>
      <w:r w:rsidRPr="00B362D2">
        <w:rPr>
          <w:noProof/>
          <w:color w:val="333333"/>
        </w:rPr>
        <w:t xml:space="preserve">, </w:t>
      </w:r>
      <w:r w:rsidRPr="00B362D2">
        <w:rPr>
          <w:noProof/>
        </w:rPr>
        <w:t xml:space="preserve">Comisia a înregistrat inițiativa la </w:t>
      </w:r>
      <w:r w:rsidRPr="00CE3321">
        <w:rPr>
          <w:noProof/>
        </w:rPr>
        <w:t>19</w:t>
      </w:r>
      <w:r w:rsidR="00CA2697">
        <w:rPr>
          <w:noProof/>
        </w:rPr>
        <w:t> </w:t>
      </w:r>
      <w:r w:rsidRPr="00B362D2">
        <w:rPr>
          <w:noProof/>
        </w:rPr>
        <w:t xml:space="preserve">iunie </w:t>
      </w:r>
      <w:r w:rsidRPr="00CE3321">
        <w:rPr>
          <w:noProof/>
        </w:rPr>
        <w:t>2024</w:t>
      </w:r>
      <w:r w:rsidRPr="00B362D2">
        <w:rPr>
          <w:rStyle w:val="FootnoteReference"/>
          <w:noProof/>
        </w:rPr>
        <w:footnoteReference w:id="3"/>
      </w:r>
      <w:r w:rsidRPr="00B362D2">
        <w:rPr>
          <w:noProof/>
        </w:rPr>
        <w:t>. În decizia sa de înregistrare, Comisia a precizat că, deși „consideră că niciuna dintre părțile inițiativei nu depășește în mod vădit competența Comisiei de a prezenta o propunere de act juridic al Uniunii în vederea punerii în aplicare a tratatelor, această concluzie nu afectează efectuarea unei evaluări pentru a se stabili dacă, în acest caz, sunt îndeplinite condițiile concrete de fond necesare pentru o acțiune din partea Comisiei, inclusiv respectarea principiilor proporționalității, subsidiarității și compatibilității cu drepturile fundamentale”.</w:t>
      </w:r>
    </w:p>
    <w:p w14:paraId="6891D7FB" w14:textId="77777777" w:rsidR="000242DE" w:rsidRPr="00B362D2" w:rsidRDefault="000242DE" w:rsidP="00F777E6">
      <w:pPr>
        <w:pStyle w:val="BodyText"/>
        <w:rPr>
          <w:noProof/>
        </w:rPr>
      </w:pPr>
    </w:p>
    <w:p w14:paraId="3E17B2EB" w14:textId="7FB9A3FC" w:rsidR="000242DE" w:rsidRPr="00B362D2" w:rsidRDefault="2982015A" w:rsidP="00F777E6">
      <w:pPr>
        <w:pStyle w:val="BodyText"/>
        <w:ind w:left="23" w:right="19"/>
        <w:jc w:val="both"/>
        <w:rPr>
          <w:noProof/>
        </w:rPr>
      </w:pPr>
      <w:r w:rsidRPr="00B362D2">
        <w:rPr>
          <w:noProof/>
        </w:rPr>
        <w:t xml:space="preserve">Organizatorii au colectat „declarațiile de susținere” (semnăturile) necesare în perioada </w:t>
      </w:r>
      <w:r w:rsidRPr="00CE3321">
        <w:rPr>
          <w:noProof/>
        </w:rPr>
        <w:t>31</w:t>
      </w:r>
      <w:r w:rsidR="00CA2697">
        <w:rPr>
          <w:noProof/>
        </w:rPr>
        <w:t> </w:t>
      </w:r>
      <w:r w:rsidRPr="00B362D2">
        <w:rPr>
          <w:noProof/>
        </w:rPr>
        <w:t>iulie</w:t>
      </w:r>
      <w:r w:rsidR="00CA2697">
        <w:rPr>
          <w:noProof/>
        </w:rPr>
        <w:t> </w:t>
      </w:r>
      <w:r w:rsidRPr="00CE3321">
        <w:rPr>
          <w:noProof/>
        </w:rPr>
        <w:t>2024</w:t>
      </w:r>
      <w:r w:rsidRPr="00B362D2">
        <w:rPr>
          <w:noProof/>
        </w:rPr>
        <w:t xml:space="preserve"> - </w:t>
      </w:r>
      <w:r w:rsidRPr="00CE3321">
        <w:rPr>
          <w:noProof/>
        </w:rPr>
        <w:t>31</w:t>
      </w:r>
      <w:r w:rsidRPr="00B362D2">
        <w:rPr>
          <w:noProof/>
        </w:rPr>
        <w:t xml:space="preserve"> iulie </w:t>
      </w:r>
      <w:r w:rsidRPr="00CE3321">
        <w:rPr>
          <w:noProof/>
        </w:rPr>
        <w:t>2025</w:t>
      </w:r>
      <w:r w:rsidRPr="00B362D2">
        <w:rPr>
          <w:noProof/>
        </w:rPr>
        <w:t xml:space="preserve">. La </w:t>
      </w:r>
      <w:r w:rsidRPr="00CE3321">
        <w:rPr>
          <w:noProof/>
        </w:rPr>
        <w:t>26</w:t>
      </w:r>
      <w:r w:rsidRPr="00B362D2">
        <w:rPr>
          <w:noProof/>
        </w:rPr>
        <w:t xml:space="preserve"> ianuarie </w:t>
      </w:r>
      <w:r w:rsidRPr="00CE3321">
        <w:rPr>
          <w:noProof/>
        </w:rPr>
        <w:t>2026</w:t>
      </w:r>
      <w:r w:rsidRPr="00B362D2">
        <w:rPr>
          <w:noProof/>
        </w:rPr>
        <w:t>, după ce autoritățile statelor membre au verificat declarațiile de susținere, organizatorii au prezentat Comisiei inițiativa. La aceeași dată, Comisia a publicat un anunț care confirmă valabilitatea inițiativei în registrul ICE.</w:t>
      </w:r>
    </w:p>
    <w:p w14:paraId="2E37A914" w14:textId="77777777" w:rsidR="000242DE" w:rsidRPr="00B362D2" w:rsidRDefault="000242DE" w:rsidP="00F777E6">
      <w:pPr>
        <w:pStyle w:val="BodyText"/>
        <w:spacing w:before="1"/>
        <w:rPr>
          <w:noProof/>
        </w:rPr>
      </w:pPr>
    </w:p>
    <w:p w14:paraId="285E3796" w14:textId="706D9B58" w:rsidR="000242DE" w:rsidRPr="00B362D2" w:rsidRDefault="2982015A" w:rsidP="005C0939">
      <w:pPr>
        <w:pStyle w:val="BodyText"/>
        <w:ind w:left="23" w:right="15"/>
        <w:jc w:val="both"/>
        <w:rPr>
          <w:noProof/>
        </w:rPr>
      </w:pPr>
      <w:r w:rsidRPr="00B362D2">
        <w:rPr>
          <w:noProof/>
        </w:rPr>
        <w:t xml:space="preserve">Organizatorii au explicat obiectivele inițiativei în cadrul unei reuniuni cu reprezentanții Comisiei la </w:t>
      </w:r>
      <w:r w:rsidRPr="00CE3321">
        <w:rPr>
          <w:noProof/>
        </w:rPr>
        <w:t>23</w:t>
      </w:r>
      <w:r w:rsidRPr="00B362D2">
        <w:rPr>
          <w:noProof/>
        </w:rPr>
        <w:t xml:space="preserve"> februarie </w:t>
      </w:r>
      <w:r w:rsidRPr="00CE3321">
        <w:rPr>
          <w:noProof/>
        </w:rPr>
        <w:t>2026</w:t>
      </w:r>
      <w:r w:rsidRPr="00B362D2">
        <w:rPr>
          <w:noProof/>
        </w:rPr>
        <w:t xml:space="preserve"> și al unei audieri publice organizate de Parlamentul European la </w:t>
      </w:r>
      <w:r w:rsidRPr="00CE3321">
        <w:rPr>
          <w:noProof/>
        </w:rPr>
        <w:t>16</w:t>
      </w:r>
      <w:r w:rsidR="00CA2697">
        <w:rPr>
          <w:noProof/>
        </w:rPr>
        <w:t> </w:t>
      </w:r>
      <w:r w:rsidRPr="00B362D2">
        <w:rPr>
          <w:noProof/>
        </w:rPr>
        <w:t>aprilie</w:t>
      </w:r>
      <w:r w:rsidR="00CA2697">
        <w:rPr>
          <w:noProof/>
        </w:rPr>
        <w:t> </w:t>
      </w:r>
      <w:r w:rsidRPr="00CE3321">
        <w:rPr>
          <w:noProof/>
        </w:rPr>
        <w:t>2026</w:t>
      </w:r>
      <w:r w:rsidRPr="00B362D2">
        <w:rPr>
          <w:noProof/>
        </w:rPr>
        <w:t xml:space="preserve">. În plus, Parlamentul European a organizat o dezbatere în plen cu privire la inițiativă la </w:t>
      </w:r>
      <w:r w:rsidRPr="00CE3321">
        <w:rPr>
          <w:noProof/>
        </w:rPr>
        <w:t>21</w:t>
      </w:r>
      <w:r w:rsidRPr="00B362D2">
        <w:rPr>
          <w:noProof/>
        </w:rPr>
        <w:t xml:space="preserve"> mai </w:t>
      </w:r>
      <w:r w:rsidRPr="00CE3321">
        <w:rPr>
          <w:noProof/>
        </w:rPr>
        <w:t>2026</w:t>
      </w:r>
      <w:r w:rsidRPr="00B362D2">
        <w:rPr>
          <w:noProof/>
        </w:rPr>
        <w:t xml:space="preserve">. Comitetul Economic și Social European a organizat, de asemenea, o audiere în acest sens la </w:t>
      </w:r>
      <w:r w:rsidRPr="00CE3321">
        <w:rPr>
          <w:noProof/>
        </w:rPr>
        <w:t>19</w:t>
      </w:r>
      <w:r w:rsidRPr="00B362D2">
        <w:rPr>
          <w:noProof/>
        </w:rPr>
        <w:t xml:space="preserve"> mai </w:t>
      </w:r>
      <w:r w:rsidRPr="00CE3321">
        <w:rPr>
          <w:noProof/>
        </w:rPr>
        <w:t>2026</w:t>
      </w:r>
      <w:r w:rsidRPr="00B362D2">
        <w:rPr>
          <w:noProof/>
        </w:rPr>
        <w:t>. Cu aceste ocazii, organizatorii au subliniat faptul că inițiativa lor vizează doar jocurile care nu au fost încă dezvoltate, nu și pe cele deja disponibile pe piață.</w:t>
      </w:r>
    </w:p>
    <w:p w14:paraId="41874EBB" w14:textId="77777777" w:rsidR="00B96D39" w:rsidRPr="00B362D2" w:rsidRDefault="00B96D39" w:rsidP="00F777E6">
      <w:pPr>
        <w:pStyle w:val="BodyText"/>
        <w:ind w:left="23" w:right="19"/>
        <w:jc w:val="both"/>
        <w:rPr>
          <w:noProof/>
        </w:rPr>
      </w:pPr>
    </w:p>
    <w:p w14:paraId="7EE44295" w14:textId="77777777" w:rsidR="000242DE" w:rsidRPr="00B362D2" w:rsidRDefault="5FF841FD" w:rsidP="00F777E6">
      <w:pPr>
        <w:pStyle w:val="BodyText"/>
        <w:ind w:left="23" w:right="19"/>
        <w:jc w:val="both"/>
        <w:rPr>
          <w:noProof/>
        </w:rPr>
      </w:pPr>
      <w:r w:rsidRPr="00B362D2">
        <w:rPr>
          <w:noProof/>
        </w:rPr>
        <w:t xml:space="preserve">În prezenta comunicare, Comisia prezintă concluziile sale juridice și politice privind inițiativa, acțiunile pe care intenționează să le întreprindă, motivele acestei evaluări și calendarul preconizat, în conformitate cu articolul </w:t>
      </w:r>
      <w:r w:rsidRPr="00CE3321">
        <w:rPr>
          <w:noProof/>
        </w:rPr>
        <w:t>15</w:t>
      </w:r>
      <w:r w:rsidRPr="00B362D2">
        <w:rPr>
          <w:noProof/>
        </w:rPr>
        <w:t xml:space="preserve"> alineatul (</w:t>
      </w:r>
      <w:r w:rsidRPr="00CE3321">
        <w:rPr>
          <w:noProof/>
        </w:rPr>
        <w:t>2</w:t>
      </w:r>
      <w:r w:rsidRPr="00B362D2">
        <w:rPr>
          <w:noProof/>
        </w:rPr>
        <w:t>) din Regulamentul privind ICE.</w:t>
      </w:r>
    </w:p>
    <w:p w14:paraId="15DB487D" w14:textId="77777777" w:rsidR="000242DE" w:rsidRPr="00B362D2" w:rsidRDefault="000242DE" w:rsidP="00F777E6">
      <w:pPr>
        <w:pStyle w:val="BodyText"/>
        <w:spacing w:before="166"/>
        <w:rPr>
          <w:noProof/>
        </w:rPr>
      </w:pPr>
    </w:p>
    <w:p w14:paraId="1878AEB7" w14:textId="77777777" w:rsidR="000242DE" w:rsidRPr="00B362D2" w:rsidRDefault="00741D01" w:rsidP="0034627C">
      <w:pPr>
        <w:pStyle w:val="ListParagraph"/>
        <w:numPr>
          <w:ilvl w:val="0"/>
          <w:numId w:val="14"/>
        </w:numPr>
        <w:rPr>
          <w:b/>
          <w:bCs/>
          <w:noProof/>
        </w:rPr>
      </w:pPr>
      <w:r w:rsidRPr="00B362D2">
        <w:rPr>
          <w:b/>
          <w:noProof/>
        </w:rPr>
        <w:t>CONTEXTUL</w:t>
      </w:r>
    </w:p>
    <w:p w14:paraId="68D36B02" w14:textId="77777777" w:rsidR="0034627C" w:rsidRPr="00B362D2" w:rsidRDefault="0034627C" w:rsidP="0034627C">
      <w:pPr>
        <w:rPr>
          <w:b/>
          <w:bCs/>
          <w:noProof/>
          <w:sz w:val="24"/>
          <w:szCs w:val="24"/>
        </w:rPr>
      </w:pPr>
    </w:p>
    <w:p w14:paraId="11BD2557" w14:textId="77777777" w:rsidR="00E013C9" w:rsidRPr="00B362D2" w:rsidRDefault="0034627C" w:rsidP="00525EB5">
      <w:pPr>
        <w:spacing w:line="259" w:lineRule="auto"/>
        <w:rPr>
          <w:b/>
          <w:bCs/>
          <w:noProof/>
          <w:sz w:val="24"/>
          <w:szCs w:val="24"/>
        </w:rPr>
      </w:pPr>
      <w:r w:rsidRPr="00CE3321">
        <w:rPr>
          <w:b/>
          <w:noProof/>
          <w:sz w:val="24"/>
        </w:rPr>
        <w:t>2</w:t>
      </w:r>
      <w:r w:rsidRPr="00B362D2">
        <w:rPr>
          <w:b/>
          <w:noProof/>
          <w:sz w:val="24"/>
        </w:rPr>
        <w:t>.</w:t>
      </w:r>
      <w:r w:rsidRPr="00CE3321">
        <w:rPr>
          <w:b/>
          <w:noProof/>
          <w:sz w:val="24"/>
        </w:rPr>
        <w:t>1</w:t>
      </w:r>
      <w:r w:rsidRPr="00B362D2">
        <w:rPr>
          <w:b/>
          <w:noProof/>
          <w:sz w:val="24"/>
        </w:rPr>
        <w:t xml:space="preserve"> Contextul de politică</w:t>
      </w:r>
    </w:p>
    <w:p w14:paraId="204E2684" w14:textId="77777777" w:rsidR="005E6895" w:rsidRPr="00B362D2" w:rsidRDefault="005E6895" w:rsidP="005E6895">
      <w:pPr>
        <w:pStyle w:val="BodyText"/>
        <w:spacing w:before="200"/>
        <w:jc w:val="both"/>
        <w:rPr>
          <w:noProof/>
        </w:rPr>
      </w:pPr>
      <w:r w:rsidRPr="00B362D2">
        <w:rPr>
          <w:noProof/>
        </w:rPr>
        <w:t>Comisia se angajează să asigure un nivel ridicat de protecție a consumatorilor și să promoveze practici echitabile, transparente și de încredere pe piețele digitale, în conformitate cu tratatele și cu legislația UE. În acest context, Comisia urmărește să asigure informarea adecvată a consumatorilor cu privire la caracteristicile și condițiile de utilizare a produselor digitale și posibilitatea acestora de a-și exercita efectiv drepturile în temeiul legislației UE. În același timp, Comisia se angajează, de asemenea, să asigure un nivel ridicat de protecție a proprietății intelectuale în conformitate cu legislația UE, pentru a stimula investițiile în creativitate și inovare.</w:t>
      </w:r>
    </w:p>
    <w:p w14:paraId="71285A5C" w14:textId="77777777" w:rsidR="530AD9A3" w:rsidRPr="00B362D2" w:rsidRDefault="530AD9A3" w:rsidP="5D975B7C">
      <w:pPr>
        <w:pStyle w:val="BodyText"/>
        <w:spacing w:before="200"/>
        <w:ind w:left="23" w:right="16"/>
        <w:jc w:val="both"/>
        <w:rPr>
          <w:noProof/>
        </w:rPr>
      </w:pPr>
      <w:r w:rsidRPr="00B362D2">
        <w:rPr>
          <w:noProof/>
        </w:rPr>
        <w:t xml:space="preserve">Agenda </w:t>
      </w:r>
      <w:r w:rsidRPr="00CE3321">
        <w:rPr>
          <w:noProof/>
        </w:rPr>
        <w:t>2030</w:t>
      </w:r>
      <w:r w:rsidRPr="00B362D2">
        <w:rPr>
          <w:noProof/>
        </w:rPr>
        <w:t xml:space="preserve"> pentru protecția consumatorilor</w:t>
      </w:r>
      <w:r w:rsidRPr="00B362D2">
        <w:rPr>
          <w:rStyle w:val="FootnoteReference"/>
          <w:noProof/>
        </w:rPr>
        <w:footnoteReference w:id="4"/>
      </w:r>
      <w:r w:rsidRPr="00B362D2">
        <w:rPr>
          <w:noProof/>
        </w:rPr>
        <w:t xml:space="preserve">, adoptată de Comisie la </w:t>
      </w:r>
      <w:r w:rsidRPr="00CE3321">
        <w:rPr>
          <w:noProof/>
        </w:rPr>
        <w:t>19</w:t>
      </w:r>
      <w:r w:rsidRPr="00B362D2">
        <w:rPr>
          <w:noProof/>
        </w:rPr>
        <w:t xml:space="preserve"> noiembrie </w:t>
      </w:r>
      <w:r w:rsidRPr="00CE3321">
        <w:rPr>
          <w:noProof/>
        </w:rPr>
        <w:t>2025</w:t>
      </w:r>
      <w:r w:rsidRPr="00B362D2">
        <w:rPr>
          <w:noProof/>
        </w:rPr>
        <w:t xml:space="preserve">, stabilește cadrul strategic pentru politica UE în materie de protecție a consumatorilor pentru perioada </w:t>
      </w:r>
      <w:r w:rsidRPr="00CE3321">
        <w:rPr>
          <w:noProof/>
        </w:rPr>
        <w:t>2025</w:t>
      </w:r>
      <w:r w:rsidRPr="00B362D2">
        <w:rPr>
          <w:noProof/>
        </w:rPr>
        <w:t>-</w:t>
      </w:r>
      <w:r w:rsidRPr="00CE3321">
        <w:rPr>
          <w:noProof/>
        </w:rPr>
        <w:t>2030</w:t>
      </w:r>
      <w:r w:rsidRPr="00B362D2">
        <w:rPr>
          <w:noProof/>
        </w:rPr>
        <w:t xml:space="preserve">. Aceasta se bazează pe premisa că încrederea consumatorilor este esențială pentru buna funcționare a piețelor și că un nivel ridicat de protecție a consumatorilor contribuie, de asemenea, la stimularea competitivității și sporirea performanței economice. Una dintre prioritățile agendei este asigurarea echității digitale și a protecției consumatorilor online. </w:t>
      </w:r>
    </w:p>
    <w:p w14:paraId="341F7568" w14:textId="77777777" w:rsidR="530AD9A3" w:rsidRPr="00B362D2" w:rsidRDefault="530AD9A3" w:rsidP="5D975B7C">
      <w:pPr>
        <w:pStyle w:val="BodyText"/>
        <w:spacing w:before="200"/>
        <w:ind w:left="23" w:right="16"/>
        <w:jc w:val="both"/>
        <w:rPr>
          <w:rFonts w:eastAsia="Calibri"/>
          <w:noProof/>
          <w:color w:val="000000" w:themeColor="text1"/>
          <w:vertAlign w:val="superscript"/>
        </w:rPr>
      </w:pPr>
    </w:p>
    <w:p w14:paraId="35E7E588" w14:textId="77777777" w:rsidR="000C6C87" w:rsidRPr="00B362D2" w:rsidRDefault="000C6C87" w:rsidP="0034627C">
      <w:pPr>
        <w:jc w:val="both"/>
        <w:rPr>
          <w:rStyle w:val="CommentReference"/>
          <w:noProof/>
          <w:sz w:val="24"/>
          <w:szCs w:val="24"/>
        </w:rPr>
      </w:pPr>
    </w:p>
    <w:p w14:paraId="1C5D6894" w14:textId="77777777" w:rsidR="00E013C9" w:rsidRPr="00B362D2" w:rsidRDefault="00A76529" w:rsidP="0034627C">
      <w:pPr>
        <w:jc w:val="both"/>
        <w:rPr>
          <w:noProof/>
          <w:sz w:val="24"/>
          <w:szCs w:val="24"/>
        </w:rPr>
      </w:pPr>
      <w:r w:rsidRPr="00B362D2">
        <w:rPr>
          <w:noProof/>
          <w:sz w:val="24"/>
        </w:rPr>
        <w:t xml:space="preserve">În recomandarea sa privind protecția consumatorilor în comerțul electronic, Organizația pentru Cooperare și Dezvoltare Economică (OCDE) </w:t>
      </w:r>
      <w:r w:rsidRPr="00B362D2">
        <w:rPr>
          <w:noProof/>
          <w:color w:val="000000" w:themeColor="text1"/>
          <w:sz w:val="24"/>
        </w:rPr>
        <w:t>a evidențiat faptul că dependența tot mai mare a conținutului digital de infrastructurile și serviciile online controlate de comercianți poate genera provocări pentru consumatori, în special în ceea ce privește transparența, înțelegerea condițiilor contractuale și exercitarea efectivă a drepturilor consumatorilor în mediile digitale</w:t>
      </w:r>
      <w:r w:rsidRPr="00B362D2">
        <w:rPr>
          <w:rStyle w:val="FootnoteReference"/>
          <w:noProof/>
          <w:sz w:val="24"/>
          <w:szCs w:val="24"/>
        </w:rPr>
        <w:footnoteReference w:id="5"/>
      </w:r>
      <w:r w:rsidRPr="00B362D2">
        <w:rPr>
          <w:noProof/>
          <w:sz w:val="24"/>
        </w:rPr>
        <w:t>.</w:t>
      </w:r>
    </w:p>
    <w:p w14:paraId="4681A4E5" w14:textId="77777777" w:rsidR="0034627C" w:rsidRPr="00B362D2" w:rsidRDefault="0034627C" w:rsidP="0034627C">
      <w:pPr>
        <w:jc w:val="both"/>
        <w:rPr>
          <w:noProof/>
          <w:sz w:val="24"/>
          <w:szCs w:val="24"/>
        </w:rPr>
      </w:pPr>
    </w:p>
    <w:p w14:paraId="769FC8B1" w14:textId="77777777" w:rsidR="00E013C9" w:rsidRPr="00B362D2" w:rsidRDefault="56E549FB" w:rsidP="0034627C">
      <w:pPr>
        <w:jc w:val="both"/>
        <w:rPr>
          <w:noProof/>
          <w:sz w:val="24"/>
          <w:szCs w:val="24"/>
        </w:rPr>
      </w:pPr>
      <w:r w:rsidRPr="00B362D2">
        <w:rPr>
          <w:noProof/>
          <w:sz w:val="24"/>
        </w:rPr>
        <w:t>UNESCO a subliniat importanța tot mai mare a tehnologiilor digitale în remodelarea creării, distribuției și accesibilității conținutului cultural, inclusiv în sectoare precum cel al jocurilor</w:t>
      </w:r>
      <w:r w:rsidRPr="00B362D2">
        <w:rPr>
          <w:rStyle w:val="FootnoteReference"/>
          <w:noProof/>
          <w:sz w:val="24"/>
          <w:szCs w:val="24"/>
        </w:rPr>
        <w:footnoteReference w:id="6"/>
      </w:r>
      <w:r w:rsidRPr="00B362D2">
        <w:rPr>
          <w:noProof/>
          <w:sz w:val="24"/>
        </w:rPr>
        <w:t>. În acest context, jocurile video sunt considerate din ce în ce mai mult o formă de expresie culturală și o parte a economiei creative în ansamblul său, contribuind la inovare, la dezvoltarea competențelor și la transmiterea conținutului cultural</w:t>
      </w:r>
      <w:r w:rsidRPr="00B362D2">
        <w:rPr>
          <w:rStyle w:val="FootnoteReference"/>
          <w:noProof/>
          <w:sz w:val="24"/>
          <w:szCs w:val="24"/>
        </w:rPr>
        <w:footnoteReference w:id="7"/>
      </w:r>
      <w:r w:rsidRPr="00B362D2">
        <w:rPr>
          <w:noProof/>
          <w:sz w:val="24"/>
        </w:rPr>
        <w:t>.</w:t>
      </w:r>
    </w:p>
    <w:p w14:paraId="6AE336E5" w14:textId="77777777" w:rsidR="00525EB5" w:rsidRPr="00B362D2" w:rsidRDefault="00525EB5" w:rsidP="0034627C">
      <w:pPr>
        <w:jc w:val="both"/>
        <w:rPr>
          <w:noProof/>
          <w:sz w:val="24"/>
          <w:szCs w:val="24"/>
        </w:rPr>
      </w:pPr>
    </w:p>
    <w:p w14:paraId="29BDCE21" w14:textId="77777777" w:rsidR="00D26B33" w:rsidRPr="00B362D2" w:rsidRDefault="00D26B33" w:rsidP="00525EB5">
      <w:pPr>
        <w:jc w:val="both"/>
        <w:rPr>
          <w:noProof/>
          <w:sz w:val="24"/>
          <w:szCs w:val="24"/>
        </w:rPr>
      </w:pPr>
      <w:r w:rsidRPr="00B362D2">
        <w:rPr>
          <w:noProof/>
          <w:sz w:val="24"/>
        </w:rPr>
        <w:t xml:space="preserve">În </w:t>
      </w:r>
      <w:r w:rsidRPr="00CE3321">
        <w:rPr>
          <w:noProof/>
          <w:sz w:val="24"/>
        </w:rPr>
        <w:t>2025</w:t>
      </w:r>
      <w:r w:rsidRPr="00B362D2">
        <w:rPr>
          <w:noProof/>
          <w:sz w:val="24"/>
        </w:rPr>
        <w:t>, guvernul Regatului Unit a oferit, de asemenea, un răspuns la campania „Stop Killing Games” (</w:t>
      </w:r>
      <w:r w:rsidRPr="00B362D2">
        <w:rPr>
          <w:i/>
          <w:iCs/>
          <w:noProof/>
          <w:sz w:val="24"/>
        </w:rPr>
        <w:t>Nu mai omorâți jocurile!</w:t>
      </w:r>
      <w:r w:rsidRPr="00B362D2">
        <w:rPr>
          <w:noProof/>
          <w:sz w:val="24"/>
        </w:rPr>
        <w:t>), din care face parte inițiativa cetățenească europeană „Stop Destroying Videogames” (</w:t>
      </w:r>
      <w:r w:rsidRPr="00B362D2">
        <w:rPr>
          <w:i/>
          <w:iCs/>
          <w:noProof/>
          <w:sz w:val="24"/>
        </w:rPr>
        <w:t>Stop distrugerii jocurilor video!</w:t>
      </w:r>
      <w:r w:rsidRPr="00B362D2">
        <w:rPr>
          <w:noProof/>
          <w:sz w:val="24"/>
        </w:rPr>
        <w:t>). În răspunsul său la o petiție, guvernul Regatului Unit a menționat că „nu este planificată o modificare a legislației Regatului Unit în materie de protecție a consumatorilor în ceea ce privește dezactivarea jocurilor video”, adăugând că „cei care vând jocuri trebuie să respecte cerințele existente în legislația privind protecția consumatorilor și vom continua să monitorizăm acest aspect”</w:t>
      </w:r>
      <w:r w:rsidRPr="00B362D2">
        <w:rPr>
          <w:rStyle w:val="FootnoteReference"/>
          <w:noProof/>
          <w:sz w:val="24"/>
          <w:szCs w:val="24"/>
        </w:rPr>
        <w:footnoteReference w:id="8"/>
      </w:r>
      <w:r w:rsidRPr="00B362D2">
        <w:rPr>
          <w:noProof/>
          <w:sz w:val="24"/>
        </w:rPr>
        <w:t>.</w:t>
      </w:r>
    </w:p>
    <w:p w14:paraId="719980DB" w14:textId="77777777" w:rsidR="0034627C" w:rsidRPr="00B362D2" w:rsidRDefault="0034627C" w:rsidP="00525EB5">
      <w:pPr>
        <w:jc w:val="both"/>
        <w:rPr>
          <w:noProof/>
          <w:sz w:val="24"/>
          <w:szCs w:val="24"/>
        </w:rPr>
      </w:pPr>
    </w:p>
    <w:p w14:paraId="28F14C98" w14:textId="77777777" w:rsidR="00DD5FCC" w:rsidRPr="00B362D2" w:rsidRDefault="262E5E01" w:rsidP="00A99F81">
      <w:pPr>
        <w:jc w:val="both"/>
        <w:rPr>
          <w:noProof/>
          <w:sz w:val="24"/>
          <w:szCs w:val="24"/>
        </w:rPr>
      </w:pPr>
      <w:r w:rsidRPr="00B362D2">
        <w:rPr>
          <w:noProof/>
          <w:sz w:val="24"/>
        </w:rPr>
        <w:t xml:space="preserve">Inițiativele legislative recente din Statele Unite ilustrează, de asemenea, atenția tot mai mare acordată aspectelor legate de modelele de afaceri digitale și bazate pe servicii. O lege adoptată în </w:t>
      </w:r>
      <w:r w:rsidRPr="00CE3321">
        <w:rPr>
          <w:noProof/>
          <w:sz w:val="24"/>
        </w:rPr>
        <w:t>2024</w:t>
      </w:r>
      <w:r w:rsidRPr="00B362D2">
        <w:rPr>
          <w:noProof/>
          <w:sz w:val="24"/>
        </w:rPr>
        <w:t xml:space="preserve"> urmărește să îmbunătățească transparența pe piețele digitale, prevăzând obligația comercianților de a informa în mod clar consumatorii atunci când achizițiile digitale conferă doar o licență de acces la conținut, și nu drepturi de proprietate</w:t>
      </w:r>
      <w:r w:rsidRPr="00B362D2">
        <w:rPr>
          <w:rStyle w:val="FootnoteReference"/>
          <w:noProof/>
          <w:sz w:val="24"/>
          <w:szCs w:val="24"/>
        </w:rPr>
        <w:footnoteReference w:id="9"/>
      </w:r>
      <w:r w:rsidRPr="00B362D2">
        <w:rPr>
          <w:noProof/>
          <w:sz w:val="24"/>
        </w:rPr>
        <w:t>.</w:t>
      </w:r>
    </w:p>
    <w:p w14:paraId="4C142096" w14:textId="77777777" w:rsidR="0034627C" w:rsidRPr="00B362D2" w:rsidRDefault="0034627C" w:rsidP="0034627C">
      <w:pPr>
        <w:rPr>
          <w:b/>
          <w:bCs/>
          <w:noProof/>
          <w:sz w:val="24"/>
          <w:szCs w:val="24"/>
        </w:rPr>
      </w:pPr>
    </w:p>
    <w:p w14:paraId="3B32EB44" w14:textId="77777777" w:rsidR="000242DE" w:rsidRPr="00B362D2" w:rsidRDefault="3B0B35DA" w:rsidP="000C6C87">
      <w:pPr>
        <w:keepNext/>
        <w:rPr>
          <w:b/>
          <w:bCs/>
          <w:noProof/>
          <w:sz w:val="24"/>
          <w:szCs w:val="24"/>
        </w:rPr>
      </w:pPr>
      <w:r w:rsidRPr="00CE3321">
        <w:rPr>
          <w:b/>
          <w:noProof/>
          <w:sz w:val="24"/>
        </w:rPr>
        <w:t>2</w:t>
      </w:r>
      <w:r w:rsidRPr="00B362D2">
        <w:rPr>
          <w:b/>
          <w:noProof/>
          <w:sz w:val="24"/>
        </w:rPr>
        <w:t>.</w:t>
      </w:r>
      <w:r w:rsidRPr="00CE3321">
        <w:rPr>
          <w:b/>
          <w:noProof/>
          <w:sz w:val="24"/>
        </w:rPr>
        <w:t>2</w:t>
      </w:r>
      <w:r w:rsidRPr="00B362D2">
        <w:rPr>
          <w:b/>
          <w:noProof/>
          <w:sz w:val="24"/>
        </w:rPr>
        <w:t xml:space="preserve"> Cadrul juridic al UE</w:t>
      </w:r>
    </w:p>
    <w:p w14:paraId="2B786233" w14:textId="77777777" w:rsidR="3D665A66" w:rsidRPr="00B362D2" w:rsidRDefault="3D665A66" w:rsidP="000C6C87">
      <w:pPr>
        <w:pStyle w:val="ListParagraph"/>
        <w:keepNext/>
        <w:numPr>
          <w:ilvl w:val="0"/>
          <w:numId w:val="7"/>
        </w:numPr>
        <w:spacing w:before="200"/>
        <w:ind w:left="380" w:hanging="357"/>
        <w:jc w:val="both"/>
        <w:rPr>
          <w:i/>
          <w:iCs/>
          <w:noProof/>
          <w:sz w:val="24"/>
          <w:szCs w:val="24"/>
        </w:rPr>
      </w:pPr>
      <w:r w:rsidRPr="00B362D2">
        <w:rPr>
          <w:i/>
          <w:noProof/>
          <w:sz w:val="24"/>
        </w:rPr>
        <w:t>Principiile generale ale dreptului UE</w:t>
      </w:r>
    </w:p>
    <w:p w14:paraId="445C17D8" w14:textId="2A68CD03" w:rsidR="5FF4063C" w:rsidRPr="00B362D2" w:rsidRDefault="5FF4063C" w:rsidP="00525EB5">
      <w:pPr>
        <w:spacing w:before="200"/>
        <w:jc w:val="both"/>
        <w:rPr>
          <w:noProof/>
          <w:sz w:val="24"/>
          <w:szCs w:val="24"/>
        </w:rPr>
      </w:pPr>
      <w:r w:rsidRPr="00B362D2">
        <w:rPr>
          <w:noProof/>
          <w:sz w:val="24"/>
        </w:rPr>
        <w:t xml:space="preserve">În conformitate cu articolul </w:t>
      </w:r>
      <w:r w:rsidRPr="00CE3321">
        <w:rPr>
          <w:noProof/>
          <w:sz w:val="24"/>
        </w:rPr>
        <w:t>5</w:t>
      </w:r>
      <w:r w:rsidRPr="00B362D2">
        <w:rPr>
          <w:noProof/>
          <w:sz w:val="24"/>
        </w:rPr>
        <w:t xml:space="preserve"> din Tratatul privind Uniunea Europeană (TUE), exercitarea competențelor Uniunii este reglementată de principiile subsidiarității și proporționalității. Articolul</w:t>
      </w:r>
      <w:r w:rsidR="00CA2697">
        <w:rPr>
          <w:noProof/>
          <w:sz w:val="24"/>
        </w:rPr>
        <w:t> </w:t>
      </w:r>
      <w:r w:rsidRPr="00CE3321">
        <w:rPr>
          <w:noProof/>
          <w:sz w:val="24"/>
        </w:rPr>
        <w:t>16</w:t>
      </w:r>
      <w:r w:rsidRPr="00B362D2">
        <w:rPr>
          <w:noProof/>
          <w:sz w:val="24"/>
        </w:rPr>
        <w:t xml:space="preserve"> din Carta drepturilor fundamentale a Uniunii Europene garantează libertatea de a desfășura o activitate comercială.</w:t>
      </w:r>
    </w:p>
    <w:p w14:paraId="1C0B80BA" w14:textId="2D8F784C" w:rsidR="005B615B" w:rsidRPr="00B362D2" w:rsidRDefault="0BFE00EB" w:rsidP="00A99F81">
      <w:pPr>
        <w:spacing w:before="200"/>
        <w:ind w:left="23"/>
        <w:jc w:val="both"/>
        <w:rPr>
          <w:noProof/>
          <w:sz w:val="24"/>
          <w:szCs w:val="24"/>
        </w:rPr>
      </w:pPr>
      <w:r w:rsidRPr="00B362D2">
        <w:rPr>
          <w:noProof/>
          <w:sz w:val="24"/>
        </w:rPr>
        <w:t xml:space="preserve">Articolul </w:t>
      </w:r>
      <w:r w:rsidRPr="00CE3321">
        <w:rPr>
          <w:noProof/>
          <w:sz w:val="24"/>
        </w:rPr>
        <w:t>169</w:t>
      </w:r>
      <w:r w:rsidRPr="00B362D2">
        <w:rPr>
          <w:noProof/>
          <w:sz w:val="24"/>
        </w:rPr>
        <w:t xml:space="preserve"> alineatul (</w:t>
      </w:r>
      <w:r w:rsidRPr="00CE3321">
        <w:rPr>
          <w:noProof/>
          <w:sz w:val="24"/>
        </w:rPr>
        <w:t>1</w:t>
      </w:r>
      <w:r w:rsidRPr="00B362D2">
        <w:rPr>
          <w:noProof/>
          <w:sz w:val="24"/>
        </w:rPr>
        <w:t xml:space="preserve">) din Tratatul privind funcționarea Uniunii Europene (TFUE) prevede că „pentru a promova interesele consumatorilor și pentru a asigura un nivel ridicat de protecție a consumatorilor, Uniunea contribuie la protecția sănătății, a siguranței și a intereselor economice ale consumatorilor, precum și la promovarea dreptului acestora la informare, educare și organizare în vederea apărării intereselor lor”. </w:t>
      </w:r>
    </w:p>
    <w:p w14:paraId="00562F73" w14:textId="77777777" w:rsidR="005B615B" w:rsidRPr="00B362D2" w:rsidRDefault="0BFE00EB" w:rsidP="00525EB5">
      <w:pPr>
        <w:pStyle w:val="ListParagraph"/>
        <w:spacing w:before="200"/>
        <w:ind w:left="23" w:firstLine="0"/>
        <w:jc w:val="both"/>
        <w:rPr>
          <w:noProof/>
          <w:sz w:val="24"/>
          <w:szCs w:val="24"/>
        </w:rPr>
      </w:pPr>
      <w:r w:rsidRPr="00B362D2">
        <w:rPr>
          <w:noProof/>
          <w:sz w:val="24"/>
        </w:rPr>
        <w:t xml:space="preserve">În conformitate cu articolul </w:t>
      </w:r>
      <w:r w:rsidRPr="00CE3321">
        <w:rPr>
          <w:noProof/>
          <w:sz w:val="24"/>
        </w:rPr>
        <w:t>12</w:t>
      </w:r>
      <w:r w:rsidRPr="00B362D2">
        <w:rPr>
          <w:noProof/>
          <w:sz w:val="24"/>
        </w:rPr>
        <w:t xml:space="preserve"> din TFUE, cerințele din domeniul protecției consumatorilor trebuie luate în considerare în definirea și punerea in aplicare a celorlalte politici și acțiuni ale Uniunii. Articolul </w:t>
      </w:r>
      <w:r w:rsidRPr="00CE3321">
        <w:rPr>
          <w:noProof/>
          <w:sz w:val="24"/>
        </w:rPr>
        <w:t>38</w:t>
      </w:r>
      <w:r w:rsidRPr="00B362D2">
        <w:rPr>
          <w:noProof/>
          <w:sz w:val="24"/>
        </w:rPr>
        <w:t xml:space="preserve"> din Carta drepturilor fundamentale a Uniunii Europene („carta”) prevede, de asemenea, ca politicile Uniunii să asigure un nivel ridicat de protecție a consumatorilor.</w:t>
      </w:r>
    </w:p>
    <w:p w14:paraId="0566F405" w14:textId="77777777" w:rsidR="007C2FF1" w:rsidRPr="00B362D2" w:rsidRDefault="007C2FF1" w:rsidP="007C2FF1">
      <w:pPr>
        <w:pStyle w:val="ListParagraph"/>
        <w:numPr>
          <w:ilvl w:val="0"/>
          <w:numId w:val="4"/>
        </w:numPr>
        <w:spacing w:before="200"/>
        <w:jc w:val="both"/>
        <w:rPr>
          <w:i/>
          <w:noProof/>
          <w:sz w:val="24"/>
          <w:szCs w:val="24"/>
        </w:rPr>
      </w:pPr>
      <w:r w:rsidRPr="00B362D2">
        <w:rPr>
          <w:i/>
          <w:noProof/>
          <w:sz w:val="24"/>
        </w:rPr>
        <w:t>Normele privind protecția consumatorilor</w:t>
      </w:r>
    </w:p>
    <w:p w14:paraId="59AC21DB" w14:textId="77777777" w:rsidR="007F48EE" w:rsidRPr="00B362D2" w:rsidRDefault="710A48B2" w:rsidP="005E6732">
      <w:pPr>
        <w:spacing w:before="200"/>
        <w:jc w:val="both"/>
        <w:rPr>
          <w:noProof/>
          <w:sz w:val="24"/>
          <w:szCs w:val="24"/>
        </w:rPr>
      </w:pPr>
      <w:r w:rsidRPr="00B362D2">
        <w:rPr>
          <w:noProof/>
          <w:sz w:val="24"/>
        </w:rPr>
        <w:t xml:space="preserve">Legislația UE privind protecția consumatorilor nu stabilește cerințe specifice legate de durata furnizării conținutului digital și a serviciilor digitale, inclusiv a jocurilor video online, nici nu impune comercianților să ofere consumatorilor posibilitatea de a utiliza conținutul digital și serviciile digitale și după încetarea exploatării comerciale a acestora. </w:t>
      </w:r>
    </w:p>
    <w:p w14:paraId="3B9BC60E" w14:textId="77777777" w:rsidR="007F48EE" w:rsidRPr="00B362D2" w:rsidRDefault="007F48EE" w:rsidP="00525EB5">
      <w:pPr>
        <w:jc w:val="both"/>
        <w:rPr>
          <w:noProof/>
          <w:sz w:val="24"/>
          <w:szCs w:val="24"/>
        </w:rPr>
      </w:pPr>
    </w:p>
    <w:p w14:paraId="6209E592" w14:textId="77777777" w:rsidR="00076EC6" w:rsidRPr="00B362D2" w:rsidRDefault="1C3D6792" w:rsidP="00525EB5">
      <w:pPr>
        <w:jc w:val="both"/>
        <w:rPr>
          <w:noProof/>
          <w:sz w:val="24"/>
          <w:szCs w:val="24"/>
        </w:rPr>
      </w:pPr>
      <w:r w:rsidRPr="00B362D2">
        <w:rPr>
          <w:noProof/>
          <w:sz w:val="24"/>
        </w:rPr>
        <w:t xml:space="preserve">Instrumentele legislative ale UE privind protecția consumatorilor vizează consolidarea rolului consumatorilor prin obligații de transparență. De asemenea, acestea protejează consumatorii împotriva practicilor comerciale neloiale și a clauzelor contractuale abuzive și prevăd măsuri corective în cazul în care conținutul digital și serviciile digitale nu sunt în conformitate cu contractul încheiat între consumator și furnizor. </w:t>
      </w:r>
    </w:p>
    <w:p w14:paraId="30B8EDC1" w14:textId="77777777" w:rsidR="00076EC6" w:rsidRPr="00B362D2" w:rsidRDefault="00076EC6" w:rsidP="00525EB5">
      <w:pPr>
        <w:jc w:val="both"/>
        <w:rPr>
          <w:noProof/>
          <w:sz w:val="24"/>
          <w:szCs w:val="24"/>
        </w:rPr>
      </w:pPr>
    </w:p>
    <w:p w14:paraId="4185C52D" w14:textId="77777777" w:rsidR="0061035A" w:rsidRPr="00B362D2" w:rsidRDefault="11E169F6" w:rsidP="00525EB5">
      <w:pPr>
        <w:jc w:val="both"/>
        <w:rPr>
          <w:noProof/>
          <w:sz w:val="24"/>
          <w:szCs w:val="24"/>
        </w:rPr>
      </w:pPr>
      <w:r w:rsidRPr="00B362D2">
        <w:rPr>
          <w:noProof/>
          <w:sz w:val="24"/>
        </w:rPr>
        <w:t xml:space="preserve">Mai precis, Directiva </w:t>
      </w:r>
      <w:r w:rsidRPr="00CE3321">
        <w:rPr>
          <w:noProof/>
          <w:sz w:val="24"/>
        </w:rPr>
        <w:t>2011</w:t>
      </w:r>
      <w:r w:rsidRPr="00B362D2">
        <w:rPr>
          <w:noProof/>
          <w:sz w:val="24"/>
        </w:rPr>
        <w:t>/</w:t>
      </w:r>
      <w:r w:rsidRPr="00CE3321">
        <w:rPr>
          <w:noProof/>
          <w:sz w:val="24"/>
        </w:rPr>
        <w:t>83</w:t>
      </w:r>
      <w:r w:rsidRPr="00B362D2">
        <w:rPr>
          <w:noProof/>
          <w:sz w:val="24"/>
        </w:rPr>
        <w:t>/UE privind drepturile consumatorilor</w:t>
      </w:r>
      <w:r w:rsidRPr="00B362D2">
        <w:rPr>
          <w:rStyle w:val="FootnoteReference"/>
          <w:noProof/>
          <w:sz w:val="24"/>
          <w:szCs w:val="24"/>
        </w:rPr>
        <w:footnoteReference w:id="10"/>
      </w:r>
      <w:r w:rsidRPr="00B362D2">
        <w:rPr>
          <w:noProof/>
          <w:sz w:val="24"/>
        </w:rPr>
        <w:t xml:space="preserve"> (denumită în continuare „DDC”) prevede obligația comercianților de a furniza consumatorilor, înainte de încheierea unui contract, informații clare și ușor de înțeles cu privire la funcționalitatea și principalele caracteristici ale conținutului digital și ale serviciilor digitale, precum și la durata și condițiile de reziliere a contractului. </w:t>
      </w:r>
    </w:p>
    <w:p w14:paraId="43EA34CD" w14:textId="77777777" w:rsidR="0061035A" w:rsidRPr="00B362D2" w:rsidRDefault="0061035A" w:rsidP="00525EB5">
      <w:pPr>
        <w:jc w:val="both"/>
        <w:rPr>
          <w:noProof/>
          <w:sz w:val="24"/>
          <w:szCs w:val="24"/>
        </w:rPr>
      </w:pPr>
    </w:p>
    <w:p w14:paraId="0AF87411" w14:textId="4979D021" w:rsidR="004A3961" w:rsidRPr="00B362D2" w:rsidRDefault="4CF91251" w:rsidP="5EA8CE2E">
      <w:pPr>
        <w:jc w:val="both"/>
        <w:rPr>
          <w:noProof/>
          <w:sz w:val="24"/>
          <w:szCs w:val="24"/>
        </w:rPr>
      </w:pPr>
      <w:r w:rsidRPr="00B362D2">
        <w:rPr>
          <w:noProof/>
          <w:sz w:val="24"/>
        </w:rPr>
        <w:t xml:space="preserve">Directiva </w:t>
      </w:r>
      <w:r w:rsidRPr="00CE3321">
        <w:rPr>
          <w:noProof/>
          <w:sz w:val="24"/>
        </w:rPr>
        <w:t>2005</w:t>
      </w:r>
      <w:r w:rsidRPr="00B362D2">
        <w:rPr>
          <w:noProof/>
          <w:sz w:val="24"/>
        </w:rPr>
        <w:t>/</w:t>
      </w:r>
      <w:r w:rsidRPr="00CE3321">
        <w:rPr>
          <w:noProof/>
          <w:sz w:val="24"/>
        </w:rPr>
        <w:t>29</w:t>
      </w:r>
      <w:r w:rsidRPr="00B362D2">
        <w:rPr>
          <w:noProof/>
          <w:sz w:val="24"/>
        </w:rPr>
        <w:t>/CE privind practicile comerciale neloiale</w:t>
      </w:r>
      <w:r w:rsidRPr="00B362D2">
        <w:rPr>
          <w:rStyle w:val="FootnoteReference"/>
          <w:noProof/>
          <w:sz w:val="24"/>
          <w:szCs w:val="24"/>
        </w:rPr>
        <w:footnoteReference w:id="11"/>
      </w:r>
      <w:r w:rsidRPr="00B362D2">
        <w:rPr>
          <w:noProof/>
          <w:sz w:val="24"/>
        </w:rPr>
        <w:t xml:space="preserve"> (denumită în continuare „DPCN”) impune comercianților să nu omită informații semnificative de care consumatorul mediu are nevoie pentru a lua decizii comerciale în cunoștință de cauză, atât înainte, cât și în timpul utilizării unui produs, cum ar fi un joc video. Directiva interzice, de asemenea, practicile înșelătoare care pot determina consumatorii medii să ia decizii comerciale pe care nu le-ar lua în alte împrejurări. </w:t>
      </w:r>
    </w:p>
    <w:p w14:paraId="7889709C" w14:textId="77777777" w:rsidR="004A3961" w:rsidRPr="00B362D2" w:rsidRDefault="004A3961" w:rsidP="00525EB5">
      <w:pPr>
        <w:jc w:val="both"/>
        <w:rPr>
          <w:noProof/>
          <w:sz w:val="24"/>
          <w:szCs w:val="24"/>
        </w:rPr>
      </w:pPr>
    </w:p>
    <w:p w14:paraId="4BB218F7" w14:textId="77777777" w:rsidR="00B7393A" w:rsidRPr="00B362D2" w:rsidRDefault="7F521F92" w:rsidP="00525EB5">
      <w:pPr>
        <w:jc w:val="both"/>
        <w:rPr>
          <w:noProof/>
          <w:sz w:val="24"/>
          <w:szCs w:val="24"/>
        </w:rPr>
      </w:pPr>
      <w:r w:rsidRPr="00B362D2">
        <w:rPr>
          <w:noProof/>
          <w:sz w:val="24"/>
        </w:rPr>
        <w:t xml:space="preserve">Directiva </w:t>
      </w:r>
      <w:r w:rsidRPr="00CE3321">
        <w:rPr>
          <w:noProof/>
          <w:sz w:val="24"/>
        </w:rPr>
        <w:t>93</w:t>
      </w:r>
      <w:r w:rsidRPr="00B362D2">
        <w:rPr>
          <w:noProof/>
          <w:sz w:val="24"/>
        </w:rPr>
        <w:t>/</w:t>
      </w:r>
      <w:r w:rsidRPr="00CE3321">
        <w:rPr>
          <w:noProof/>
          <w:sz w:val="24"/>
        </w:rPr>
        <w:t>13</w:t>
      </w:r>
      <w:r w:rsidRPr="00B362D2">
        <w:rPr>
          <w:noProof/>
          <w:sz w:val="24"/>
        </w:rPr>
        <w:t>/CEE privind clauzele abuzive în contractele încheiate cu consumatorii</w:t>
      </w:r>
      <w:r w:rsidRPr="00B362D2">
        <w:rPr>
          <w:rStyle w:val="FootnoteReference"/>
          <w:noProof/>
          <w:sz w:val="24"/>
          <w:szCs w:val="24"/>
        </w:rPr>
        <w:footnoteReference w:id="12"/>
      </w:r>
      <w:r w:rsidRPr="00B362D2">
        <w:rPr>
          <w:noProof/>
          <w:sz w:val="24"/>
        </w:rPr>
        <w:t xml:space="preserve"> interzice clauzele care, în contradicție cu cerința de bună credință, provoacă un dezechilibru semnificativ între drepturile și obligațiile părților, în detrimentul consumatorului. </w:t>
      </w:r>
    </w:p>
    <w:p w14:paraId="0A74A528" w14:textId="77777777" w:rsidR="00B7393A" w:rsidRPr="00B362D2" w:rsidRDefault="00B7393A" w:rsidP="00525EB5">
      <w:pPr>
        <w:jc w:val="both"/>
        <w:rPr>
          <w:noProof/>
          <w:sz w:val="24"/>
          <w:szCs w:val="24"/>
        </w:rPr>
      </w:pPr>
    </w:p>
    <w:p w14:paraId="37F0B8D0" w14:textId="77777777" w:rsidR="00E64BE1" w:rsidRPr="00B362D2" w:rsidRDefault="3B62E39E" w:rsidP="00525EB5">
      <w:pPr>
        <w:jc w:val="both"/>
        <w:rPr>
          <w:noProof/>
          <w:sz w:val="24"/>
          <w:szCs w:val="24"/>
        </w:rPr>
      </w:pPr>
      <w:r w:rsidRPr="00B362D2">
        <w:rPr>
          <w:noProof/>
          <w:sz w:val="24"/>
        </w:rPr>
        <w:t xml:space="preserve">Directiva (UE) </w:t>
      </w:r>
      <w:r w:rsidRPr="00CE3321">
        <w:rPr>
          <w:noProof/>
          <w:sz w:val="24"/>
        </w:rPr>
        <w:t>2019</w:t>
      </w:r>
      <w:r w:rsidRPr="00B362D2">
        <w:rPr>
          <w:noProof/>
          <w:sz w:val="24"/>
        </w:rPr>
        <w:t>/</w:t>
      </w:r>
      <w:r w:rsidRPr="00CE3321">
        <w:rPr>
          <w:noProof/>
          <w:sz w:val="24"/>
        </w:rPr>
        <w:t>770</w:t>
      </w:r>
      <w:r w:rsidRPr="00B362D2">
        <w:rPr>
          <w:noProof/>
          <w:sz w:val="24"/>
        </w:rPr>
        <w:t xml:space="preserve"> privind conținutul digital și serviciile digitale</w:t>
      </w:r>
      <w:r w:rsidRPr="00B362D2">
        <w:rPr>
          <w:rStyle w:val="FootnoteReference"/>
          <w:noProof/>
          <w:sz w:val="24"/>
          <w:szCs w:val="24"/>
        </w:rPr>
        <w:footnoteReference w:id="13"/>
      </w:r>
      <w:r w:rsidRPr="00B362D2">
        <w:rPr>
          <w:noProof/>
          <w:sz w:val="24"/>
        </w:rPr>
        <w:t xml:space="preserve"> (Directiva privind conținutul digital – „DCD”) stabilește norme privind conformitatea conținutului digital și a serviciilor digitale și prevede măsuri corective pentru consumatori.</w:t>
      </w:r>
    </w:p>
    <w:p w14:paraId="28EECFC4" w14:textId="77777777" w:rsidR="5356F330" w:rsidRPr="00B362D2" w:rsidRDefault="07ED0E29" w:rsidP="6A4D87F8">
      <w:pPr>
        <w:spacing w:before="200"/>
        <w:ind w:left="23"/>
        <w:jc w:val="both"/>
        <w:rPr>
          <w:noProof/>
          <w:sz w:val="24"/>
          <w:szCs w:val="24"/>
        </w:rPr>
      </w:pPr>
      <w:r w:rsidRPr="00B362D2">
        <w:rPr>
          <w:noProof/>
          <w:sz w:val="24"/>
        </w:rPr>
        <w:t xml:space="preserve">Aplicarea acestor instrumente legislative ale UE privind protecția consumatorilor în cazul întreruperii vânzării jocurilor video și a serviciilor post-vânzare asociate de către furnizorii acestora este explicată în secțiunea </w:t>
      </w:r>
      <w:r w:rsidRPr="00CE3321">
        <w:rPr>
          <w:noProof/>
          <w:sz w:val="24"/>
        </w:rPr>
        <w:t>3</w:t>
      </w:r>
      <w:r w:rsidRPr="00B362D2">
        <w:rPr>
          <w:noProof/>
          <w:sz w:val="24"/>
        </w:rPr>
        <w:t>.</w:t>
      </w:r>
      <w:r w:rsidRPr="00CE3321">
        <w:rPr>
          <w:noProof/>
          <w:sz w:val="24"/>
        </w:rPr>
        <w:t>2</w:t>
      </w:r>
      <w:r w:rsidRPr="00B362D2">
        <w:rPr>
          <w:noProof/>
          <w:sz w:val="24"/>
        </w:rPr>
        <w:t>.</w:t>
      </w:r>
    </w:p>
    <w:p w14:paraId="6CA561A0" w14:textId="61326771" w:rsidR="00C3180A" w:rsidRPr="00B362D2" w:rsidRDefault="00C3180A" w:rsidP="6A4D87F8">
      <w:pPr>
        <w:spacing w:before="200"/>
        <w:ind w:left="23"/>
        <w:jc w:val="both"/>
        <w:rPr>
          <w:noProof/>
          <w:sz w:val="24"/>
          <w:szCs w:val="24"/>
        </w:rPr>
      </w:pPr>
      <w:r w:rsidRPr="00B362D2">
        <w:rPr>
          <w:noProof/>
          <w:sz w:val="24"/>
        </w:rPr>
        <w:t xml:space="preserve">Alte acte legislative ale UE pot fi, de asemenea, relevante în acest context, cum ar fi legislația UE în domeniul concurenței. Articolul </w:t>
      </w:r>
      <w:r w:rsidRPr="00CE3321">
        <w:rPr>
          <w:noProof/>
          <w:sz w:val="24"/>
        </w:rPr>
        <w:t>102</w:t>
      </w:r>
      <w:r w:rsidRPr="00B362D2">
        <w:rPr>
          <w:noProof/>
          <w:sz w:val="24"/>
        </w:rPr>
        <w:t xml:space="preserve"> din TFUE interzice întreprinderilor să folosească în mod abuziv o poziție dominantă deținută pe piața internă a UE sau pe o parte semnificativă a acesteia, în măsura în care acest lucru poate afecta comerțul dintre statele membre. În cazul în care un editor sau un distribuitor de jocuri video care deține o poziție dominantă pe o anumită piață pentru un serviciu de jocuri întrerupe furnizarea serviciului respectiv fără o justificare obiectivă, pot fi solicitate măsuri corective în fața autorităților de concurență și a instanțelor naționale, în temeiul articolului </w:t>
      </w:r>
      <w:r w:rsidRPr="00CE3321">
        <w:rPr>
          <w:noProof/>
          <w:sz w:val="24"/>
        </w:rPr>
        <w:t>102</w:t>
      </w:r>
      <w:r w:rsidRPr="00B362D2">
        <w:rPr>
          <w:noProof/>
          <w:sz w:val="24"/>
        </w:rPr>
        <w:t xml:space="preserve"> din TFUE și/sau al legislației naționale în domeniul concurenței. </w:t>
      </w:r>
    </w:p>
    <w:p w14:paraId="1F9F25A6" w14:textId="77777777" w:rsidR="7FAFF242" w:rsidRPr="00B362D2" w:rsidRDefault="7FAFF242" w:rsidP="00525EB5">
      <w:pPr>
        <w:pStyle w:val="ListParagraph"/>
        <w:keepNext/>
        <w:numPr>
          <w:ilvl w:val="0"/>
          <w:numId w:val="5"/>
        </w:numPr>
        <w:spacing w:before="200"/>
        <w:ind w:left="714" w:hanging="357"/>
        <w:jc w:val="both"/>
        <w:rPr>
          <w:i/>
          <w:iCs/>
          <w:noProof/>
          <w:sz w:val="24"/>
          <w:szCs w:val="24"/>
        </w:rPr>
      </w:pPr>
      <w:r w:rsidRPr="00B362D2">
        <w:rPr>
          <w:i/>
          <w:noProof/>
          <w:sz w:val="24"/>
        </w:rPr>
        <w:t>Normele de proprietate intelectuală</w:t>
      </w:r>
    </w:p>
    <w:p w14:paraId="377401C9" w14:textId="77777777" w:rsidR="5A79DA57" w:rsidRPr="00B362D2" w:rsidRDefault="5A79DA57" w:rsidP="00525EB5">
      <w:pPr>
        <w:spacing w:before="200"/>
        <w:ind w:left="23"/>
        <w:jc w:val="both"/>
        <w:rPr>
          <w:noProof/>
          <w:sz w:val="24"/>
          <w:szCs w:val="24"/>
        </w:rPr>
      </w:pPr>
      <w:r w:rsidRPr="00B362D2">
        <w:rPr>
          <w:noProof/>
          <w:sz w:val="24"/>
        </w:rPr>
        <w:t xml:space="preserve">Articolul </w:t>
      </w:r>
      <w:r w:rsidRPr="00CE3321">
        <w:rPr>
          <w:noProof/>
          <w:sz w:val="24"/>
        </w:rPr>
        <w:t>17</w:t>
      </w:r>
      <w:r w:rsidRPr="00B362D2">
        <w:rPr>
          <w:noProof/>
          <w:sz w:val="24"/>
        </w:rPr>
        <w:t xml:space="preserve"> din Carta drepturilor fundamentale a Uniunii Europene prevede că orice persoană are dreptul de a deține în proprietate, de a folosi, de a dispune și de a lăsa moștenire bunurile pe care le-a dobândit în mod legal și garantează protecția proprietății intelectuale, inclusiv a drepturilor de autor.</w:t>
      </w:r>
    </w:p>
    <w:p w14:paraId="7875437F" w14:textId="01C1E8C2" w:rsidR="5356F330" w:rsidRPr="00B362D2" w:rsidRDefault="077B969D" w:rsidP="00CD1810">
      <w:pPr>
        <w:spacing w:before="200"/>
        <w:jc w:val="both"/>
        <w:rPr>
          <w:noProof/>
          <w:sz w:val="24"/>
          <w:szCs w:val="24"/>
        </w:rPr>
      </w:pPr>
      <w:r w:rsidRPr="00B362D2">
        <w:rPr>
          <w:noProof/>
          <w:sz w:val="24"/>
        </w:rPr>
        <w:t>Astfel cum a reamintit Curtea de Justiție a Uniunii Europene</w:t>
      </w:r>
      <w:r w:rsidRPr="00B362D2">
        <w:rPr>
          <w:rStyle w:val="FootnoteReference"/>
          <w:noProof/>
          <w:sz w:val="24"/>
          <w:szCs w:val="24"/>
        </w:rPr>
        <w:footnoteReference w:id="14"/>
      </w:r>
      <w:r w:rsidRPr="00B362D2">
        <w:rPr>
          <w:noProof/>
          <w:sz w:val="24"/>
        </w:rPr>
        <w:t>, jocurile video constituie un material complex care cuprinde nu numai un program de calculator protejat în temeiul Directivei</w:t>
      </w:r>
      <w:r w:rsidR="00CA2697">
        <w:rPr>
          <w:noProof/>
          <w:sz w:val="24"/>
        </w:rPr>
        <w:t> </w:t>
      </w:r>
      <w:r w:rsidRPr="00CE3321">
        <w:rPr>
          <w:noProof/>
          <w:sz w:val="24"/>
        </w:rPr>
        <w:t>2009</w:t>
      </w:r>
      <w:r w:rsidRPr="00B362D2">
        <w:rPr>
          <w:noProof/>
          <w:sz w:val="24"/>
        </w:rPr>
        <w:t>/</w:t>
      </w:r>
      <w:r w:rsidRPr="00CE3321">
        <w:rPr>
          <w:noProof/>
          <w:sz w:val="24"/>
        </w:rPr>
        <w:t>24</w:t>
      </w:r>
      <w:r w:rsidRPr="00B362D2">
        <w:rPr>
          <w:noProof/>
          <w:sz w:val="24"/>
        </w:rPr>
        <w:t>/CE</w:t>
      </w:r>
      <w:r w:rsidRPr="00B362D2">
        <w:rPr>
          <w:rStyle w:val="FootnoteReference"/>
          <w:noProof/>
          <w:sz w:val="24"/>
          <w:szCs w:val="24"/>
        </w:rPr>
        <w:footnoteReference w:id="15"/>
      </w:r>
      <w:r w:rsidRPr="00B362D2">
        <w:rPr>
          <w:noProof/>
          <w:sz w:val="24"/>
        </w:rPr>
        <w:t xml:space="preserve">, ci și elemente grafice și sonore cu o valoare creativă proprie, protejate în temeiul Directivei </w:t>
      </w:r>
      <w:r w:rsidRPr="00CE3321">
        <w:rPr>
          <w:noProof/>
          <w:sz w:val="24"/>
        </w:rPr>
        <w:t>2001</w:t>
      </w:r>
      <w:r w:rsidRPr="00B362D2">
        <w:rPr>
          <w:noProof/>
          <w:sz w:val="24"/>
        </w:rPr>
        <w:t>/</w:t>
      </w:r>
      <w:r w:rsidRPr="00CE3321">
        <w:rPr>
          <w:noProof/>
          <w:sz w:val="24"/>
        </w:rPr>
        <w:t>29</w:t>
      </w:r>
      <w:r w:rsidRPr="00B362D2">
        <w:rPr>
          <w:noProof/>
          <w:sz w:val="24"/>
        </w:rPr>
        <w:t>/CE</w:t>
      </w:r>
      <w:r w:rsidRPr="00B362D2">
        <w:rPr>
          <w:rStyle w:val="FootnoteReference"/>
          <w:noProof/>
          <w:sz w:val="24"/>
          <w:szCs w:val="24"/>
        </w:rPr>
        <w:footnoteReference w:id="16"/>
      </w:r>
      <w:r w:rsidRPr="00B362D2">
        <w:rPr>
          <w:noProof/>
          <w:sz w:val="24"/>
        </w:rPr>
        <w:t xml:space="preserve">. </w:t>
      </w:r>
    </w:p>
    <w:p w14:paraId="45AB6A47" w14:textId="77777777" w:rsidR="5356F330" w:rsidRPr="00B362D2" w:rsidRDefault="5356F330" w:rsidP="00CD1810">
      <w:pPr>
        <w:jc w:val="both"/>
        <w:rPr>
          <w:noProof/>
        </w:rPr>
      </w:pPr>
    </w:p>
    <w:p w14:paraId="5C190B78" w14:textId="5F105009" w:rsidR="5356F330" w:rsidRPr="00B362D2" w:rsidRDefault="7999921C" w:rsidP="31DBE0D6">
      <w:pPr>
        <w:jc w:val="both"/>
        <w:rPr>
          <w:noProof/>
          <w:sz w:val="24"/>
          <w:szCs w:val="24"/>
        </w:rPr>
      </w:pPr>
      <w:r w:rsidRPr="00B362D2">
        <w:rPr>
          <w:noProof/>
          <w:sz w:val="24"/>
        </w:rPr>
        <w:t>În temeiul legislației UE privind drepturile de autor, titularii de drepturi beneficiază de drepturi exclusive asupra creațiilor lor.</w:t>
      </w:r>
      <w:r w:rsidR="00720E2E" w:rsidRPr="00B362D2">
        <w:rPr>
          <w:noProof/>
          <w:sz w:val="24"/>
        </w:rPr>
        <w:t xml:space="preserve"> </w:t>
      </w:r>
      <w:r w:rsidRPr="00B362D2">
        <w:rPr>
          <w:noProof/>
          <w:sz w:val="24"/>
        </w:rPr>
        <w:t>În practică, titularii de drepturi pot permite terților să exercite anumite drepturi asupra operelor lor protejate prin licență, cu excepția cazului în care se aplică o excepție, o limitare sau principiul epuizării</w:t>
      </w:r>
      <w:r w:rsidRPr="00B362D2">
        <w:rPr>
          <w:rStyle w:val="FootnoteReference"/>
          <w:noProof/>
          <w:sz w:val="24"/>
          <w:szCs w:val="24"/>
        </w:rPr>
        <w:footnoteReference w:id="17"/>
      </w:r>
      <w:r w:rsidRPr="00B362D2">
        <w:rPr>
          <w:noProof/>
        </w:rPr>
        <w:t>.</w:t>
      </w:r>
    </w:p>
    <w:p w14:paraId="47D9E717" w14:textId="77777777" w:rsidR="5356F330" w:rsidRPr="00B362D2" w:rsidRDefault="5356F330" w:rsidP="6A4D87F8">
      <w:pPr>
        <w:jc w:val="both"/>
        <w:rPr>
          <w:noProof/>
          <w:sz w:val="24"/>
          <w:szCs w:val="24"/>
        </w:rPr>
      </w:pPr>
    </w:p>
    <w:p w14:paraId="0D8337CC" w14:textId="77777777" w:rsidR="5356F330" w:rsidRPr="00B362D2" w:rsidRDefault="4E0136AE" w:rsidP="6A4D87F8">
      <w:pPr>
        <w:jc w:val="both"/>
        <w:rPr>
          <w:noProof/>
          <w:sz w:val="24"/>
          <w:szCs w:val="24"/>
        </w:rPr>
      </w:pPr>
      <w:r w:rsidRPr="00B362D2">
        <w:rPr>
          <w:noProof/>
          <w:sz w:val="24"/>
        </w:rPr>
        <w:t>Domeniul de aplicare a excepțiilor și limitărilor trebuie interpretat în mod restrictiv, acestea aplicându-se numai în cazuri speciale care nu intră în conflict cu exploatarea normală a operei și nu aduc în mod nejustificat atingere intereselor legitime ale titularilor drepturilor.</w:t>
      </w:r>
    </w:p>
    <w:p w14:paraId="7E0049CC" w14:textId="77777777" w:rsidR="5356F330" w:rsidRPr="00B362D2" w:rsidRDefault="4DEE0AEA" w:rsidP="00CD1810">
      <w:pPr>
        <w:spacing w:before="200"/>
        <w:jc w:val="both"/>
        <w:rPr>
          <w:noProof/>
          <w:sz w:val="24"/>
          <w:szCs w:val="24"/>
        </w:rPr>
      </w:pPr>
      <w:r w:rsidRPr="00B362D2">
        <w:rPr>
          <w:noProof/>
          <w:sz w:val="24"/>
        </w:rPr>
        <w:t>Pe lângă drepturile de autor, pot fi relevante și alte drepturi de proprietate intelectuală, întrucât este posibil ca acestea să protejeze diferite aspecte vizuale și tehnologice ale unui joc video. Titularii altor drepturi de proprietate intelectuală au, de asemenea, dreptul exclusiv de a autoriza utilizarea proprietății lor intelectuale în servicii și produse fizice sau digitale. În UE, mărcile naționale coexistă cu sistemul de mărci UE</w:t>
      </w:r>
      <w:r w:rsidRPr="00B362D2">
        <w:rPr>
          <w:rStyle w:val="FootnoteReference"/>
          <w:noProof/>
          <w:sz w:val="24"/>
          <w:szCs w:val="24"/>
        </w:rPr>
        <w:footnoteReference w:id="18"/>
      </w:r>
      <w:r w:rsidRPr="00B362D2">
        <w:rPr>
          <w:noProof/>
        </w:rPr>
        <w:t>.</w:t>
      </w:r>
      <w:r w:rsidRPr="00B362D2">
        <w:rPr>
          <w:noProof/>
          <w:sz w:val="24"/>
        </w:rPr>
        <w:t xml:space="preserve"> Atât mărcile naționale, cât și mărcile UE oferă protecție împotriva utilizării neautorizate în produse digitale, cum ar fi jocurile video.</w:t>
      </w:r>
    </w:p>
    <w:p w14:paraId="6C1C1C41" w14:textId="77777777" w:rsidR="5356F330" w:rsidRPr="00B362D2" w:rsidRDefault="7AF8E68B" w:rsidP="00415D76">
      <w:pPr>
        <w:spacing w:before="200"/>
        <w:ind w:left="23"/>
        <w:jc w:val="both"/>
        <w:rPr>
          <w:noProof/>
          <w:sz w:val="24"/>
          <w:szCs w:val="24"/>
        </w:rPr>
      </w:pPr>
      <w:r w:rsidRPr="00B362D2">
        <w:rPr>
          <w:noProof/>
          <w:sz w:val="24"/>
        </w:rPr>
        <w:t>La fel ca în cazul mărcilor, drepturile asupra desenelor și modelelor industriale naționale coexistă cu desenele și modelele industriale UE pe piața unică</w:t>
      </w:r>
      <w:r w:rsidRPr="00B362D2">
        <w:rPr>
          <w:rStyle w:val="FootnoteReference"/>
          <w:noProof/>
          <w:sz w:val="24"/>
          <w:szCs w:val="24"/>
        </w:rPr>
        <w:footnoteReference w:id="19"/>
      </w:r>
      <w:r w:rsidRPr="00B362D2">
        <w:rPr>
          <w:noProof/>
        </w:rPr>
        <w:t>.</w:t>
      </w:r>
      <w:r w:rsidRPr="00B362D2">
        <w:rPr>
          <w:noProof/>
          <w:sz w:val="24"/>
        </w:rPr>
        <w:t xml:space="preserve"> </w:t>
      </w:r>
    </w:p>
    <w:p w14:paraId="0D74E147" w14:textId="77777777" w:rsidR="5356F330" w:rsidRPr="00B362D2" w:rsidRDefault="35D49D57" w:rsidP="00415D76">
      <w:pPr>
        <w:spacing w:before="200"/>
        <w:ind w:left="23"/>
        <w:jc w:val="both"/>
        <w:rPr>
          <w:noProof/>
          <w:sz w:val="24"/>
          <w:szCs w:val="24"/>
        </w:rPr>
      </w:pPr>
      <w:r w:rsidRPr="00B362D2">
        <w:rPr>
          <w:noProof/>
          <w:sz w:val="24"/>
        </w:rPr>
        <w:t xml:space="preserve">Directiva (UE) </w:t>
      </w:r>
      <w:r w:rsidRPr="00CE3321">
        <w:rPr>
          <w:noProof/>
          <w:sz w:val="24"/>
        </w:rPr>
        <w:t>2016</w:t>
      </w:r>
      <w:r w:rsidRPr="00B362D2">
        <w:rPr>
          <w:noProof/>
          <w:sz w:val="24"/>
        </w:rPr>
        <w:t>/</w:t>
      </w:r>
      <w:r w:rsidRPr="00CE3321">
        <w:rPr>
          <w:noProof/>
          <w:sz w:val="24"/>
        </w:rPr>
        <w:t>943</w:t>
      </w:r>
      <w:r w:rsidRPr="00B362D2">
        <w:rPr>
          <w:rStyle w:val="FootnoteReference"/>
          <w:noProof/>
          <w:sz w:val="24"/>
          <w:szCs w:val="24"/>
        </w:rPr>
        <w:footnoteReference w:id="20"/>
      </w:r>
      <w:r w:rsidRPr="00B362D2">
        <w:rPr>
          <w:noProof/>
        </w:rPr>
        <w:t xml:space="preserve"> </w:t>
      </w:r>
      <w:r w:rsidRPr="00B362D2">
        <w:rPr>
          <w:noProof/>
          <w:sz w:val="24"/>
        </w:rPr>
        <w:t>armonizează legislațiile statelor membre ale UE privind protecția împotriva dobândirii, utilizării și divulgării ilegale de secrete comerciale. Aceasta stabilește o definiție uniformă a secretelor comerciale și prevede căi de atac în fața instanțelor civile pentru a proteja know-how-ul întreprinderilor.</w:t>
      </w:r>
    </w:p>
    <w:p w14:paraId="57F3176A" w14:textId="77777777" w:rsidR="5356F330" w:rsidRPr="00B362D2" w:rsidRDefault="4ACA647C" w:rsidP="00415D76">
      <w:pPr>
        <w:spacing w:before="200"/>
        <w:jc w:val="both"/>
        <w:rPr>
          <w:noProof/>
          <w:sz w:val="24"/>
          <w:szCs w:val="24"/>
        </w:rPr>
      </w:pPr>
      <w:r w:rsidRPr="00B362D2">
        <w:rPr>
          <w:noProof/>
          <w:sz w:val="24"/>
        </w:rPr>
        <w:t xml:space="preserve">Directiva </w:t>
      </w:r>
      <w:r w:rsidRPr="00CE3321">
        <w:rPr>
          <w:noProof/>
          <w:sz w:val="24"/>
        </w:rPr>
        <w:t>2004</w:t>
      </w:r>
      <w:r w:rsidRPr="00B362D2">
        <w:rPr>
          <w:noProof/>
          <w:sz w:val="24"/>
        </w:rPr>
        <w:t>/</w:t>
      </w:r>
      <w:r w:rsidRPr="00CE3321">
        <w:rPr>
          <w:noProof/>
          <w:sz w:val="24"/>
        </w:rPr>
        <w:t>48</w:t>
      </w:r>
      <w:r w:rsidRPr="00B362D2">
        <w:rPr>
          <w:noProof/>
          <w:sz w:val="24"/>
        </w:rPr>
        <w:t>/CE</w:t>
      </w:r>
      <w:r w:rsidRPr="00B362D2">
        <w:rPr>
          <w:rStyle w:val="FootnoteReference"/>
          <w:noProof/>
          <w:sz w:val="24"/>
          <w:szCs w:val="24"/>
        </w:rPr>
        <w:footnoteReference w:id="21"/>
      </w:r>
      <w:r w:rsidRPr="00B362D2">
        <w:rPr>
          <w:noProof/>
        </w:rPr>
        <w:t xml:space="preserve"> </w:t>
      </w:r>
      <w:r w:rsidRPr="00B362D2">
        <w:rPr>
          <w:noProof/>
          <w:sz w:val="24"/>
        </w:rPr>
        <w:t>prevede un set minim armonizat de măsuri, proceduri și mijloace de reparație de natură civilă echitabile și proporționale pentru a asigura respectarea drepturilor de proprietate intelectuală, care se aplică tuturor titlurilor de proprietate intelectuală naționale și europene de pe piața unică.</w:t>
      </w:r>
    </w:p>
    <w:p w14:paraId="23D6274F" w14:textId="77777777" w:rsidR="291FE08A" w:rsidRPr="00B362D2" w:rsidRDefault="291FE08A" w:rsidP="00415D76">
      <w:pPr>
        <w:jc w:val="both"/>
        <w:rPr>
          <w:noProof/>
        </w:rPr>
      </w:pPr>
    </w:p>
    <w:p w14:paraId="69AEC775" w14:textId="77777777" w:rsidR="000242DE" w:rsidRPr="00B362D2" w:rsidRDefault="63317F98" w:rsidP="00CD1810">
      <w:pPr>
        <w:ind w:left="23"/>
        <w:rPr>
          <w:b/>
          <w:bCs/>
          <w:noProof/>
        </w:rPr>
      </w:pPr>
      <w:r w:rsidRPr="00CE3321">
        <w:rPr>
          <w:b/>
          <w:noProof/>
        </w:rPr>
        <w:t>2</w:t>
      </w:r>
      <w:r w:rsidRPr="00B362D2">
        <w:rPr>
          <w:b/>
          <w:noProof/>
        </w:rPr>
        <w:t>.</w:t>
      </w:r>
      <w:r w:rsidRPr="00CE3321">
        <w:rPr>
          <w:b/>
          <w:noProof/>
        </w:rPr>
        <w:t>3</w:t>
      </w:r>
      <w:r w:rsidRPr="00B362D2">
        <w:rPr>
          <w:b/>
          <w:noProof/>
        </w:rPr>
        <w:t xml:space="preserve"> Chestiunea în discuție</w:t>
      </w:r>
    </w:p>
    <w:p w14:paraId="7126B176" w14:textId="77777777" w:rsidR="00E22778" w:rsidRPr="00B362D2" w:rsidRDefault="00E22778" w:rsidP="002C0369">
      <w:pPr>
        <w:pStyle w:val="BodyText"/>
        <w:jc w:val="both"/>
        <w:rPr>
          <w:noProof/>
        </w:rPr>
      </w:pPr>
    </w:p>
    <w:p w14:paraId="7472F386" w14:textId="54069AC1" w:rsidR="4448336C" w:rsidRPr="00B362D2" w:rsidRDefault="33B75AA9" w:rsidP="009751B4">
      <w:pPr>
        <w:pStyle w:val="BodyText"/>
        <w:spacing w:after="120"/>
        <w:jc w:val="both"/>
        <w:rPr>
          <w:noProof/>
          <w:color w:val="000000"/>
        </w:rPr>
      </w:pPr>
      <w:r w:rsidRPr="00B362D2">
        <w:rPr>
          <w:noProof/>
          <w:color w:val="000000" w:themeColor="text1"/>
        </w:rPr>
        <w:t xml:space="preserve">Jocurile video reprezintă cel mai mare sector cultural și creativ la nivel mondial din punct de vedere economic. Acesta s-a bucurat de o creștere rapidă în anii </w:t>
      </w:r>
      <w:r w:rsidRPr="00CE3321">
        <w:rPr>
          <w:noProof/>
          <w:color w:val="000000" w:themeColor="text1"/>
        </w:rPr>
        <w:t>2010</w:t>
      </w:r>
      <w:r w:rsidRPr="00B362D2">
        <w:rPr>
          <w:noProof/>
          <w:color w:val="000000" w:themeColor="text1"/>
        </w:rPr>
        <w:t xml:space="preserve"> și în timpul pandemiei de COVID</w:t>
      </w:r>
      <w:r w:rsidR="00CA2697">
        <w:rPr>
          <w:noProof/>
          <w:color w:val="000000" w:themeColor="text1"/>
        </w:rPr>
        <w:t>­</w:t>
      </w:r>
      <w:r w:rsidRPr="00CE3321">
        <w:rPr>
          <w:noProof/>
          <w:color w:val="000000" w:themeColor="text1"/>
        </w:rPr>
        <w:t>19</w:t>
      </w:r>
      <w:r w:rsidRPr="00B362D2">
        <w:rPr>
          <w:noProof/>
          <w:color w:val="000000" w:themeColor="text1"/>
        </w:rPr>
        <w:t xml:space="preserve">, generând venituri globale de aproximativ </w:t>
      </w:r>
      <w:r w:rsidRPr="00CE3321">
        <w:rPr>
          <w:noProof/>
          <w:color w:val="000000" w:themeColor="text1"/>
        </w:rPr>
        <w:t>170</w:t>
      </w:r>
      <w:r w:rsidRPr="00B362D2">
        <w:rPr>
          <w:noProof/>
          <w:color w:val="000000" w:themeColor="text1"/>
        </w:rPr>
        <w:t xml:space="preserve"> de miliarde EUR în </w:t>
      </w:r>
      <w:r w:rsidRPr="00CE3321">
        <w:rPr>
          <w:noProof/>
          <w:color w:val="000000" w:themeColor="text1"/>
        </w:rPr>
        <w:t>2023</w:t>
      </w:r>
      <w:r w:rsidRPr="00B362D2">
        <w:rPr>
          <w:noProof/>
          <w:color w:val="000000" w:themeColor="text1"/>
        </w:rPr>
        <w:t xml:space="preserve">, piața UE reprezentând peste </w:t>
      </w:r>
      <w:r w:rsidRPr="00CE3321">
        <w:rPr>
          <w:noProof/>
          <w:color w:val="000000" w:themeColor="text1"/>
        </w:rPr>
        <w:t>22</w:t>
      </w:r>
      <w:r w:rsidRPr="00B362D2">
        <w:rPr>
          <w:noProof/>
          <w:color w:val="000000" w:themeColor="text1"/>
        </w:rPr>
        <w:t xml:space="preserve"> de miliarde EUR</w:t>
      </w:r>
      <w:r w:rsidRPr="00B362D2">
        <w:rPr>
          <w:rStyle w:val="FootnoteReference"/>
          <w:noProof/>
          <w:color w:val="000000" w:themeColor="text1"/>
        </w:rPr>
        <w:footnoteReference w:id="22"/>
      </w:r>
      <w:r w:rsidRPr="00B362D2">
        <w:rPr>
          <w:noProof/>
          <w:color w:val="000000" w:themeColor="text1"/>
        </w:rPr>
        <w:t>. De-a lungul timpului, tehnologiile jocurilor video au avut un impact pozitiv asupra unor sectoare economice mai largi (de exemplu, formare, apărare și sănătate), iar jocurile în sine au devenit platforme de testare pentru inovarea tehnologică (de exemplu, tehnologia de realitate extinsă).</w:t>
      </w:r>
    </w:p>
    <w:p w14:paraId="78F55F07" w14:textId="77777777" w:rsidR="4448336C" w:rsidRPr="00B362D2" w:rsidRDefault="15FD15B8" w:rsidP="009751B4">
      <w:pPr>
        <w:pStyle w:val="BodyText"/>
        <w:spacing w:after="120"/>
        <w:jc w:val="both"/>
        <w:rPr>
          <w:noProof/>
          <w:color w:val="000000"/>
        </w:rPr>
      </w:pPr>
      <w:r w:rsidRPr="00B362D2">
        <w:rPr>
          <w:noProof/>
          <w:color w:val="000000"/>
        </w:rPr>
        <w:t xml:space="preserve">Deși se confruntă cu o criză a investițiilor și a ocupării forței de muncă, sectorul european al jocurilor video rămâne cunoscut pentru stilurile artistice și narațiunile distinctive ale jocurilor și pentru peisajul său independent și dinamic. </w:t>
      </w:r>
      <w:r w:rsidRPr="00B362D2">
        <w:rPr>
          <w:noProof/>
        </w:rPr>
        <w:t>Prin cercetare dedicată jocurilor video</w:t>
      </w:r>
      <w:r w:rsidRPr="00B362D2">
        <w:rPr>
          <w:rStyle w:val="FootnoteReference"/>
          <w:noProof/>
          <w:color w:val="000000" w:themeColor="text1"/>
        </w:rPr>
        <w:footnoteReference w:id="23"/>
      </w:r>
      <w:r w:rsidRPr="00B362D2">
        <w:rPr>
          <w:noProof/>
        </w:rPr>
        <w:t>, sprijin financiar pentru faza timpurie de dezvoltare</w:t>
      </w:r>
      <w:r w:rsidRPr="00B362D2">
        <w:rPr>
          <w:rStyle w:val="FootnoteReference"/>
          <w:noProof/>
          <w:color w:val="000000"/>
        </w:rPr>
        <w:footnoteReference w:id="24"/>
      </w:r>
      <w:r w:rsidRPr="00B362D2">
        <w:rPr>
          <w:noProof/>
        </w:rPr>
        <w:t>, vehicule investiționale</w:t>
      </w:r>
      <w:r w:rsidRPr="00B362D2">
        <w:rPr>
          <w:rStyle w:val="FootnoteReference"/>
          <w:noProof/>
          <w:color w:val="000000"/>
        </w:rPr>
        <w:footnoteReference w:id="25"/>
      </w:r>
      <w:r w:rsidRPr="00B362D2">
        <w:rPr>
          <w:noProof/>
        </w:rPr>
        <w:t xml:space="preserve"> și monitorizare activă a sectorului, Comisia Europeană a luat măsuri pentru a sprijini competitivitatea acestui sector în Europa, care include aproximativ </w:t>
      </w:r>
      <w:r w:rsidRPr="00CE3321">
        <w:rPr>
          <w:noProof/>
        </w:rPr>
        <w:t>100</w:t>
      </w:r>
      <w:r w:rsidRPr="00B362D2">
        <w:rPr>
          <w:noProof/>
        </w:rPr>
        <w:t> </w:t>
      </w:r>
      <w:r w:rsidRPr="00CE3321">
        <w:rPr>
          <w:noProof/>
        </w:rPr>
        <w:t>000</w:t>
      </w:r>
      <w:r w:rsidRPr="00B362D2">
        <w:rPr>
          <w:noProof/>
        </w:rPr>
        <w:t xml:space="preserve"> de angajați și circa </w:t>
      </w:r>
      <w:r w:rsidRPr="00CE3321">
        <w:rPr>
          <w:noProof/>
        </w:rPr>
        <w:t>5</w:t>
      </w:r>
      <w:r w:rsidRPr="00B362D2">
        <w:rPr>
          <w:noProof/>
        </w:rPr>
        <w:t> </w:t>
      </w:r>
      <w:r w:rsidRPr="00CE3321">
        <w:rPr>
          <w:noProof/>
        </w:rPr>
        <w:t>500</w:t>
      </w:r>
      <w:r w:rsidRPr="00B362D2">
        <w:rPr>
          <w:noProof/>
        </w:rPr>
        <w:t xml:space="preserve"> de studiouri și editori.</w:t>
      </w:r>
    </w:p>
    <w:p w14:paraId="784B796A" w14:textId="77777777" w:rsidR="4448336C" w:rsidRPr="00B362D2" w:rsidRDefault="33B75AA9" w:rsidP="009751B4">
      <w:pPr>
        <w:pStyle w:val="BodyText"/>
        <w:spacing w:after="120"/>
        <w:jc w:val="both"/>
        <w:rPr>
          <w:noProof/>
          <w:color w:val="000000"/>
        </w:rPr>
      </w:pPr>
      <w:r w:rsidRPr="00B362D2">
        <w:rPr>
          <w:noProof/>
          <w:color w:val="000000"/>
        </w:rPr>
        <w:t>Dincolo de indicatorii economici, jocurile video s-au impus ca o activitate recreativă și culturală de prim rang în Uniunea Europeană și la nivel mondial. Trei din patru cetățeni europeni joacă jocuri video</w:t>
      </w:r>
      <w:r w:rsidRPr="00B362D2">
        <w:rPr>
          <w:rStyle w:val="FootnoteReference"/>
          <w:noProof/>
          <w:color w:val="000000" w:themeColor="text1"/>
        </w:rPr>
        <w:footnoteReference w:id="26"/>
      </w:r>
      <w:r w:rsidRPr="00B362D2">
        <w:rPr>
          <w:noProof/>
          <w:color w:val="000000"/>
        </w:rPr>
        <w:t>. Un număr tot mai mare de jocuri video sunt în prezent adaptate în formate transmedia (de exemplu, seriale TV și filme) și sunt din ce în ce mai prezente în cultura populară. În cele din urmă, având în vedere succesul tot mai mare al jocurilor cu mai mulți jucători, inclusiv al celor care funcționează pe modele de tip „jocuri ca serviciu”</w:t>
      </w:r>
      <w:r w:rsidRPr="00B362D2">
        <w:rPr>
          <w:rStyle w:val="FootnoteReference"/>
          <w:noProof/>
          <w:color w:val="000000" w:themeColor="text1"/>
        </w:rPr>
        <w:footnoteReference w:id="27"/>
      </w:r>
      <w:r w:rsidRPr="00B362D2">
        <w:rPr>
          <w:noProof/>
          <w:color w:val="000000"/>
        </w:rPr>
        <w:t>, jocurile video au devenit tot mai frecvent spații de interacțiune socială și de apropiere, promovând comunități active de jucători.</w:t>
      </w:r>
    </w:p>
    <w:p w14:paraId="027DCAAD" w14:textId="77777777" w:rsidR="4448336C" w:rsidRPr="00B362D2" w:rsidRDefault="0F813673" w:rsidP="009751B4">
      <w:pPr>
        <w:pStyle w:val="BodyText"/>
        <w:spacing w:after="120"/>
        <w:jc w:val="both"/>
        <w:rPr>
          <w:noProof/>
          <w:color w:val="000000"/>
        </w:rPr>
      </w:pPr>
      <w:r w:rsidRPr="00B362D2">
        <w:rPr>
          <w:noProof/>
          <w:color w:val="000000" w:themeColor="text1"/>
        </w:rPr>
        <w:t>Acesta este contextul în care inițiativa cetățenească europeană a rezonat cu jucătorii.</w:t>
      </w:r>
    </w:p>
    <w:p w14:paraId="2ED5095E" w14:textId="77777777" w:rsidR="00F10729" w:rsidRPr="00B362D2" w:rsidRDefault="678D6819" w:rsidP="009751B4">
      <w:pPr>
        <w:spacing w:after="120"/>
        <w:jc w:val="both"/>
        <w:rPr>
          <w:noProof/>
          <w:color w:val="000000" w:themeColor="text1"/>
          <w:sz w:val="24"/>
          <w:szCs w:val="24"/>
        </w:rPr>
      </w:pPr>
      <w:r w:rsidRPr="00B362D2">
        <w:rPr>
          <w:noProof/>
          <w:color w:val="000000" w:themeColor="text1"/>
          <w:sz w:val="24"/>
        </w:rPr>
        <w:t xml:space="preserve">Jocurile video de la sfârșitul anilor </w:t>
      </w:r>
      <w:r w:rsidRPr="00CE3321">
        <w:rPr>
          <w:noProof/>
          <w:color w:val="000000" w:themeColor="text1"/>
          <w:sz w:val="24"/>
        </w:rPr>
        <w:t>1990</w:t>
      </w:r>
      <w:r w:rsidRPr="00B362D2">
        <w:rPr>
          <w:noProof/>
          <w:color w:val="000000" w:themeColor="text1"/>
          <w:sz w:val="24"/>
        </w:rPr>
        <w:t xml:space="preserve"> și începutul anilor </w:t>
      </w:r>
      <w:r w:rsidRPr="00CE3321">
        <w:rPr>
          <w:noProof/>
          <w:color w:val="000000" w:themeColor="text1"/>
          <w:sz w:val="24"/>
        </w:rPr>
        <w:t>2000</w:t>
      </w:r>
      <w:r w:rsidRPr="00B362D2">
        <w:rPr>
          <w:noProof/>
          <w:color w:val="000000" w:themeColor="text1"/>
          <w:sz w:val="24"/>
        </w:rPr>
        <w:t>, atât cele cu un singur jucător, cât și cele cu mai mulți jucători [de exemplu, jocuri cooperative, în rețele locale (LAN) sau servere negăzduite], au funcționat, în principal, în medii închise, experiența din timpul jocului depinzând de puterea echipamentelor hardware ale jucătorilor și de latența conexiunii. În perioada respectivă, se acordau deja licențe pentru jocurile video, acestea nefiind vândute consumatorilor.</w:t>
      </w:r>
    </w:p>
    <w:p w14:paraId="3DD52FAC" w14:textId="77777777" w:rsidR="000A1498" w:rsidRPr="00B362D2" w:rsidRDefault="4FFC4B51" w:rsidP="009751B4">
      <w:pPr>
        <w:spacing w:after="120"/>
        <w:jc w:val="both"/>
        <w:rPr>
          <w:noProof/>
          <w:color w:val="000000" w:themeColor="text1"/>
          <w:sz w:val="24"/>
          <w:szCs w:val="24"/>
        </w:rPr>
      </w:pPr>
      <w:r w:rsidRPr="00B362D2">
        <w:rPr>
          <w:noProof/>
          <w:color w:val="000000" w:themeColor="text1"/>
          <w:sz w:val="24"/>
        </w:rPr>
        <w:t xml:space="preserve">În schimb, jocurile video moderne (atât cele cu un singur jucător, cât și cele cu mai mulți jucători) se bazează din ce în ce mai mult pe servere gestionate de întreprinderi, fapt care – atunci când sunt închise – poate duce la o pierdere a accesului la întregul joc sau la părți ale acestuia. O parte tot mai mare a infrastructurii pe care se bazează jocurile s-a mutat de la client la servere dedicate. În timp ce unele jocuri, în special cele cu un singur jucător și cele cu caracteristici mai puțin complexe, includ cerințe de conectare permanentă la internet în unicul scop al autentificării și protejării drepturilor de autor și a proprietății intelectuale prin intermediul programelor software de gestionare a drepturilor digitale (DRM), multe jocuri moderne populare se bazează pe conexiuni online pentru a permite unui număr mai mare de jucători să joace împreună, desfășurarea de evenimente sociale specifice sau conduse de dezvoltatori sau actualizarea continuă a jocului. </w:t>
      </w:r>
    </w:p>
    <w:p w14:paraId="36929FC5" w14:textId="77777777" w:rsidR="516E6097" w:rsidRPr="00B362D2" w:rsidRDefault="356F3E88" w:rsidP="0169C846">
      <w:pPr>
        <w:spacing w:after="120" w:line="259" w:lineRule="auto"/>
        <w:jc w:val="both"/>
        <w:rPr>
          <w:noProof/>
          <w:color w:val="000000" w:themeColor="text1"/>
          <w:sz w:val="24"/>
          <w:szCs w:val="24"/>
        </w:rPr>
      </w:pPr>
      <w:r w:rsidRPr="00B362D2">
        <w:rPr>
          <w:noProof/>
          <w:color w:val="000000" w:themeColor="text1"/>
          <w:sz w:val="24"/>
        </w:rPr>
        <w:t>De asemenea, conexiunile online pot remedia erorile prin corecții sau actualizări pe server și permit actualizări de software și middleware pentru a aborda vulnerabilitățile sau a asigura actualizarea sistemelor de operare</w:t>
      </w:r>
      <w:r w:rsidRPr="00B362D2">
        <w:rPr>
          <w:rStyle w:val="FootnoteReference"/>
          <w:noProof/>
          <w:color w:val="000000" w:themeColor="text1"/>
          <w:sz w:val="24"/>
          <w:szCs w:val="24"/>
        </w:rPr>
        <w:footnoteReference w:id="28"/>
      </w:r>
      <w:r w:rsidRPr="00B362D2">
        <w:rPr>
          <w:noProof/>
          <w:color w:val="000000" w:themeColor="text1"/>
          <w:sz w:val="24"/>
        </w:rPr>
        <w:t>. Acestea oferă caracteristici îmbunătățite esențiale pentru jocurile competitive cu mai mulți jucători (de exemplu, alcătuirea echipelor și clasamente). Acestea reflectă, de asemenea, o evoluție a sectorului, prin integrarea programelor middleware ale terților și a serviciilor externe (de exemplu, telemetrie, sisteme anti-cheat, caracteristici sociale și de salvare în cloud), care sunt adesea găzduite sau sprijinite prin intermediul infrastructurii online. Infrastructura serverelor a devenit, de asemenea, esențială pentru monetizarea jocurilor: în modelul de afaceri de tip „jocuri ca serviciu”, actualizările periodice ale conținutului (de exemplu, evenimente și provocări zilnice) mențin jucătorii implicați, în timp ce strategiile publicitare specifice contribuie, de asemenea, la creșterea veniturilor.</w:t>
      </w:r>
    </w:p>
    <w:p w14:paraId="32080A94" w14:textId="77777777" w:rsidR="4448336C" w:rsidRPr="00B362D2" w:rsidRDefault="0656CED2" w:rsidP="009751B4">
      <w:pPr>
        <w:spacing w:after="120"/>
        <w:jc w:val="both"/>
        <w:rPr>
          <w:noProof/>
          <w:color w:val="000000"/>
          <w:sz w:val="24"/>
          <w:szCs w:val="24"/>
        </w:rPr>
      </w:pPr>
      <w:r w:rsidRPr="00B362D2">
        <w:rPr>
          <w:noProof/>
          <w:color w:val="000000"/>
          <w:sz w:val="24"/>
        </w:rPr>
        <w:t>După cum se menționează în inițiativa „Stop Destroying Videogames”, editorii</w:t>
      </w:r>
      <w:r w:rsidRPr="00B362D2">
        <w:rPr>
          <w:rStyle w:val="FootnoteReference"/>
          <w:noProof/>
          <w:color w:val="000000"/>
          <w:sz w:val="24"/>
          <w:szCs w:val="24"/>
        </w:rPr>
        <w:footnoteReference w:id="29"/>
      </w:r>
      <w:r w:rsidRPr="00B362D2">
        <w:rPr>
          <w:noProof/>
          <w:color w:val="000000"/>
          <w:sz w:val="24"/>
        </w:rPr>
        <w:t xml:space="preserve"> pot decide să închidă serverele. </w:t>
      </w:r>
      <w:r w:rsidRPr="00B362D2">
        <w:rPr>
          <w:noProof/>
          <w:sz w:val="24"/>
        </w:rPr>
        <w:t>Această decizie este luată adesea în urma analizei cost-beneficiu efectuată de editor</w:t>
      </w:r>
      <w:r w:rsidRPr="00B362D2">
        <w:rPr>
          <w:rStyle w:val="FootnoteReference"/>
          <w:noProof/>
          <w:color w:val="000000"/>
          <w:sz w:val="24"/>
          <w:szCs w:val="24"/>
        </w:rPr>
        <w:footnoteReference w:id="30"/>
      </w:r>
      <w:r w:rsidRPr="00B362D2">
        <w:rPr>
          <w:noProof/>
          <w:sz w:val="24"/>
        </w:rPr>
        <w:t>, de exemplu, atunci când jocul este considerat insuficient de profitabil, iar costurile asociate licențelor (de exemplu, pentru middleware sau active precum conținutul protejat prin drepturi de autor sau înregistrat sub o marcă) sau de întreținere a serverelor pentru jocurile cu mai mulți jucători sunt considerate prea ridicate sau atunci când echipelor de dezvoltare le sunt alocate alte proiecte.</w:t>
      </w:r>
    </w:p>
    <w:p w14:paraId="798AAA93" w14:textId="77777777" w:rsidR="4448336C" w:rsidRPr="00B362D2" w:rsidRDefault="0F813673" w:rsidP="009751B4">
      <w:pPr>
        <w:spacing w:after="120"/>
        <w:jc w:val="both"/>
        <w:rPr>
          <w:noProof/>
          <w:color w:val="000000"/>
          <w:sz w:val="24"/>
          <w:szCs w:val="24"/>
        </w:rPr>
      </w:pPr>
      <w:r w:rsidRPr="00B362D2">
        <w:rPr>
          <w:noProof/>
          <w:color w:val="000000" w:themeColor="text1"/>
          <w:sz w:val="24"/>
        </w:rPr>
        <w:t>În funcție de tipul de joc și de măsura în care acesta depinde de server, întreruperea asistenței tehnice furnizate de editor poate face jocul parțial sau complet inutilizabil, consumatorii pierzând astfel accesul la un joc pe care l-au achiziționat printr-o plată în avans sau în care au investit timp și bani (de exemplu, pentru articole din joc). Aceasta poate fi determinată, de asemenea, de preocupările legate de faptul că proprietatea lor intelectuală ar putea fi compromisă sau degradată dacă ar fi găzduită pe servere private cu moderare și controale de securitate mai deficitare.</w:t>
      </w:r>
    </w:p>
    <w:p w14:paraId="57BECF4C" w14:textId="77777777" w:rsidR="4448336C" w:rsidRPr="00B362D2" w:rsidRDefault="33B75AA9" w:rsidP="5D975B7C">
      <w:pPr>
        <w:spacing w:after="120" w:line="259" w:lineRule="auto"/>
        <w:jc w:val="both"/>
        <w:rPr>
          <w:noProof/>
          <w:color w:val="000000" w:themeColor="text1"/>
          <w:sz w:val="24"/>
          <w:szCs w:val="24"/>
        </w:rPr>
      </w:pPr>
      <w:r w:rsidRPr="00B362D2">
        <w:rPr>
          <w:noProof/>
          <w:color w:val="000000"/>
          <w:sz w:val="24"/>
        </w:rPr>
        <w:t xml:space="preserve">Campania „Stop Killing Games” a documentat acest fenomen și a </w:t>
      </w:r>
      <w:r w:rsidRPr="00B362D2">
        <w:rPr>
          <w:rStyle w:val="FootnoteReference"/>
          <w:noProof/>
          <w:color w:val="000000"/>
          <w:sz w:val="24"/>
          <w:vertAlign w:val="baseline"/>
        </w:rPr>
        <w:t>identificat</w:t>
      </w:r>
      <w:r w:rsidRPr="00B362D2">
        <w:rPr>
          <w:noProof/>
          <w:color w:val="000000"/>
          <w:sz w:val="24"/>
        </w:rPr>
        <w:t xml:space="preserve"> sute de întreruperi ale acestor servicii în ultimii ani. </w:t>
      </w:r>
      <w:r w:rsidRPr="00B362D2">
        <w:rPr>
          <w:noProof/>
          <w:sz w:val="24"/>
        </w:rPr>
        <w:t>Dovezile sugerează că un număr mic de editori iau măsuri pentru a lăsa jocurile într-o stare executabilă [de exemplu, convertirea jocurilor într-o versiune offline de sine stătătoare, oferirea posibilității jucătorilor de a folosi servere negăzduite sau de a se conecta prin rețele peer-to-peer (P</w:t>
      </w:r>
      <w:r w:rsidRPr="00CE3321">
        <w:rPr>
          <w:noProof/>
          <w:sz w:val="24"/>
        </w:rPr>
        <w:t>2</w:t>
      </w:r>
      <w:r w:rsidRPr="00B362D2">
        <w:rPr>
          <w:noProof/>
          <w:sz w:val="24"/>
        </w:rPr>
        <w:t>P) sau punerea la dispoziție a codului sursă și a activelor].</w:t>
      </w:r>
      <w:r w:rsidRPr="00B362D2">
        <w:rPr>
          <w:noProof/>
          <w:color w:val="000000"/>
          <w:sz w:val="24"/>
        </w:rPr>
        <w:t xml:space="preserve"> De cele mai multe ori, comunitățile sunt cele care mențin jocurile într-o stare executabilă prin tehnici de inginerie inversă sau servere private găzduite în afara platformei oficiale. </w:t>
      </w:r>
      <w:r w:rsidRPr="00B362D2">
        <w:rPr>
          <w:noProof/>
          <w:color w:val="000000"/>
        </w:rPr>
        <w:t>Datele arată că jocurile furnizate de studiourile mai mici tind să rămână într-o stare executabilă, în timp ce jocurile bazate pe modelul de afaceri „jocuri ca serviciu” și multe jocuri pentru dispozitive mobile sunt dezactivate mai frecvent</w:t>
      </w:r>
      <w:r w:rsidRPr="00B362D2">
        <w:rPr>
          <w:rStyle w:val="FootnoteReference"/>
          <w:noProof/>
          <w:color w:val="000000" w:themeColor="text1"/>
          <w:sz w:val="24"/>
          <w:szCs w:val="24"/>
        </w:rPr>
        <w:footnoteReference w:id="31"/>
      </w:r>
      <w:r w:rsidRPr="00B362D2">
        <w:rPr>
          <w:noProof/>
        </w:rPr>
        <w:t>.</w:t>
      </w:r>
    </w:p>
    <w:p w14:paraId="4E23873A" w14:textId="77777777" w:rsidR="5E90005A" w:rsidRPr="00B362D2" w:rsidRDefault="5E90005A" w:rsidP="00525EB5">
      <w:pPr>
        <w:pStyle w:val="BodyText"/>
        <w:keepNext/>
        <w:spacing w:before="240" w:after="240"/>
        <w:jc w:val="both"/>
        <w:rPr>
          <w:b/>
          <w:bCs/>
          <w:i/>
          <w:iCs/>
          <w:noProof/>
        </w:rPr>
      </w:pPr>
      <w:r w:rsidRPr="00CE3321">
        <w:rPr>
          <w:b/>
          <w:noProof/>
        </w:rPr>
        <w:t>2</w:t>
      </w:r>
      <w:r w:rsidRPr="00B362D2">
        <w:rPr>
          <w:b/>
          <w:noProof/>
        </w:rPr>
        <w:t>.</w:t>
      </w:r>
      <w:r w:rsidRPr="00CE3321">
        <w:rPr>
          <w:b/>
          <w:noProof/>
        </w:rPr>
        <w:t>4</w:t>
      </w:r>
      <w:r w:rsidRPr="00B362D2">
        <w:rPr>
          <w:b/>
          <w:noProof/>
        </w:rPr>
        <w:t>. Opiniile părților interesate</w:t>
      </w:r>
    </w:p>
    <w:p w14:paraId="44079622" w14:textId="77777777" w:rsidR="5E90005A" w:rsidRPr="00B362D2" w:rsidRDefault="5E90005A" w:rsidP="5D975B7C">
      <w:pPr>
        <w:spacing w:before="240" w:after="240"/>
        <w:jc w:val="both"/>
        <w:rPr>
          <w:noProof/>
          <w:sz w:val="24"/>
          <w:szCs w:val="24"/>
        </w:rPr>
      </w:pPr>
      <w:r w:rsidRPr="00B362D2">
        <w:rPr>
          <w:noProof/>
          <w:sz w:val="24"/>
        </w:rPr>
        <w:t>Pentru o mai bună evaluare a implicațiilor tehnice, economice și juridice ale aspectelor semnalate de inițiativă, Comisia a consultat reprezentanți ai sectorului jocurilor video, organizații ale consumatorilor, autorități de protecție a consumatorilor și alte părți interesate.</w:t>
      </w:r>
    </w:p>
    <w:p w14:paraId="72177CED" w14:textId="013E0EC0" w:rsidR="5E90005A" w:rsidRPr="00B362D2" w:rsidRDefault="6FF19259" w:rsidP="5D975B7C">
      <w:pPr>
        <w:spacing w:before="240" w:after="240"/>
        <w:jc w:val="both"/>
        <w:rPr>
          <w:noProof/>
          <w:sz w:val="24"/>
          <w:szCs w:val="24"/>
        </w:rPr>
      </w:pPr>
      <w:r w:rsidRPr="00B362D2">
        <w:rPr>
          <w:b/>
          <w:noProof/>
          <w:sz w:val="24"/>
        </w:rPr>
        <w:t>Reprezentanții sectorului</w:t>
      </w:r>
      <w:r w:rsidRPr="00B362D2">
        <w:rPr>
          <w:noProof/>
          <w:sz w:val="24"/>
        </w:rPr>
        <w:t xml:space="preserve"> (Video Games Europe și Federația Europeană a Dezvoltatorilor de Jocuri) au exprimat rezerve serioase cu privire la introducerea unei obligații legale generale de menținere a jocurilor video într-o stare executabilă după întreruperea serviciilor asociate. Aceștia au susținut că o astfel de obligație ar afecta în mod semnificativ modelele de dezvoltare și de afaceri existente (de exemplu, vânzarea de licențe pentru jocurile video). De asemenea, aceasta ar putea genera probleme de securitate cibernetică și de siguranță pentru jucători, întrucât mediile de joc s</w:t>
      </w:r>
      <w:r w:rsidR="00CE3321">
        <w:rPr>
          <w:noProof/>
          <w:sz w:val="24"/>
        </w:rPr>
        <w:t>­</w:t>
      </w:r>
      <w:r w:rsidRPr="00B362D2">
        <w:rPr>
          <w:noProof/>
          <w:sz w:val="24"/>
        </w:rPr>
        <w:t>ar putea deteriora după întreruperea asistenței tehnice furnizate de întreprinderi. În opinia lor, s-ar putea dovedi necesară o reproiectare tehnică extinsă a jocurilor, inclusiv eliminarea dependențelor de servere, a sistemelor anti-cheat și a structurilor de monetizare. De asemenea, acestea au exprimat îngrijorări legate de proprietatea intelectuală, deoarece jocurile se pot baza pe licențe cu durată limitată ale terților.</w:t>
      </w:r>
    </w:p>
    <w:p w14:paraId="0A20837E" w14:textId="77777777" w:rsidR="5E90005A" w:rsidRPr="00B362D2" w:rsidRDefault="5E90005A" w:rsidP="5D975B7C">
      <w:pPr>
        <w:spacing w:before="240" w:after="240"/>
        <w:jc w:val="both"/>
        <w:rPr>
          <w:noProof/>
          <w:sz w:val="24"/>
          <w:szCs w:val="24"/>
        </w:rPr>
      </w:pPr>
      <w:r w:rsidRPr="00B362D2">
        <w:rPr>
          <w:b/>
          <w:noProof/>
          <w:sz w:val="24"/>
        </w:rPr>
        <w:t xml:space="preserve">Organizația Europeană a Consumatorilor (BEUC) </w:t>
      </w:r>
      <w:r w:rsidRPr="00B362D2">
        <w:rPr>
          <w:noProof/>
          <w:sz w:val="24"/>
        </w:rPr>
        <w:t>și unul dintre membrii săi din Franța, Que Choisir Ensemble (anterior UFC-Que Choisir), au subliniat numărul tot mai mare de reclamații legate de întreruperea vânzării jocurilor video și a serviciilor post-vânzare asociate. Acestea sunt de părere că dorința consumatorilor este în primul rând de a avea în continuare acces la jocurile pe care le-au achiziționat, și nu de a primi despăgubiri financiare pentru jocurile dezactivate pentru care au plătit în avans. Reprezentanții consumatorilor au subliniat, de asemenea, că anumite jocuri, în special cele cu un singur jucător, necesită o conexiune la internet și implicarea furnizorului jocului numai în scopul autentificării jucătorului. Prin urmare, aceste jocuri ar putea rămâne cu ușurință într-o stare funcțională, deoarece nu necesită asistență continuă din partea editorului.</w:t>
      </w:r>
    </w:p>
    <w:p w14:paraId="1C6121C3" w14:textId="77777777" w:rsidR="5E90005A" w:rsidRPr="00B362D2" w:rsidRDefault="5E90005A" w:rsidP="5D975B7C">
      <w:pPr>
        <w:spacing w:before="240" w:after="240"/>
        <w:jc w:val="both"/>
        <w:rPr>
          <w:noProof/>
          <w:sz w:val="24"/>
          <w:szCs w:val="24"/>
        </w:rPr>
      </w:pPr>
      <w:r w:rsidRPr="00B362D2">
        <w:rPr>
          <w:b/>
          <w:noProof/>
          <w:sz w:val="24"/>
        </w:rPr>
        <w:t>Autoritățile naționale pentru protecția consumatorilor</w:t>
      </w:r>
      <w:r w:rsidRPr="00B362D2">
        <w:rPr>
          <w:noProof/>
          <w:sz w:val="24"/>
        </w:rPr>
        <w:t xml:space="preserve"> din cadrul Rețelei de cooperare pentru protecția consumatorilor au subliniat, în linii mari, importanța asigurării transparenței în ceea ce privește durata de viață preconizată a jocurilor video și condițiile de întrerupere a serviciilor asociate acestora, inclusiv în ceea ce privește consecințele acestei întreruperi pentru consumatori. Atunci când aceste informații sunt relevante pentru decizia de achiziție a consumatorului, cadrul juridic existent impune ca acestea să fie furnizate în mod clar înainte de încheierea contractului. Autoritățile au susținut, de asemenea, necesitatea unei abordări coordonate la nivelul UE pentru gestionarea situațiilor în care apar probleme.</w:t>
      </w:r>
    </w:p>
    <w:p w14:paraId="5558F707" w14:textId="77777777" w:rsidR="5E90005A" w:rsidRPr="00B362D2" w:rsidRDefault="5E90005A" w:rsidP="5D975B7C">
      <w:pPr>
        <w:spacing w:before="240" w:after="240"/>
        <w:jc w:val="both"/>
        <w:rPr>
          <w:noProof/>
          <w:sz w:val="24"/>
          <w:szCs w:val="24"/>
        </w:rPr>
      </w:pPr>
      <w:r w:rsidRPr="00B362D2">
        <w:rPr>
          <w:noProof/>
          <w:sz w:val="24"/>
        </w:rPr>
        <w:t>Aceste opinii ilustrează complexitatea aspectelor semnalate de inițiativă și pozițiile divergente ale părților interesate.</w:t>
      </w:r>
    </w:p>
    <w:p w14:paraId="5109A26E" w14:textId="77777777" w:rsidR="007B6547" w:rsidRPr="00B362D2" w:rsidRDefault="007B6547" w:rsidP="00075EAB">
      <w:pPr>
        <w:pStyle w:val="BodyText"/>
        <w:jc w:val="both"/>
        <w:rPr>
          <w:noProof/>
        </w:rPr>
      </w:pPr>
    </w:p>
    <w:p w14:paraId="79A93C76" w14:textId="77777777" w:rsidR="000242DE" w:rsidRPr="00B362D2" w:rsidRDefault="727EE6C5" w:rsidP="00997569">
      <w:pPr>
        <w:keepNext/>
        <w:rPr>
          <w:b/>
          <w:bCs/>
          <w:noProof/>
        </w:rPr>
      </w:pPr>
      <w:r w:rsidRPr="00CE3321">
        <w:rPr>
          <w:b/>
          <w:noProof/>
        </w:rPr>
        <w:t>3</w:t>
      </w:r>
      <w:r w:rsidRPr="00B362D2">
        <w:rPr>
          <w:b/>
          <w:noProof/>
        </w:rPr>
        <w:t>. RĂSPUNSUL LA INIȚIATIVA CETĂȚENEASCĂ EUROPEANĂ</w:t>
      </w:r>
    </w:p>
    <w:p w14:paraId="6C816749" w14:textId="77777777" w:rsidR="5D085765" w:rsidRPr="00B362D2" w:rsidRDefault="5D085765" w:rsidP="00C72327">
      <w:pPr>
        <w:pStyle w:val="BodyText"/>
        <w:keepNext/>
        <w:keepLines/>
        <w:spacing w:before="240"/>
        <w:rPr>
          <w:b/>
          <w:bCs/>
          <w:noProof/>
        </w:rPr>
      </w:pPr>
      <w:r w:rsidRPr="00CE3321">
        <w:rPr>
          <w:b/>
          <w:noProof/>
        </w:rPr>
        <w:t>3</w:t>
      </w:r>
      <w:r w:rsidRPr="00B362D2">
        <w:rPr>
          <w:b/>
          <w:noProof/>
        </w:rPr>
        <w:t>.</w:t>
      </w:r>
      <w:r w:rsidRPr="00CE3321">
        <w:rPr>
          <w:b/>
          <w:noProof/>
        </w:rPr>
        <w:t>1</w:t>
      </w:r>
      <w:r w:rsidRPr="00B362D2">
        <w:rPr>
          <w:b/>
          <w:noProof/>
        </w:rPr>
        <w:t>. Legislația în domeniul proprietății intelectuale oferă protecție titularilor de drepturi asupra jocurilor video și o largă libertate de alegere a condițiilor de distribuție</w:t>
      </w:r>
    </w:p>
    <w:p w14:paraId="3B64556E" w14:textId="77777777" w:rsidR="6BDF7D27" w:rsidRPr="00B362D2" w:rsidRDefault="6BDF7D27" w:rsidP="002400DF">
      <w:pPr>
        <w:pStyle w:val="BodyText"/>
        <w:keepNext/>
        <w:spacing w:before="200"/>
        <w:ind w:left="23"/>
        <w:jc w:val="both"/>
        <w:rPr>
          <w:i/>
          <w:iCs/>
          <w:noProof/>
        </w:rPr>
      </w:pPr>
      <w:r w:rsidRPr="00CE3321">
        <w:rPr>
          <w:i/>
          <w:noProof/>
        </w:rPr>
        <w:t>3</w:t>
      </w:r>
      <w:r w:rsidRPr="00B362D2">
        <w:rPr>
          <w:i/>
          <w:noProof/>
        </w:rPr>
        <w:t>.</w:t>
      </w:r>
      <w:r w:rsidRPr="00CE3321">
        <w:rPr>
          <w:i/>
          <w:noProof/>
        </w:rPr>
        <w:t>1</w:t>
      </w:r>
      <w:r w:rsidRPr="00B362D2">
        <w:rPr>
          <w:i/>
          <w:noProof/>
        </w:rPr>
        <w:t>.</w:t>
      </w:r>
      <w:r w:rsidRPr="00CE3321">
        <w:rPr>
          <w:i/>
          <w:noProof/>
        </w:rPr>
        <w:t>1</w:t>
      </w:r>
      <w:r w:rsidRPr="00B362D2">
        <w:rPr>
          <w:i/>
          <w:noProof/>
        </w:rPr>
        <w:t>. Legislația UE privind drepturile de autor</w:t>
      </w:r>
    </w:p>
    <w:p w14:paraId="132E24D2" w14:textId="65B731A4" w:rsidR="6BDF7D27" w:rsidRPr="00B362D2" w:rsidRDefault="3BF281C2" w:rsidP="5D975B7C">
      <w:pPr>
        <w:pStyle w:val="BodyText"/>
        <w:spacing w:before="240"/>
        <w:ind w:left="23" w:right="29"/>
        <w:jc w:val="both"/>
        <w:rPr>
          <w:noProof/>
        </w:rPr>
      </w:pPr>
      <w:r w:rsidRPr="00B362D2">
        <w:rPr>
          <w:noProof/>
        </w:rPr>
        <w:t>Legislația UE privind drepturile de autor oferă creatorilor un nivel ridicat de protecție a creațiilor lor intelectuale, acordându-le drepturi exclusive de reproducere, de comunicare publică și de distribuire a operelor lor. Titularii de drepturi au posibilitatea de a alege dacă și cum să distribuie sau să pună la dispoziție în alt mod o operă protejată, cum ar fi un joc video, în limitele stabilite de cadrul juridic. Deși excepțiile și limitările contribuie la definirea limitelor acestor drepturi exclusive</w:t>
      </w:r>
      <w:r w:rsidRPr="00B362D2">
        <w:rPr>
          <w:rStyle w:val="FootnoteReference"/>
          <w:noProof/>
        </w:rPr>
        <w:footnoteReference w:id="32"/>
      </w:r>
      <w:r w:rsidRPr="00B362D2">
        <w:rPr>
          <w:noProof/>
        </w:rPr>
        <w:t>, nu este de competența legislației privind drepturile de autor să impună o anumită formă sau metodă de distribuție pentru operele protejate.</w:t>
      </w:r>
    </w:p>
    <w:p w14:paraId="6C47472E" w14:textId="77777777" w:rsidR="6BDF7D27" w:rsidRPr="00B362D2" w:rsidRDefault="17538C1D" w:rsidP="5D975B7C">
      <w:pPr>
        <w:pStyle w:val="BodyText"/>
        <w:spacing w:before="240"/>
        <w:ind w:left="23" w:right="29"/>
        <w:jc w:val="both"/>
        <w:rPr>
          <w:noProof/>
        </w:rPr>
      </w:pPr>
      <w:r w:rsidRPr="00B362D2">
        <w:rPr>
          <w:noProof/>
        </w:rPr>
        <w:t xml:space="preserve">Titularii de drepturi au, în principiu, libertatea de a stabili dacă și în ce mod pot fi utilizate operele lor protejate, inclusiv prin impunerea unor limite temporale sau a altor condiții privind utilizările autorizate în temeiul licențelor acordate terților în conformitate cu legislația Uniunii privind drepturile de autor. </w:t>
      </w:r>
    </w:p>
    <w:p w14:paraId="0582A713" w14:textId="77777777" w:rsidR="6BDF7D27" w:rsidRPr="00B362D2" w:rsidRDefault="6BDF7D27" w:rsidP="5D975B7C">
      <w:pPr>
        <w:pStyle w:val="BodyText"/>
        <w:spacing w:before="240"/>
        <w:ind w:left="23" w:right="29"/>
        <w:jc w:val="both"/>
        <w:rPr>
          <w:i/>
          <w:iCs/>
          <w:noProof/>
        </w:rPr>
      </w:pPr>
      <w:r w:rsidRPr="00CE3321">
        <w:rPr>
          <w:i/>
          <w:noProof/>
        </w:rPr>
        <w:t>3</w:t>
      </w:r>
      <w:r w:rsidRPr="00B362D2">
        <w:rPr>
          <w:i/>
          <w:noProof/>
        </w:rPr>
        <w:t>.</w:t>
      </w:r>
      <w:r w:rsidRPr="00CE3321">
        <w:rPr>
          <w:i/>
          <w:noProof/>
        </w:rPr>
        <w:t>1</w:t>
      </w:r>
      <w:r w:rsidRPr="00B362D2">
        <w:rPr>
          <w:i/>
          <w:noProof/>
        </w:rPr>
        <w:t>.</w:t>
      </w:r>
      <w:r w:rsidRPr="00CE3321">
        <w:rPr>
          <w:i/>
          <w:noProof/>
        </w:rPr>
        <w:t>2</w:t>
      </w:r>
      <w:r w:rsidRPr="00B362D2">
        <w:rPr>
          <w:i/>
          <w:noProof/>
        </w:rPr>
        <w:t xml:space="preserve"> Alte drepturi de proprietate intelectuală</w:t>
      </w:r>
    </w:p>
    <w:p w14:paraId="00504505" w14:textId="6B24FF8F" w:rsidR="6BDF7D27" w:rsidRPr="00B362D2" w:rsidRDefault="6BDF7D27" w:rsidP="5D975B7C">
      <w:pPr>
        <w:spacing w:before="200"/>
        <w:jc w:val="both"/>
        <w:rPr>
          <w:noProof/>
          <w:sz w:val="24"/>
          <w:szCs w:val="24"/>
        </w:rPr>
      </w:pPr>
      <w:r w:rsidRPr="00B362D2">
        <w:rPr>
          <w:noProof/>
          <w:sz w:val="24"/>
        </w:rPr>
        <w:t>Jocurile video sunt produse digitale complexe, unde mai multe drepturi de proprietate intelectuală se pot suprapune și pot proteja diferite aspecte ale produsului final. Jocurile video pot încorpora elemente protejate de legislația în materie de mărci comerciale, desene sau modele industriale, secrete comerciale și contracte de licență încheiate cu terți. Prin urmare, măsurile menite să asigure faptul că jocurile video rămân într-o stare executabilă după întreruperea serviciilor online pot ridica probleme în ceea ce privește întinderea și exercitarea acestor drepturi.</w:t>
      </w:r>
    </w:p>
    <w:p w14:paraId="22747E60" w14:textId="0B386134" w:rsidR="6BDF7D27" w:rsidRPr="00B362D2" w:rsidRDefault="6BDF7D27" w:rsidP="5D975B7C">
      <w:pPr>
        <w:spacing w:before="200"/>
        <w:jc w:val="both"/>
        <w:rPr>
          <w:noProof/>
          <w:sz w:val="24"/>
          <w:szCs w:val="24"/>
        </w:rPr>
      </w:pPr>
      <w:r w:rsidRPr="00B362D2">
        <w:rPr>
          <w:noProof/>
          <w:sz w:val="24"/>
        </w:rPr>
        <w:t>Mărcile pot fi, de asemenea, relevante în contextul jocurilor video. Acestea pot fi utilizate pentru a proteja titlul jocului, logourile, numele personajelor sau chiar sloganurile. În plus, jocurile video pot încorpora, de asemenea, mărci ale terților în temeiul unor contracte de licență, de exemplu în jocurile sportive, în jocurile de curse sau în alte produse care implică conținut de marcă. Prin urmare, continuarea exploatării sau modificarea unui joc poate da naștere unor întrebări cu privire la utilizarea autorizată a mărcii. Așadar, continuarea utilizării elementelor protejate în contextul menținerii unui joc într-o stare executabilă poate necesita o evaluare a drepturilor de proprietate intelectuală relevante.</w:t>
      </w:r>
    </w:p>
    <w:p w14:paraId="6A20ED22" w14:textId="77777777" w:rsidR="6BDF7D27" w:rsidRPr="00B362D2" w:rsidRDefault="6BDF7D27" w:rsidP="5D975B7C">
      <w:pPr>
        <w:spacing w:before="200"/>
        <w:jc w:val="both"/>
        <w:rPr>
          <w:noProof/>
          <w:sz w:val="24"/>
          <w:szCs w:val="24"/>
        </w:rPr>
      </w:pPr>
      <w:r w:rsidRPr="00B362D2">
        <w:rPr>
          <w:noProof/>
          <w:sz w:val="24"/>
        </w:rPr>
        <w:t>În plus, exploatarea multor jocuri video online depinde de infrastructura de servere, de sistemele de autentificare sau de tehnologiile anti-cheat care nu sunt transferate consumatorilor în momentul achiziționării jocurilor. Aceste elemente pot fi protejate prin secrete comerciale și restricții contractuale. Prin urmare, în funcție de planul de sfârșit al ciclului de viață, obligațiile de a divulga sau de a transfera aceste elemente ar putea interfera cu protecția informațiilor comerciale confidențiale și a know-how-ului.</w:t>
      </w:r>
    </w:p>
    <w:p w14:paraId="0C362BCA" w14:textId="1CDDB648" w:rsidR="6BDF7D27" w:rsidRPr="00B362D2" w:rsidRDefault="6BDF7D27" w:rsidP="5D975B7C">
      <w:pPr>
        <w:spacing w:before="200"/>
        <w:jc w:val="both"/>
        <w:rPr>
          <w:noProof/>
          <w:sz w:val="24"/>
          <w:szCs w:val="24"/>
        </w:rPr>
      </w:pPr>
      <w:r w:rsidRPr="00B362D2">
        <w:rPr>
          <w:noProof/>
          <w:sz w:val="24"/>
        </w:rPr>
        <w:t xml:space="preserve">Prin urmare, orice măsuri de reglementare menite să asigure continuarea funcționării sau utilizării jocurilor video după întreruperea serviciilor online ar trebui puse în balanță cu drepturile </w:t>
      </w:r>
      <w:r w:rsidRPr="00B362D2">
        <w:rPr>
          <w:noProof/>
          <w:sz w:val="24"/>
          <w:u w:val="single"/>
        </w:rPr>
        <w:t>consumatorilor și ale titularului respectivelor</w:t>
      </w:r>
      <w:r w:rsidRPr="00B362D2">
        <w:rPr>
          <w:noProof/>
          <w:sz w:val="24"/>
        </w:rPr>
        <w:t xml:space="preserve"> drepturi de proprietate intelectuală, cu angajamentele contractuale implicate, precum și cu interesele legitime ale titularilor de drepturi.</w:t>
      </w:r>
    </w:p>
    <w:p w14:paraId="153A9038" w14:textId="4DB6E331" w:rsidR="2155DDD3" w:rsidRPr="00B362D2" w:rsidRDefault="2155DDD3" w:rsidP="00525EB5">
      <w:pPr>
        <w:pStyle w:val="BodyText"/>
        <w:keepNext/>
        <w:spacing w:before="240"/>
        <w:jc w:val="both"/>
        <w:rPr>
          <w:b/>
          <w:bCs/>
          <w:noProof/>
        </w:rPr>
      </w:pPr>
      <w:r w:rsidRPr="00CE3321">
        <w:rPr>
          <w:b/>
          <w:noProof/>
        </w:rPr>
        <w:t>3</w:t>
      </w:r>
      <w:r w:rsidRPr="00B362D2">
        <w:rPr>
          <w:b/>
          <w:noProof/>
        </w:rPr>
        <w:t>.</w:t>
      </w:r>
      <w:r w:rsidRPr="00CE3321">
        <w:rPr>
          <w:b/>
          <w:noProof/>
        </w:rPr>
        <w:t>2</w:t>
      </w:r>
      <w:r w:rsidRPr="00B362D2">
        <w:rPr>
          <w:b/>
          <w:noProof/>
        </w:rPr>
        <w:t>.</w:t>
      </w:r>
      <w:r w:rsidR="00720E2E" w:rsidRPr="00B362D2">
        <w:rPr>
          <w:b/>
          <w:noProof/>
        </w:rPr>
        <w:t xml:space="preserve"> </w:t>
      </w:r>
      <w:r w:rsidRPr="00B362D2">
        <w:rPr>
          <w:b/>
          <w:noProof/>
        </w:rPr>
        <w:t xml:space="preserve">Legislația privind protecția consumatorilor prevede garanții pentru consumatori </w:t>
      </w:r>
    </w:p>
    <w:p w14:paraId="02BB71CA" w14:textId="77777777" w:rsidR="0083227D" w:rsidRPr="00B362D2" w:rsidRDefault="68CFE3C6" w:rsidP="005E6732">
      <w:pPr>
        <w:pStyle w:val="BodyText"/>
        <w:spacing w:before="200"/>
        <w:ind w:left="23"/>
        <w:jc w:val="both"/>
        <w:rPr>
          <w:noProof/>
        </w:rPr>
      </w:pPr>
      <w:r w:rsidRPr="00B362D2">
        <w:rPr>
          <w:noProof/>
        </w:rPr>
        <w:t>Cadrul legislativ al UE în domeniul protecției consumatorilor nu specifică durata de furnizare a conținutului digital sau a serviciilor digitale și nu include cerințe privind transferul în stare funcțională al conținutului digital sau al serviciilor digitale către utilizatori după încetarea exploatării comerciale a acestora. Cu toate acestea, cadrul juridic existent include norme importante care protejează consumatorii în calitate de utilizatori de conținut digital și de servicii digitale, inclusiv de jocuri video, în special, normele prevăzute în DDC și DPCN privind transparența față de consumatori la punctul de vânzare a conținutului digital și a serviciilor digitale și normele prevăzute în DCD privind conformitatea cu contractul și măsurile corective pentru consumatori și în Directiva privind clauzele abuzive în contractele încheiate cu consumatorii.</w:t>
      </w:r>
    </w:p>
    <w:p w14:paraId="6C0903C2" w14:textId="77777777" w:rsidR="006639E6" w:rsidRPr="00B362D2" w:rsidRDefault="006639E6" w:rsidP="5D975B7C">
      <w:pPr>
        <w:pStyle w:val="BodyText"/>
        <w:spacing w:before="200"/>
        <w:ind w:left="23"/>
        <w:jc w:val="both"/>
        <w:rPr>
          <w:i/>
          <w:iCs/>
          <w:noProof/>
        </w:rPr>
      </w:pPr>
      <w:r w:rsidRPr="00CE3321">
        <w:rPr>
          <w:i/>
          <w:noProof/>
        </w:rPr>
        <w:t>3</w:t>
      </w:r>
      <w:r w:rsidRPr="00B362D2">
        <w:rPr>
          <w:i/>
          <w:noProof/>
        </w:rPr>
        <w:t>.</w:t>
      </w:r>
      <w:r w:rsidRPr="00CE3321">
        <w:rPr>
          <w:i/>
          <w:noProof/>
        </w:rPr>
        <w:t>2</w:t>
      </w:r>
      <w:r w:rsidRPr="00B362D2">
        <w:rPr>
          <w:i/>
          <w:noProof/>
        </w:rPr>
        <w:t>.</w:t>
      </w:r>
      <w:r w:rsidRPr="00CE3321">
        <w:rPr>
          <w:i/>
          <w:noProof/>
        </w:rPr>
        <w:t>1</w:t>
      </w:r>
      <w:r w:rsidRPr="00B362D2">
        <w:rPr>
          <w:i/>
          <w:noProof/>
        </w:rPr>
        <w:t xml:space="preserve"> Obligații de transparență</w:t>
      </w:r>
    </w:p>
    <w:p w14:paraId="30E21E38" w14:textId="78D72F29" w:rsidR="00353E64" w:rsidRPr="00B362D2" w:rsidRDefault="575D1A16" w:rsidP="006639E6">
      <w:pPr>
        <w:pStyle w:val="BodyText"/>
        <w:spacing w:before="200"/>
        <w:ind w:left="23"/>
        <w:jc w:val="both"/>
        <w:rPr>
          <w:noProof/>
        </w:rPr>
      </w:pPr>
      <w:r w:rsidRPr="00B362D2">
        <w:rPr>
          <w:noProof/>
        </w:rPr>
        <w:t>DDC prevede obligația comercianților de a furniza consumatorilor informații clare și ușor de înțeles înainte de încheierea unui contract de furnizare de conținut digital sau servicii digitale, inclusiv informații cu privire la durata contractului. În cazul în care contractul este încheiat pe durată nedeterminată sau urmează să fie prelungit în mod automat, comercianții trebuie să furnizeze, de asemenea, informații cu privire la condițiile de reziliere a contractului</w:t>
      </w:r>
      <w:r w:rsidRPr="00B362D2">
        <w:rPr>
          <w:rStyle w:val="FootnoteReference"/>
          <w:noProof/>
        </w:rPr>
        <w:footnoteReference w:id="33"/>
      </w:r>
      <w:r w:rsidRPr="00B362D2">
        <w:rPr>
          <w:noProof/>
        </w:rPr>
        <w:t>, inclusiv informații privind condițiile în care consumatorul și/sau comerciantul pot rezilia contractul și eventualele perioade de preaviz aplicabile pentru rezilierea contractului.</w:t>
      </w:r>
    </w:p>
    <w:p w14:paraId="6DAE14BF" w14:textId="3FF84761" w:rsidR="00FE7A1C" w:rsidRPr="00B362D2" w:rsidRDefault="3F9F8FF7" w:rsidP="000C6C87">
      <w:pPr>
        <w:pStyle w:val="BodyText"/>
        <w:spacing w:before="200"/>
        <w:jc w:val="both"/>
        <w:rPr>
          <w:noProof/>
        </w:rPr>
      </w:pPr>
      <w:r w:rsidRPr="00B362D2">
        <w:rPr>
          <w:noProof/>
        </w:rPr>
        <w:t xml:space="preserve">În plus, comercianții sunt obligați să informeze consumatorii cu privire la </w:t>
      </w:r>
      <w:r w:rsidRPr="00B362D2">
        <w:rPr>
          <w:noProof/>
          <w:color w:val="333333"/>
        </w:rPr>
        <w:t>capacitatea conținutului digital sau a serviciului digital de a își îndeplini funcțiile</w:t>
      </w:r>
      <w:r w:rsidRPr="00B362D2">
        <w:rPr>
          <w:rStyle w:val="FootnoteReference"/>
          <w:noProof/>
          <w:color w:val="333333"/>
        </w:rPr>
        <w:footnoteReference w:id="34"/>
      </w:r>
      <w:r w:rsidRPr="00B362D2">
        <w:rPr>
          <w:noProof/>
          <w:color w:val="333333"/>
        </w:rPr>
        <w:t>.</w:t>
      </w:r>
      <w:r w:rsidRPr="00B362D2">
        <w:rPr>
          <w:noProof/>
        </w:rPr>
        <w:t xml:space="preserve"> Informațiile cu privire la durata și condițiile de reziliere a contractului și la limitările în ceea ce privește funcționalitatea sunt relevante atunci când consumatorii evaluează valoarea și posibilitatea de utilizare a conținutului digital sau a serviciului digital. </w:t>
      </w:r>
    </w:p>
    <w:p w14:paraId="4A5ECB63" w14:textId="56583F9D" w:rsidR="006639E6" w:rsidRPr="00B362D2" w:rsidRDefault="58E4ABED" w:rsidP="006639E6">
      <w:pPr>
        <w:pStyle w:val="BodyText"/>
        <w:spacing w:before="200"/>
        <w:ind w:left="23"/>
        <w:jc w:val="both"/>
        <w:rPr>
          <w:noProof/>
        </w:rPr>
      </w:pPr>
      <w:r w:rsidRPr="00B362D2">
        <w:rPr>
          <w:noProof/>
        </w:rPr>
        <w:t>Furnizorii de conținut digital sau de servicii digitale fac, de asemenea, obiectul Directivei privind practicile comerciale neloiale (DPCN), care le impune să nu omită informațiile de care consumatorii au nevoie pentru a lua decizii comerciale în cunoștință de cauză</w:t>
      </w:r>
      <w:r w:rsidRPr="00B362D2">
        <w:rPr>
          <w:rStyle w:val="FootnoteReference"/>
          <w:noProof/>
        </w:rPr>
        <w:footnoteReference w:id="35"/>
      </w:r>
      <w:r w:rsidRPr="00B362D2">
        <w:rPr>
          <w:noProof/>
        </w:rPr>
        <w:t>.</w:t>
      </w:r>
      <w:r w:rsidR="00720E2E" w:rsidRPr="00B362D2">
        <w:rPr>
          <w:noProof/>
        </w:rPr>
        <w:t xml:space="preserve"> </w:t>
      </w:r>
      <w:r w:rsidRPr="00B362D2">
        <w:rPr>
          <w:noProof/>
        </w:rPr>
        <w:t>Aceste cerințe din DPCN se aplică, de asemenea, pe durata contractului. De exemplu, dacă un furnizor a luat decizia de a întrerupe serviciile asociate unui joc video, DPCN prevede obligația acestuia de a informa consumatorii în acest sens, deoarece această informație le-ar putea afecta deciziile comerciale, de exemplu, în ceea ce privește achizițiile efectuate în timpul jocului.</w:t>
      </w:r>
    </w:p>
    <w:p w14:paraId="31AD734D" w14:textId="77777777" w:rsidR="7D228B31" w:rsidRPr="00B362D2" w:rsidRDefault="7D228B31" w:rsidP="5D975B7C">
      <w:pPr>
        <w:spacing w:before="200"/>
        <w:ind w:left="23"/>
        <w:jc w:val="both"/>
        <w:rPr>
          <w:i/>
          <w:iCs/>
          <w:noProof/>
          <w:sz w:val="24"/>
          <w:szCs w:val="24"/>
        </w:rPr>
      </w:pPr>
      <w:r w:rsidRPr="00CE3321">
        <w:rPr>
          <w:i/>
          <w:noProof/>
          <w:sz w:val="24"/>
        </w:rPr>
        <w:t>3</w:t>
      </w:r>
      <w:r w:rsidRPr="00B362D2">
        <w:rPr>
          <w:i/>
          <w:noProof/>
          <w:sz w:val="24"/>
        </w:rPr>
        <w:t>.</w:t>
      </w:r>
      <w:r w:rsidRPr="00CE3321">
        <w:rPr>
          <w:i/>
          <w:noProof/>
          <w:sz w:val="24"/>
        </w:rPr>
        <w:t>2</w:t>
      </w:r>
      <w:r w:rsidRPr="00B362D2">
        <w:rPr>
          <w:i/>
          <w:noProof/>
          <w:sz w:val="24"/>
        </w:rPr>
        <w:t>.</w:t>
      </w:r>
      <w:r w:rsidRPr="00CE3321">
        <w:rPr>
          <w:i/>
          <w:noProof/>
          <w:sz w:val="24"/>
        </w:rPr>
        <w:t>2</w:t>
      </w:r>
      <w:r w:rsidRPr="00B362D2">
        <w:rPr>
          <w:i/>
          <w:noProof/>
          <w:sz w:val="24"/>
        </w:rPr>
        <w:t xml:space="preserve"> Clauze contractuale echitabile</w:t>
      </w:r>
    </w:p>
    <w:p w14:paraId="662D1EBF" w14:textId="77777777" w:rsidR="006639E6" w:rsidRPr="00B362D2" w:rsidRDefault="3B938B8D" w:rsidP="00525EB5">
      <w:pPr>
        <w:pStyle w:val="BodyText"/>
        <w:spacing w:before="200" w:line="259" w:lineRule="auto"/>
        <w:ind w:left="23"/>
        <w:jc w:val="both"/>
        <w:rPr>
          <w:noProof/>
        </w:rPr>
      </w:pPr>
      <w:r w:rsidRPr="00B362D2">
        <w:rPr>
          <w:noProof/>
        </w:rPr>
        <w:t>Clauzele contractuale generale ale furnizorilor de jocuri care prevăd dreptul acestora de a întrerupe serviciile asociate jocurilor pot, de asemenea, să ridice probleme în temeiul Directivei privind clauzele abuzive în contractele încheiate cu consumatorii, sub rezerva unei evaluări de la caz la caz. Această situație ar putea apărea, de exemplu, în cazul în care clauzele îi oferă furnizorului o largă posibilitate de întrerupere a serviciului fără o justificare suficient de clară și transparentă sau fără o perioadă de preaviz rezonabilă. Astfel de clauze pot crea un dezechilibru semnificativ între drepturile și obligațiile părților, în detrimentul consumatorului. Clauzele contractuale care creează un astfel de dezechilibru semnificativ nu sunt obligatorii pentru consumator.</w:t>
      </w:r>
    </w:p>
    <w:p w14:paraId="6C01740E" w14:textId="77777777" w:rsidR="00887D6E" w:rsidRPr="00B362D2" w:rsidRDefault="26709C21" w:rsidP="5D975B7C">
      <w:pPr>
        <w:pStyle w:val="BodyText"/>
        <w:spacing w:before="200"/>
        <w:ind w:left="23"/>
        <w:jc w:val="both"/>
        <w:rPr>
          <w:i/>
          <w:iCs/>
          <w:noProof/>
        </w:rPr>
      </w:pPr>
      <w:r w:rsidRPr="00CE3321">
        <w:rPr>
          <w:i/>
          <w:noProof/>
        </w:rPr>
        <w:t>3</w:t>
      </w:r>
      <w:r w:rsidRPr="00B362D2">
        <w:rPr>
          <w:i/>
          <w:noProof/>
        </w:rPr>
        <w:t>.</w:t>
      </w:r>
      <w:r w:rsidRPr="00CE3321">
        <w:rPr>
          <w:i/>
          <w:noProof/>
        </w:rPr>
        <w:t>2</w:t>
      </w:r>
      <w:r w:rsidRPr="00B362D2">
        <w:rPr>
          <w:i/>
          <w:noProof/>
        </w:rPr>
        <w:t>.</w:t>
      </w:r>
      <w:r w:rsidRPr="00CE3321">
        <w:rPr>
          <w:i/>
          <w:noProof/>
        </w:rPr>
        <w:t>3</w:t>
      </w:r>
      <w:r w:rsidRPr="00B362D2">
        <w:rPr>
          <w:i/>
          <w:noProof/>
        </w:rPr>
        <w:t xml:space="preserve"> Conformitatea cu contractul</w:t>
      </w:r>
    </w:p>
    <w:p w14:paraId="0ECE21CB" w14:textId="77777777" w:rsidR="0065588C" w:rsidRPr="00B362D2" w:rsidRDefault="434992E0" w:rsidP="0065588C">
      <w:pPr>
        <w:pStyle w:val="BodyText"/>
        <w:spacing w:before="200"/>
        <w:ind w:left="23"/>
        <w:jc w:val="both"/>
        <w:rPr>
          <w:noProof/>
        </w:rPr>
      </w:pPr>
      <w:r w:rsidRPr="00B362D2">
        <w:rPr>
          <w:noProof/>
        </w:rPr>
        <w:t>DCD stabilește cerințe de conformitate a conținutului digital și a serviciilor digitale (cum ar fi jocurile video) cu contractul, prevede măsuri corective pentru consumator în caz de neconformitate și reglementează modificarea conținutului digital sau a serviciului digital.</w:t>
      </w:r>
    </w:p>
    <w:p w14:paraId="14F32105" w14:textId="51D62A02" w:rsidR="003838FC" w:rsidRPr="00B362D2" w:rsidRDefault="471E81DD" w:rsidP="00F77246">
      <w:pPr>
        <w:pStyle w:val="BodyText"/>
        <w:spacing w:before="200"/>
        <w:ind w:left="23"/>
        <w:jc w:val="both"/>
        <w:rPr>
          <w:noProof/>
        </w:rPr>
      </w:pPr>
      <w:r w:rsidRPr="00B362D2">
        <w:rPr>
          <w:noProof/>
        </w:rPr>
        <w:t>DCD prevede cerința ca serviciile digitale și conținutul digital să respecte descrierea, cantitatea și calitatea și să dețină funcționalitatea, compatibilitatea, interoperabilitatea și alte caracteristici prevăzute în contract</w:t>
      </w:r>
      <w:r w:rsidRPr="00B362D2">
        <w:rPr>
          <w:rStyle w:val="FootnoteReference"/>
          <w:noProof/>
        </w:rPr>
        <w:footnoteReference w:id="36"/>
      </w:r>
      <w:r w:rsidRPr="00B362D2">
        <w:rPr>
          <w:noProof/>
        </w:rPr>
        <w:t>. În plus, conținutul digital sau serviciul digital trebuie să corespundă scopurilor pentru care s-ar utiliza în mod normal un conținut digital sau un serviciu digital de același tip. De asemenea, acesta trebuie să dețină calitățile și caracteristicile de performanță care sunt normale pentru un astfel de conținut sau serviciu și la care consumatorul se poate aștepta în mod rezonabil</w:t>
      </w:r>
      <w:r w:rsidRPr="00B362D2">
        <w:rPr>
          <w:rStyle w:val="FootnoteReference"/>
          <w:noProof/>
        </w:rPr>
        <w:footnoteReference w:id="37"/>
      </w:r>
      <w:r w:rsidRPr="00B362D2">
        <w:rPr>
          <w:noProof/>
        </w:rPr>
        <w:t>.</w:t>
      </w:r>
      <w:r w:rsidR="00720E2E" w:rsidRPr="00B362D2">
        <w:rPr>
          <w:noProof/>
        </w:rPr>
        <w:t xml:space="preserve"> </w:t>
      </w:r>
      <w:r w:rsidRPr="00B362D2">
        <w:rPr>
          <w:noProof/>
        </w:rPr>
        <w:t>Printre aceste caracteristici de performanță se numără „accesibilitatea” și „continuitatea” conținutului digital sau a serviciului digital.</w:t>
      </w:r>
    </w:p>
    <w:p w14:paraId="4E46801A" w14:textId="77777777" w:rsidR="001452EF" w:rsidRPr="00B362D2" w:rsidRDefault="50AA83C7" w:rsidP="24284D17">
      <w:pPr>
        <w:pStyle w:val="BodyText"/>
        <w:spacing w:before="200"/>
        <w:ind w:left="23"/>
        <w:jc w:val="both"/>
        <w:rPr>
          <w:noProof/>
        </w:rPr>
      </w:pPr>
      <w:r w:rsidRPr="00B362D2">
        <w:rPr>
          <w:noProof/>
        </w:rPr>
        <w:t xml:space="preserve">Ambele tipuri de criterii trebuie luate în considerare la evaluarea conformității oricărei întreruperi a furnizării unui conținut digital sau serviciu digital. În consecință, întreruperea furnizării conținutului digital sau a serviciului digital poate constitui o neconformitate cu contractul atunci când comerciantul întrerupe furnizarea acestuia mai devreme decât se poate aștepta în mod rezonabil consumatorul. Evaluarea duratei de furnizare la care consumatorul se poate aștepta în mod rezonabil se realizează pentru fiecare conținut digital sau serviciu digital în parte. </w:t>
      </w:r>
    </w:p>
    <w:p w14:paraId="01AD43A2" w14:textId="77777777" w:rsidR="00887D6E" w:rsidRPr="00B362D2" w:rsidRDefault="6B76F283" w:rsidP="24284D17">
      <w:pPr>
        <w:pStyle w:val="BodyText"/>
        <w:spacing w:before="200"/>
        <w:ind w:left="23"/>
        <w:jc w:val="both"/>
        <w:rPr>
          <w:noProof/>
        </w:rPr>
      </w:pPr>
      <w:r w:rsidRPr="00B362D2">
        <w:rPr>
          <w:noProof/>
        </w:rPr>
        <w:t>Dispozițiile contractuale specifice privind durata de furnizare a conținutului digital</w:t>
      </w:r>
      <w:r w:rsidRPr="00B362D2">
        <w:rPr>
          <w:noProof/>
          <w:sz w:val="22"/>
        </w:rPr>
        <w:t xml:space="preserve"> sau </w:t>
      </w:r>
      <w:r w:rsidRPr="00B362D2">
        <w:rPr>
          <w:noProof/>
        </w:rPr>
        <w:t>a serviciului digital cu privire la care consumatorul a fost informat în mod corespunzător și de care ar fi trebuit să aibă cunoștință în mod rezonabil înainte de încheierea contractului stabilesc, de asemenea, la ce s-ar putea aștepta în mod rezonabil consumatorul în temeiul cerințelor obiective de conformitate privind accesibilitatea și continuitatea. În general, limitările contractuale care afectează funcționalitatea conținutului digital sau a serviciilor digitale pot constitui o neconformitate în cazul în care se referă la caracteristici la care consumatorii se pot aștepta în mod rezonabil, cu excepția cazului în care consumatorul a fost informat în mod special cu privire la o astfel de abatere și a acceptat-o în mod expres înainte de încheierea contractului</w:t>
      </w:r>
      <w:r w:rsidRPr="00B362D2">
        <w:rPr>
          <w:rStyle w:val="FootnoteReference"/>
          <w:noProof/>
        </w:rPr>
        <w:footnoteReference w:id="38"/>
      </w:r>
      <w:r w:rsidRPr="00B362D2">
        <w:rPr>
          <w:noProof/>
        </w:rPr>
        <w:t xml:space="preserve">. </w:t>
      </w:r>
    </w:p>
    <w:p w14:paraId="6F085DB0" w14:textId="27FD7332" w:rsidR="006160B7" w:rsidRPr="00B362D2" w:rsidRDefault="3B610A21" w:rsidP="00CD1810">
      <w:pPr>
        <w:pStyle w:val="BodyText"/>
        <w:spacing w:before="200" w:line="259" w:lineRule="auto"/>
        <w:ind w:left="23"/>
        <w:jc w:val="both"/>
        <w:rPr>
          <w:noProof/>
        </w:rPr>
      </w:pPr>
      <w:r w:rsidRPr="00B362D2">
        <w:rPr>
          <w:noProof/>
        </w:rPr>
        <w:t>În cazurile în care întreruperea furnizării conținutului digital sau a serviciului digital de către furnizor constituie o neconformitate, consumatorii ar trebui să informeze furnizorul cu privire la încetarea contractului și să solicite o rambursare. Consumatorii au dreptul să primească o cotă</w:t>
      </w:r>
      <w:r w:rsidR="006360D1">
        <w:rPr>
          <w:noProof/>
        </w:rPr>
        <w:t>­</w:t>
      </w:r>
      <w:r w:rsidRPr="00B362D2">
        <w:rPr>
          <w:noProof/>
        </w:rPr>
        <w:t>parte din prețul plătit în avans pentru jocul video în anumite condiții</w:t>
      </w:r>
      <w:r w:rsidRPr="00B362D2">
        <w:rPr>
          <w:rStyle w:val="FootnoteReference"/>
          <w:noProof/>
        </w:rPr>
        <w:footnoteReference w:id="39"/>
      </w:r>
      <w:r w:rsidRPr="00B362D2">
        <w:rPr>
          <w:noProof/>
        </w:rPr>
        <w:t>. Dreptul de a beneficia de rambursare se poate aplica atât contractelor pe durată nedeterminată, cât și contractelor pe durată determinată.</w:t>
      </w:r>
    </w:p>
    <w:p w14:paraId="2EFF1FDA" w14:textId="77777777" w:rsidR="006160B7" w:rsidRPr="00B362D2" w:rsidRDefault="2BEBF9F2" w:rsidP="00525EB5">
      <w:pPr>
        <w:pStyle w:val="BodyText"/>
        <w:numPr>
          <w:ilvl w:val="0"/>
          <w:numId w:val="3"/>
        </w:numPr>
        <w:spacing w:before="200" w:line="259" w:lineRule="auto"/>
        <w:jc w:val="both"/>
        <w:rPr>
          <w:noProof/>
        </w:rPr>
      </w:pPr>
      <w:r w:rsidRPr="00B362D2">
        <w:rPr>
          <w:noProof/>
        </w:rPr>
        <w:t xml:space="preserve">În cazul unui </w:t>
      </w:r>
      <w:r w:rsidRPr="00B362D2">
        <w:rPr>
          <w:b/>
          <w:noProof/>
        </w:rPr>
        <w:t>contract pe durată determinată</w:t>
      </w:r>
      <w:r w:rsidRPr="00B362D2">
        <w:rPr>
          <w:noProof/>
        </w:rPr>
        <w:t xml:space="preserve">, comerciantul trebuie să ramburseze consumatorului cota-parte din prețul plătit de acesta în avans pentru perioada rămasă din durata contractului, care ar fi urmat să se deruleze dacă contractul nu ar fi încetat. De exemplu, în cazul unui contract pe cinci ani, pentru care consumatorul efectuează o plată în avans, iar furnizorul întrerupe furnizarea după patru ani, consumatorul are dreptul la rambursarea cotei-parte din suma plătită în avans pentru al cincilea an de contract. </w:t>
      </w:r>
    </w:p>
    <w:p w14:paraId="0C75C2CB" w14:textId="77777777" w:rsidR="00D926F8" w:rsidRPr="00B362D2" w:rsidRDefault="179E3288" w:rsidP="00525EB5">
      <w:pPr>
        <w:pStyle w:val="BodyText"/>
        <w:numPr>
          <w:ilvl w:val="0"/>
          <w:numId w:val="3"/>
        </w:numPr>
        <w:spacing w:before="200" w:line="259" w:lineRule="auto"/>
        <w:jc w:val="both"/>
        <w:rPr>
          <w:noProof/>
        </w:rPr>
      </w:pPr>
      <w:r w:rsidRPr="00B362D2">
        <w:rPr>
          <w:noProof/>
        </w:rPr>
        <w:t xml:space="preserve">În cazul unui </w:t>
      </w:r>
      <w:r w:rsidRPr="00B362D2">
        <w:rPr>
          <w:b/>
          <w:noProof/>
        </w:rPr>
        <w:t>contract pe durată nedeterminată</w:t>
      </w:r>
      <w:r w:rsidRPr="00B362D2">
        <w:rPr>
          <w:noProof/>
        </w:rPr>
        <w:t>, valoarea rambursării datorate trebuie evaluată individual pe baza duratei contractului la care consumatorul s-ar fi putut aștepta în mod rezonabil în temeiul criteriilor obiective de continuitate și accesibilitate. Evaluarea oricărei rambursări datorate consumatorului va depinde de factori precum natura conținutului digital sau a serviciului digital, modul în care acesta a fost comercializat, accesibilitatea și continuitatea care sunt normale pentru un conținut digital sau serviciu digital de același tip, precum și perioada în care conținutul digital sau serviciul digital a rămas disponibil.</w:t>
      </w:r>
    </w:p>
    <w:p w14:paraId="1CBE9BFF" w14:textId="5A87F422" w:rsidR="00D926F8" w:rsidRPr="00B362D2" w:rsidRDefault="32029030" w:rsidP="008A1976">
      <w:pPr>
        <w:pStyle w:val="BodyText"/>
        <w:spacing w:before="200" w:line="259" w:lineRule="auto"/>
        <w:jc w:val="both"/>
        <w:rPr>
          <w:noProof/>
        </w:rPr>
      </w:pPr>
      <w:r w:rsidRPr="00B362D2">
        <w:rPr>
          <w:noProof/>
        </w:rPr>
        <w:t>În plus, obligația de rambursare se aplică nu numai prețului plătit în temeiul contractului pentru conținutul digital sau serviciul digital principal, ci și plăților efectuate în temeiul oricărui contract auxiliar legat de conținutul digital sau serviciul digital principal, și anume achizițiile efectuate în timpul jocului, care încetează împreună cu contractul principal. În orice caz, consumatorului ar trebui să i se ramburseze orice sume convertite în monede din cadrul jocului pe care furnizorul le</w:t>
      </w:r>
      <w:r w:rsidR="00CE3321">
        <w:rPr>
          <w:noProof/>
        </w:rPr>
        <w:t>­</w:t>
      </w:r>
      <w:r w:rsidRPr="00B362D2">
        <w:rPr>
          <w:noProof/>
        </w:rPr>
        <w:t>ar fi putut introduce și care nu au fost încă utilizate pentru achiziționarea de articole virtuale. Întrucât scopul achiziționării de monede în cadrul jocului este de a le utiliza pentru achiziționarea de articole virtuale, așteptările rezonabile ale consumatorului nu ar fi îndeplinite atunci când întreruperea furnizării conținutului digital sau a serviciului digital principal face imposibilă utilizarea de către consumator a monedelor din cadrul jocului pentru achiziționarea de articole virtuale</w:t>
      </w:r>
      <w:r w:rsidRPr="00B362D2">
        <w:rPr>
          <w:rStyle w:val="FootnoteReference"/>
          <w:noProof/>
        </w:rPr>
        <w:footnoteReference w:id="40"/>
      </w:r>
      <w:r w:rsidRPr="00B362D2">
        <w:rPr>
          <w:noProof/>
        </w:rPr>
        <w:t>.</w:t>
      </w:r>
      <w:r w:rsidR="00720E2E" w:rsidRPr="00B362D2">
        <w:rPr>
          <w:noProof/>
        </w:rPr>
        <w:t xml:space="preserve"> </w:t>
      </w:r>
    </w:p>
    <w:p w14:paraId="57734C98" w14:textId="77777777" w:rsidR="00D926F8" w:rsidRPr="00B362D2" w:rsidRDefault="4FECBE8A" w:rsidP="00CB5DE3">
      <w:pPr>
        <w:pStyle w:val="BodyText"/>
        <w:spacing w:before="200" w:line="259" w:lineRule="auto"/>
        <w:ind w:left="23"/>
        <w:jc w:val="both"/>
        <w:rPr>
          <w:noProof/>
        </w:rPr>
      </w:pPr>
      <w:r w:rsidRPr="00B362D2">
        <w:rPr>
          <w:noProof/>
        </w:rPr>
        <w:t xml:space="preserve">DCD se aplică abia de la </w:t>
      </w:r>
      <w:r w:rsidRPr="00CE3321">
        <w:rPr>
          <w:noProof/>
        </w:rPr>
        <w:t>1</w:t>
      </w:r>
      <w:r w:rsidRPr="00B362D2">
        <w:rPr>
          <w:noProof/>
        </w:rPr>
        <w:t xml:space="preserve"> ianuarie </w:t>
      </w:r>
      <w:r w:rsidRPr="00CE3321">
        <w:rPr>
          <w:noProof/>
        </w:rPr>
        <w:t>2022</w:t>
      </w:r>
      <w:r w:rsidRPr="00B362D2">
        <w:rPr>
          <w:noProof/>
        </w:rPr>
        <w:t>. Până în prezent, nu există hotărâri ale Curții de Justiție a Uniunii Europene (CJUE) care să ofere o interpretare obligatorie din punct de vedere juridic a aplicării directivei</w:t>
      </w:r>
      <w:r w:rsidRPr="00B362D2">
        <w:rPr>
          <w:rStyle w:val="FootnoteReference"/>
          <w:noProof/>
        </w:rPr>
        <w:footnoteReference w:id="41"/>
      </w:r>
      <w:r w:rsidRPr="00B362D2">
        <w:rPr>
          <w:noProof/>
        </w:rPr>
        <w:t xml:space="preserve">. Comisia este în curs de revizuire a aplicării DCD și intenționează să își prezinte raportul până la sfârșitul anului </w:t>
      </w:r>
      <w:r w:rsidRPr="00CE3321">
        <w:rPr>
          <w:noProof/>
        </w:rPr>
        <w:t>2026</w:t>
      </w:r>
      <w:r w:rsidRPr="00B362D2">
        <w:rPr>
          <w:noProof/>
        </w:rPr>
        <w:t>, care acoperă, de asemenea, aplicarea directivei în cazul întreruperii furnizării conținutului digital și a serviciilor digitale.</w:t>
      </w:r>
    </w:p>
    <w:p w14:paraId="7D4E3D94" w14:textId="77777777" w:rsidR="7E08006A" w:rsidRPr="00B362D2" w:rsidRDefault="7E08006A" w:rsidP="5D975B7C">
      <w:pPr>
        <w:pStyle w:val="BodyText"/>
        <w:spacing w:before="200"/>
        <w:ind w:left="23"/>
        <w:jc w:val="both"/>
        <w:rPr>
          <w:noProof/>
        </w:rPr>
      </w:pPr>
      <w:r w:rsidRPr="00CE3321">
        <w:rPr>
          <w:b/>
          <w:noProof/>
        </w:rPr>
        <w:t>3</w:t>
      </w:r>
      <w:r w:rsidRPr="00B362D2">
        <w:rPr>
          <w:b/>
          <w:noProof/>
        </w:rPr>
        <w:t>.</w:t>
      </w:r>
      <w:r w:rsidRPr="00CE3321">
        <w:rPr>
          <w:b/>
          <w:noProof/>
        </w:rPr>
        <w:t>3</w:t>
      </w:r>
      <w:r w:rsidRPr="00B362D2">
        <w:rPr>
          <w:b/>
          <w:noProof/>
        </w:rPr>
        <w:t xml:space="preserve"> Menținerea viitoarelor jocuri video într-o stare executabilă după încheierea exploatării lor comerciale ar putea genera costuri și riscuri</w:t>
      </w:r>
    </w:p>
    <w:p w14:paraId="3D9D5937" w14:textId="1D75844C" w:rsidR="00A734C8" w:rsidRPr="00B362D2" w:rsidRDefault="56FB6186" w:rsidP="00FC496C">
      <w:pPr>
        <w:pStyle w:val="BodyText"/>
        <w:spacing w:before="200" w:line="259" w:lineRule="auto"/>
        <w:jc w:val="both"/>
        <w:rPr>
          <w:noProof/>
        </w:rPr>
      </w:pPr>
      <w:r w:rsidRPr="00B362D2">
        <w:rPr>
          <w:noProof/>
        </w:rPr>
        <w:t xml:space="preserve">Astfel cum s-a explicat în secțiunea </w:t>
      </w:r>
      <w:r w:rsidRPr="00CE3321">
        <w:rPr>
          <w:noProof/>
        </w:rPr>
        <w:t>3</w:t>
      </w:r>
      <w:r w:rsidRPr="00B362D2">
        <w:rPr>
          <w:noProof/>
        </w:rPr>
        <w:t>.</w:t>
      </w:r>
      <w:r w:rsidRPr="00CE3321">
        <w:rPr>
          <w:noProof/>
        </w:rPr>
        <w:t>1</w:t>
      </w:r>
      <w:r w:rsidRPr="00B362D2">
        <w:rPr>
          <w:noProof/>
        </w:rPr>
        <w:t xml:space="preserve">, obligația editorilor de a lăsa jocurile într-o stare funcțională după exploatarea lor comercială ar putea afecta drepturile de proprietate intelectuală și ar putea genera costuri (de exemplu, timp de proiectare, testare, reînnoirea licențelor etc.) pentru furnizorii de jocuri video. Acest lucru trebuie avut în vedere în contextul în care </w:t>
      </w:r>
      <w:r w:rsidRPr="00CE3321">
        <w:rPr>
          <w:noProof/>
        </w:rPr>
        <w:t>26</w:t>
      </w:r>
      <w:r w:rsidRPr="00B362D2">
        <w:rPr>
          <w:noProof/>
        </w:rPr>
        <w:t xml:space="preserve"> % dintre dezvoltatorii europeni de jocuri au fost deja concediați în decursul a </w:t>
      </w:r>
      <w:r w:rsidRPr="00CE3321">
        <w:rPr>
          <w:noProof/>
        </w:rPr>
        <w:t>12</w:t>
      </w:r>
      <w:r w:rsidRPr="00B362D2">
        <w:rPr>
          <w:noProof/>
        </w:rPr>
        <w:t xml:space="preserve"> luni în perioada </w:t>
      </w:r>
      <w:r w:rsidRPr="00CE3321">
        <w:rPr>
          <w:noProof/>
        </w:rPr>
        <w:t>2024</w:t>
      </w:r>
      <w:r w:rsidRPr="00B362D2">
        <w:rPr>
          <w:noProof/>
        </w:rPr>
        <w:t>-</w:t>
      </w:r>
      <w:r w:rsidRPr="00CE3321">
        <w:rPr>
          <w:noProof/>
        </w:rPr>
        <w:t>2025</w:t>
      </w:r>
      <w:r w:rsidRPr="00B362D2">
        <w:rPr>
          <w:rStyle w:val="FootnoteReference"/>
          <w:noProof/>
        </w:rPr>
        <w:footnoteReference w:id="42"/>
      </w:r>
      <w:r w:rsidRPr="00B362D2">
        <w:rPr>
          <w:noProof/>
        </w:rPr>
        <w:t>. De</w:t>
      </w:r>
      <w:r w:rsidR="00CE3321">
        <w:rPr>
          <w:noProof/>
        </w:rPr>
        <w:t> </w:t>
      </w:r>
      <w:r w:rsidRPr="00B362D2">
        <w:rPr>
          <w:noProof/>
        </w:rPr>
        <w:t>asemenea, o astfel de cerință ar putea expune editorii la riscuri reputaționale după ce jocurile video nu vor mai fi sub controlul lor operațional</w:t>
      </w:r>
      <w:r w:rsidRPr="00B362D2">
        <w:rPr>
          <w:rStyle w:val="FootnoteReference"/>
          <w:noProof/>
        </w:rPr>
        <w:footnoteReference w:id="43"/>
      </w:r>
      <w:r w:rsidRPr="00B362D2">
        <w:rPr>
          <w:noProof/>
        </w:rPr>
        <w:t>.</w:t>
      </w:r>
    </w:p>
    <w:p w14:paraId="587475F6" w14:textId="77777777" w:rsidR="3E19ADEF" w:rsidRPr="00B362D2" w:rsidRDefault="4D606135" w:rsidP="000C6C87">
      <w:pPr>
        <w:pStyle w:val="BodyText"/>
        <w:spacing w:before="200"/>
        <w:jc w:val="both"/>
        <w:rPr>
          <w:b/>
          <w:bCs/>
          <w:noProof/>
        </w:rPr>
      </w:pPr>
      <w:r w:rsidRPr="00CE3321">
        <w:rPr>
          <w:b/>
          <w:noProof/>
        </w:rPr>
        <w:t>3</w:t>
      </w:r>
      <w:r w:rsidRPr="00B362D2">
        <w:rPr>
          <w:b/>
          <w:noProof/>
        </w:rPr>
        <w:t>.</w:t>
      </w:r>
      <w:r w:rsidRPr="00CE3321">
        <w:rPr>
          <w:b/>
          <w:noProof/>
        </w:rPr>
        <w:t>4</w:t>
      </w:r>
      <w:r w:rsidRPr="00B362D2">
        <w:rPr>
          <w:b/>
          <w:noProof/>
        </w:rPr>
        <w:t xml:space="preserve"> Calea de urmat</w:t>
      </w:r>
    </w:p>
    <w:p w14:paraId="06DE3630" w14:textId="32D7362C" w:rsidR="6D1C98AE" w:rsidRPr="00B362D2" w:rsidRDefault="1B5907EC" w:rsidP="00A734C8">
      <w:pPr>
        <w:pStyle w:val="BodyText"/>
        <w:spacing w:before="200"/>
        <w:ind w:left="23"/>
        <w:jc w:val="both"/>
        <w:rPr>
          <w:noProof/>
        </w:rPr>
      </w:pPr>
      <w:r w:rsidRPr="00B362D2">
        <w:rPr>
          <w:noProof/>
        </w:rPr>
        <w:t>Pentru a răspunde preocupărilor exprimate de inițiativă, Comisia intenționează să analizeze, împreună cu reprezentanții sectorului, posibilitatea de a elabora un cod de autoreglementare pentru a promova standarde mai bune în ceea ce privește întreruperea serviciilor asociate jocurilor</w:t>
      </w:r>
      <w:r w:rsidRPr="00B362D2">
        <w:rPr>
          <w:rStyle w:val="FootnoteReference"/>
          <w:noProof/>
        </w:rPr>
        <w:footnoteReference w:id="44"/>
      </w:r>
      <w:r w:rsidRPr="00B362D2">
        <w:rPr>
          <w:noProof/>
        </w:rPr>
        <w:t xml:space="preserve">. Un astfel de cadru ar putea aborda chestiunea în discuție, ținând seama, în același timp, de diversitatea jocurilor video și a practicilor de dezvoltare. Codul ar putea promova, de asemenea, o etichetare mai transparentă care să indice posibila întrerupere a serviciilor asociate jocului la punctele de vânzare și ar putea oferi oportunități pentru mai multe parteneriate între editori și instituțiile de patrimoniu cultural pentru conservarea jocurilor video. </w:t>
      </w:r>
      <w:r w:rsidRPr="00B362D2">
        <w:rPr>
          <w:noProof/>
          <w:color w:val="242424"/>
        </w:rPr>
        <w:t>În acest sens, Comisia consideră că este oportună implicarea în acest proces a reprezentanților consumatorilor și a altor servicii care oferă acces la jocuri (de exemplu, distribuitori, producători de hardware)</w:t>
      </w:r>
      <w:r w:rsidRPr="00B362D2">
        <w:rPr>
          <w:noProof/>
        </w:rPr>
        <w:t>. În plus, Comisia va examina întreruperea furnizării conținutului digital și a serviciilor digitale în viitorul său raport privind aplicarea DCD. De asemenea, Comisia va colabora cu autoritățile și organizațiile de protecție a consumatorilor pentru a spori gradul de sensibilizare cu privire la drepturile aplicabile ale consumatorilor.</w:t>
      </w:r>
    </w:p>
    <w:p w14:paraId="15D17E6C" w14:textId="5BC4B3C7" w:rsidR="000237C6" w:rsidRPr="00B362D2" w:rsidRDefault="2ED0C952" w:rsidP="31DBE0D6">
      <w:pPr>
        <w:pStyle w:val="BodyText"/>
        <w:keepNext/>
        <w:spacing w:before="200"/>
        <w:jc w:val="both"/>
        <w:rPr>
          <w:b/>
          <w:bCs/>
          <w:noProof/>
        </w:rPr>
      </w:pPr>
      <w:r w:rsidRPr="00CE3321">
        <w:rPr>
          <w:b/>
          <w:noProof/>
        </w:rPr>
        <w:t>4</w:t>
      </w:r>
      <w:r w:rsidRPr="00B362D2">
        <w:rPr>
          <w:b/>
          <w:noProof/>
        </w:rPr>
        <w:t>.</w:t>
      </w:r>
      <w:r w:rsidR="00720E2E" w:rsidRPr="00B362D2">
        <w:rPr>
          <w:b/>
          <w:noProof/>
        </w:rPr>
        <w:t xml:space="preserve"> </w:t>
      </w:r>
      <w:r w:rsidRPr="00B362D2">
        <w:rPr>
          <w:b/>
          <w:noProof/>
        </w:rPr>
        <w:t>CONCLUZIE</w:t>
      </w:r>
    </w:p>
    <w:p w14:paraId="20EBA471" w14:textId="2310A13F" w:rsidR="007F5A55" w:rsidRPr="00B362D2" w:rsidRDefault="009B1B46" w:rsidP="0052177B">
      <w:pPr>
        <w:pStyle w:val="BodyText"/>
        <w:spacing w:before="200"/>
        <w:ind w:left="23"/>
        <w:jc w:val="both"/>
        <w:rPr>
          <w:noProof/>
        </w:rPr>
      </w:pPr>
      <w:r w:rsidRPr="00B362D2">
        <w:rPr>
          <w:noProof/>
        </w:rPr>
        <w:t>Comisia a analizat cu atenție solicitarea organizatorilor ICE luând în considerare legislația relevantă a UE.</w:t>
      </w:r>
      <w:r w:rsidR="00720E2E" w:rsidRPr="00B362D2">
        <w:rPr>
          <w:noProof/>
        </w:rPr>
        <w:t xml:space="preserve"> </w:t>
      </w:r>
      <w:r w:rsidRPr="00B362D2">
        <w:rPr>
          <w:noProof/>
        </w:rPr>
        <w:t xml:space="preserve">Comisia consideră că o propunere adresată Parlamentului European și Consiliului privind un act juridic care să stabilească o obligație pentru editorii care vând sau acordă licențe pentru jocuri video consumatorilor din Uniunea Europeană de a le menține într-o stare executabilă, astfel cum se solicită în ICE, nu ar fi proporțională. </w:t>
      </w:r>
    </w:p>
    <w:p w14:paraId="0B10472A" w14:textId="1E2B3118" w:rsidR="007B6DF1" w:rsidRPr="00B362D2" w:rsidRDefault="03E72CD9" w:rsidP="007A0D22">
      <w:pPr>
        <w:pStyle w:val="BodyText"/>
        <w:spacing w:before="200"/>
        <w:ind w:left="23"/>
        <w:jc w:val="both"/>
        <w:rPr>
          <w:noProof/>
        </w:rPr>
      </w:pPr>
      <w:r w:rsidRPr="00B362D2">
        <w:rPr>
          <w:noProof/>
        </w:rPr>
        <w:t xml:space="preserve">Deși Comisia se angajează pe deplin să asigure un nivel ridicat de protecție a consumatorilor în UE, este necesară, de asemenea, respectarea drepturilor de proprietate intelectuală ale comercianților. Aceste drepturi ar risca să fie afectate de o obligație legală de a menține jocurile video într-o stare executabilă după exploatarea lor comercială. În temeiul legislației privind drepturile de autor, titularii de drepturi au dreptul de a stabili condițiile pentru utilizarea sub licență a jocurilor lor video, inclusiv condițiile de încetare a licenței. De asemenea, obligația de a menține jocurile într-o stare funcțională poate interfera cu protecția informațiilor comerciale confidențiale și a know-how-ului, precum și cu modelele de afaceri ale furnizorilor de jocuri video, care, în principiu, la fel ca în cazul comercianților din lumea offline, au dreptul de a întrerupe furnizarea serviciilor lor. Menținerea jocurilor video într-o stare executabilă poate genera, de asemenea, costuri pentru editori. </w:t>
      </w:r>
      <w:r w:rsidRPr="00B362D2">
        <w:rPr>
          <w:noProof/>
          <w:u w:val="single"/>
        </w:rPr>
        <w:t>În plus, pot crește riscurile în materie de securitate cibernetică și siguranță pentru jucători după ce editorii încetează să mai ofere asistență tehnică pentru aceste jocuri (fapt care, la rândul său, poate crea sau spori riscurile reputaționale pentru editori).</w:t>
      </w:r>
      <w:r w:rsidRPr="00B362D2">
        <w:rPr>
          <w:noProof/>
        </w:rPr>
        <w:t xml:space="preserve"> Mai mult, cadrul legislativ existent al UE privind protecția consumatorilor oferă deja garanții importante care protejează interesele economice ale consumatorilor. Aceste instrumente stabilesc norme privind transparența, conformitatea și măsurile corective în ceea ce privește conținutul digital și serviciile digitale. În special, acestea impun furnizorilor de conținut digital și de servicii digitale să informeze consumatorii cu privire la durata contractului și condițiile de reziliere a acestuia. De asemenea, acestea prevăd dreptul consumatorilor de a beneficia de o rambursare în cazul în care întreruperea serviciilor asociate jocului video nu este în conformitate cu contractul, pe baza așteptărilor rezonabile ale consumatorului. Prin urmare, acestea asigură un echilibru între un nivel ridicat de protecție a consumatorilor și interesele legitime ale sectorului jocurilor video. Exercitarea activă a drepturilor la măsuri corective de către consumatorii afectați și reprezentanții acestora și asigurarea respectării acestor norme de către autoritățile naționale de protecție a consumatorilor și/sau de către instanțele competente pot, de asemenea, să stimuleze furnizorii să ofere jocuri video cu o durată de viață mai lungă și să exploreze soluții pentru a răspunde așteptărilor consumatorilor.</w:t>
      </w:r>
    </w:p>
    <w:p w14:paraId="0A86CE02" w14:textId="77777777" w:rsidR="007B6DF1" w:rsidRPr="00B362D2" w:rsidRDefault="00AC7866" w:rsidP="093555AB">
      <w:pPr>
        <w:pStyle w:val="BodyText"/>
        <w:spacing w:before="240" w:line="259" w:lineRule="auto"/>
        <w:ind w:left="23" w:right="29"/>
        <w:jc w:val="both"/>
        <w:rPr>
          <w:noProof/>
        </w:rPr>
      </w:pPr>
      <w:r w:rsidRPr="00B362D2">
        <w:rPr>
          <w:noProof/>
        </w:rPr>
        <w:t xml:space="preserve">Deși nu este avută în vedere o inițiativă legislativă care să stabilească o obligație pentru editorii care vând sau acordă licențe pentru jocuri video consumatorilor din Uniunea Europeană de a le menține într-o stare executabilă, astfel cum se solicită în ICE, Comisia intenționează să inițieze schimburi cu părțile interesate până la sfârșitul anului </w:t>
      </w:r>
      <w:r w:rsidRPr="00CE3321">
        <w:rPr>
          <w:noProof/>
        </w:rPr>
        <w:t>2026</w:t>
      </w:r>
      <w:r w:rsidRPr="00B362D2">
        <w:rPr>
          <w:noProof/>
        </w:rPr>
        <w:t xml:space="preserve"> pentru a analiza posibilitatea de elaborare a unui cod de autoreglementare/coordonat de sector pentru a îmbunătăți gestionarea sfârșitului ciclului de viață al jocurilor video și pentru a spori transparența față de consumatori. În plus, Comisia intenționează să își prezinte raportul privind aplicarea Directivei (UE) </w:t>
      </w:r>
      <w:r w:rsidRPr="00CE3321">
        <w:rPr>
          <w:noProof/>
        </w:rPr>
        <w:t>2019</w:t>
      </w:r>
      <w:r w:rsidRPr="00B362D2">
        <w:rPr>
          <w:noProof/>
        </w:rPr>
        <w:t>/</w:t>
      </w:r>
      <w:r w:rsidRPr="00CE3321">
        <w:rPr>
          <w:noProof/>
        </w:rPr>
        <w:t>770</w:t>
      </w:r>
      <w:r w:rsidRPr="00B362D2">
        <w:rPr>
          <w:noProof/>
        </w:rPr>
        <w:t xml:space="preserve"> până la sfârșitul anului </w:t>
      </w:r>
      <w:r w:rsidRPr="00CE3321">
        <w:rPr>
          <w:noProof/>
        </w:rPr>
        <w:t>2026</w:t>
      </w:r>
      <w:r w:rsidRPr="00B362D2">
        <w:rPr>
          <w:noProof/>
        </w:rPr>
        <w:t xml:space="preserve">, care acoperă, de asemenea, aplicarea directivei în cazul întreruperii furnizării conținutului digital și a serviciilor digitale. De asemenea, Comisia va continua să colaboreze cu autoritățile și organizațiile de protecție a consumatorilor pentru a sensibiliza publicul cu privire la drepturile aplicabile ale consumatorilor, inclusiv cu privire la măsurile corective pentru consumatori. </w:t>
      </w:r>
    </w:p>
    <w:p w14:paraId="7099DB98" w14:textId="77777777" w:rsidR="001D3607" w:rsidRPr="00B362D2" w:rsidRDefault="001D3607" w:rsidP="00525EB5">
      <w:pPr>
        <w:jc w:val="both"/>
        <w:rPr>
          <w:noProof/>
          <w:sz w:val="24"/>
          <w:szCs w:val="24"/>
        </w:rPr>
      </w:pPr>
    </w:p>
    <w:p w14:paraId="598A5140" w14:textId="77777777" w:rsidR="000242DE" w:rsidRPr="00B362D2" w:rsidRDefault="000242DE" w:rsidP="093555AB">
      <w:pPr>
        <w:pStyle w:val="BodyText"/>
        <w:spacing w:before="240"/>
        <w:ind w:right="18"/>
        <w:jc w:val="both"/>
        <w:rPr>
          <w:i/>
          <w:noProof/>
          <w:highlight w:val="yellow"/>
        </w:rPr>
      </w:pPr>
    </w:p>
    <w:tbl>
      <w:tblPr>
        <w:tblW w:w="0" w:type="auto"/>
        <w:tblInd w:w="4252" w:type="dxa"/>
        <w:tblCellMar>
          <w:top w:w="567" w:type="dxa"/>
          <w:left w:w="0" w:type="dxa"/>
          <w:right w:w="0" w:type="dxa"/>
        </w:tblCellMar>
        <w:tblLook w:val="0000" w:firstRow="0" w:lastRow="0" w:firstColumn="0" w:lastColumn="0" w:noHBand="0" w:noVBand="0"/>
      </w:tblPr>
      <w:tblGrid>
        <w:gridCol w:w="3757"/>
      </w:tblGrid>
      <w:tr w:rsidR="007B6DF1" w:rsidRPr="00B362D2" w14:paraId="22DF58F5" w14:textId="77777777">
        <w:trPr>
          <w:cantSplit/>
        </w:trPr>
        <w:tc>
          <w:tcPr>
            <w:tcW w:w="0" w:type="auto"/>
            <w:shd w:val="clear" w:color="auto" w:fill="auto"/>
          </w:tcPr>
          <w:p w14:paraId="2A5BE7FB" w14:textId="77777777" w:rsidR="007B6DF1" w:rsidRPr="00B362D2" w:rsidRDefault="00453D1E">
            <w:pPr>
              <w:rPr>
                <w:noProof/>
              </w:rPr>
            </w:pPr>
            <w:r>
              <w:rPr>
                <w:noProof/>
              </w:rPr>
              <w:pict w14:anchorId="0CFEED30">
                <v:shape id="_x0000_i1026" type="#_x0000_t75" style="width:187.5pt;height:102pt">
                  <v:imagedata r:id="rId15" o:title=""/>
                </v:shape>
              </w:pict>
            </w:r>
          </w:p>
        </w:tc>
      </w:tr>
    </w:tbl>
    <w:p w14:paraId="6D64817F" w14:textId="77777777" w:rsidR="00683DAB" w:rsidRPr="00B362D2" w:rsidRDefault="00683DAB">
      <w:pPr>
        <w:rPr>
          <w:noProof/>
        </w:rPr>
      </w:pPr>
    </w:p>
    <w:sectPr w:rsidR="00683DAB" w:rsidRPr="00B362D2" w:rsidSect="00E32103">
      <w:headerReference w:type="even" r:id="rId16"/>
      <w:headerReference w:type="default" r:id="rId17"/>
      <w:footerReference w:type="even" r:id="rId18"/>
      <w:footerReference w:type="default" r:id="rId19"/>
      <w:headerReference w:type="first" r:id="rId20"/>
      <w:footerReference w:type="first" r:id="rId21"/>
      <w:pgSz w:w="12240" w:h="15840"/>
      <w:pgMar w:top="1360" w:right="1417" w:bottom="1200" w:left="1417"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91F8E" w14:textId="77777777" w:rsidR="00633119" w:rsidRPr="004955D6" w:rsidRDefault="00633119">
      <w:r>
        <w:separator/>
      </w:r>
    </w:p>
  </w:endnote>
  <w:endnote w:type="continuationSeparator" w:id="0">
    <w:p w14:paraId="25FB817B" w14:textId="77777777" w:rsidR="00633119" w:rsidRPr="004955D6" w:rsidRDefault="0063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9B3B0" w14:textId="42DEEDDB" w:rsidR="00A51B69" w:rsidRPr="00A51B69" w:rsidRDefault="00A51B69" w:rsidP="00A51B69">
    <w:pPr>
      <w:pStyle w:val="FooterCoverPage"/>
      <w:rPr>
        <w:rFonts w:ascii="Arial" w:hAnsi="Arial" w:cs="Arial"/>
        <w:b/>
        <w:sz w:val="48"/>
      </w:rPr>
    </w:pPr>
    <w:r w:rsidRPr="00A51B69">
      <w:rPr>
        <w:rFonts w:ascii="Arial" w:hAnsi="Arial" w:cs="Arial"/>
        <w:b/>
        <w:sz w:val="48"/>
      </w:rPr>
      <w:t>RO</w:t>
    </w:r>
    <w:r w:rsidRPr="00A51B69">
      <w:rPr>
        <w:rFonts w:ascii="Arial" w:hAnsi="Arial" w:cs="Arial"/>
        <w:b/>
        <w:sz w:val="48"/>
      </w:rPr>
      <w:tab/>
    </w:r>
    <w:r w:rsidRPr="00A51B69">
      <w:rPr>
        <w:rFonts w:ascii="Arial" w:hAnsi="Arial" w:cs="Arial"/>
        <w:b/>
        <w:sz w:val="48"/>
      </w:rPr>
      <w:tab/>
    </w:r>
    <w:r w:rsidRPr="00A51B69">
      <w:tab/>
    </w:r>
    <w:r w:rsidRPr="00A51B6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6F696" w14:textId="235B7C6E" w:rsidR="00A51B69" w:rsidRPr="00A51B69" w:rsidRDefault="00A51B69" w:rsidP="00A51B69">
    <w:pPr>
      <w:pStyle w:val="FooterCoverPage"/>
      <w:rPr>
        <w:rFonts w:ascii="Arial" w:hAnsi="Arial" w:cs="Arial"/>
        <w:b/>
        <w:sz w:val="48"/>
      </w:rPr>
    </w:pPr>
    <w:r w:rsidRPr="00A51B69">
      <w:rPr>
        <w:rFonts w:ascii="Arial" w:hAnsi="Arial" w:cs="Arial"/>
        <w:b/>
        <w:sz w:val="48"/>
      </w:rPr>
      <w:t>RO</w:t>
    </w:r>
    <w:r w:rsidRPr="00A51B69">
      <w:rPr>
        <w:rFonts w:ascii="Arial" w:hAnsi="Arial" w:cs="Arial"/>
        <w:b/>
        <w:sz w:val="48"/>
      </w:rPr>
      <w:tab/>
    </w:r>
    <w:r w:rsidRPr="00A51B69">
      <w:rPr>
        <w:rFonts w:ascii="Arial" w:hAnsi="Arial" w:cs="Arial"/>
        <w:b/>
        <w:sz w:val="48"/>
      </w:rPr>
      <w:tab/>
    </w:r>
    <w:r w:rsidRPr="00A51B69">
      <w:tab/>
    </w:r>
    <w:r w:rsidRPr="00A51B6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20F1D" w14:textId="77777777" w:rsidR="00A51B69" w:rsidRPr="00A51B69" w:rsidRDefault="00A51B69" w:rsidP="00A51B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C5EF" w14:textId="77777777" w:rsidR="00E32103" w:rsidRPr="004955D6" w:rsidRDefault="00E32103" w:rsidP="00E32103">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54A77" w14:textId="77777777" w:rsidR="00E32103" w:rsidRPr="004955D6" w:rsidRDefault="007E588C">
    <w:pPr>
      <w:pStyle w:val="BodyText"/>
      <w:spacing w:line="14" w:lineRule="auto"/>
      <w:rPr>
        <w:sz w:val="20"/>
      </w:rPr>
    </w:pPr>
    <w:r>
      <w:rPr>
        <w:noProof/>
        <w:lang w:val="en-GB" w:eastAsia="en-GB"/>
      </w:rPr>
      <mc:AlternateContent>
        <mc:Choice Requires="wps">
          <w:drawing>
            <wp:anchor distT="0" distB="0" distL="0" distR="0" simplePos="0" relativeHeight="251658240" behindDoc="1" locked="0" layoutInCell="1" allowOverlap="1" wp14:anchorId="2EEE6B69" wp14:editId="0B9B5BBC">
              <wp:simplePos x="0" y="0"/>
              <wp:positionH relativeFrom="page">
                <wp:posOffset>6704965</wp:posOffset>
              </wp:positionH>
              <wp:positionV relativeFrom="page">
                <wp:posOffset>9283700</wp:posOffset>
              </wp:positionV>
              <wp:extent cx="207010" cy="165735"/>
              <wp:effectExtent l="0" t="0" r="0" b="0"/>
              <wp:wrapNone/>
              <wp:docPr id="710928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47A2C5E" w14:textId="6B89279D" w:rsidR="00E32103" w:rsidRDefault="00E32103">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sidR="00A51B69">
                            <w:rPr>
                              <w:rFonts w:ascii="Calibri"/>
                              <w:noProof/>
                            </w:rPr>
                            <w:t>1</w:t>
                          </w:r>
                          <w:r>
                            <w:rPr>
                              <w:rFonts w:ascii="Calibri"/>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EEE6B69" id="_x0000_t202" coordsize="21600,21600" o:spt="202" path="m,l,21600r21600,l21600,xe">
              <v:stroke joinstyle="miter"/>
              <v:path gradientshapeok="t" o:connecttype="rect"/>
            </v:shapetype>
            <v:shape id="Text Box 1" o:spid="_x0000_s1026" type="#_x0000_t202" style="position:absolute;margin-left:527.95pt;margin-top:731pt;width:16.3pt;height:13.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" filled="f" stroked="f">
              <v:path arrowok="t"/>
              <v:textbox inset="0,0,0,0">
                <w:txbxContent>
                  <w:p w14:paraId="547A2C5E" w14:textId="6B89279D" w:rsidR="00E32103" w:rsidRDefault="00E32103">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sidR="00A51B69">
                      <w:rPr>
                        <w:rFonts w:ascii="Calibri"/>
                        <w:noProof/>
                      </w:rPr>
                      <w:t>1</w:t>
                    </w:r>
                    <w:r>
                      <w:rPr>
                        <w:rFonts w:ascii="Calibri"/>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3A0FD" w14:textId="77777777" w:rsidR="00E32103" w:rsidRPr="004955D6" w:rsidRDefault="00E32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7A825" w14:textId="77777777" w:rsidR="00633119" w:rsidRPr="004955D6" w:rsidRDefault="00633119">
      <w:r>
        <w:separator/>
      </w:r>
    </w:p>
  </w:footnote>
  <w:footnote w:type="continuationSeparator" w:id="0">
    <w:p w14:paraId="2169DCAA" w14:textId="77777777" w:rsidR="00633119" w:rsidRPr="004955D6" w:rsidRDefault="00633119">
      <w:r>
        <w:continuationSeparator/>
      </w:r>
    </w:p>
  </w:footnote>
  <w:footnote w:id="1">
    <w:p w14:paraId="621B04CD" w14:textId="77777777" w:rsidR="00525EB5" w:rsidRPr="007A0D22" w:rsidRDefault="00525EB5" w:rsidP="00525EB5">
      <w:pPr>
        <w:pStyle w:val="FootnoteText"/>
        <w:jc w:val="both"/>
        <w:rPr>
          <w:sz w:val="18"/>
          <w:szCs w:val="18"/>
        </w:rPr>
      </w:pPr>
      <w:r>
        <w:rPr>
          <w:rStyle w:val="FootnoteReference"/>
          <w:sz w:val="18"/>
          <w:szCs w:val="18"/>
        </w:rPr>
        <w:footnoteRef/>
      </w:r>
      <w:r>
        <w:rPr>
          <w:sz w:val="18"/>
        </w:rPr>
        <w:t xml:space="preserve"> Articolul </w:t>
      </w:r>
      <w:r w:rsidRPr="00CE3321">
        <w:rPr>
          <w:sz w:val="18"/>
        </w:rPr>
        <w:t>3</w:t>
      </w:r>
      <w:r>
        <w:rPr>
          <w:sz w:val="18"/>
        </w:rPr>
        <w:t xml:space="preserve"> din Regulamentul privind ICE prevede că: „O inițiativă este valabilă dacă: (a) este susținută de cel puțin un milion de cetățeni ai Uniunii (denumiți în continuare «semnatari»), în conformitate cu articolul </w:t>
      </w:r>
      <w:r w:rsidRPr="00CE3321">
        <w:rPr>
          <w:sz w:val="18"/>
        </w:rPr>
        <w:t>2</w:t>
      </w:r>
      <w:r>
        <w:rPr>
          <w:sz w:val="18"/>
        </w:rPr>
        <w:t xml:space="preserve"> alineatul (</w:t>
      </w:r>
      <w:r w:rsidRPr="00CE3321">
        <w:rPr>
          <w:sz w:val="18"/>
        </w:rPr>
        <w:t>1</w:t>
      </w:r>
      <w:r>
        <w:rPr>
          <w:sz w:val="18"/>
        </w:rPr>
        <w:t>), din cel puțin un sfert din statele membre; și (b) în cel puțin un sfert din statele membre, numărul de semnatari este cel puțin egal cu numărul minim prevăzut în anexa I, care corespunde rezultatului înmulțirii numărului de deputați în Parlamentul European aleși în fiecare stat membru cu numărul total de deputați în Parlamentul European, la data înregistrării inițiativei”.</w:t>
      </w:r>
    </w:p>
  </w:footnote>
  <w:footnote w:id="2">
    <w:p w14:paraId="41940D94" w14:textId="77777777" w:rsidR="00525EB5" w:rsidRPr="007A0D22" w:rsidRDefault="00525EB5" w:rsidP="00525EB5">
      <w:pPr>
        <w:pStyle w:val="FootnoteText"/>
        <w:rPr>
          <w:sz w:val="18"/>
          <w:szCs w:val="18"/>
        </w:rPr>
      </w:pPr>
      <w:r>
        <w:rPr>
          <w:rStyle w:val="FootnoteReference"/>
          <w:sz w:val="18"/>
          <w:szCs w:val="18"/>
        </w:rPr>
        <w:footnoteRef/>
      </w:r>
      <w:r>
        <w:rPr>
          <w:sz w:val="18"/>
        </w:rPr>
        <w:t xml:space="preserve"> Regulamentul (UE) </w:t>
      </w:r>
      <w:r w:rsidRPr="00CE3321">
        <w:rPr>
          <w:sz w:val="18"/>
        </w:rPr>
        <w:t>2019</w:t>
      </w:r>
      <w:r>
        <w:rPr>
          <w:sz w:val="18"/>
        </w:rPr>
        <w:t>/</w:t>
      </w:r>
      <w:r w:rsidRPr="00CE3321">
        <w:rPr>
          <w:sz w:val="18"/>
        </w:rPr>
        <w:t>788</w:t>
      </w:r>
      <w:r>
        <w:rPr>
          <w:sz w:val="18"/>
        </w:rPr>
        <w:t xml:space="preserve"> al Parlamentului European și al Consiliului din </w:t>
      </w:r>
      <w:r w:rsidRPr="00CE3321">
        <w:rPr>
          <w:sz w:val="18"/>
        </w:rPr>
        <w:t>17</w:t>
      </w:r>
      <w:r>
        <w:rPr>
          <w:sz w:val="18"/>
        </w:rPr>
        <w:t xml:space="preserve"> aprilie </w:t>
      </w:r>
      <w:r w:rsidRPr="00CE3321">
        <w:rPr>
          <w:sz w:val="18"/>
        </w:rPr>
        <w:t>2019</w:t>
      </w:r>
      <w:r>
        <w:rPr>
          <w:sz w:val="18"/>
        </w:rPr>
        <w:t xml:space="preserve"> privind inițiativa cetățenească europeană, JO L </w:t>
      </w:r>
      <w:r w:rsidRPr="00CE3321">
        <w:rPr>
          <w:sz w:val="18"/>
        </w:rPr>
        <w:t>130</w:t>
      </w:r>
      <w:r>
        <w:rPr>
          <w:sz w:val="18"/>
        </w:rPr>
        <w:t xml:space="preserve">, </w:t>
      </w:r>
      <w:r w:rsidRPr="00CE3321">
        <w:rPr>
          <w:sz w:val="18"/>
        </w:rPr>
        <w:t>17</w:t>
      </w:r>
      <w:r>
        <w:rPr>
          <w:sz w:val="18"/>
        </w:rPr>
        <w:t>.</w:t>
      </w:r>
      <w:r w:rsidRPr="00CE3321">
        <w:rPr>
          <w:sz w:val="18"/>
        </w:rPr>
        <w:t>5</w:t>
      </w:r>
      <w:r>
        <w:rPr>
          <w:sz w:val="18"/>
        </w:rPr>
        <w:t>.</w:t>
      </w:r>
      <w:r w:rsidRPr="00CE3321">
        <w:rPr>
          <w:sz w:val="18"/>
        </w:rPr>
        <w:t>2019</w:t>
      </w:r>
      <w:r>
        <w:rPr>
          <w:sz w:val="18"/>
        </w:rPr>
        <w:t>, p. </w:t>
      </w:r>
      <w:r w:rsidRPr="00CE3321">
        <w:rPr>
          <w:sz w:val="18"/>
        </w:rPr>
        <w:t>55</w:t>
      </w:r>
      <w:r>
        <w:rPr>
          <w:sz w:val="18"/>
        </w:rPr>
        <w:t>.</w:t>
      </w:r>
    </w:p>
  </w:footnote>
  <w:footnote w:id="3">
    <w:p w14:paraId="67D9D030" w14:textId="77777777" w:rsidR="00E83404" w:rsidRPr="007A0D22" w:rsidRDefault="00E83404" w:rsidP="00C91D37">
      <w:pPr>
        <w:pStyle w:val="FootnoteText"/>
        <w:keepLines/>
        <w:jc w:val="both"/>
        <w:rPr>
          <w:sz w:val="18"/>
          <w:szCs w:val="18"/>
        </w:rPr>
      </w:pPr>
      <w:r>
        <w:rPr>
          <w:rStyle w:val="FootnoteReference"/>
          <w:sz w:val="18"/>
          <w:szCs w:val="18"/>
        </w:rPr>
        <w:footnoteRef/>
      </w:r>
      <w:r>
        <w:rPr>
          <w:sz w:val="18"/>
        </w:rPr>
        <w:t xml:space="preserve"> Decizia de punere în aplicare (UE) </w:t>
      </w:r>
      <w:r w:rsidRPr="00CE3321">
        <w:rPr>
          <w:sz w:val="18"/>
        </w:rPr>
        <w:t>2024</w:t>
      </w:r>
      <w:r>
        <w:rPr>
          <w:sz w:val="18"/>
        </w:rPr>
        <w:t>/</w:t>
      </w:r>
      <w:r w:rsidRPr="00CE3321">
        <w:rPr>
          <w:sz w:val="18"/>
        </w:rPr>
        <w:t>1824</w:t>
      </w:r>
      <w:r>
        <w:rPr>
          <w:sz w:val="18"/>
        </w:rPr>
        <w:t xml:space="preserve"> a Comisiei din </w:t>
      </w:r>
      <w:r w:rsidRPr="00CE3321">
        <w:rPr>
          <w:sz w:val="18"/>
        </w:rPr>
        <w:t>19</w:t>
      </w:r>
      <w:r>
        <w:rPr>
          <w:sz w:val="18"/>
        </w:rPr>
        <w:t xml:space="preserve"> iunie </w:t>
      </w:r>
      <w:r w:rsidRPr="00CE3321">
        <w:rPr>
          <w:sz w:val="18"/>
        </w:rPr>
        <w:t>2024</w:t>
      </w:r>
      <w:r>
        <w:rPr>
          <w:sz w:val="18"/>
        </w:rPr>
        <w:t xml:space="preserve"> privind cererea de înregistrare, în temeiul Regulamentului (UE) </w:t>
      </w:r>
      <w:r w:rsidRPr="00CE3321">
        <w:rPr>
          <w:sz w:val="18"/>
        </w:rPr>
        <w:t>2019</w:t>
      </w:r>
      <w:r>
        <w:rPr>
          <w:sz w:val="18"/>
        </w:rPr>
        <w:t>/</w:t>
      </w:r>
      <w:r w:rsidRPr="00CE3321">
        <w:rPr>
          <w:sz w:val="18"/>
        </w:rPr>
        <w:t>788</w:t>
      </w:r>
      <w:r>
        <w:rPr>
          <w:sz w:val="18"/>
        </w:rPr>
        <w:t xml:space="preserve"> al Parlamentului European și al Consiliului, a inițiativei cetățenești europene intitulate „Stop Destroying Videogames” („Stop distrugerii jocurilor video!”), JO L, </w:t>
      </w:r>
      <w:r w:rsidRPr="00CE3321">
        <w:rPr>
          <w:sz w:val="18"/>
        </w:rPr>
        <w:t>2024</w:t>
      </w:r>
      <w:r>
        <w:rPr>
          <w:sz w:val="18"/>
        </w:rPr>
        <w:t>/</w:t>
      </w:r>
      <w:r w:rsidRPr="00CE3321">
        <w:rPr>
          <w:sz w:val="18"/>
        </w:rPr>
        <w:t>1824</w:t>
      </w:r>
      <w:r>
        <w:rPr>
          <w:sz w:val="18"/>
        </w:rPr>
        <w:t xml:space="preserve">, </w:t>
      </w:r>
      <w:r w:rsidRPr="00CE3321">
        <w:rPr>
          <w:sz w:val="18"/>
        </w:rPr>
        <w:t>28</w:t>
      </w:r>
      <w:r>
        <w:rPr>
          <w:sz w:val="18"/>
        </w:rPr>
        <w:t>.</w:t>
      </w:r>
      <w:r w:rsidRPr="00CE3321">
        <w:rPr>
          <w:sz w:val="18"/>
        </w:rPr>
        <w:t>6</w:t>
      </w:r>
      <w:r>
        <w:rPr>
          <w:sz w:val="18"/>
        </w:rPr>
        <w:t>.</w:t>
      </w:r>
      <w:r w:rsidRPr="00CE3321">
        <w:rPr>
          <w:sz w:val="18"/>
        </w:rPr>
        <w:t>2024</w:t>
      </w:r>
      <w:r>
        <w:rPr>
          <w:sz w:val="18"/>
        </w:rPr>
        <w:t xml:space="preserve">, ELI: </w:t>
      </w:r>
      <w:hyperlink r:id="rId1">
        <w:r>
          <w:rPr>
            <w:rStyle w:val="Hyperlink"/>
            <w:sz w:val="18"/>
          </w:rPr>
          <w:t>https://eur-lex.europa.eu/legal-content/RO/TXT/?uri=CELEX%</w:t>
        </w:r>
        <w:r w:rsidRPr="00CE3321">
          <w:rPr>
            <w:rStyle w:val="Hyperlink"/>
            <w:sz w:val="18"/>
          </w:rPr>
          <w:t>3</w:t>
        </w:r>
        <w:r>
          <w:rPr>
            <w:rStyle w:val="Hyperlink"/>
            <w:sz w:val="18"/>
          </w:rPr>
          <w:t>A</w:t>
        </w:r>
        <w:r w:rsidRPr="00CE3321">
          <w:rPr>
            <w:rStyle w:val="Hyperlink"/>
            <w:sz w:val="18"/>
          </w:rPr>
          <w:t>32024</w:t>
        </w:r>
        <w:r>
          <w:rPr>
            <w:rStyle w:val="Hyperlink"/>
            <w:sz w:val="18"/>
          </w:rPr>
          <w:t>D</w:t>
        </w:r>
        <w:r w:rsidRPr="00CE3321">
          <w:rPr>
            <w:rStyle w:val="Hyperlink"/>
            <w:sz w:val="18"/>
          </w:rPr>
          <w:t>1824</w:t>
        </w:r>
      </w:hyperlink>
      <w:r>
        <w:rPr>
          <w:sz w:val="18"/>
        </w:rPr>
        <w:t>.</w:t>
      </w:r>
    </w:p>
  </w:footnote>
  <w:footnote w:id="4">
    <w:p w14:paraId="2A14B115" w14:textId="77777777" w:rsidR="5D975B7C" w:rsidRPr="007A0D22" w:rsidRDefault="5D975B7C" w:rsidP="5D975B7C">
      <w:pPr>
        <w:pStyle w:val="FootnoteText"/>
        <w:keepLines/>
        <w:rPr>
          <w:sz w:val="18"/>
          <w:szCs w:val="18"/>
        </w:rPr>
      </w:pPr>
      <w:r>
        <w:rPr>
          <w:rStyle w:val="FootnoteReference"/>
          <w:sz w:val="18"/>
          <w:szCs w:val="18"/>
        </w:rPr>
        <w:footnoteRef/>
      </w:r>
      <w:r>
        <w:rPr>
          <w:sz w:val="18"/>
        </w:rPr>
        <w:t xml:space="preserve"> Comunicare a Comisiei către Parlamentul european, Consiliu, Comitetul Economic și Social European și Comitetul Regiunilor - Agenda </w:t>
      </w:r>
      <w:r w:rsidRPr="00CE3321">
        <w:rPr>
          <w:sz w:val="18"/>
        </w:rPr>
        <w:t>2030</w:t>
      </w:r>
      <w:r>
        <w:rPr>
          <w:sz w:val="18"/>
        </w:rPr>
        <w:t xml:space="preserve"> pentru protecția consumatorilor și planul de acțiune pentru consumatori în cadrul pieței unice „Un nou impuls pentru protecția consumatorilor, competitivitate și creștere durabilă”, COM(</w:t>
      </w:r>
      <w:r w:rsidRPr="00CE3321">
        <w:rPr>
          <w:sz w:val="18"/>
        </w:rPr>
        <w:t>2025</w:t>
      </w:r>
      <w:r>
        <w:rPr>
          <w:sz w:val="18"/>
        </w:rPr>
        <w:t xml:space="preserve">) </w:t>
      </w:r>
      <w:r w:rsidRPr="00CE3321">
        <w:rPr>
          <w:sz w:val="18"/>
        </w:rPr>
        <w:t>848</w:t>
      </w:r>
      <w:r>
        <w:rPr>
          <w:sz w:val="18"/>
        </w:rPr>
        <w:t xml:space="preserve"> final.</w:t>
      </w:r>
    </w:p>
  </w:footnote>
  <w:footnote w:id="5">
    <w:p w14:paraId="76DA3ED4" w14:textId="77777777" w:rsidR="0034627C" w:rsidRPr="007A0D22" w:rsidRDefault="0034627C" w:rsidP="00C91D37">
      <w:pPr>
        <w:pStyle w:val="FootnoteText"/>
        <w:keepLines/>
        <w:rPr>
          <w:sz w:val="18"/>
          <w:szCs w:val="18"/>
        </w:rPr>
      </w:pPr>
      <w:r>
        <w:rPr>
          <w:rStyle w:val="FootnoteReference"/>
          <w:sz w:val="18"/>
          <w:szCs w:val="18"/>
        </w:rPr>
        <w:footnoteRef/>
      </w:r>
      <w:r>
        <w:rPr>
          <w:sz w:val="18"/>
        </w:rPr>
        <w:t xml:space="preserve"> OCDE, Recomandarea OCDE privind protecția consumatorilor în comerțul electronic (actualizată) și lucrările conexe ale OCDE privind protecția digitală a consumatorilor, </w:t>
      </w:r>
      <w:r w:rsidRPr="00CE3321">
        <w:rPr>
          <w:sz w:val="18"/>
        </w:rPr>
        <w:t>2016</w:t>
      </w:r>
      <w:r>
        <w:rPr>
          <w:sz w:val="18"/>
        </w:rPr>
        <w:t xml:space="preserve">, </w:t>
      </w:r>
      <w:hyperlink r:id="rId2" w:history="1">
        <w:r>
          <w:rPr>
            <w:rStyle w:val="Hyperlink"/>
            <w:sz w:val="18"/>
          </w:rPr>
          <w:t>https://www.oecd.org/sti/consumer/ECommerce-Recommendation-</w:t>
        </w:r>
        <w:r w:rsidRPr="00CE3321">
          <w:rPr>
            <w:rStyle w:val="Hyperlink"/>
            <w:sz w:val="18"/>
          </w:rPr>
          <w:t>2016</w:t>
        </w:r>
        <w:r>
          <w:rPr>
            <w:rStyle w:val="Hyperlink"/>
            <w:sz w:val="18"/>
          </w:rPr>
          <w:t>.pdf</w:t>
        </w:r>
      </w:hyperlink>
      <w:r>
        <w:rPr>
          <w:sz w:val="18"/>
        </w:rPr>
        <w:t xml:space="preserve"> </w:t>
      </w:r>
      <w:hyperlink r:id="rId3" w:history="1">
        <w:r>
          <w:rPr>
            <w:rStyle w:val="Hyperlink"/>
            <w:sz w:val="18"/>
          </w:rPr>
          <w:t>https://www.oecd.org/content/dam/oecd/en/publications/reports/</w:t>
        </w:r>
        <w:r w:rsidRPr="00CE3321">
          <w:rPr>
            <w:rStyle w:val="Hyperlink"/>
            <w:sz w:val="18"/>
          </w:rPr>
          <w:t>2016</w:t>
        </w:r>
        <w:r>
          <w:rPr>
            <w:rStyle w:val="Hyperlink"/>
            <w:sz w:val="18"/>
          </w:rPr>
          <w:t>/</w:t>
        </w:r>
        <w:r w:rsidRPr="00CE3321">
          <w:rPr>
            <w:rStyle w:val="Hyperlink"/>
            <w:sz w:val="18"/>
          </w:rPr>
          <w:t>05</w:t>
        </w:r>
        <w:r>
          <w:rPr>
            <w:rStyle w:val="Hyperlink"/>
            <w:sz w:val="18"/>
          </w:rPr>
          <w:t>/oecd-recommendation-of-the-council-on-consumer-protection-in-e-commerce_g</w:t>
        </w:r>
        <w:r w:rsidRPr="00CE3321">
          <w:rPr>
            <w:rStyle w:val="Hyperlink"/>
            <w:sz w:val="18"/>
          </w:rPr>
          <w:t>1</w:t>
        </w:r>
        <w:r>
          <w:rPr>
            <w:rStyle w:val="Hyperlink"/>
            <w:sz w:val="18"/>
          </w:rPr>
          <w:t>g</w:t>
        </w:r>
        <w:r w:rsidRPr="00CE3321">
          <w:rPr>
            <w:rStyle w:val="Hyperlink"/>
            <w:sz w:val="18"/>
          </w:rPr>
          <w:t>66</w:t>
        </w:r>
        <w:r>
          <w:rPr>
            <w:rStyle w:val="Hyperlink"/>
            <w:sz w:val="18"/>
          </w:rPr>
          <w:t>e</w:t>
        </w:r>
        <w:r w:rsidRPr="00CE3321">
          <w:rPr>
            <w:rStyle w:val="Hyperlink"/>
            <w:sz w:val="18"/>
          </w:rPr>
          <w:t>4</w:t>
        </w:r>
        <w:r>
          <w:rPr>
            <w:rStyle w:val="Hyperlink"/>
            <w:sz w:val="18"/>
          </w:rPr>
          <w:t>e/</w:t>
        </w:r>
        <w:r w:rsidRPr="00CE3321">
          <w:rPr>
            <w:rStyle w:val="Hyperlink"/>
            <w:sz w:val="18"/>
          </w:rPr>
          <w:t>9789264255258</w:t>
        </w:r>
        <w:r>
          <w:rPr>
            <w:rStyle w:val="Hyperlink"/>
            <w:sz w:val="18"/>
          </w:rPr>
          <w:t>-en.pdf</w:t>
        </w:r>
      </w:hyperlink>
      <w:r>
        <w:t>.</w:t>
      </w:r>
      <w:r>
        <w:rPr>
          <w:sz w:val="18"/>
        </w:rPr>
        <w:t xml:space="preserve"> </w:t>
      </w:r>
    </w:p>
  </w:footnote>
  <w:footnote w:id="6">
    <w:p w14:paraId="2DA940CE" w14:textId="77777777" w:rsidR="0034627C" w:rsidRPr="007A0D22" w:rsidRDefault="0034627C" w:rsidP="00C91D37">
      <w:pPr>
        <w:pStyle w:val="FootnoteText"/>
        <w:keepLines/>
        <w:rPr>
          <w:sz w:val="18"/>
          <w:szCs w:val="18"/>
        </w:rPr>
      </w:pPr>
      <w:r>
        <w:rPr>
          <w:rStyle w:val="FootnoteReference"/>
          <w:sz w:val="18"/>
          <w:szCs w:val="18"/>
        </w:rPr>
        <w:footnoteRef/>
      </w:r>
      <w:r>
        <w:rPr>
          <w:sz w:val="18"/>
        </w:rPr>
        <w:t xml:space="preserve"> UNESCO, Re|gândirea politicilor pentru stimularea creativității: cultura - un bun public mondial, </w:t>
      </w:r>
      <w:r w:rsidRPr="00CE3321">
        <w:rPr>
          <w:sz w:val="18"/>
        </w:rPr>
        <w:t>2022</w:t>
      </w:r>
      <w:r>
        <w:rPr>
          <w:sz w:val="18"/>
        </w:rPr>
        <w:t xml:space="preserve"> (și actualizările ulterioare), </w:t>
      </w:r>
      <w:hyperlink r:id="rId4">
        <w:r>
          <w:rPr>
            <w:rStyle w:val="Hyperlink"/>
            <w:sz w:val="18"/>
          </w:rPr>
          <w:t>https://unesdoc.unesco.org/ark:/</w:t>
        </w:r>
        <w:r w:rsidRPr="00CE3321">
          <w:rPr>
            <w:rStyle w:val="Hyperlink"/>
            <w:sz w:val="18"/>
          </w:rPr>
          <w:t>48223</w:t>
        </w:r>
        <w:r>
          <w:rPr>
            <w:rStyle w:val="Hyperlink"/>
            <w:sz w:val="18"/>
          </w:rPr>
          <w:t>/pf</w:t>
        </w:r>
        <w:r w:rsidRPr="00CE3321">
          <w:rPr>
            <w:rStyle w:val="Hyperlink"/>
            <w:sz w:val="18"/>
          </w:rPr>
          <w:t>0000380479</w:t>
        </w:r>
      </w:hyperlink>
      <w:r>
        <w:rPr>
          <w:sz w:val="18"/>
        </w:rPr>
        <w:t>.</w:t>
      </w:r>
    </w:p>
  </w:footnote>
  <w:footnote w:id="7">
    <w:p w14:paraId="5127E6FE" w14:textId="77777777" w:rsidR="3551A524" w:rsidRPr="007A0D22" w:rsidRDefault="3551A524" w:rsidP="3551A524">
      <w:pPr>
        <w:pStyle w:val="FootnoteText"/>
        <w:rPr>
          <w:sz w:val="18"/>
          <w:szCs w:val="18"/>
        </w:rPr>
      </w:pPr>
      <w:r>
        <w:rPr>
          <w:rStyle w:val="FootnoteReference"/>
          <w:sz w:val="18"/>
          <w:szCs w:val="18"/>
        </w:rPr>
        <w:footnoteRef/>
      </w:r>
      <w:r>
        <w:rPr>
          <w:sz w:val="18"/>
        </w:rPr>
        <w:t xml:space="preserve"> În acest sens, a se vedea, de asemenea, Comisia Europeană: Direcția Generală Rețele de Comunicare, Conținut și Tehnologie, ECORYS și KEA, </w:t>
      </w:r>
      <w:r>
        <w:rPr>
          <w:i/>
          <w:sz w:val="18"/>
        </w:rPr>
        <w:t>Understanding the value of a European video games society – Final report</w:t>
      </w:r>
      <w:r>
        <w:rPr>
          <w:sz w:val="18"/>
        </w:rPr>
        <w:t xml:space="preserve"> (Înțelegerea valorii unei societăți europene a jocurilor video – Raport final), Oficiul pentru Publicații al Uniunii Europene, </w:t>
      </w:r>
      <w:r w:rsidRPr="00CE3321">
        <w:rPr>
          <w:sz w:val="18"/>
        </w:rPr>
        <w:t>2023</w:t>
      </w:r>
      <w:r>
        <w:rPr>
          <w:sz w:val="18"/>
        </w:rPr>
        <w:t xml:space="preserve">, </w:t>
      </w:r>
      <w:hyperlink r:id="rId5">
        <w:r>
          <w:rPr>
            <w:rStyle w:val="Hyperlink"/>
            <w:sz w:val="18"/>
          </w:rPr>
          <w:t>https://data.europa.eu/doi/</w:t>
        </w:r>
        <w:r w:rsidRPr="00CE3321">
          <w:rPr>
            <w:rStyle w:val="Hyperlink"/>
            <w:sz w:val="18"/>
          </w:rPr>
          <w:t>10</w:t>
        </w:r>
        <w:r>
          <w:rPr>
            <w:rStyle w:val="Hyperlink"/>
            <w:sz w:val="18"/>
          </w:rPr>
          <w:t>.</w:t>
        </w:r>
        <w:r w:rsidRPr="00CE3321">
          <w:rPr>
            <w:rStyle w:val="Hyperlink"/>
            <w:sz w:val="18"/>
          </w:rPr>
          <w:t>2759</w:t>
        </w:r>
        <w:r>
          <w:rPr>
            <w:rStyle w:val="Hyperlink"/>
            <w:sz w:val="18"/>
          </w:rPr>
          <w:t>/</w:t>
        </w:r>
        <w:r w:rsidRPr="00CE3321">
          <w:rPr>
            <w:rStyle w:val="Hyperlink"/>
            <w:sz w:val="18"/>
          </w:rPr>
          <w:t>332575</w:t>
        </w:r>
      </w:hyperlink>
      <w:r>
        <w:t>.</w:t>
      </w:r>
    </w:p>
  </w:footnote>
  <w:footnote w:id="8">
    <w:p w14:paraId="02D5750B" w14:textId="77777777" w:rsidR="00525EB5" w:rsidRPr="007A0D22" w:rsidRDefault="00525EB5">
      <w:pPr>
        <w:pStyle w:val="FootnoteText"/>
        <w:rPr>
          <w:sz w:val="18"/>
          <w:szCs w:val="18"/>
        </w:rPr>
      </w:pPr>
      <w:r>
        <w:rPr>
          <w:rStyle w:val="FootnoteReference"/>
          <w:sz w:val="18"/>
          <w:szCs w:val="18"/>
        </w:rPr>
        <w:footnoteRef/>
      </w:r>
      <w:r>
        <w:rPr>
          <w:sz w:val="18"/>
        </w:rPr>
        <w:t xml:space="preserve"> </w:t>
      </w:r>
      <w:hyperlink r:id="rId6" w:history="1">
        <w:r>
          <w:rPr>
            <w:rStyle w:val="Hyperlink"/>
            <w:sz w:val="18"/>
          </w:rPr>
          <w:t>Petiție adresată Parlamentului și Guvernului Regatului Unit:</w:t>
        </w:r>
      </w:hyperlink>
      <w:hyperlink r:id="rId7" w:history="1">
        <w:r>
          <w:rPr>
            <w:rStyle w:val="Hyperlink"/>
            <w:sz w:val="18"/>
          </w:rPr>
          <w:t xml:space="preserve"> Interzicerea dezactivării irevocabile de către editori a jocurilor video pe care le-au vândut deja</w:t>
        </w:r>
      </w:hyperlink>
      <w:r>
        <w:t>.</w:t>
      </w:r>
    </w:p>
  </w:footnote>
  <w:footnote w:id="9">
    <w:p w14:paraId="51F7E782" w14:textId="0545F8F9" w:rsidR="0034627C" w:rsidRPr="007A0D22" w:rsidRDefault="0034627C" w:rsidP="00C91D37">
      <w:pPr>
        <w:pStyle w:val="FootnoteText"/>
        <w:keepLines/>
        <w:rPr>
          <w:sz w:val="18"/>
          <w:szCs w:val="18"/>
        </w:rPr>
      </w:pPr>
      <w:r>
        <w:rPr>
          <w:rStyle w:val="FootnoteReference"/>
          <w:sz w:val="18"/>
          <w:szCs w:val="18"/>
        </w:rPr>
        <w:footnoteRef/>
      </w:r>
      <w:r>
        <w:rPr>
          <w:sz w:val="18"/>
        </w:rPr>
        <w:t xml:space="preserve"> Proiectul de lege nr. </w:t>
      </w:r>
      <w:r w:rsidRPr="00CE3321">
        <w:rPr>
          <w:sz w:val="18"/>
        </w:rPr>
        <w:t>2426</w:t>
      </w:r>
      <w:r>
        <w:rPr>
          <w:sz w:val="18"/>
        </w:rPr>
        <w:t xml:space="preserve"> (</w:t>
      </w:r>
      <w:r w:rsidRPr="00CE3321">
        <w:rPr>
          <w:sz w:val="18"/>
        </w:rPr>
        <w:t>2024</w:t>
      </w:r>
      <w:r>
        <w:rPr>
          <w:sz w:val="18"/>
        </w:rPr>
        <w:t xml:space="preserve">) al Adunării de Stat din California, de adăugare a secțiunii </w:t>
      </w:r>
      <w:r w:rsidRPr="00CE3321">
        <w:rPr>
          <w:sz w:val="18"/>
        </w:rPr>
        <w:t>17500</w:t>
      </w:r>
      <w:r>
        <w:rPr>
          <w:sz w:val="18"/>
        </w:rPr>
        <w:t>.</w:t>
      </w:r>
      <w:r w:rsidRPr="00CE3321">
        <w:rPr>
          <w:sz w:val="18"/>
        </w:rPr>
        <w:t>6</w:t>
      </w:r>
      <w:r>
        <w:rPr>
          <w:sz w:val="18"/>
        </w:rPr>
        <w:t xml:space="preserve"> la Codul întreprinderilor și profesiilor, cu privire la protecția consumatorilor, </w:t>
      </w:r>
      <w:hyperlink r:id="rId8" w:history="1">
        <w:r>
          <w:rPr>
            <w:rStyle w:val="Hyperlink"/>
            <w:sz w:val="18"/>
          </w:rPr>
          <w:t>https://leginfo.legislature.ca.gov/</w:t>
        </w:r>
      </w:hyperlink>
      <w:r>
        <w:rPr>
          <w:sz w:val="18"/>
        </w:rPr>
        <w:t xml:space="preserve"> https:/</w:t>
      </w:r>
      <w:hyperlink r:id="rId9" w:history="1">
        <w:r>
          <w:rPr>
            <w:rStyle w:val="Hyperlink"/>
            <w:sz w:val="18"/>
          </w:rPr>
          <w:t>/leginfo.legislature.ca.gov/faces/billNavClient.xhtml?bill_id=</w:t>
        </w:r>
        <w:r w:rsidRPr="00CE3321">
          <w:rPr>
            <w:rStyle w:val="Hyperlink"/>
            <w:sz w:val="18"/>
          </w:rPr>
          <w:t>202320240</w:t>
        </w:r>
        <w:r>
          <w:rPr>
            <w:rStyle w:val="Hyperlink"/>
            <w:sz w:val="18"/>
          </w:rPr>
          <w:t>AB</w:t>
        </w:r>
        <w:r w:rsidRPr="00CE3321">
          <w:rPr>
            <w:rStyle w:val="Hyperlink"/>
            <w:sz w:val="18"/>
          </w:rPr>
          <w:t>2426</w:t>
        </w:r>
      </w:hyperlink>
      <w:r>
        <w:rPr>
          <w:sz w:val="18"/>
        </w:rPr>
        <w:t>. În plus, legiuitorul din California are în vedere un nou proiect de lege intitulat „Protejarea jocurilor noastre” AB</w:t>
      </w:r>
      <w:r w:rsidRPr="00CE3321">
        <w:rPr>
          <w:sz w:val="18"/>
        </w:rPr>
        <w:t>1921</w:t>
      </w:r>
      <w:r>
        <w:rPr>
          <w:sz w:val="18"/>
        </w:rPr>
        <w:t xml:space="preserve">, care abordează întreruperea vânzării jocurilor video și a serviciilor post-vânzare asociate </w:t>
      </w:r>
      <w:hyperlink r:id="rId10" w:history="1">
        <w:r>
          <w:rPr>
            <w:rStyle w:val="Hyperlink"/>
            <w:sz w:val="18"/>
          </w:rPr>
          <w:t>Textul proiectului de lege - AB-</w:t>
        </w:r>
        <w:r w:rsidRPr="00CE3321">
          <w:rPr>
            <w:rStyle w:val="Hyperlink"/>
            <w:sz w:val="18"/>
          </w:rPr>
          <w:t>1921</w:t>
        </w:r>
        <w:r>
          <w:rPr>
            <w:rStyle w:val="Hyperlink"/>
            <w:sz w:val="18"/>
          </w:rPr>
          <w:t xml:space="preserve"> Jocuri digitale:</w:t>
        </w:r>
      </w:hyperlink>
      <w:hyperlink r:id="rId11" w:history="1">
        <w:r>
          <w:rPr>
            <w:rStyle w:val="Hyperlink"/>
            <w:sz w:val="18"/>
          </w:rPr>
          <w:t xml:space="preserve"> utilizare obișnuită.</w:t>
        </w:r>
      </w:hyperlink>
    </w:p>
  </w:footnote>
  <w:footnote w:id="10">
    <w:p w14:paraId="2E794F21" w14:textId="77777777" w:rsidR="002613C8" w:rsidRPr="007A0D22" w:rsidRDefault="002613C8" w:rsidP="00C91D37">
      <w:pPr>
        <w:pStyle w:val="FootnoteText"/>
        <w:keepLines/>
        <w:rPr>
          <w:sz w:val="18"/>
          <w:szCs w:val="18"/>
        </w:rPr>
      </w:pPr>
      <w:r>
        <w:rPr>
          <w:rStyle w:val="FootnoteReference"/>
          <w:sz w:val="18"/>
          <w:szCs w:val="18"/>
        </w:rPr>
        <w:footnoteRef/>
      </w:r>
      <w:r>
        <w:rPr>
          <w:sz w:val="18"/>
        </w:rPr>
        <w:t xml:space="preserve"> Directiva </w:t>
      </w:r>
      <w:r w:rsidRPr="00CE3321">
        <w:rPr>
          <w:sz w:val="18"/>
        </w:rPr>
        <w:t>2011</w:t>
      </w:r>
      <w:r>
        <w:rPr>
          <w:sz w:val="18"/>
        </w:rPr>
        <w:t>/</w:t>
      </w:r>
      <w:r w:rsidRPr="00CE3321">
        <w:rPr>
          <w:sz w:val="18"/>
        </w:rPr>
        <w:t>83</w:t>
      </w:r>
      <w:r>
        <w:rPr>
          <w:sz w:val="18"/>
        </w:rPr>
        <w:t xml:space="preserve">/UE a Parlamentului European și a Consiliului din </w:t>
      </w:r>
      <w:r w:rsidRPr="00CE3321">
        <w:rPr>
          <w:sz w:val="18"/>
        </w:rPr>
        <w:t>25</w:t>
      </w:r>
      <w:r>
        <w:rPr>
          <w:sz w:val="18"/>
        </w:rPr>
        <w:t xml:space="preserve"> octombrie </w:t>
      </w:r>
      <w:r w:rsidRPr="00CE3321">
        <w:rPr>
          <w:sz w:val="18"/>
        </w:rPr>
        <w:t>2011</w:t>
      </w:r>
      <w:r>
        <w:rPr>
          <w:sz w:val="18"/>
        </w:rPr>
        <w:t xml:space="preserve"> privind drepturile consumatorilor, de modificare a Directivei </w:t>
      </w:r>
      <w:r w:rsidRPr="00CE3321">
        <w:rPr>
          <w:sz w:val="18"/>
        </w:rPr>
        <w:t>93</w:t>
      </w:r>
      <w:r>
        <w:rPr>
          <w:sz w:val="18"/>
        </w:rPr>
        <w:t>/</w:t>
      </w:r>
      <w:r w:rsidRPr="00CE3321">
        <w:rPr>
          <w:sz w:val="18"/>
        </w:rPr>
        <w:t>13</w:t>
      </w:r>
      <w:r>
        <w:rPr>
          <w:sz w:val="18"/>
        </w:rPr>
        <w:t xml:space="preserve">/CEE a Consiliului și a Directivei </w:t>
      </w:r>
      <w:r w:rsidRPr="00CE3321">
        <w:rPr>
          <w:sz w:val="18"/>
        </w:rPr>
        <w:t>1999</w:t>
      </w:r>
      <w:r>
        <w:rPr>
          <w:sz w:val="18"/>
        </w:rPr>
        <w:t>/</w:t>
      </w:r>
      <w:r w:rsidRPr="00CE3321">
        <w:rPr>
          <w:sz w:val="18"/>
        </w:rPr>
        <w:t>44</w:t>
      </w:r>
      <w:r>
        <w:rPr>
          <w:sz w:val="18"/>
        </w:rPr>
        <w:t xml:space="preserve">/CE a Parlamentului European și a Consiliului și de abrogare a Directivei </w:t>
      </w:r>
      <w:r w:rsidRPr="00CE3321">
        <w:rPr>
          <w:sz w:val="18"/>
        </w:rPr>
        <w:t>85</w:t>
      </w:r>
      <w:r>
        <w:rPr>
          <w:sz w:val="18"/>
        </w:rPr>
        <w:t>/</w:t>
      </w:r>
      <w:r w:rsidRPr="00CE3321">
        <w:rPr>
          <w:sz w:val="18"/>
        </w:rPr>
        <w:t>577</w:t>
      </w:r>
      <w:r>
        <w:rPr>
          <w:sz w:val="18"/>
        </w:rPr>
        <w:t xml:space="preserve">/CEE a Consiliului și a Directivei </w:t>
      </w:r>
      <w:r w:rsidRPr="00CE3321">
        <w:rPr>
          <w:sz w:val="18"/>
        </w:rPr>
        <w:t>97</w:t>
      </w:r>
      <w:r>
        <w:rPr>
          <w:sz w:val="18"/>
        </w:rPr>
        <w:t>/</w:t>
      </w:r>
      <w:r w:rsidRPr="00CE3321">
        <w:rPr>
          <w:sz w:val="18"/>
        </w:rPr>
        <w:t>7</w:t>
      </w:r>
      <w:r>
        <w:rPr>
          <w:sz w:val="18"/>
        </w:rPr>
        <w:t xml:space="preserve">/CE a Parlamentului European și a Consiliului, JO L </w:t>
      </w:r>
      <w:r w:rsidRPr="00CE3321">
        <w:rPr>
          <w:sz w:val="18"/>
        </w:rPr>
        <w:t>304</w:t>
      </w:r>
      <w:r>
        <w:rPr>
          <w:sz w:val="18"/>
        </w:rPr>
        <w:t xml:space="preserve">, </w:t>
      </w:r>
      <w:r w:rsidRPr="00CE3321">
        <w:rPr>
          <w:sz w:val="18"/>
        </w:rPr>
        <w:t>22</w:t>
      </w:r>
      <w:r>
        <w:rPr>
          <w:sz w:val="18"/>
        </w:rPr>
        <w:t>.</w:t>
      </w:r>
      <w:r w:rsidRPr="00CE3321">
        <w:rPr>
          <w:sz w:val="18"/>
        </w:rPr>
        <w:t>11</w:t>
      </w:r>
      <w:r>
        <w:rPr>
          <w:sz w:val="18"/>
        </w:rPr>
        <w:t>.</w:t>
      </w:r>
      <w:r w:rsidRPr="00CE3321">
        <w:rPr>
          <w:sz w:val="18"/>
        </w:rPr>
        <w:t>2011</w:t>
      </w:r>
      <w:r>
        <w:rPr>
          <w:sz w:val="18"/>
        </w:rPr>
        <w:t>, p. </w:t>
      </w:r>
      <w:r w:rsidRPr="00CE3321">
        <w:rPr>
          <w:sz w:val="18"/>
        </w:rPr>
        <w:t>64</w:t>
      </w:r>
      <w:r>
        <w:rPr>
          <w:sz w:val="18"/>
        </w:rPr>
        <w:t>.</w:t>
      </w:r>
    </w:p>
  </w:footnote>
  <w:footnote w:id="11">
    <w:p w14:paraId="7EDD7ADA" w14:textId="4B519BC6" w:rsidR="004E41EA" w:rsidRPr="007A0D22" w:rsidRDefault="004E41EA" w:rsidP="00C91D37">
      <w:pPr>
        <w:pStyle w:val="FootnoteText"/>
        <w:keepLines/>
        <w:jc w:val="both"/>
        <w:rPr>
          <w:sz w:val="18"/>
          <w:szCs w:val="18"/>
        </w:rPr>
      </w:pPr>
      <w:r>
        <w:rPr>
          <w:rStyle w:val="FootnoteReference"/>
          <w:sz w:val="18"/>
          <w:szCs w:val="18"/>
        </w:rPr>
        <w:footnoteRef/>
      </w:r>
      <w:r>
        <w:rPr>
          <w:sz w:val="18"/>
        </w:rPr>
        <w:t xml:space="preserve"> Directiva </w:t>
      </w:r>
      <w:r w:rsidRPr="00CE3321">
        <w:rPr>
          <w:sz w:val="18"/>
        </w:rPr>
        <w:t>2005</w:t>
      </w:r>
      <w:r>
        <w:rPr>
          <w:sz w:val="18"/>
        </w:rPr>
        <w:t>/</w:t>
      </w:r>
      <w:r w:rsidRPr="00CE3321">
        <w:rPr>
          <w:sz w:val="18"/>
        </w:rPr>
        <w:t>29</w:t>
      </w:r>
      <w:r>
        <w:rPr>
          <w:sz w:val="18"/>
        </w:rPr>
        <w:t xml:space="preserve">/CE a Parlamentului European și a Consiliului din </w:t>
      </w:r>
      <w:r w:rsidRPr="00CE3321">
        <w:rPr>
          <w:sz w:val="18"/>
        </w:rPr>
        <w:t>11</w:t>
      </w:r>
      <w:r>
        <w:rPr>
          <w:sz w:val="18"/>
        </w:rPr>
        <w:t xml:space="preserve"> mai </w:t>
      </w:r>
      <w:r w:rsidRPr="00CE3321">
        <w:rPr>
          <w:sz w:val="18"/>
        </w:rPr>
        <w:t>2005</w:t>
      </w:r>
      <w:r>
        <w:rPr>
          <w:sz w:val="18"/>
        </w:rPr>
        <w:t xml:space="preserve"> privind practicile comerciale neloiale ale întreprinderilor de pe piața internă față de consumatori și de modificare a Directivei </w:t>
      </w:r>
      <w:r w:rsidRPr="00CE3321">
        <w:rPr>
          <w:sz w:val="18"/>
        </w:rPr>
        <w:t>84</w:t>
      </w:r>
      <w:r>
        <w:rPr>
          <w:sz w:val="18"/>
        </w:rPr>
        <w:t>/</w:t>
      </w:r>
      <w:r w:rsidRPr="00CE3321">
        <w:rPr>
          <w:sz w:val="18"/>
        </w:rPr>
        <w:t>450</w:t>
      </w:r>
      <w:r>
        <w:rPr>
          <w:sz w:val="18"/>
        </w:rPr>
        <w:t>/CEE a Consiliului, a Directivelor</w:t>
      </w:r>
      <w:r w:rsidR="00CA2697">
        <w:rPr>
          <w:sz w:val="18"/>
        </w:rPr>
        <w:t> </w:t>
      </w:r>
      <w:r w:rsidRPr="00CE3321">
        <w:rPr>
          <w:sz w:val="18"/>
        </w:rPr>
        <w:t>97</w:t>
      </w:r>
      <w:r>
        <w:rPr>
          <w:sz w:val="18"/>
        </w:rPr>
        <w:t>/</w:t>
      </w:r>
      <w:r w:rsidRPr="00CE3321">
        <w:rPr>
          <w:sz w:val="18"/>
        </w:rPr>
        <w:t>7</w:t>
      </w:r>
      <w:r>
        <w:rPr>
          <w:sz w:val="18"/>
        </w:rPr>
        <w:t xml:space="preserve">/CE, </w:t>
      </w:r>
      <w:r w:rsidRPr="00CE3321">
        <w:rPr>
          <w:sz w:val="18"/>
        </w:rPr>
        <w:t>98</w:t>
      </w:r>
      <w:r>
        <w:rPr>
          <w:sz w:val="18"/>
        </w:rPr>
        <w:t>/</w:t>
      </w:r>
      <w:r w:rsidRPr="00CE3321">
        <w:rPr>
          <w:sz w:val="18"/>
        </w:rPr>
        <w:t>27</w:t>
      </w:r>
      <w:r>
        <w:rPr>
          <w:sz w:val="18"/>
        </w:rPr>
        <w:t xml:space="preserve">/CE și </w:t>
      </w:r>
      <w:r w:rsidRPr="00CE3321">
        <w:rPr>
          <w:sz w:val="18"/>
        </w:rPr>
        <w:t>2002</w:t>
      </w:r>
      <w:r>
        <w:rPr>
          <w:sz w:val="18"/>
        </w:rPr>
        <w:t>/</w:t>
      </w:r>
      <w:r w:rsidRPr="00CE3321">
        <w:rPr>
          <w:sz w:val="18"/>
        </w:rPr>
        <w:t>65</w:t>
      </w:r>
      <w:r>
        <w:rPr>
          <w:sz w:val="18"/>
        </w:rPr>
        <w:t xml:space="preserve">/CE ale Parlamentului European și ale Consiliului și a Regulamentului (CE) </w:t>
      </w:r>
      <w:r w:rsidRPr="00CE3321">
        <w:rPr>
          <w:sz w:val="18"/>
        </w:rPr>
        <w:t>2006</w:t>
      </w:r>
      <w:r>
        <w:rPr>
          <w:sz w:val="18"/>
        </w:rPr>
        <w:t>/</w:t>
      </w:r>
      <w:r w:rsidRPr="00CE3321">
        <w:rPr>
          <w:sz w:val="18"/>
        </w:rPr>
        <w:t>2004</w:t>
      </w:r>
      <w:r>
        <w:rPr>
          <w:sz w:val="18"/>
        </w:rPr>
        <w:t xml:space="preserve"> al Parlamentului European și al Consiliului, JO L </w:t>
      </w:r>
      <w:r w:rsidRPr="00CE3321">
        <w:rPr>
          <w:sz w:val="18"/>
        </w:rPr>
        <w:t>149</w:t>
      </w:r>
      <w:r>
        <w:rPr>
          <w:sz w:val="18"/>
        </w:rPr>
        <w:t xml:space="preserve">, </w:t>
      </w:r>
      <w:r w:rsidRPr="00CE3321">
        <w:rPr>
          <w:sz w:val="18"/>
        </w:rPr>
        <w:t>11</w:t>
      </w:r>
      <w:r>
        <w:rPr>
          <w:sz w:val="18"/>
        </w:rPr>
        <w:t>.</w:t>
      </w:r>
      <w:r w:rsidRPr="00CE3321">
        <w:rPr>
          <w:sz w:val="18"/>
        </w:rPr>
        <w:t>6</w:t>
      </w:r>
      <w:r>
        <w:rPr>
          <w:sz w:val="18"/>
        </w:rPr>
        <w:t>.</w:t>
      </w:r>
      <w:r w:rsidRPr="00CE3321">
        <w:rPr>
          <w:sz w:val="18"/>
        </w:rPr>
        <w:t>2005</w:t>
      </w:r>
      <w:r>
        <w:rPr>
          <w:sz w:val="18"/>
        </w:rPr>
        <w:t>, p. </w:t>
      </w:r>
      <w:r w:rsidRPr="00CE3321">
        <w:rPr>
          <w:sz w:val="18"/>
        </w:rPr>
        <w:t>22</w:t>
      </w:r>
      <w:r>
        <w:rPr>
          <w:sz w:val="18"/>
        </w:rPr>
        <w:t>.</w:t>
      </w:r>
    </w:p>
  </w:footnote>
  <w:footnote w:id="12">
    <w:p w14:paraId="11BF038B" w14:textId="77777777" w:rsidR="6A4D87F8" w:rsidRPr="007A0D22" w:rsidRDefault="6A4D87F8" w:rsidP="00C91D37">
      <w:pPr>
        <w:pStyle w:val="FootnoteText"/>
        <w:keepLines/>
        <w:jc w:val="both"/>
        <w:rPr>
          <w:sz w:val="18"/>
          <w:szCs w:val="18"/>
        </w:rPr>
      </w:pPr>
      <w:r>
        <w:rPr>
          <w:rStyle w:val="FootnoteReference"/>
          <w:sz w:val="18"/>
          <w:szCs w:val="18"/>
        </w:rPr>
        <w:footnoteRef/>
      </w:r>
      <w:r>
        <w:rPr>
          <w:sz w:val="18"/>
        </w:rPr>
        <w:t xml:space="preserve"> Directiva </w:t>
      </w:r>
      <w:r w:rsidRPr="00CE3321">
        <w:rPr>
          <w:sz w:val="18"/>
        </w:rPr>
        <w:t>93</w:t>
      </w:r>
      <w:r>
        <w:rPr>
          <w:sz w:val="18"/>
        </w:rPr>
        <w:t>/</w:t>
      </w:r>
      <w:r w:rsidRPr="00CE3321">
        <w:rPr>
          <w:sz w:val="18"/>
        </w:rPr>
        <w:t>13</w:t>
      </w:r>
      <w:r>
        <w:rPr>
          <w:sz w:val="18"/>
        </w:rPr>
        <w:t xml:space="preserve">/CEE a Consiliului din </w:t>
      </w:r>
      <w:r w:rsidRPr="00CE3321">
        <w:rPr>
          <w:sz w:val="18"/>
        </w:rPr>
        <w:t>5</w:t>
      </w:r>
      <w:r>
        <w:rPr>
          <w:sz w:val="18"/>
        </w:rPr>
        <w:t xml:space="preserve"> aprilie </w:t>
      </w:r>
      <w:r w:rsidRPr="00CE3321">
        <w:rPr>
          <w:sz w:val="18"/>
        </w:rPr>
        <w:t>1993</w:t>
      </w:r>
      <w:r>
        <w:rPr>
          <w:sz w:val="18"/>
        </w:rPr>
        <w:t xml:space="preserve"> privind clauzele abuzive în contractele încheiate cu consumatorii, JO L </w:t>
      </w:r>
      <w:r w:rsidRPr="00CE3321">
        <w:rPr>
          <w:sz w:val="18"/>
        </w:rPr>
        <w:t>95</w:t>
      </w:r>
      <w:r>
        <w:rPr>
          <w:sz w:val="18"/>
        </w:rPr>
        <w:t xml:space="preserve">, </w:t>
      </w:r>
      <w:r w:rsidRPr="00CE3321">
        <w:rPr>
          <w:sz w:val="18"/>
        </w:rPr>
        <w:t>21</w:t>
      </w:r>
      <w:r>
        <w:rPr>
          <w:sz w:val="18"/>
        </w:rPr>
        <w:t>.</w:t>
      </w:r>
      <w:r w:rsidRPr="00CE3321">
        <w:rPr>
          <w:sz w:val="18"/>
        </w:rPr>
        <w:t>4</w:t>
      </w:r>
      <w:r>
        <w:rPr>
          <w:sz w:val="18"/>
        </w:rPr>
        <w:t>.</w:t>
      </w:r>
      <w:r w:rsidRPr="00CE3321">
        <w:rPr>
          <w:sz w:val="18"/>
        </w:rPr>
        <w:t>1993</w:t>
      </w:r>
      <w:r>
        <w:rPr>
          <w:sz w:val="18"/>
        </w:rPr>
        <w:t>, p. </w:t>
      </w:r>
      <w:r w:rsidRPr="00CE3321">
        <w:rPr>
          <w:sz w:val="18"/>
        </w:rPr>
        <w:t>29</w:t>
      </w:r>
      <w:r>
        <w:rPr>
          <w:sz w:val="18"/>
        </w:rPr>
        <w:t>.</w:t>
      </w:r>
    </w:p>
  </w:footnote>
  <w:footnote w:id="13">
    <w:p w14:paraId="67F7B932" w14:textId="77777777" w:rsidR="00E64BE1" w:rsidRPr="007A0D22" w:rsidRDefault="00E64BE1" w:rsidP="00C91D37">
      <w:pPr>
        <w:pStyle w:val="FootnoteText"/>
        <w:keepLines/>
        <w:rPr>
          <w:sz w:val="18"/>
          <w:szCs w:val="18"/>
        </w:rPr>
      </w:pPr>
      <w:r>
        <w:rPr>
          <w:rStyle w:val="FootnoteReference"/>
          <w:sz w:val="18"/>
          <w:szCs w:val="18"/>
        </w:rPr>
        <w:footnoteRef/>
      </w:r>
      <w:r>
        <w:rPr>
          <w:sz w:val="18"/>
        </w:rPr>
        <w:t xml:space="preserve"> Directiva (UE) </w:t>
      </w:r>
      <w:r w:rsidRPr="00CE3321">
        <w:rPr>
          <w:sz w:val="18"/>
        </w:rPr>
        <w:t>2019</w:t>
      </w:r>
      <w:r>
        <w:rPr>
          <w:sz w:val="18"/>
        </w:rPr>
        <w:t>/</w:t>
      </w:r>
      <w:r w:rsidRPr="00CE3321">
        <w:rPr>
          <w:sz w:val="18"/>
        </w:rPr>
        <w:t>770</w:t>
      </w:r>
      <w:r>
        <w:rPr>
          <w:sz w:val="18"/>
        </w:rPr>
        <w:t xml:space="preserve"> a Parlamentului European și a Consiliului din </w:t>
      </w:r>
      <w:r w:rsidRPr="00CE3321">
        <w:rPr>
          <w:sz w:val="18"/>
        </w:rPr>
        <w:t>20</w:t>
      </w:r>
      <w:r>
        <w:rPr>
          <w:sz w:val="18"/>
        </w:rPr>
        <w:t xml:space="preserve"> mai </w:t>
      </w:r>
      <w:r w:rsidRPr="00CE3321">
        <w:rPr>
          <w:sz w:val="18"/>
        </w:rPr>
        <w:t>2019</w:t>
      </w:r>
      <w:r>
        <w:rPr>
          <w:sz w:val="18"/>
        </w:rPr>
        <w:t xml:space="preserve"> privind anumite aspecte referitoare la contractele de furnizare de conținut digital și de servicii digitale, JO L </w:t>
      </w:r>
      <w:r w:rsidRPr="00CE3321">
        <w:rPr>
          <w:sz w:val="18"/>
        </w:rPr>
        <w:t>136</w:t>
      </w:r>
      <w:r>
        <w:rPr>
          <w:sz w:val="18"/>
        </w:rPr>
        <w:t xml:space="preserve">, </w:t>
      </w:r>
      <w:r w:rsidRPr="00CE3321">
        <w:rPr>
          <w:sz w:val="18"/>
        </w:rPr>
        <w:t>22</w:t>
      </w:r>
      <w:r>
        <w:rPr>
          <w:sz w:val="18"/>
        </w:rPr>
        <w:t>.</w:t>
      </w:r>
      <w:r w:rsidRPr="00CE3321">
        <w:rPr>
          <w:sz w:val="18"/>
        </w:rPr>
        <w:t>5</w:t>
      </w:r>
      <w:r>
        <w:rPr>
          <w:sz w:val="18"/>
        </w:rPr>
        <w:t>.</w:t>
      </w:r>
      <w:r w:rsidRPr="00CE3321">
        <w:rPr>
          <w:sz w:val="18"/>
        </w:rPr>
        <w:t>2019</w:t>
      </w:r>
      <w:r>
        <w:rPr>
          <w:sz w:val="18"/>
        </w:rPr>
        <w:t>, p. </w:t>
      </w:r>
      <w:r w:rsidRPr="00CE3321">
        <w:rPr>
          <w:sz w:val="18"/>
        </w:rPr>
        <w:t>1</w:t>
      </w:r>
      <w:r>
        <w:rPr>
          <w:sz w:val="18"/>
        </w:rPr>
        <w:t>.</w:t>
      </w:r>
    </w:p>
  </w:footnote>
  <w:footnote w:id="14">
    <w:p w14:paraId="25889ADE" w14:textId="77777777" w:rsidR="6A4D87F8" w:rsidRPr="007A0D22" w:rsidRDefault="6A4D87F8" w:rsidP="00C91D37">
      <w:pPr>
        <w:pStyle w:val="FootnoteText"/>
        <w:keepLines/>
        <w:rPr>
          <w:sz w:val="18"/>
          <w:szCs w:val="18"/>
        </w:rPr>
      </w:pPr>
      <w:r>
        <w:rPr>
          <w:rStyle w:val="FootnoteReference"/>
          <w:sz w:val="18"/>
          <w:szCs w:val="18"/>
        </w:rPr>
        <w:footnoteRef/>
      </w:r>
      <w:r>
        <w:rPr>
          <w:sz w:val="18"/>
        </w:rPr>
        <w:t xml:space="preserve"> A se vedea, de exemplu, cauza C-</w:t>
      </w:r>
      <w:r w:rsidRPr="00CE3321">
        <w:rPr>
          <w:sz w:val="18"/>
        </w:rPr>
        <w:t>355</w:t>
      </w:r>
      <w:r>
        <w:rPr>
          <w:sz w:val="18"/>
        </w:rPr>
        <w:t>/</w:t>
      </w:r>
      <w:r w:rsidRPr="00CE3321">
        <w:rPr>
          <w:sz w:val="18"/>
        </w:rPr>
        <w:t>12</w:t>
      </w:r>
      <w:r>
        <w:rPr>
          <w:sz w:val="18"/>
        </w:rPr>
        <w:t>, Nintendo Co. Ltd și alții, ECLI:EU:C:</w:t>
      </w:r>
      <w:r w:rsidRPr="00CE3321">
        <w:rPr>
          <w:sz w:val="18"/>
        </w:rPr>
        <w:t>2014</w:t>
      </w:r>
      <w:r>
        <w:rPr>
          <w:sz w:val="18"/>
        </w:rPr>
        <w:t>:</w:t>
      </w:r>
      <w:r w:rsidRPr="00CE3321">
        <w:rPr>
          <w:sz w:val="18"/>
        </w:rPr>
        <w:t>25</w:t>
      </w:r>
      <w:r>
        <w:rPr>
          <w:sz w:val="18"/>
        </w:rPr>
        <w:t xml:space="preserve">, punctul </w:t>
      </w:r>
      <w:r w:rsidRPr="00CE3321">
        <w:rPr>
          <w:sz w:val="18"/>
        </w:rPr>
        <w:t>23</w:t>
      </w:r>
      <w:r>
        <w:rPr>
          <w:sz w:val="18"/>
        </w:rPr>
        <w:t>.</w:t>
      </w:r>
    </w:p>
  </w:footnote>
  <w:footnote w:id="15">
    <w:p w14:paraId="04A9F91D" w14:textId="77777777" w:rsidR="6A4D87F8" w:rsidRPr="007A0D22" w:rsidRDefault="6A4D87F8" w:rsidP="00C91D37">
      <w:pPr>
        <w:pStyle w:val="FootnoteText"/>
        <w:keepLines/>
        <w:jc w:val="both"/>
        <w:rPr>
          <w:sz w:val="18"/>
          <w:szCs w:val="18"/>
        </w:rPr>
      </w:pPr>
      <w:r>
        <w:rPr>
          <w:rStyle w:val="FootnoteReference"/>
          <w:sz w:val="18"/>
          <w:szCs w:val="18"/>
        </w:rPr>
        <w:footnoteRef/>
      </w:r>
      <w:r>
        <w:rPr>
          <w:sz w:val="18"/>
        </w:rPr>
        <w:t xml:space="preserve"> Directiva </w:t>
      </w:r>
      <w:r w:rsidRPr="00CE3321">
        <w:rPr>
          <w:sz w:val="18"/>
        </w:rPr>
        <w:t>2009</w:t>
      </w:r>
      <w:r>
        <w:rPr>
          <w:sz w:val="18"/>
        </w:rPr>
        <w:t>/</w:t>
      </w:r>
      <w:r w:rsidRPr="00CE3321">
        <w:rPr>
          <w:sz w:val="18"/>
        </w:rPr>
        <w:t>24</w:t>
      </w:r>
      <w:r>
        <w:rPr>
          <w:sz w:val="18"/>
        </w:rPr>
        <w:t xml:space="preserve">/CE a Parlamentului European și a Consiliului din </w:t>
      </w:r>
      <w:r w:rsidRPr="00CE3321">
        <w:rPr>
          <w:sz w:val="18"/>
        </w:rPr>
        <w:t>23</w:t>
      </w:r>
      <w:r>
        <w:rPr>
          <w:sz w:val="18"/>
        </w:rPr>
        <w:t xml:space="preserve"> aprilie </w:t>
      </w:r>
      <w:r w:rsidRPr="00CE3321">
        <w:rPr>
          <w:sz w:val="18"/>
        </w:rPr>
        <w:t>2009</w:t>
      </w:r>
      <w:r>
        <w:rPr>
          <w:sz w:val="18"/>
        </w:rPr>
        <w:t xml:space="preserve"> privind protecția juridică a programelor pentru calculator (JO L </w:t>
      </w:r>
      <w:r w:rsidRPr="00CE3321">
        <w:rPr>
          <w:sz w:val="18"/>
        </w:rPr>
        <w:t>111</w:t>
      </w:r>
      <w:r>
        <w:rPr>
          <w:sz w:val="18"/>
        </w:rPr>
        <w:t xml:space="preserve">, </w:t>
      </w:r>
      <w:r w:rsidRPr="00CE3321">
        <w:rPr>
          <w:sz w:val="18"/>
        </w:rPr>
        <w:t>5</w:t>
      </w:r>
      <w:r>
        <w:rPr>
          <w:sz w:val="18"/>
        </w:rPr>
        <w:t>.</w:t>
      </w:r>
      <w:r w:rsidRPr="00CE3321">
        <w:rPr>
          <w:sz w:val="18"/>
        </w:rPr>
        <w:t>5</w:t>
      </w:r>
      <w:r>
        <w:rPr>
          <w:sz w:val="18"/>
        </w:rPr>
        <w:t>.</w:t>
      </w:r>
      <w:r w:rsidRPr="00CE3321">
        <w:rPr>
          <w:sz w:val="18"/>
        </w:rPr>
        <w:t>2009</w:t>
      </w:r>
      <w:r>
        <w:rPr>
          <w:sz w:val="18"/>
        </w:rPr>
        <w:t>, p. </w:t>
      </w:r>
      <w:r w:rsidRPr="00CE3321">
        <w:rPr>
          <w:sz w:val="18"/>
        </w:rPr>
        <w:t>16</w:t>
      </w:r>
      <w:r>
        <w:rPr>
          <w:sz w:val="18"/>
        </w:rPr>
        <w:t>).</w:t>
      </w:r>
    </w:p>
  </w:footnote>
  <w:footnote w:id="16">
    <w:p w14:paraId="07C6856F" w14:textId="77777777" w:rsidR="6A4D87F8" w:rsidRPr="007A0D22" w:rsidRDefault="6A4D87F8" w:rsidP="00C91D37">
      <w:pPr>
        <w:pStyle w:val="FootnoteText"/>
        <w:keepLines/>
        <w:rPr>
          <w:sz w:val="18"/>
          <w:szCs w:val="18"/>
        </w:rPr>
      </w:pPr>
      <w:r>
        <w:rPr>
          <w:rStyle w:val="FootnoteReference"/>
          <w:sz w:val="18"/>
          <w:szCs w:val="18"/>
        </w:rPr>
        <w:footnoteRef/>
      </w:r>
      <w:r>
        <w:rPr>
          <w:sz w:val="18"/>
        </w:rPr>
        <w:t xml:space="preserve"> Directiva </w:t>
      </w:r>
      <w:r w:rsidRPr="00CE3321">
        <w:rPr>
          <w:sz w:val="18"/>
        </w:rPr>
        <w:t>2001</w:t>
      </w:r>
      <w:r>
        <w:rPr>
          <w:sz w:val="18"/>
        </w:rPr>
        <w:t>/</w:t>
      </w:r>
      <w:r w:rsidRPr="00CE3321">
        <w:rPr>
          <w:sz w:val="18"/>
        </w:rPr>
        <w:t>29</w:t>
      </w:r>
      <w:r>
        <w:rPr>
          <w:sz w:val="18"/>
        </w:rPr>
        <w:t xml:space="preserve">/CE a Parlamentului European și a Consiliului din </w:t>
      </w:r>
      <w:r w:rsidRPr="00CE3321">
        <w:rPr>
          <w:sz w:val="18"/>
        </w:rPr>
        <w:t>22</w:t>
      </w:r>
      <w:r>
        <w:rPr>
          <w:sz w:val="18"/>
        </w:rPr>
        <w:t xml:space="preserve"> mai </w:t>
      </w:r>
      <w:r w:rsidRPr="00CE3321">
        <w:rPr>
          <w:sz w:val="18"/>
        </w:rPr>
        <w:t>2001</w:t>
      </w:r>
      <w:r>
        <w:rPr>
          <w:sz w:val="18"/>
        </w:rPr>
        <w:t xml:space="preserve"> privind armonizarea anumitor aspecte ale dreptului de autor și drepturilor conexe în societatea informațională (JO L </w:t>
      </w:r>
      <w:r w:rsidRPr="00CE3321">
        <w:rPr>
          <w:sz w:val="18"/>
        </w:rPr>
        <w:t>167</w:t>
      </w:r>
      <w:r>
        <w:rPr>
          <w:sz w:val="18"/>
        </w:rPr>
        <w:t xml:space="preserve">, </w:t>
      </w:r>
      <w:r w:rsidRPr="00CE3321">
        <w:rPr>
          <w:sz w:val="18"/>
        </w:rPr>
        <w:t>22</w:t>
      </w:r>
      <w:r>
        <w:rPr>
          <w:sz w:val="18"/>
        </w:rPr>
        <w:t>.</w:t>
      </w:r>
      <w:r w:rsidRPr="00CE3321">
        <w:rPr>
          <w:sz w:val="18"/>
        </w:rPr>
        <w:t>6</w:t>
      </w:r>
      <w:r>
        <w:rPr>
          <w:sz w:val="18"/>
        </w:rPr>
        <w:t>.</w:t>
      </w:r>
      <w:r w:rsidRPr="00CE3321">
        <w:rPr>
          <w:sz w:val="18"/>
        </w:rPr>
        <w:t>2001</w:t>
      </w:r>
      <w:r>
        <w:rPr>
          <w:sz w:val="18"/>
        </w:rPr>
        <w:t>, p. </w:t>
      </w:r>
      <w:r w:rsidRPr="00CE3321">
        <w:rPr>
          <w:sz w:val="18"/>
        </w:rPr>
        <w:t>10</w:t>
      </w:r>
      <w:r>
        <w:rPr>
          <w:sz w:val="18"/>
        </w:rPr>
        <w:t>).</w:t>
      </w:r>
    </w:p>
  </w:footnote>
  <w:footnote w:id="17">
    <w:p w14:paraId="65F9BA21" w14:textId="77777777" w:rsidR="31DBE0D6" w:rsidRPr="007A0D22" w:rsidRDefault="31DBE0D6" w:rsidP="31DBE0D6">
      <w:pPr>
        <w:pStyle w:val="FootnoteText"/>
        <w:rPr>
          <w:sz w:val="18"/>
          <w:szCs w:val="18"/>
        </w:rPr>
      </w:pPr>
      <w:r>
        <w:rPr>
          <w:rStyle w:val="FootnoteReference"/>
          <w:sz w:val="18"/>
          <w:szCs w:val="18"/>
        </w:rPr>
        <w:footnoteRef/>
      </w:r>
      <w:r>
        <w:rPr>
          <w:sz w:val="18"/>
        </w:rPr>
        <w:t xml:space="preserve"> Principiul epuizării se referă la limitele controlului titularului dreptului de autor asupra unei opere după introducerea legală a acesteia pe piață. În esență, odată ce titularul dreptului de autor a autorizat vânzarea sau distribuirea în alt mod a unei anumite copii a operei, acesta nu se mai poate prevala de dreptul său exclusiv de distribuție pentru a controla revânzarea sau distribuirea ulterioară a copiei respective. În anumite circumstanțe, principiul epuizării se poate aplica distribuției în format electronic sau digital a unui program pentru calculator; a se vedea C-</w:t>
      </w:r>
      <w:r w:rsidRPr="00CE3321">
        <w:rPr>
          <w:sz w:val="18"/>
        </w:rPr>
        <w:t>128</w:t>
      </w:r>
      <w:r>
        <w:rPr>
          <w:sz w:val="18"/>
        </w:rPr>
        <w:t>/</w:t>
      </w:r>
      <w:r w:rsidRPr="00CE3321">
        <w:rPr>
          <w:sz w:val="18"/>
        </w:rPr>
        <w:t>11</w:t>
      </w:r>
      <w:r>
        <w:rPr>
          <w:sz w:val="18"/>
        </w:rPr>
        <w:t>, Usedsoft/Oracle.</w:t>
      </w:r>
    </w:p>
  </w:footnote>
  <w:footnote w:id="18">
    <w:p w14:paraId="386676C7" w14:textId="6F2BB2E4" w:rsidR="00205E29" w:rsidRPr="007A0D22" w:rsidRDefault="00205E29">
      <w:pPr>
        <w:pStyle w:val="FootnoteText"/>
        <w:rPr>
          <w:sz w:val="18"/>
          <w:szCs w:val="18"/>
        </w:rPr>
      </w:pPr>
      <w:r>
        <w:rPr>
          <w:rStyle w:val="FootnoteReference"/>
          <w:sz w:val="18"/>
          <w:szCs w:val="18"/>
        </w:rPr>
        <w:footnoteRef/>
      </w:r>
      <w:r>
        <w:rPr>
          <w:sz w:val="18"/>
        </w:rPr>
        <w:t xml:space="preserve"> Directiva (UE) </w:t>
      </w:r>
      <w:r w:rsidRPr="00CE3321">
        <w:rPr>
          <w:sz w:val="18"/>
        </w:rPr>
        <w:t>2015</w:t>
      </w:r>
      <w:r>
        <w:rPr>
          <w:sz w:val="18"/>
        </w:rPr>
        <w:t>/</w:t>
      </w:r>
      <w:r w:rsidRPr="00CE3321">
        <w:rPr>
          <w:sz w:val="18"/>
        </w:rPr>
        <w:t>2436</w:t>
      </w:r>
      <w:r>
        <w:rPr>
          <w:sz w:val="18"/>
        </w:rPr>
        <w:t xml:space="preserve"> armonizează legislațiile naționale cu privire la mărci în toate statele membre ale UE. Regulamentul</w:t>
      </w:r>
      <w:r w:rsidR="00CA2697">
        <w:rPr>
          <w:sz w:val="18"/>
        </w:rPr>
        <w:t> </w:t>
      </w:r>
      <w:r>
        <w:rPr>
          <w:sz w:val="18"/>
        </w:rPr>
        <w:t xml:space="preserve">(UE) </w:t>
      </w:r>
      <w:r w:rsidRPr="00CE3321">
        <w:rPr>
          <w:sz w:val="18"/>
        </w:rPr>
        <w:t>2017</w:t>
      </w:r>
      <w:r>
        <w:rPr>
          <w:sz w:val="18"/>
        </w:rPr>
        <w:t>/</w:t>
      </w:r>
      <w:r w:rsidRPr="00CE3321">
        <w:rPr>
          <w:sz w:val="18"/>
        </w:rPr>
        <w:t>1001</w:t>
      </w:r>
      <w:r>
        <w:rPr>
          <w:sz w:val="18"/>
        </w:rPr>
        <w:t xml:space="preserve"> codifică și reglementează sistemul de mărci UE, care este gestionat de Oficiul Uniunii Europene pentru Proprietate Intelectuală, asigurând o protecție uniformă a mărcilor pe piața unică. Titularii drepturilor de proprietate intelectuală își pot alege strategia referitoare la proprietatea intelectuală în funcție de modelul lor de afaceri și de alți factori.</w:t>
      </w:r>
    </w:p>
  </w:footnote>
  <w:footnote w:id="19">
    <w:p w14:paraId="4DE7949F" w14:textId="77777777" w:rsidR="00205E29" w:rsidRPr="007A0D22" w:rsidRDefault="00205E29">
      <w:pPr>
        <w:pStyle w:val="FootnoteText"/>
        <w:rPr>
          <w:sz w:val="18"/>
          <w:szCs w:val="18"/>
        </w:rPr>
      </w:pPr>
      <w:r>
        <w:rPr>
          <w:rStyle w:val="FootnoteReference"/>
          <w:sz w:val="18"/>
          <w:szCs w:val="18"/>
        </w:rPr>
        <w:footnoteRef/>
      </w:r>
      <w:r>
        <w:rPr>
          <w:sz w:val="18"/>
        </w:rPr>
        <w:t xml:space="preserve"> Directiva (UE) </w:t>
      </w:r>
      <w:r w:rsidRPr="00CE3321">
        <w:rPr>
          <w:sz w:val="18"/>
        </w:rPr>
        <w:t>2024</w:t>
      </w:r>
      <w:r>
        <w:rPr>
          <w:sz w:val="18"/>
        </w:rPr>
        <w:t>/</w:t>
      </w:r>
      <w:r w:rsidRPr="00CE3321">
        <w:rPr>
          <w:sz w:val="18"/>
        </w:rPr>
        <w:t>2823</w:t>
      </w:r>
      <w:r>
        <w:rPr>
          <w:sz w:val="18"/>
        </w:rPr>
        <w:t xml:space="preserve"> armonizează legislațiile naționale privind protecția desenelor și modelelor industriale în toate statele membre ale UE, în timp ce Regulamentul (UE) </w:t>
      </w:r>
      <w:r w:rsidRPr="00CE3321">
        <w:rPr>
          <w:sz w:val="18"/>
        </w:rPr>
        <w:t>2024</w:t>
      </w:r>
      <w:r>
        <w:rPr>
          <w:sz w:val="18"/>
        </w:rPr>
        <w:t>/</w:t>
      </w:r>
      <w:r w:rsidRPr="00CE3321">
        <w:rPr>
          <w:sz w:val="18"/>
        </w:rPr>
        <w:t>2822</w:t>
      </w:r>
      <w:r>
        <w:rPr>
          <w:sz w:val="18"/>
        </w:rPr>
        <w:t xml:space="preserve"> prevede sistemul de desene și modele industriale UE.</w:t>
      </w:r>
    </w:p>
  </w:footnote>
  <w:footnote w:id="20">
    <w:p w14:paraId="483D79EB" w14:textId="77777777" w:rsidR="00CD1810" w:rsidRPr="007A0D22" w:rsidRDefault="00CD1810" w:rsidP="00C91D37">
      <w:pPr>
        <w:keepLines/>
        <w:jc w:val="both"/>
        <w:rPr>
          <w:sz w:val="18"/>
          <w:szCs w:val="18"/>
        </w:rPr>
      </w:pPr>
      <w:r>
        <w:rPr>
          <w:rStyle w:val="FootnoteReference"/>
          <w:sz w:val="18"/>
          <w:szCs w:val="18"/>
        </w:rPr>
        <w:footnoteRef/>
      </w:r>
      <w:r>
        <w:rPr>
          <w:sz w:val="18"/>
        </w:rPr>
        <w:t xml:space="preserve"> Directiva (UE) </w:t>
      </w:r>
      <w:r w:rsidRPr="00CE3321">
        <w:rPr>
          <w:sz w:val="18"/>
        </w:rPr>
        <w:t>2016</w:t>
      </w:r>
      <w:r>
        <w:rPr>
          <w:sz w:val="18"/>
        </w:rPr>
        <w:t>/</w:t>
      </w:r>
      <w:r w:rsidRPr="00CE3321">
        <w:rPr>
          <w:sz w:val="18"/>
        </w:rPr>
        <w:t>943</w:t>
      </w:r>
      <w:r>
        <w:rPr>
          <w:sz w:val="18"/>
        </w:rPr>
        <w:t xml:space="preserve"> a Parlamentului European și a Consiliului din </w:t>
      </w:r>
      <w:r w:rsidRPr="00CE3321">
        <w:rPr>
          <w:sz w:val="18"/>
        </w:rPr>
        <w:t>8</w:t>
      </w:r>
      <w:r>
        <w:rPr>
          <w:sz w:val="18"/>
        </w:rPr>
        <w:t xml:space="preserve"> iunie </w:t>
      </w:r>
      <w:r w:rsidRPr="00CE3321">
        <w:rPr>
          <w:sz w:val="18"/>
        </w:rPr>
        <w:t>2016</w:t>
      </w:r>
      <w:r>
        <w:rPr>
          <w:sz w:val="18"/>
        </w:rPr>
        <w:t xml:space="preserve"> privind protecția know-how-ului și a informațiilor de afaceri nedivulgate (secrete comerciale) împotriva dobândirii, utilizării și divulgării ilegale (JO L </w:t>
      </w:r>
      <w:r w:rsidRPr="00CE3321">
        <w:rPr>
          <w:sz w:val="18"/>
        </w:rPr>
        <w:t>157</w:t>
      </w:r>
      <w:r>
        <w:rPr>
          <w:sz w:val="18"/>
        </w:rPr>
        <w:t xml:space="preserve">, </w:t>
      </w:r>
      <w:r w:rsidRPr="00CE3321">
        <w:rPr>
          <w:sz w:val="18"/>
        </w:rPr>
        <w:t>15</w:t>
      </w:r>
      <w:r>
        <w:rPr>
          <w:sz w:val="18"/>
        </w:rPr>
        <w:t>.</w:t>
      </w:r>
      <w:r w:rsidRPr="00CE3321">
        <w:rPr>
          <w:sz w:val="18"/>
        </w:rPr>
        <w:t>6</w:t>
      </w:r>
      <w:r>
        <w:rPr>
          <w:sz w:val="18"/>
        </w:rPr>
        <w:t>.</w:t>
      </w:r>
      <w:r w:rsidRPr="00CE3321">
        <w:rPr>
          <w:sz w:val="18"/>
        </w:rPr>
        <w:t>2016</w:t>
      </w:r>
      <w:r>
        <w:rPr>
          <w:sz w:val="18"/>
        </w:rPr>
        <w:t>, p. </w:t>
      </w:r>
      <w:r w:rsidRPr="00CE3321">
        <w:rPr>
          <w:sz w:val="18"/>
        </w:rPr>
        <w:t>1</w:t>
      </w:r>
      <w:r>
        <w:rPr>
          <w:sz w:val="18"/>
        </w:rPr>
        <w:t>).</w:t>
      </w:r>
    </w:p>
  </w:footnote>
  <w:footnote w:id="21">
    <w:p w14:paraId="797B0442" w14:textId="77777777" w:rsidR="00CD1810" w:rsidRPr="007A0D22" w:rsidRDefault="00CD1810" w:rsidP="00C91D37">
      <w:pPr>
        <w:pStyle w:val="FootnoteText"/>
        <w:keepLines/>
        <w:rPr>
          <w:sz w:val="18"/>
          <w:szCs w:val="18"/>
        </w:rPr>
      </w:pPr>
      <w:r>
        <w:rPr>
          <w:rStyle w:val="FootnoteReference"/>
          <w:sz w:val="18"/>
          <w:szCs w:val="18"/>
        </w:rPr>
        <w:footnoteRef/>
      </w:r>
      <w:r>
        <w:rPr>
          <w:sz w:val="18"/>
        </w:rPr>
        <w:t xml:space="preserve"> Directiva </w:t>
      </w:r>
      <w:r w:rsidRPr="00CE3321">
        <w:rPr>
          <w:sz w:val="18"/>
        </w:rPr>
        <w:t>2004</w:t>
      </w:r>
      <w:r>
        <w:rPr>
          <w:sz w:val="18"/>
        </w:rPr>
        <w:t>/</w:t>
      </w:r>
      <w:r w:rsidRPr="00CE3321">
        <w:rPr>
          <w:sz w:val="18"/>
        </w:rPr>
        <w:t>48</w:t>
      </w:r>
      <w:r>
        <w:rPr>
          <w:sz w:val="18"/>
        </w:rPr>
        <w:t xml:space="preserve">/CE a Parlamentului European și a Consiliului din </w:t>
      </w:r>
      <w:r w:rsidRPr="00CE3321">
        <w:rPr>
          <w:sz w:val="18"/>
        </w:rPr>
        <w:t>29</w:t>
      </w:r>
      <w:r>
        <w:rPr>
          <w:sz w:val="18"/>
        </w:rPr>
        <w:t xml:space="preserve"> aprilie </w:t>
      </w:r>
      <w:r w:rsidRPr="00CE3321">
        <w:rPr>
          <w:sz w:val="18"/>
        </w:rPr>
        <w:t>2004</w:t>
      </w:r>
      <w:r>
        <w:rPr>
          <w:sz w:val="18"/>
        </w:rPr>
        <w:t xml:space="preserve"> privind respectarea drepturilor de proprietate intelectuală, JO L </w:t>
      </w:r>
      <w:r w:rsidRPr="00CE3321">
        <w:rPr>
          <w:sz w:val="18"/>
        </w:rPr>
        <w:t>157</w:t>
      </w:r>
      <w:r>
        <w:rPr>
          <w:sz w:val="18"/>
        </w:rPr>
        <w:t xml:space="preserve">, </w:t>
      </w:r>
      <w:r w:rsidRPr="00CE3321">
        <w:rPr>
          <w:sz w:val="18"/>
        </w:rPr>
        <w:t>30</w:t>
      </w:r>
      <w:r>
        <w:rPr>
          <w:sz w:val="18"/>
        </w:rPr>
        <w:t>.</w:t>
      </w:r>
      <w:r w:rsidRPr="00CE3321">
        <w:rPr>
          <w:sz w:val="18"/>
        </w:rPr>
        <w:t>4</w:t>
      </w:r>
      <w:r>
        <w:rPr>
          <w:sz w:val="18"/>
        </w:rPr>
        <w:t>.</w:t>
      </w:r>
      <w:r w:rsidRPr="00CE3321">
        <w:rPr>
          <w:sz w:val="18"/>
        </w:rPr>
        <w:t>2004</w:t>
      </w:r>
      <w:r>
        <w:rPr>
          <w:sz w:val="18"/>
        </w:rPr>
        <w:t>, p. </w:t>
      </w:r>
      <w:r w:rsidRPr="00CE3321">
        <w:rPr>
          <w:sz w:val="18"/>
        </w:rPr>
        <w:t>45</w:t>
      </w:r>
      <w:r>
        <w:rPr>
          <w:sz w:val="18"/>
        </w:rPr>
        <w:t>.</w:t>
      </w:r>
    </w:p>
  </w:footnote>
  <w:footnote w:id="22">
    <w:p w14:paraId="7F5F5AA6" w14:textId="77777777" w:rsidR="5D975B7C" w:rsidRPr="007A0D22" w:rsidRDefault="5D975B7C" w:rsidP="00525EB5">
      <w:pPr>
        <w:pStyle w:val="FootnoteText"/>
        <w:rPr>
          <w:sz w:val="18"/>
          <w:szCs w:val="18"/>
        </w:rPr>
      </w:pPr>
      <w:r>
        <w:rPr>
          <w:rStyle w:val="FootnoteReference"/>
          <w:sz w:val="18"/>
          <w:szCs w:val="18"/>
        </w:rPr>
        <w:footnoteRef/>
      </w:r>
      <w:r>
        <w:rPr>
          <w:sz w:val="18"/>
        </w:rPr>
        <w:t xml:space="preserve"> </w:t>
      </w:r>
      <w:hyperlink r:id="rId12" w:history="1">
        <w:r>
          <w:rPr>
            <w:rStyle w:val="Hyperlink"/>
            <w:sz w:val="18"/>
          </w:rPr>
          <w:t xml:space="preserve">Raportul „Perspectivele mass-mediei europene” din </w:t>
        </w:r>
        <w:r w:rsidRPr="00CE3321">
          <w:rPr>
            <w:rStyle w:val="Hyperlink"/>
            <w:sz w:val="18"/>
          </w:rPr>
          <w:t>2025</w:t>
        </w:r>
        <w:r>
          <w:rPr>
            <w:rStyle w:val="Hyperlink"/>
            <w:sz w:val="18"/>
          </w:rPr>
          <w:t>, Comisia Europeană,</w:t>
        </w:r>
      </w:hyperlink>
      <w:r>
        <w:rPr>
          <w:color w:val="000000" w:themeColor="text1"/>
          <w:sz w:val="18"/>
        </w:rPr>
        <w:t xml:space="preserve"> septembrie </w:t>
      </w:r>
      <w:r w:rsidRPr="00CE3321">
        <w:rPr>
          <w:color w:val="000000" w:themeColor="text1"/>
          <w:sz w:val="18"/>
        </w:rPr>
        <w:t>2025</w:t>
      </w:r>
      <w:r>
        <w:rPr>
          <w:color w:val="000000" w:themeColor="text1"/>
          <w:sz w:val="18"/>
        </w:rPr>
        <w:t>.</w:t>
      </w:r>
    </w:p>
  </w:footnote>
  <w:footnote w:id="23">
    <w:p w14:paraId="08258A1E" w14:textId="77777777" w:rsidR="6C7B1C0D" w:rsidRPr="007A0D22" w:rsidRDefault="6C7B1C0D" w:rsidP="00C91D37">
      <w:pPr>
        <w:pStyle w:val="FootnoteText"/>
        <w:keepLines/>
        <w:rPr>
          <w:sz w:val="18"/>
          <w:szCs w:val="18"/>
        </w:rPr>
      </w:pPr>
      <w:r>
        <w:rPr>
          <w:rStyle w:val="FootnoteReference"/>
          <w:sz w:val="18"/>
          <w:szCs w:val="18"/>
        </w:rPr>
        <w:footnoteRef/>
      </w:r>
      <w:r>
        <w:rPr>
          <w:sz w:val="18"/>
        </w:rPr>
        <w:t xml:space="preserve"> </w:t>
      </w:r>
      <w:hyperlink r:id="rId13">
        <w:r>
          <w:rPr>
            <w:rStyle w:val="Hyperlink"/>
            <w:sz w:val="18"/>
          </w:rPr>
          <w:t xml:space="preserve">Clusterul </w:t>
        </w:r>
        <w:r w:rsidRPr="00CE3321">
          <w:rPr>
            <w:rStyle w:val="Hyperlink"/>
            <w:sz w:val="18"/>
          </w:rPr>
          <w:t>2</w:t>
        </w:r>
        <w:r>
          <w:rPr>
            <w:rStyle w:val="Hyperlink"/>
            <w:sz w:val="18"/>
          </w:rPr>
          <w:t>:</w:t>
        </w:r>
      </w:hyperlink>
      <w:hyperlink r:id="rId14">
        <w:r>
          <w:rPr>
            <w:rStyle w:val="Hyperlink"/>
            <w:sz w:val="18"/>
          </w:rPr>
          <w:t xml:space="preserve"> Cultură, creativitate și societate favorabilă incluziunii - Cercetare și inovare,</w:t>
        </w:r>
      </w:hyperlink>
      <w:hyperlink r:id="rId15" w:history="1">
        <w:r>
          <w:rPr>
            <w:rStyle w:val="Hyperlink"/>
            <w:sz w:val="18"/>
          </w:rPr>
          <w:t>https://research-and-innovation.ec.europa.eu/funding/funding-opportunities/funding-programmes-and-open-calls/horizon-europe/cluster-</w:t>
        </w:r>
        <w:r w:rsidRPr="00CE3321">
          <w:rPr>
            <w:rStyle w:val="Hyperlink"/>
            <w:sz w:val="18"/>
          </w:rPr>
          <w:t>2</w:t>
        </w:r>
        <w:r>
          <w:rPr>
            <w:rStyle w:val="Hyperlink"/>
            <w:sz w:val="18"/>
          </w:rPr>
          <w:t>-culture-creativity-and-inclusive-society_en</w:t>
        </w:r>
      </w:hyperlink>
      <w:r>
        <w:t>.</w:t>
      </w:r>
    </w:p>
  </w:footnote>
  <w:footnote w:id="24">
    <w:p w14:paraId="23306576" w14:textId="77777777" w:rsidR="12352CF2" w:rsidRPr="007A0D22" w:rsidRDefault="12352CF2" w:rsidP="00C91D37">
      <w:pPr>
        <w:pStyle w:val="FootnoteText"/>
        <w:keepLines/>
        <w:rPr>
          <w:sz w:val="18"/>
          <w:szCs w:val="18"/>
        </w:rPr>
      </w:pPr>
      <w:r>
        <w:rPr>
          <w:rStyle w:val="FootnoteReference"/>
          <w:sz w:val="18"/>
          <w:szCs w:val="18"/>
        </w:rPr>
        <w:footnoteRef/>
      </w:r>
      <w:r>
        <w:rPr>
          <w:sz w:val="18"/>
        </w:rPr>
        <w:t xml:space="preserve"> Prin intermediul programului de finanțare „Europa creativă”.</w:t>
      </w:r>
    </w:p>
  </w:footnote>
  <w:footnote w:id="25">
    <w:p w14:paraId="12B11B10" w14:textId="686D2AC4" w:rsidR="12352CF2" w:rsidRPr="007A0D22" w:rsidRDefault="12352CF2" w:rsidP="00C91D37">
      <w:pPr>
        <w:keepLines/>
        <w:rPr>
          <w:rFonts w:ascii="Arial" w:eastAsia="Arial" w:hAnsi="Arial" w:cs="Arial"/>
          <w:color w:val="00002E"/>
          <w:sz w:val="18"/>
          <w:szCs w:val="18"/>
        </w:rPr>
      </w:pPr>
      <w:r>
        <w:rPr>
          <w:rStyle w:val="FootnoteReference"/>
          <w:sz w:val="18"/>
          <w:szCs w:val="18"/>
        </w:rPr>
        <w:footnoteRef/>
      </w:r>
      <w:r>
        <w:rPr>
          <w:sz w:val="18"/>
        </w:rPr>
        <w:t xml:space="preserve"> Cum ar fi MediaInvest, un instrument financiar bazat pe programele „Europa creativă” și InvestEU, </w:t>
      </w:r>
      <w:hyperlink r:id="rId16" w:history="1">
        <w:r>
          <w:rPr>
            <w:rStyle w:val="Hyperlink"/>
            <w:sz w:val="18"/>
          </w:rPr>
          <w:t>https://digital-strategy.ec.europa.eu/en/policies/mediainvest</w:t>
        </w:r>
      </w:hyperlink>
      <w:r>
        <w:t>.</w:t>
      </w:r>
      <w:r>
        <w:rPr>
          <w:sz w:val="18"/>
        </w:rPr>
        <w:t xml:space="preserve"> </w:t>
      </w:r>
    </w:p>
  </w:footnote>
  <w:footnote w:id="26">
    <w:p w14:paraId="2F67FB52" w14:textId="77777777" w:rsidR="5D975B7C" w:rsidRPr="007A0D22" w:rsidRDefault="5D975B7C" w:rsidP="5D975B7C">
      <w:pPr>
        <w:pStyle w:val="FootnoteText"/>
        <w:rPr>
          <w:sz w:val="18"/>
          <w:szCs w:val="18"/>
        </w:rPr>
      </w:pPr>
      <w:r>
        <w:rPr>
          <w:rStyle w:val="FootnoteReference"/>
          <w:sz w:val="18"/>
          <w:szCs w:val="18"/>
        </w:rPr>
        <w:footnoteRef/>
      </w:r>
      <w:r>
        <w:rPr>
          <w:sz w:val="18"/>
        </w:rPr>
        <w:t xml:space="preserve"> </w:t>
      </w:r>
      <w:hyperlink r:id="rId17">
        <w:r>
          <w:rPr>
            <w:rStyle w:val="Hyperlink"/>
            <w:sz w:val="18"/>
          </w:rPr>
          <w:t xml:space="preserve">Raportul „Perspectivele mass-mediei europene” din </w:t>
        </w:r>
        <w:r w:rsidRPr="00CE3321">
          <w:rPr>
            <w:rStyle w:val="Hyperlink"/>
            <w:sz w:val="18"/>
          </w:rPr>
          <w:t>2025</w:t>
        </w:r>
      </w:hyperlink>
      <w:r>
        <w:rPr>
          <w:sz w:val="18"/>
        </w:rPr>
        <w:t xml:space="preserve">, Comisia Europeană, septembrie </w:t>
      </w:r>
      <w:r w:rsidRPr="00CE3321">
        <w:rPr>
          <w:sz w:val="18"/>
        </w:rPr>
        <w:t>2025</w:t>
      </w:r>
      <w:r>
        <w:rPr>
          <w:sz w:val="18"/>
        </w:rPr>
        <w:t>.</w:t>
      </w:r>
    </w:p>
  </w:footnote>
  <w:footnote w:id="27">
    <w:p w14:paraId="43214FB5" w14:textId="77777777" w:rsidR="5D975B7C" w:rsidRPr="007A0D22" w:rsidRDefault="5D975B7C" w:rsidP="00525EB5">
      <w:pPr>
        <w:pStyle w:val="FootnoteText"/>
        <w:rPr>
          <w:sz w:val="18"/>
          <w:szCs w:val="18"/>
        </w:rPr>
      </w:pPr>
      <w:r>
        <w:rPr>
          <w:rStyle w:val="FootnoteReference"/>
          <w:sz w:val="18"/>
          <w:szCs w:val="18"/>
        </w:rPr>
        <w:footnoteRef/>
      </w:r>
      <w:r>
        <w:rPr>
          <w:sz w:val="18"/>
        </w:rPr>
        <w:t xml:space="preserve"> „Jocuri ca serviciu” este un model de afaceri și o practică de dezvoltare care constă în furnizarea de actualizări continue și de conținut nou pentru un joc mult timp după lansarea inițială a acestuia.</w:t>
      </w:r>
    </w:p>
  </w:footnote>
  <w:footnote w:id="28">
    <w:p w14:paraId="6FFBA134" w14:textId="77777777" w:rsidR="06D46653" w:rsidRPr="007A0D22" w:rsidRDefault="06D46653" w:rsidP="00FF18CA">
      <w:pPr>
        <w:rPr>
          <w:sz w:val="18"/>
          <w:szCs w:val="18"/>
        </w:rPr>
      </w:pPr>
      <w:r>
        <w:rPr>
          <w:rStyle w:val="FootnoteReference"/>
          <w:sz w:val="18"/>
          <w:szCs w:val="18"/>
        </w:rPr>
        <w:footnoteRef/>
      </w:r>
      <w:r>
        <w:rPr>
          <w:sz w:val="18"/>
        </w:rPr>
        <w:t xml:space="preserve"> </w:t>
      </w:r>
      <w:r>
        <w:rPr>
          <w:color w:val="000000" w:themeColor="text1"/>
          <w:sz w:val="18"/>
        </w:rPr>
        <w:t>Acest lucru este valabil în special în cazul jocurilor pentru dispozitive mobile.</w:t>
      </w:r>
    </w:p>
  </w:footnote>
  <w:footnote w:id="29">
    <w:p w14:paraId="2364288D" w14:textId="77777777" w:rsidR="12352CF2" w:rsidRPr="007A0D22" w:rsidRDefault="12352CF2" w:rsidP="00C64263">
      <w:pPr>
        <w:pStyle w:val="FootnoteText"/>
        <w:keepLines/>
        <w:rPr>
          <w:sz w:val="18"/>
          <w:szCs w:val="18"/>
        </w:rPr>
      </w:pPr>
      <w:r>
        <w:rPr>
          <w:rStyle w:val="FootnoteReference"/>
          <w:sz w:val="18"/>
          <w:szCs w:val="18"/>
        </w:rPr>
        <w:footnoteRef/>
      </w:r>
      <w:r>
        <w:rPr>
          <w:sz w:val="18"/>
        </w:rPr>
        <w:t xml:space="preserve"> Deși ICE face referire doar la „editori”, trebuie menționat faptul că și dezvoltatorii care se ocupă de întregul proces de editare a jocurilor pot decide să le dezactiveze.</w:t>
      </w:r>
    </w:p>
  </w:footnote>
  <w:footnote w:id="30">
    <w:p w14:paraId="547468FC" w14:textId="77777777" w:rsidR="12352CF2" w:rsidRPr="007A0D22" w:rsidRDefault="12352CF2" w:rsidP="00C64263">
      <w:pPr>
        <w:pStyle w:val="FootnoteText"/>
        <w:keepLines/>
        <w:rPr>
          <w:sz w:val="18"/>
          <w:szCs w:val="18"/>
        </w:rPr>
      </w:pPr>
      <w:r>
        <w:rPr>
          <w:rStyle w:val="FootnoteReference"/>
          <w:sz w:val="18"/>
          <w:szCs w:val="18"/>
        </w:rPr>
        <w:footnoteRef/>
      </w:r>
      <w:r>
        <w:rPr>
          <w:sz w:val="18"/>
        </w:rPr>
        <w:t xml:space="preserve"> Inclusiv în cazul francizelor pentru jocuri.</w:t>
      </w:r>
    </w:p>
  </w:footnote>
  <w:footnote w:id="31">
    <w:p w14:paraId="10EC7B7E" w14:textId="77777777" w:rsidR="4EED3DF1" w:rsidRPr="007A0D22" w:rsidRDefault="4EED3DF1" w:rsidP="4EED3DF1">
      <w:pPr>
        <w:pStyle w:val="FootnoteText"/>
        <w:rPr>
          <w:sz w:val="18"/>
          <w:szCs w:val="18"/>
        </w:rPr>
      </w:pPr>
      <w:r>
        <w:rPr>
          <w:rStyle w:val="FootnoteReference"/>
          <w:sz w:val="18"/>
          <w:szCs w:val="18"/>
        </w:rPr>
        <w:footnoteRef/>
      </w:r>
      <w:r>
        <w:rPr>
          <w:sz w:val="18"/>
        </w:rPr>
        <w:t xml:space="preserve"> Lista jocurilor dezactivate - Stop Killing Games Wiki. </w:t>
      </w:r>
      <w:hyperlink r:id="rId18">
        <w:r>
          <w:rPr>
            <w:rStyle w:val="Hyperlink"/>
            <w:sz w:val="18"/>
          </w:rPr>
          <w:t>https://stopkillinggames.wiki.gg/wiki/Dead_game_list</w:t>
        </w:r>
      </w:hyperlink>
      <w:r>
        <w:t>.</w:t>
      </w:r>
      <w:r>
        <w:rPr>
          <w:sz w:val="18"/>
        </w:rPr>
        <w:t xml:space="preserve"> </w:t>
      </w:r>
    </w:p>
  </w:footnote>
  <w:footnote w:id="32">
    <w:p w14:paraId="5B4A527C" w14:textId="77777777" w:rsidR="00D44DB2" w:rsidRPr="00D44DB2" w:rsidRDefault="00D44DB2">
      <w:pPr>
        <w:pStyle w:val="FootnoteText"/>
      </w:pPr>
      <w:r>
        <w:rPr>
          <w:rStyle w:val="FootnoteReference"/>
        </w:rPr>
        <w:footnoteRef/>
      </w:r>
      <w:r>
        <w:t xml:space="preserve"> </w:t>
      </w:r>
      <w:r>
        <w:rPr>
          <w:sz w:val="18"/>
        </w:rPr>
        <w:t xml:space="preserve">În cazul specific al programelor pentru calculator protejate în temeiul Directivei </w:t>
      </w:r>
      <w:r w:rsidRPr="00CE3321">
        <w:rPr>
          <w:sz w:val="18"/>
        </w:rPr>
        <w:t>2009</w:t>
      </w:r>
      <w:r>
        <w:rPr>
          <w:sz w:val="18"/>
        </w:rPr>
        <w:t>/</w:t>
      </w:r>
      <w:r w:rsidRPr="00CE3321">
        <w:rPr>
          <w:sz w:val="18"/>
        </w:rPr>
        <w:t>24</w:t>
      </w:r>
      <w:r>
        <w:rPr>
          <w:sz w:val="18"/>
        </w:rPr>
        <w:t>/CE, dobânditorii legali au anumite drepturi de utilizare care nu pot fi anulate prin contract.</w:t>
      </w:r>
    </w:p>
  </w:footnote>
  <w:footnote w:id="33">
    <w:p w14:paraId="4D4B4459" w14:textId="77777777" w:rsidR="00384DB2" w:rsidRPr="007A0D22" w:rsidRDefault="00384DB2">
      <w:pPr>
        <w:pStyle w:val="FootnoteText"/>
        <w:rPr>
          <w:sz w:val="18"/>
          <w:szCs w:val="18"/>
        </w:rPr>
      </w:pPr>
      <w:r>
        <w:rPr>
          <w:rStyle w:val="FootnoteReference"/>
          <w:sz w:val="18"/>
          <w:szCs w:val="18"/>
        </w:rPr>
        <w:footnoteRef/>
      </w:r>
      <w:r>
        <w:rPr>
          <w:sz w:val="18"/>
        </w:rPr>
        <w:t xml:space="preserve"> De exemplu, articolul </w:t>
      </w:r>
      <w:r w:rsidRPr="00CE3321">
        <w:rPr>
          <w:sz w:val="18"/>
        </w:rPr>
        <w:t>6</w:t>
      </w:r>
      <w:r>
        <w:rPr>
          <w:sz w:val="18"/>
        </w:rPr>
        <w:t xml:space="preserve"> alineatul (</w:t>
      </w:r>
      <w:r w:rsidRPr="00CE3321">
        <w:rPr>
          <w:sz w:val="18"/>
        </w:rPr>
        <w:t>1</w:t>
      </w:r>
      <w:r>
        <w:rPr>
          <w:sz w:val="18"/>
        </w:rPr>
        <w:t>) litera (o) pentru contractele la distanță, cum ar fi contractele online.</w:t>
      </w:r>
    </w:p>
  </w:footnote>
  <w:footnote w:id="34">
    <w:p w14:paraId="5B89FA59" w14:textId="77777777" w:rsidR="00F30ACA" w:rsidRPr="00AF30C2" w:rsidRDefault="00F30ACA">
      <w:pPr>
        <w:pStyle w:val="FootnoteText"/>
        <w:rPr>
          <w:sz w:val="18"/>
          <w:szCs w:val="18"/>
        </w:rPr>
      </w:pPr>
      <w:r>
        <w:rPr>
          <w:rStyle w:val="FootnoteReference"/>
          <w:sz w:val="18"/>
          <w:szCs w:val="18"/>
        </w:rPr>
        <w:footnoteRef/>
      </w:r>
      <w:r>
        <w:rPr>
          <w:sz w:val="18"/>
        </w:rPr>
        <w:t xml:space="preserve"> Articolul </w:t>
      </w:r>
      <w:r w:rsidRPr="00CE3321">
        <w:rPr>
          <w:sz w:val="18"/>
        </w:rPr>
        <w:t>6</w:t>
      </w:r>
      <w:r>
        <w:rPr>
          <w:sz w:val="18"/>
        </w:rPr>
        <w:t xml:space="preserve"> alineatul (</w:t>
      </w:r>
      <w:r w:rsidRPr="00CE3321">
        <w:rPr>
          <w:sz w:val="18"/>
        </w:rPr>
        <w:t>1</w:t>
      </w:r>
      <w:r>
        <w:rPr>
          <w:sz w:val="18"/>
        </w:rPr>
        <w:t xml:space="preserve">) litera (r) din DDC, articolul </w:t>
      </w:r>
      <w:r w:rsidRPr="00CE3321">
        <w:rPr>
          <w:sz w:val="18"/>
        </w:rPr>
        <w:t>2</w:t>
      </w:r>
      <w:r>
        <w:rPr>
          <w:sz w:val="18"/>
        </w:rPr>
        <w:t xml:space="preserve"> punctul </w:t>
      </w:r>
      <w:r w:rsidRPr="00CE3321">
        <w:rPr>
          <w:sz w:val="18"/>
        </w:rPr>
        <w:t>20</w:t>
      </w:r>
      <w:r>
        <w:rPr>
          <w:sz w:val="18"/>
        </w:rPr>
        <w:t xml:space="preserve"> din DDC și articolul </w:t>
      </w:r>
      <w:r w:rsidRPr="00CE3321">
        <w:rPr>
          <w:sz w:val="18"/>
        </w:rPr>
        <w:t>2</w:t>
      </w:r>
      <w:r>
        <w:rPr>
          <w:sz w:val="18"/>
        </w:rPr>
        <w:t xml:space="preserve"> punctul </w:t>
      </w:r>
      <w:r w:rsidRPr="00CE3321">
        <w:rPr>
          <w:sz w:val="18"/>
        </w:rPr>
        <w:t>11</w:t>
      </w:r>
      <w:r>
        <w:rPr>
          <w:sz w:val="18"/>
        </w:rPr>
        <w:t xml:space="preserve"> din DCD.</w:t>
      </w:r>
    </w:p>
  </w:footnote>
  <w:footnote w:id="35">
    <w:p w14:paraId="57561760" w14:textId="77777777" w:rsidR="00205E29" w:rsidRPr="00AF30C2" w:rsidRDefault="00205E29">
      <w:pPr>
        <w:pStyle w:val="FootnoteText"/>
        <w:rPr>
          <w:sz w:val="18"/>
          <w:szCs w:val="18"/>
        </w:rPr>
      </w:pPr>
      <w:r>
        <w:rPr>
          <w:rStyle w:val="FootnoteReference"/>
          <w:sz w:val="18"/>
          <w:szCs w:val="18"/>
        </w:rPr>
        <w:footnoteRef/>
      </w:r>
      <w:r>
        <w:rPr>
          <w:sz w:val="18"/>
        </w:rPr>
        <w:t xml:space="preserve"> Articolul </w:t>
      </w:r>
      <w:r w:rsidRPr="00CE3321">
        <w:rPr>
          <w:sz w:val="18"/>
        </w:rPr>
        <w:t>7</w:t>
      </w:r>
      <w:r>
        <w:rPr>
          <w:sz w:val="18"/>
        </w:rPr>
        <w:t xml:space="preserve"> din DPCN.</w:t>
      </w:r>
    </w:p>
  </w:footnote>
  <w:footnote w:id="36">
    <w:p w14:paraId="1CCB9F0F" w14:textId="77777777" w:rsidR="00BA480D" w:rsidRPr="00AF30C2" w:rsidRDefault="00BA480D">
      <w:pPr>
        <w:pStyle w:val="FootnoteText"/>
        <w:rPr>
          <w:sz w:val="18"/>
          <w:szCs w:val="18"/>
        </w:rPr>
      </w:pPr>
      <w:r>
        <w:rPr>
          <w:rStyle w:val="FootnoteReference"/>
          <w:sz w:val="18"/>
          <w:szCs w:val="18"/>
        </w:rPr>
        <w:footnoteRef/>
      </w:r>
      <w:r>
        <w:rPr>
          <w:sz w:val="18"/>
        </w:rPr>
        <w:t xml:space="preserve"> Articolul </w:t>
      </w:r>
      <w:r w:rsidRPr="00CE3321">
        <w:rPr>
          <w:sz w:val="18"/>
        </w:rPr>
        <w:t>7</w:t>
      </w:r>
      <w:r>
        <w:rPr>
          <w:sz w:val="18"/>
        </w:rPr>
        <w:t xml:space="preserve"> din DCD.</w:t>
      </w:r>
    </w:p>
  </w:footnote>
  <w:footnote w:id="37">
    <w:p w14:paraId="4AA1CC7A" w14:textId="77777777" w:rsidR="00BA480D" w:rsidRPr="00EA6F0D" w:rsidRDefault="00BA480D">
      <w:pPr>
        <w:pStyle w:val="FootnoteText"/>
        <w:rPr>
          <w:sz w:val="18"/>
          <w:szCs w:val="18"/>
        </w:rPr>
      </w:pPr>
      <w:r>
        <w:rPr>
          <w:rStyle w:val="FootnoteReference"/>
          <w:sz w:val="18"/>
          <w:szCs w:val="18"/>
        </w:rPr>
        <w:footnoteRef/>
      </w:r>
      <w:r>
        <w:rPr>
          <w:sz w:val="18"/>
        </w:rPr>
        <w:t xml:space="preserve"> Articolul </w:t>
      </w:r>
      <w:r w:rsidRPr="00CE3321">
        <w:rPr>
          <w:sz w:val="18"/>
        </w:rPr>
        <w:t>8</w:t>
      </w:r>
      <w:r>
        <w:rPr>
          <w:sz w:val="18"/>
        </w:rPr>
        <w:t xml:space="preserve"> din DCD.</w:t>
      </w:r>
    </w:p>
  </w:footnote>
  <w:footnote w:id="38">
    <w:p w14:paraId="3C2E4FD8" w14:textId="77777777" w:rsidR="00BA480D" w:rsidRPr="00EA6F0D" w:rsidRDefault="00BA480D">
      <w:pPr>
        <w:pStyle w:val="FootnoteText"/>
        <w:rPr>
          <w:sz w:val="18"/>
          <w:szCs w:val="18"/>
        </w:rPr>
      </w:pPr>
      <w:r>
        <w:rPr>
          <w:rStyle w:val="FootnoteReference"/>
          <w:sz w:val="18"/>
          <w:szCs w:val="18"/>
        </w:rPr>
        <w:footnoteRef/>
      </w:r>
      <w:r>
        <w:rPr>
          <w:sz w:val="18"/>
        </w:rPr>
        <w:t xml:space="preserve"> Considerentul </w:t>
      </w:r>
      <w:r w:rsidRPr="00CE3321">
        <w:rPr>
          <w:sz w:val="18"/>
        </w:rPr>
        <w:t>53</w:t>
      </w:r>
      <w:r>
        <w:rPr>
          <w:sz w:val="18"/>
        </w:rPr>
        <w:t xml:space="preserve"> din DCD.</w:t>
      </w:r>
    </w:p>
  </w:footnote>
  <w:footnote w:id="39">
    <w:p w14:paraId="57B9DE0B" w14:textId="77777777" w:rsidR="00573C23" w:rsidRPr="007A0D22" w:rsidRDefault="00573C23">
      <w:pPr>
        <w:pStyle w:val="FootnoteText"/>
        <w:rPr>
          <w:sz w:val="18"/>
          <w:szCs w:val="18"/>
        </w:rPr>
      </w:pPr>
      <w:r>
        <w:rPr>
          <w:rStyle w:val="FootnoteReference"/>
          <w:sz w:val="18"/>
          <w:szCs w:val="18"/>
        </w:rPr>
        <w:footnoteRef/>
      </w:r>
      <w:r>
        <w:rPr>
          <w:sz w:val="18"/>
        </w:rPr>
        <w:t xml:space="preserve"> Articolele </w:t>
      </w:r>
      <w:r w:rsidRPr="00CE3321">
        <w:rPr>
          <w:sz w:val="18"/>
        </w:rPr>
        <w:t>14</w:t>
      </w:r>
      <w:r>
        <w:rPr>
          <w:sz w:val="18"/>
        </w:rPr>
        <w:t xml:space="preserve">, </w:t>
      </w:r>
      <w:r w:rsidRPr="00CE3321">
        <w:rPr>
          <w:sz w:val="18"/>
        </w:rPr>
        <w:t>15</w:t>
      </w:r>
      <w:r>
        <w:rPr>
          <w:sz w:val="18"/>
        </w:rPr>
        <w:t xml:space="preserve"> și </w:t>
      </w:r>
      <w:r w:rsidRPr="00CE3321">
        <w:rPr>
          <w:sz w:val="18"/>
        </w:rPr>
        <w:t>16</w:t>
      </w:r>
      <w:r>
        <w:rPr>
          <w:sz w:val="18"/>
        </w:rPr>
        <w:t xml:space="preserve"> din DCD.</w:t>
      </w:r>
    </w:p>
  </w:footnote>
  <w:footnote w:id="40">
    <w:p w14:paraId="10883E44" w14:textId="77777777" w:rsidR="00F06268" w:rsidRPr="007A0D22" w:rsidRDefault="00F06268" w:rsidP="00226B74">
      <w:pPr>
        <w:pStyle w:val="FootnoteText"/>
        <w:jc w:val="both"/>
        <w:rPr>
          <w:color w:val="242424"/>
          <w:sz w:val="18"/>
          <w:szCs w:val="18"/>
        </w:rPr>
      </w:pPr>
      <w:r>
        <w:rPr>
          <w:rStyle w:val="FootnoteReference"/>
          <w:sz w:val="18"/>
          <w:szCs w:val="18"/>
        </w:rPr>
        <w:footnoteRef/>
      </w:r>
      <w:r>
        <w:rPr>
          <w:sz w:val="18"/>
        </w:rPr>
        <w:t xml:space="preserve"> În acest context, este util de menționat faptul că, în documentul „Principii-cheie privind monedele virtuale din cadrul jocurilor”, elaborat de Rețeaua de cooperare pentru protecția consumatorilor (CPC) (disponibil la adresa: </w:t>
      </w:r>
      <w:hyperlink r:id="rId19">
        <w:r>
          <w:rPr>
            <w:rStyle w:val="Hyperlink"/>
            <w:sz w:val="18"/>
          </w:rPr>
          <w:t>https://commission.europa.eu/document/download/</w:t>
        </w:r>
        <w:r w:rsidRPr="00CE3321">
          <w:rPr>
            <w:rStyle w:val="Hyperlink"/>
            <w:sz w:val="18"/>
          </w:rPr>
          <w:t>8</w:t>
        </w:r>
        <w:r>
          <w:rPr>
            <w:rStyle w:val="Hyperlink"/>
            <w:sz w:val="18"/>
          </w:rPr>
          <w:t>af</w:t>
        </w:r>
        <w:r w:rsidRPr="00CE3321">
          <w:rPr>
            <w:rStyle w:val="Hyperlink"/>
            <w:sz w:val="18"/>
          </w:rPr>
          <w:t>13</w:t>
        </w:r>
        <w:r>
          <w:rPr>
            <w:rStyle w:val="Hyperlink"/>
            <w:sz w:val="18"/>
          </w:rPr>
          <w:t>e</w:t>
        </w:r>
        <w:r w:rsidRPr="00CE3321">
          <w:rPr>
            <w:rStyle w:val="Hyperlink"/>
            <w:sz w:val="18"/>
          </w:rPr>
          <w:t>88</w:t>
        </w:r>
        <w:r>
          <w:rPr>
            <w:rStyle w:val="Hyperlink"/>
            <w:sz w:val="18"/>
          </w:rPr>
          <w:t>-</w:t>
        </w:r>
        <w:r w:rsidRPr="00CE3321">
          <w:rPr>
            <w:rStyle w:val="Hyperlink"/>
            <w:sz w:val="18"/>
          </w:rPr>
          <w:t>6540</w:t>
        </w:r>
        <w:r>
          <w:rPr>
            <w:rStyle w:val="Hyperlink"/>
            <w:sz w:val="18"/>
          </w:rPr>
          <w:t>-</w:t>
        </w:r>
        <w:r w:rsidRPr="00CE3321">
          <w:rPr>
            <w:rStyle w:val="Hyperlink"/>
            <w:sz w:val="18"/>
          </w:rPr>
          <w:t>436</w:t>
        </w:r>
        <w:r>
          <w:rPr>
            <w:rStyle w:val="Hyperlink"/>
            <w:sz w:val="18"/>
          </w:rPr>
          <w:t>c-b</w:t>
        </w:r>
        <w:r w:rsidRPr="00CE3321">
          <w:rPr>
            <w:rStyle w:val="Hyperlink"/>
            <w:sz w:val="18"/>
          </w:rPr>
          <w:t>137</w:t>
        </w:r>
        <w:r>
          <w:rPr>
            <w:rStyle w:val="Hyperlink"/>
            <w:sz w:val="18"/>
          </w:rPr>
          <w:t>-</w:t>
        </w:r>
        <w:r w:rsidRPr="00CE3321">
          <w:rPr>
            <w:rStyle w:val="Hyperlink"/>
            <w:sz w:val="18"/>
          </w:rPr>
          <w:t>9853</w:t>
        </w:r>
        <w:r>
          <w:rPr>
            <w:rStyle w:val="Hyperlink"/>
            <w:sz w:val="18"/>
          </w:rPr>
          <w:t>e</w:t>
        </w:r>
        <w:r w:rsidRPr="00CE3321">
          <w:rPr>
            <w:rStyle w:val="Hyperlink"/>
            <w:sz w:val="18"/>
          </w:rPr>
          <w:t>7</w:t>
        </w:r>
        <w:r>
          <w:rPr>
            <w:rStyle w:val="Hyperlink"/>
            <w:sz w:val="18"/>
          </w:rPr>
          <w:t>fe</w:t>
        </w:r>
        <w:r w:rsidRPr="00CE3321">
          <w:rPr>
            <w:rStyle w:val="Hyperlink"/>
            <w:sz w:val="18"/>
          </w:rPr>
          <w:t>866</w:t>
        </w:r>
        <w:r>
          <w:rPr>
            <w:rStyle w:val="Hyperlink"/>
            <w:sz w:val="18"/>
          </w:rPr>
          <w:t>a_en?filename=Key%</w:t>
        </w:r>
        <w:r w:rsidRPr="00CE3321">
          <w:rPr>
            <w:rStyle w:val="Hyperlink"/>
            <w:sz w:val="18"/>
          </w:rPr>
          <w:t>20</w:t>
        </w:r>
        <w:r>
          <w:rPr>
            <w:rStyle w:val="Hyperlink"/>
            <w:sz w:val="18"/>
          </w:rPr>
          <w:t>principles%</w:t>
        </w:r>
        <w:r w:rsidRPr="00CE3321">
          <w:rPr>
            <w:rStyle w:val="Hyperlink"/>
            <w:sz w:val="18"/>
          </w:rPr>
          <w:t>20</w:t>
        </w:r>
        <w:r>
          <w:rPr>
            <w:rStyle w:val="Hyperlink"/>
            <w:sz w:val="18"/>
          </w:rPr>
          <w:t>on%</w:t>
        </w:r>
        <w:r w:rsidRPr="00CE3321">
          <w:rPr>
            <w:rStyle w:val="Hyperlink"/>
            <w:sz w:val="18"/>
          </w:rPr>
          <w:t>20</w:t>
        </w:r>
        <w:r>
          <w:rPr>
            <w:rStyle w:val="Hyperlink"/>
            <w:sz w:val="18"/>
          </w:rPr>
          <w:t>in-game%</w:t>
        </w:r>
        <w:r w:rsidRPr="00CE3321">
          <w:rPr>
            <w:rStyle w:val="Hyperlink"/>
            <w:sz w:val="18"/>
          </w:rPr>
          <w:t>20</w:t>
        </w:r>
        <w:r>
          <w:rPr>
            <w:rStyle w:val="Hyperlink"/>
            <w:sz w:val="18"/>
          </w:rPr>
          <w:t>virtual%</w:t>
        </w:r>
        <w:r w:rsidRPr="00CE3321">
          <w:rPr>
            <w:rStyle w:val="Hyperlink"/>
            <w:sz w:val="18"/>
          </w:rPr>
          <w:t>20</w:t>
        </w:r>
        <w:r>
          <w:rPr>
            <w:rStyle w:val="Hyperlink"/>
            <w:sz w:val="18"/>
          </w:rPr>
          <w:t>currencies.pdf</w:t>
        </w:r>
      </w:hyperlink>
      <w:r>
        <w:rPr>
          <w:sz w:val="18"/>
        </w:rPr>
        <w:t>), autoritățile CPC au precizat că ar trebui respectat dreptul de retragere al consumatorilor în ceea ce privește monedele virtuale care pot fi achiziționate în cadrul jocului și care nu au fost utilizate.</w:t>
      </w:r>
    </w:p>
  </w:footnote>
  <w:footnote w:id="41">
    <w:p w14:paraId="55C96A41" w14:textId="77777777" w:rsidR="40DD1325" w:rsidRPr="007A0D22" w:rsidRDefault="40DD1325" w:rsidP="000C6C87">
      <w:pPr>
        <w:pStyle w:val="FootnoteText"/>
        <w:rPr>
          <w:sz w:val="18"/>
          <w:szCs w:val="18"/>
        </w:rPr>
      </w:pPr>
      <w:r>
        <w:rPr>
          <w:rStyle w:val="FootnoteReference"/>
          <w:sz w:val="18"/>
          <w:szCs w:val="18"/>
        </w:rPr>
        <w:footnoteRef/>
      </w:r>
      <w:r>
        <w:rPr>
          <w:sz w:val="18"/>
        </w:rPr>
        <w:t xml:space="preserve"> Prezentul document reflectă opiniile Comisiei și nu aduce atingere interpretării dreptului Uniunii de către Curtea de Justiție a Uniunii Europene.</w:t>
      </w:r>
    </w:p>
  </w:footnote>
  <w:footnote w:id="42">
    <w:p w14:paraId="2AFE1841" w14:textId="77777777" w:rsidR="7EE4F9B4" w:rsidRPr="007A0D22" w:rsidRDefault="7EE4F9B4" w:rsidP="00BD6AAF">
      <w:pPr>
        <w:rPr>
          <w:sz w:val="18"/>
          <w:szCs w:val="18"/>
        </w:rPr>
      </w:pPr>
      <w:r>
        <w:rPr>
          <w:rStyle w:val="FootnoteReference"/>
          <w:sz w:val="18"/>
          <w:szCs w:val="18"/>
        </w:rPr>
        <w:footnoteRef/>
      </w:r>
      <w:r>
        <w:rPr>
          <w:sz w:val="18"/>
        </w:rPr>
        <w:t xml:space="preserve"> </w:t>
      </w:r>
      <w:hyperlink r:id="rId20" w:history="1">
        <w:r>
          <w:rPr>
            <w:rStyle w:val="Hyperlink"/>
            <w:sz w:val="18"/>
          </w:rPr>
          <w:t xml:space="preserve">Marele sondaj privind ocuparea forței de muncă în sectorul jocurilor, </w:t>
        </w:r>
        <w:r w:rsidRPr="00CE3321">
          <w:rPr>
            <w:rStyle w:val="Hyperlink"/>
            <w:sz w:val="18"/>
          </w:rPr>
          <w:t>2025</w:t>
        </w:r>
      </w:hyperlink>
      <w:r>
        <w:rPr>
          <w:sz w:val="18"/>
        </w:rPr>
        <w:t>, InGame Job și Values Value.</w:t>
      </w:r>
    </w:p>
  </w:footnote>
  <w:footnote w:id="43">
    <w:p w14:paraId="70F54AE1" w14:textId="77777777" w:rsidR="22C8CABE" w:rsidRPr="007A0D22" w:rsidRDefault="22C8CABE" w:rsidP="000C6C87">
      <w:pPr>
        <w:pStyle w:val="FootnoteText"/>
        <w:rPr>
          <w:sz w:val="18"/>
          <w:szCs w:val="18"/>
        </w:rPr>
      </w:pPr>
      <w:r>
        <w:rPr>
          <w:rStyle w:val="FootnoteReference"/>
          <w:sz w:val="18"/>
          <w:szCs w:val="18"/>
        </w:rPr>
        <w:footnoteRef/>
      </w:r>
      <w:r>
        <w:rPr>
          <w:sz w:val="18"/>
        </w:rPr>
        <w:t xml:space="preserve"> De exemplu, moderarea deficitară de către comunitate sau riscurile de securitate cibernetică pe serverele private ar putea genera riscuri de degradare a proprietății intelectuale.</w:t>
      </w:r>
    </w:p>
  </w:footnote>
  <w:footnote w:id="44">
    <w:p w14:paraId="0D468EB4" w14:textId="77777777" w:rsidR="0B489C64" w:rsidRPr="007A0D22" w:rsidRDefault="0B489C64" w:rsidP="000C6C87">
      <w:pPr>
        <w:pStyle w:val="FootnoteText"/>
        <w:rPr>
          <w:sz w:val="18"/>
          <w:szCs w:val="18"/>
        </w:rPr>
      </w:pPr>
      <w:r>
        <w:rPr>
          <w:rStyle w:val="FootnoteReference"/>
          <w:sz w:val="18"/>
          <w:szCs w:val="18"/>
        </w:rPr>
        <w:footnoteRef/>
      </w:r>
      <w:r>
        <w:rPr>
          <w:sz w:val="18"/>
        </w:rPr>
        <w:t xml:space="preserve"> Cum ar fi accesul continuu la caracteristicile de bază ale jocului.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97F8" w14:textId="77777777" w:rsidR="00A51B69" w:rsidRPr="00A51B69" w:rsidRDefault="00A51B69" w:rsidP="00A51B6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E2C65" w14:textId="77777777" w:rsidR="00A51B69" w:rsidRPr="00A51B69" w:rsidRDefault="00A51B69" w:rsidP="00A51B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29A07" w14:textId="77777777" w:rsidR="00A51B69" w:rsidRPr="00A51B69" w:rsidRDefault="00A51B69" w:rsidP="00A51B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04B3A" w14:textId="77777777" w:rsidR="00E32103" w:rsidRPr="004955D6" w:rsidRDefault="00E321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1A4B" w14:textId="77777777" w:rsidR="00E32103" w:rsidRPr="004955D6" w:rsidRDefault="00E321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E5CC8" w14:textId="77777777" w:rsidR="00E32103" w:rsidRPr="004955D6" w:rsidRDefault="00E32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927F1"/>
    <w:multiLevelType w:val="multilevel"/>
    <w:tmpl w:val="0FA0B5D4"/>
    <w:lvl w:ilvl="0">
      <w:start w:val="1"/>
      <w:numFmt w:val="decimal"/>
      <w:lvlText w:val="%1."/>
      <w:lvlJc w:val="left"/>
      <w:pPr>
        <w:ind w:left="383"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743" w:hanging="447"/>
        <w:jc w:val="righ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702" w:hanging="447"/>
      </w:pPr>
      <w:rPr>
        <w:rFonts w:hint="default"/>
        <w:lang w:val="en-US" w:eastAsia="en-US" w:bidi="ar-SA"/>
      </w:rPr>
    </w:lvl>
    <w:lvl w:ilvl="3">
      <w:numFmt w:val="bullet"/>
      <w:lvlText w:val="•"/>
      <w:lvlJc w:val="left"/>
      <w:pPr>
        <w:ind w:left="2665" w:hanging="447"/>
      </w:pPr>
      <w:rPr>
        <w:rFonts w:hint="default"/>
        <w:lang w:val="en-US" w:eastAsia="en-US" w:bidi="ar-SA"/>
      </w:rPr>
    </w:lvl>
    <w:lvl w:ilvl="4">
      <w:numFmt w:val="bullet"/>
      <w:lvlText w:val="•"/>
      <w:lvlJc w:val="left"/>
      <w:pPr>
        <w:ind w:left="3628" w:hanging="447"/>
      </w:pPr>
      <w:rPr>
        <w:rFonts w:hint="default"/>
        <w:lang w:val="en-US" w:eastAsia="en-US" w:bidi="ar-SA"/>
      </w:rPr>
    </w:lvl>
    <w:lvl w:ilvl="5">
      <w:numFmt w:val="bullet"/>
      <w:lvlText w:val="•"/>
      <w:lvlJc w:val="left"/>
      <w:pPr>
        <w:ind w:left="4591" w:hanging="447"/>
      </w:pPr>
      <w:rPr>
        <w:rFonts w:hint="default"/>
        <w:lang w:val="en-US" w:eastAsia="en-US" w:bidi="ar-SA"/>
      </w:rPr>
    </w:lvl>
    <w:lvl w:ilvl="6">
      <w:numFmt w:val="bullet"/>
      <w:lvlText w:val="•"/>
      <w:lvlJc w:val="left"/>
      <w:pPr>
        <w:ind w:left="5554" w:hanging="447"/>
      </w:pPr>
      <w:rPr>
        <w:rFonts w:hint="default"/>
        <w:lang w:val="en-US" w:eastAsia="en-US" w:bidi="ar-SA"/>
      </w:rPr>
    </w:lvl>
    <w:lvl w:ilvl="7">
      <w:numFmt w:val="bullet"/>
      <w:lvlText w:val="•"/>
      <w:lvlJc w:val="left"/>
      <w:pPr>
        <w:ind w:left="6517" w:hanging="447"/>
      </w:pPr>
      <w:rPr>
        <w:rFonts w:hint="default"/>
        <w:lang w:val="en-US" w:eastAsia="en-US" w:bidi="ar-SA"/>
      </w:rPr>
    </w:lvl>
    <w:lvl w:ilvl="8">
      <w:numFmt w:val="bullet"/>
      <w:lvlText w:val="•"/>
      <w:lvlJc w:val="left"/>
      <w:pPr>
        <w:ind w:left="7480" w:hanging="447"/>
      </w:pPr>
      <w:rPr>
        <w:rFonts w:hint="default"/>
        <w:lang w:val="en-US" w:eastAsia="en-US" w:bidi="ar-SA"/>
      </w:rPr>
    </w:lvl>
  </w:abstractNum>
  <w:abstractNum w:abstractNumId="1" w15:restartNumberingAfterBreak="0">
    <w:nsid w:val="10E6B620"/>
    <w:multiLevelType w:val="hybridMultilevel"/>
    <w:tmpl w:val="039CDCFE"/>
    <w:lvl w:ilvl="0" w:tplc="BBDA2508">
      <w:start w:val="1"/>
      <w:numFmt w:val="bullet"/>
      <w:lvlText w:val=""/>
      <w:lvlJc w:val="left"/>
      <w:pPr>
        <w:ind w:left="720" w:hanging="360"/>
      </w:pPr>
      <w:rPr>
        <w:rFonts w:ascii="Symbol" w:hAnsi="Symbol" w:hint="default"/>
      </w:rPr>
    </w:lvl>
    <w:lvl w:ilvl="1" w:tplc="06AE87A0">
      <w:start w:val="1"/>
      <w:numFmt w:val="bullet"/>
      <w:lvlText w:val="o"/>
      <w:lvlJc w:val="left"/>
      <w:pPr>
        <w:ind w:left="1440" w:hanging="360"/>
      </w:pPr>
      <w:rPr>
        <w:rFonts w:ascii="Courier New" w:hAnsi="Courier New" w:hint="default"/>
      </w:rPr>
    </w:lvl>
    <w:lvl w:ilvl="2" w:tplc="A510CE68">
      <w:start w:val="1"/>
      <w:numFmt w:val="bullet"/>
      <w:lvlText w:val=""/>
      <w:lvlJc w:val="left"/>
      <w:pPr>
        <w:ind w:left="2160" w:hanging="360"/>
      </w:pPr>
      <w:rPr>
        <w:rFonts w:ascii="Wingdings" w:hAnsi="Wingdings" w:hint="default"/>
      </w:rPr>
    </w:lvl>
    <w:lvl w:ilvl="3" w:tplc="FE64FFAC">
      <w:start w:val="1"/>
      <w:numFmt w:val="bullet"/>
      <w:lvlText w:val=""/>
      <w:lvlJc w:val="left"/>
      <w:pPr>
        <w:ind w:left="2880" w:hanging="360"/>
      </w:pPr>
      <w:rPr>
        <w:rFonts w:ascii="Symbol" w:hAnsi="Symbol" w:hint="default"/>
      </w:rPr>
    </w:lvl>
    <w:lvl w:ilvl="4" w:tplc="34062BF0">
      <w:start w:val="1"/>
      <w:numFmt w:val="bullet"/>
      <w:lvlText w:val="o"/>
      <w:lvlJc w:val="left"/>
      <w:pPr>
        <w:ind w:left="3600" w:hanging="360"/>
      </w:pPr>
      <w:rPr>
        <w:rFonts w:ascii="Courier New" w:hAnsi="Courier New" w:hint="default"/>
      </w:rPr>
    </w:lvl>
    <w:lvl w:ilvl="5" w:tplc="DD2A3390">
      <w:start w:val="1"/>
      <w:numFmt w:val="bullet"/>
      <w:lvlText w:val=""/>
      <w:lvlJc w:val="left"/>
      <w:pPr>
        <w:ind w:left="4320" w:hanging="360"/>
      </w:pPr>
      <w:rPr>
        <w:rFonts w:ascii="Wingdings" w:hAnsi="Wingdings" w:hint="default"/>
      </w:rPr>
    </w:lvl>
    <w:lvl w:ilvl="6" w:tplc="88C0A63C">
      <w:start w:val="1"/>
      <w:numFmt w:val="bullet"/>
      <w:lvlText w:val=""/>
      <w:lvlJc w:val="left"/>
      <w:pPr>
        <w:ind w:left="5040" w:hanging="360"/>
      </w:pPr>
      <w:rPr>
        <w:rFonts w:ascii="Symbol" w:hAnsi="Symbol" w:hint="default"/>
      </w:rPr>
    </w:lvl>
    <w:lvl w:ilvl="7" w:tplc="D9B4893C">
      <w:start w:val="1"/>
      <w:numFmt w:val="bullet"/>
      <w:lvlText w:val="o"/>
      <w:lvlJc w:val="left"/>
      <w:pPr>
        <w:ind w:left="5760" w:hanging="360"/>
      </w:pPr>
      <w:rPr>
        <w:rFonts w:ascii="Courier New" w:hAnsi="Courier New" w:hint="default"/>
      </w:rPr>
    </w:lvl>
    <w:lvl w:ilvl="8" w:tplc="524CA438">
      <w:start w:val="1"/>
      <w:numFmt w:val="bullet"/>
      <w:lvlText w:val=""/>
      <w:lvlJc w:val="left"/>
      <w:pPr>
        <w:ind w:left="6480" w:hanging="360"/>
      </w:pPr>
      <w:rPr>
        <w:rFonts w:ascii="Wingdings" w:hAnsi="Wingdings" w:hint="default"/>
      </w:rPr>
    </w:lvl>
  </w:abstractNum>
  <w:abstractNum w:abstractNumId="2" w15:restartNumberingAfterBreak="0">
    <w:nsid w:val="14020086"/>
    <w:multiLevelType w:val="hybridMultilevel"/>
    <w:tmpl w:val="FFFFFFFF"/>
    <w:lvl w:ilvl="0" w:tplc="10AE47BA">
      <w:start w:val="1"/>
      <w:numFmt w:val="bullet"/>
      <w:lvlText w:val="-"/>
      <w:lvlJc w:val="left"/>
      <w:pPr>
        <w:ind w:left="720" w:hanging="360"/>
      </w:pPr>
      <w:rPr>
        <w:rFonts w:ascii="Calibri" w:hAnsi="Calibri" w:hint="default"/>
      </w:rPr>
    </w:lvl>
    <w:lvl w:ilvl="1" w:tplc="2AD8FBF2">
      <w:start w:val="1"/>
      <w:numFmt w:val="bullet"/>
      <w:lvlText w:val="o"/>
      <w:lvlJc w:val="left"/>
      <w:pPr>
        <w:ind w:left="1440" w:hanging="360"/>
      </w:pPr>
      <w:rPr>
        <w:rFonts w:ascii="Courier New" w:hAnsi="Courier New" w:hint="default"/>
      </w:rPr>
    </w:lvl>
    <w:lvl w:ilvl="2" w:tplc="20EED25A">
      <w:start w:val="1"/>
      <w:numFmt w:val="bullet"/>
      <w:lvlText w:val=""/>
      <w:lvlJc w:val="left"/>
      <w:pPr>
        <w:ind w:left="2160" w:hanging="360"/>
      </w:pPr>
      <w:rPr>
        <w:rFonts w:ascii="Wingdings" w:hAnsi="Wingdings" w:hint="default"/>
      </w:rPr>
    </w:lvl>
    <w:lvl w:ilvl="3" w:tplc="55AAEA84">
      <w:start w:val="1"/>
      <w:numFmt w:val="bullet"/>
      <w:lvlText w:val=""/>
      <w:lvlJc w:val="left"/>
      <w:pPr>
        <w:ind w:left="2880" w:hanging="360"/>
      </w:pPr>
      <w:rPr>
        <w:rFonts w:ascii="Symbol" w:hAnsi="Symbol" w:hint="default"/>
      </w:rPr>
    </w:lvl>
    <w:lvl w:ilvl="4" w:tplc="4EA0D88A">
      <w:start w:val="1"/>
      <w:numFmt w:val="bullet"/>
      <w:lvlText w:val="o"/>
      <w:lvlJc w:val="left"/>
      <w:pPr>
        <w:ind w:left="3600" w:hanging="360"/>
      </w:pPr>
      <w:rPr>
        <w:rFonts w:ascii="Courier New" w:hAnsi="Courier New" w:hint="default"/>
      </w:rPr>
    </w:lvl>
    <w:lvl w:ilvl="5" w:tplc="E66AED02">
      <w:start w:val="1"/>
      <w:numFmt w:val="bullet"/>
      <w:lvlText w:val=""/>
      <w:lvlJc w:val="left"/>
      <w:pPr>
        <w:ind w:left="4320" w:hanging="360"/>
      </w:pPr>
      <w:rPr>
        <w:rFonts w:ascii="Wingdings" w:hAnsi="Wingdings" w:hint="default"/>
      </w:rPr>
    </w:lvl>
    <w:lvl w:ilvl="6" w:tplc="0D082B6E">
      <w:start w:val="1"/>
      <w:numFmt w:val="bullet"/>
      <w:lvlText w:val=""/>
      <w:lvlJc w:val="left"/>
      <w:pPr>
        <w:ind w:left="5040" w:hanging="360"/>
      </w:pPr>
      <w:rPr>
        <w:rFonts w:ascii="Symbol" w:hAnsi="Symbol" w:hint="default"/>
      </w:rPr>
    </w:lvl>
    <w:lvl w:ilvl="7" w:tplc="62A24A24">
      <w:start w:val="1"/>
      <w:numFmt w:val="bullet"/>
      <w:lvlText w:val="o"/>
      <w:lvlJc w:val="left"/>
      <w:pPr>
        <w:ind w:left="5760" w:hanging="360"/>
      </w:pPr>
      <w:rPr>
        <w:rFonts w:ascii="Courier New" w:hAnsi="Courier New" w:hint="default"/>
      </w:rPr>
    </w:lvl>
    <w:lvl w:ilvl="8" w:tplc="95F2EE32">
      <w:start w:val="1"/>
      <w:numFmt w:val="bullet"/>
      <w:lvlText w:val=""/>
      <w:lvlJc w:val="left"/>
      <w:pPr>
        <w:ind w:left="6480" w:hanging="360"/>
      </w:pPr>
      <w:rPr>
        <w:rFonts w:ascii="Wingdings" w:hAnsi="Wingdings" w:hint="default"/>
      </w:rPr>
    </w:lvl>
  </w:abstractNum>
  <w:abstractNum w:abstractNumId="3" w15:restartNumberingAfterBreak="0">
    <w:nsid w:val="14B0AE14"/>
    <w:multiLevelType w:val="hybridMultilevel"/>
    <w:tmpl w:val="E77CFE32"/>
    <w:lvl w:ilvl="0" w:tplc="5C5C9400">
      <w:start w:val="2"/>
      <w:numFmt w:val="decimal"/>
      <w:lvlText w:val="%1."/>
      <w:lvlJc w:val="left"/>
      <w:pPr>
        <w:ind w:left="720" w:hanging="360"/>
      </w:pPr>
    </w:lvl>
    <w:lvl w:ilvl="1" w:tplc="3BB8850A">
      <w:start w:val="1"/>
      <w:numFmt w:val="lowerLetter"/>
      <w:lvlText w:val="%2."/>
      <w:lvlJc w:val="left"/>
      <w:pPr>
        <w:ind w:left="1440" w:hanging="360"/>
      </w:pPr>
    </w:lvl>
    <w:lvl w:ilvl="2" w:tplc="5C92AE1C">
      <w:start w:val="1"/>
      <w:numFmt w:val="lowerRoman"/>
      <w:lvlText w:val="%3."/>
      <w:lvlJc w:val="right"/>
      <w:pPr>
        <w:ind w:left="2160" w:hanging="180"/>
      </w:pPr>
    </w:lvl>
    <w:lvl w:ilvl="3" w:tplc="D8A0FAC2">
      <w:start w:val="1"/>
      <w:numFmt w:val="decimal"/>
      <w:lvlText w:val="%4."/>
      <w:lvlJc w:val="left"/>
      <w:pPr>
        <w:ind w:left="2880" w:hanging="360"/>
      </w:pPr>
    </w:lvl>
    <w:lvl w:ilvl="4" w:tplc="9ADC5E60">
      <w:start w:val="1"/>
      <w:numFmt w:val="lowerLetter"/>
      <w:lvlText w:val="%5."/>
      <w:lvlJc w:val="left"/>
      <w:pPr>
        <w:ind w:left="3600" w:hanging="360"/>
      </w:pPr>
    </w:lvl>
    <w:lvl w:ilvl="5" w:tplc="27E01F50">
      <w:start w:val="1"/>
      <w:numFmt w:val="lowerRoman"/>
      <w:lvlText w:val="%6."/>
      <w:lvlJc w:val="right"/>
      <w:pPr>
        <w:ind w:left="4320" w:hanging="180"/>
      </w:pPr>
    </w:lvl>
    <w:lvl w:ilvl="6" w:tplc="B2C6D9AE">
      <w:start w:val="1"/>
      <w:numFmt w:val="decimal"/>
      <w:lvlText w:val="%7."/>
      <w:lvlJc w:val="left"/>
      <w:pPr>
        <w:ind w:left="5040" w:hanging="360"/>
      </w:pPr>
    </w:lvl>
    <w:lvl w:ilvl="7" w:tplc="8F08C826">
      <w:start w:val="1"/>
      <w:numFmt w:val="lowerLetter"/>
      <w:lvlText w:val="%8."/>
      <w:lvlJc w:val="left"/>
      <w:pPr>
        <w:ind w:left="5760" w:hanging="360"/>
      </w:pPr>
    </w:lvl>
    <w:lvl w:ilvl="8" w:tplc="E7C4C60C">
      <w:start w:val="1"/>
      <w:numFmt w:val="lowerRoman"/>
      <w:lvlText w:val="%9."/>
      <w:lvlJc w:val="right"/>
      <w:pPr>
        <w:ind w:left="6480" w:hanging="180"/>
      </w:pPr>
    </w:lvl>
  </w:abstractNum>
  <w:abstractNum w:abstractNumId="4" w15:restartNumberingAfterBreak="0">
    <w:nsid w:val="36A93358"/>
    <w:multiLevelType w:val="hybridMultilevel"/>
    <w:tmpl w:val="74A8D9A4"/>
    <w:lvl w:ilvl="0" w:tplc="A99A0B0E">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B200488"/>
    <w:multiLevelType w:val="hybridMultilevel"/>
    <w:tmpl w:val="1A6E712C"/>
    <w:lvl w:ilvl="0" w:tplc="12C2FBBE">
      <w:start w:val="1"/>
      <w:numFmt w:val="lowerLetter"/>
      <w:lvlText w:val="%1)"/>
      <w:lvlJc w:val="left"/>
      <w:pPr>
        <w:ind w:left="743" w:hanging="360"/>
      </w:pPr>
      <w:rPr>
        <w:rFonts w:ascii="Times New Roman" w:eastAsia="Times New Roman" w:hAnsi="Times New Roman" w:cs="Times New Roman" w:hint="default"/>
        <w:b/>
        <w:bCs/>
        <w:i/>
        <w:iCs/>
        <w:spacing w:val="0"/>
        <w:w w:val="100"/>
        <w:sz w:val="24"/>
        <w:szCs w:val="24"/>
        <w:lang w:val="en-US" w:eastAsia="en-US" w:bidi="ar-SA"/>
      </w:rPr>
    </w:lvl>
    <w:lvl w:ilvl="1" w:tplc="5A561BD8">
      <w:numFmt w:val="bullet"/>
      <w:lvlText w:val="•"/>
      <w:lvlJc w:val="left"/>
      <w:pPr>
        <w:ind w:left="1606" w:hanging="360"/>
      </w:pPr>
      <w:rPr>
        <w:rFonts w:hint="default"/>
        <w:lang w:val="en-US" w:eastAsia="en-US" w:bidi="ar-SA"/>
      </w:rPr>
    </w:lvl>
    <w:lvl w:ilvl="2" w:tplc="7CBA8C64">
      <w:numFmt w:val="bullet"/>
      <w:lvlText w:val="•"/>
      <w:lvlJc w:val="left"/>
      <w:pPr>
        <w:ind w:left="2473" w:hanging="360"/>
      </w:pPr>
      <w:rPr>
        <w:rFonts w:hint="default"/>
        <w:lang w:val="en-US" w:eastAsia="en-US" w:bidi="ar-SA"/>
      </w:rPr>
    </w:lvl>
    <w:lvl w:ilvl="3" w:tplc="654815FC">
      <w:numFmt w:val="bullet"/>
      <w:lvlText w:val="•"/>
      <w:lvlJc w:val="left"/>
      <w:pPr>
        <w:ind w:left="3339" w:hanging="360"/>
      </w:pPr>
      <w:rPr>
        <w:rFonts w:hint="default"/>
        <w:lang w:val="en-US" w:eastAsia="en-US" w:bidi="ar-SA"/>
      </w:rPr>
    </w:lvl>
    <w:lvl w:ilvl="4" w:tplc="DA78D096">
      <w:numFmt w:val="bullet"/>
      <w:lvlText w:val="•"/>
      <w:lvlJc w:val="left"/>
      <w:pPr>
        <w:ind w:left="4206" w:hanging="360"/>
      </w:pPr>
      <w:rPr>
        <w:rFonts w:hint="default"/>
        <w:lang w:val="en-US" w:eastAsia="en-US" w:bidi="ar-SA"/>
      </w:rPr>
    </w:lvl>
    <w:lvl w:ilvl="5" w:tplc="BDD4FA46">
      <w:numFmt w:val="bullet"/>
      <w:lvlText w:val="•"/>
      <w:lvlJc w:val="left"/>
      <w:pPr>
        <w:ind w:left="5073" w:hanging="360"/>
      </w:pPr>
      <w:rPr>
        <w:rFonts w:hint="default"/>
        <w:lang w:val="en-US" w:eastAsia="en-US" w:bidi="ar-SA"/>
      </w:rPr>
    </w:lvl>
    <w:lvl w:ilvl="6" w:tplc="09766304">
      <w:numFmt w:val="bullet"/>
      <w:lvlText w:val="•"/>
      <w:lvlJc w:val="left"/>
      <w:pPr>
        <w:ind w:left="5939" w:hanging="360"/>
      </w:pPr>
      <w:rPr>
        <w:rFonts w:hint="default"/>
        <w:lang w:val="en-US" w:eastAsia="en-US" w:bidi="ar-SA"/>
      </w:rPr>
    </w:lvl>
    <w:lvl w:ilvl="7" w:tplc="0F3261A4">
      <w:numFmt w:val="bullet"/>
      <w:lvlText w:val="•"/>
      <w:lvlJc w:val="left"/>
      <w:pPr>
        <w:ind w:left="6806" w:hanging="360"/>
      </w:pPr>
      <w:rPr>
        <w:rFonts w:hint="default"/>
        <w:lang w:val="en-US" w:eastAsia="en-US" w:bidi="ar-SA"/>
      </w:rPr>
    </w:lvl>
    <w:lvl w:ilvl="8" w:tplc="3642EA5C">
      <w:numFmt w:val="bullet"/>
      <w:lvlText w:val="•"/>
      <w:lvlJc w:val="left"/>
      <w:pPr>
        <w:ind w:left="7672" w:hanging="360"/>
      </w:pPr>
      <w:rPr>
        <w:rFonts w:hint="default"/>
        <w:lang w:val="en-US" w:eastAsia="en-US" w:bidi="ar-SA"/>
      </w:rPr>
    </w:lvl>
  </w:abstractNum>
  <w:abstractNum w:abstractNumId="6" w15:restartNumberingAfterBreak="0">
    <w:nsid w:val="40B513A8"/>
    <w:multiLevelType w:val="hybridMultilevel"/>
    <w:tmpl w:val="A90A756E"/>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42C040B"/>
    <w:multiLevelType w:val="hybridMultilevel"/>
    <w:tmpl w:val="9E3E2F64"/>
    <w:lvl w:ilvl="0" w:tplc="5EEA9C9A">
      <w:start w:val="1"/>
      <w:numFmt w:val="lowerLetter"/>
      <w:lvlText w:val="%1)"/>
      <w:lvlJc w:val="left"/>
      <w:pPr>
        <w:ind w:left="743"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706D3AC">
      <w:numFmt w:val="bullet"/>
      <w:lvlText w:val="•"/>
      <w:lvlJc w:val="left"/>
      <w:pPr>
        <w:ind w:left="1606" w:hanging="360"/>
      </w:pPr>
      <w:rPr>
        <w:rFonts w:hint="default"/>
        <w:lang w:val="en-US" w:eastAsia="en-US" w:bidi="ar-SA"/>
      </w:rPr>
    </w:lvl>
    <w:lvl w:ilvl="2" w:tplc="FBE2D0B0">
      <w:numFmt w:val="bullet"/>
      <w:lvlText w:val="•"/>
      <w:lvlJc w:val="left"/>
      <w:pPr>
        <w:ind w:left="2473" w:hanging="360"/>
      </w:pPr>
      <w:rPr>
        <w:rFonts w:hint="default"/>
        <w:lang w:val="en-US" w:eastAsia="en-US" w:bidi="ar-SA"/>
      </w:rPr>
    </w:lvl>
    <w:lvl w:ilvl="3" w:tplc="67B4EFB4">
      <w:numFmt w:val="bullet"/>
      <w:lvlText w:val="•"/>
      <w:lvlJc w:val="left"/>
      <w:pPr>
        <w:ind w:left="3339" w:hanging="360"/>
      </w:pPr>
      <w:rPr>
        <w:rFonts w:hint="default"/>
        <w:lang w:val="en-US" w:eastAsia="en-US" w:bidi="ar-SA"/>
      </w:rPr>
    </w:lvl>
    <w:lvl w:ilvl="4" w:tplc="4BC88D12">
      <w:numFmt w:val="bullet"/>
      <w:lvlText w:val="•"/>
      <w:lvlJc w:val="left"/>
      <w:pPr>
        <w:ind w:left="4206" w:hanging="360"/>
      </w:pPr>
      <w:rPr>
        <w:rFonts w:hint="default"/>
        <w:lang w:val="en-US" w:eastAsia="en-US" w:bidi="ar-SA"/>
      </w:rPr>
    </w:lvl>
    <w:lvl w:ilvl="5" w:tplc="88F22EB4">
      <w:numFmt w:val="bullet"/>
      <w:lvlText w:val="•"/>
      <w:lvlJc w:val="left"/>
      <w:pPr>
        <w:ind w:left="5073" w:hanging="360"/>
      </w:pPr>
      <w:rPr>
        <w:rFonts w:hint="default"/>
        <w:lang w:val="en-US" w:eastAsia="en-US" w:bidi="ar-SA"/>
      </w:rPr>
    </w:lvl>
    <w:lvl w:ilvl="6" w:tplc="3FC24F0A">
      <w:numFmt w:val="bullet"/>
      <w:lvlText w:val="•"/>
      <w:lvlJc w:val="left"/>
      <w:pPr>
        <w:ind w:left="5939" w:hanging="360"/>
      </w:pPr>
      <w:rPr>
        <w:rFonts w:hint="default"/>
        <w:lang w:val="en-US" w:eastAsia="en-US" w:bidi="ar-SA"/>
      </w:rPr>
    </w:lvl>
    <w:lvl w:ilvl="7" w:tplc="922C428E">
      <w:numFmt w:val="bullet"/>
      <w:lvlText w:val="•"/>
      <w:lvlJc w:val="left"/>
      <w:pPr>
        <w:ind w:left="6806" w:hanging="360"/>
      </w:pPr>
      <w:rPr>
        <w:rFonts w:hint="default"/>
        <w:lang w:val="en-US" w:eastAsia="en-US" w:bidi="ar-SA"/>
      </w:rPr>
    </w:lvl>
    <w:lvl w:ilvl="8" w:tplc="D0F27C60">
      <w:numFmt w:val="bullet"/>
      <w:lvlText w:val="•"/>
      <w:lvlJc w:val="left"/>
      <w:pPr>
        <w:ind w:left="7672" w:hanging="360"/>
      </w:pPr>
      <w:rPr>
        <w:rFonts w:hint="default"/>
        <w:lang w:val="en-US" w:eastAsia="en-US" w:bidi="ar-SA"/>
      </w:rPr>
    </w:lvl>
  </w:abstractNum>
  <w:abstractNum w:abstractNumId="8" w15:restartNumberingAfterBreak="0">
    <w:nsid w:val="47129615"/>
    <w:multiLevelType w:val="hybridMultilevel"/>
    <w:tmpl w:val="06ECC93E"/>
    <w:lvl w:ilvl="0" w:tplc="05A4A376">
      <w:start w:val="1"/>
      <w:numFmt w:val="bullet"/>
      <w:lvlText w:val=""/>
      <w:lvlJc w:val="left"/>
      <w:pPr>
        <w:ind w:left="383" w:hanging="360"/>
      </w:pPr>
      <w:rPr>
        <w:rFonts w:ascii="Symbol" w:hAnsi="Symbol" w:hint="default"/>
      </w:rPr>
    </w:lvl>
    <w:lvl w:ilvl="1" w:tplc="69241EC6">
      <w:start w:val="1"/>
      <w:numFmt w:val="bullet"/>
      <w:lvlText w:val="o"/>
      <w:lvlJc w:val="left"/>
      <w:pPr>
        <w:ind w:left="1103" w:hanging="360"/>
      </w:pPr>
      <w:rPr>
        <w:rFonts w:ascii="Courier New" w:hAnsi="Courier New" w:hint="default"/>
      </w:rPr>
    </w:lvl>
    <w:lvl w:ilvl="2" w:tplc="FD30DBD4">
      <w:start w:val="1"/>
      <w:numFmt w:val="bullet"/>
      <w:lvlText w:val=""/>
      <w:lvlJc w:val="left"/>
      <w:pPr>
        <w:ind w:left="1823" w:hanging="360"/>
      </w:pPr>
      <w:rPr>
        <w:rFonts w:ascii="Wingdings" w:hAnsi="Wingdings" w:hint="default"/>
      </w:rPr>
    </w:lvl>
    <w:lvl w:ilvl="3" w:tplc="E4D09992">
      <w:start w:val="1"/>
      <w:numFmt w:val="bullet"/>
      <w:lvlText w:val=""/>
      <w:lvlJc w:val="left"/>
      <w:pPr>
        <w:ind w:left="2543" w:hanging="360"/>
      </w:pPr>
      <w:rPr>
        <w:rFonts w:ascii="Symbol" w:hAnsi="Symbol" w:hint="default"/>
      </w:rPr>
    </w:lvl>
    <w:lvl w:ilvl="4" w:tplc="0ECC20A0">
      <w:start w:val="1"/>
      <w:numFmt w:val="bullet"/>
      <w:lvlText w:val="o"/>
      <w:lvlJc w:val="left"/>
      <w:pPr>
        <w:ind w:left="3263" w:hanging="360"/>
      </w:pPr>
      <w:rPr>
        <w:rFonts w:ascii="Courier New" w:hAnsi="Courier New" w:hint="default"/>
      </w:rPr>
    </w:lvl>
    <w:lvl w:ilvl="5" w:tplc="E3664C1A">
      <w:start w:val="1"/>
      <w:numFmt w:val="bullet"/>
      <w:lvlText w:val=""/>
      <w:lvlJc w:val="left"/>
      <w:pPr>
        <w:ind w:left="3983" w:hanging="360"/>
      </w:pPr>
      <w:rPr>
        <w:rFonts w:ascii="Wingdings" w:hAnsi="Wingdings" w:hint="default"/>
      </w:rPr>
    </w:lvl>
    <w:lvl w:ilvl="6" w:tplc="F7BEF984">
      <w:start w:val="1"/>
      <w:numFmt w:val="bullet"/>
      <w:lvlText w:val=""/>
      <w:lvlJc w:val="left"/>
      <w:pPr>
        <w:ind w:left="4703" w:hanging="360"/>
      </w:pPr>
      <w:rPr>
        <w:rFonts w:ascii="Symbol" w:hAnsi="Symbol" w:hint="default"/>
      </w:rPr>
    </w:lvl>
    <w:lvl w:ilvl="7" w:tplc="DD326B2C">
      <w:start w:val="1"/>
      <w:numFmt w:val="bullet"/>
      <w:lvlText w:val="o"/>
      <w:lvlJc w:val="left"/>
      <w:pPr>
        <w:ind w:left="5423" w:hanging="360"/>
      </w:pPr>
      <w:rPr>
        <w:rFonts w:ascii="Courier New" w:hAnsi="Courier New" w:hint="default"/>
      </w:rPr>
    </w:lvl>
    <w:lvl w:ilvl="8" w:tplc="E806D636">
      <w:start w:val="1"/>
      <w:numFmt w:val="bullet"/>
      <w:lvlText w:val=""/>
      <w:lvlJc w:val="left"/>
      <w:pPr>
        <w:ind w:left="6143" w:hanging="360"/>
      </w:pPr>
      <w:rPr>
        <w:rFonts w:ascii="Wingdings" w:hAnsi="Wingdings" w:hint="default"/>
      </w:rPr>
    </w:lvl>
  </w:abstractNum>
  <w:abstractNum w:abstractNumId="9" w15:restartNumberingAfterBreak="0">
    <w:nsid w:val="4B3C6F96"/>
    <w:multiLevelType w:val="hybridMultilevel"/>
    <w:tmpl w:val="FC8405D8"/>
    <w:lvl w:ilvl="0" w:tplc="9BC2C76A">
      <w:start w:val="1"/>
      <w:numFmt w:val="bullet"/>
      <w:lvlText w:val=""/>
      <w:lvlJc w:val="left"/>
      <w:pPr>
        <w:ind w:left="383" w:hanging="360"/>
      </w:pPr>
      <w:rPr>
        <w:rFonts w:ascii="Symbol" w:hAnsi="Symbol" w:hint="default"/>
      </w:rPr>
    </w:lvl>
    <w:lvl w:ilvl="1" w:tplc="D93A022E">
      <w:start w:val="1"/>
      <w:numFmt w:val="bullet"/>
      <w:lvlText w:val="o"/>
      <w:lvlJc w:val="left"/>
      <w:pPr>
        <w:ind w:left="1103" w:hanging="360"/>
      </w:pPr>
      <w:rPr>
        <w:rFonts w:ascii="Courier New" w:hAnsi="Courier New" w:hint="default"/>
      </w:rPr>
    </w:lvl>
    <w:lvl w:ilvl="2" w:tplc="D8EA0260">
      <w:start w:val="1"/>
      <w:numFmt w:val="bullet"/>
      <w:lvlText w:val=""/>
      <w:lvlJc w:val="left"/>
      <w:pPr>
        <w:ind w:left="1823" w:hanging="360"/>
      </w:pPr>
      <w:rPr>
        <w:rFonts w:ascii="Wingdings" w:hAnsi="Wingdings" w:hint="default"/>
      </w:rPr>
    </w:lvl>
    <w:lvl w:ilvl="3" w:tplc="75A83EE4">
      <w:start w:val="1"/>
      <w:numFmt w:val="bullet"/>
      <w:lvlText w:val=""/>
      <w:lvlJc w:val="left"/>
      <w:pPr>
        <w:ind w:left="2543" w:hanging="360"/>
      </w:pPr>
      <w:rPr>
        <w:rFonts w:ascii="Symbol" w:hAnsi="Symbol" w:hint="default"/>
      </w:rPr>
    </w:lvl>
    <w:lvl w:ilvl="4" w:tplc="2A4885C2">
      <w:start w:val="1"/>
      <w:numFmt w:val="bullet"/>
      <w:lvlText w:val="o"/>
      <w:lvlJc w:val="left"/>
      <w:pPr>
        <w:ind w:left="3263" w:hanging="360"/>
      </w:pPr>
      <w:rPr>
        <w:rFonts w:ascii="Courier New" w:hAnsi="Courier New" w:hint="default"/>
      </w:rPr>
    </w:lvl>
    <w:lvl w:ilvl="5" w:tplc="DFAC5A9A">
      <w:start w:val="1"/>
      <w:numFmt w:val="bullet"/>
      <w:lvlText w:val=""/>
      <w:lvlJc w:val="left"/>
      <w:pPr>
        <w:ind w:left="3983" w:hanging="360"/>
      </w:pPr>
      <w:rPr>
        <w:rFonts w:ascii="Wingdings" w:hAnsi="Wingdings" w:hint="default"/>
      </w:rPr>
    </w:lvl>
    <w:lvl w:ilvl="6" w:tplc="60924458">
      <w:start w:val="1"/>
      <w:numFmt w:val="bullet"/>
      <w:lvlText w:val=""/>
      <w:lvlJc w:val="left"/>
      <w:pPr>
        <w:ind w:left="4703" w:hanging="360"/>
      </w:pPr>
      <w:rPr>
        <w:rFonts w:ascii="Symbol" w:hAnsi="Symbol" w:hint="default"/>
      </w:rPr>
    </w:lvl>
    <w:lvl w:ilvl="7" w:tplc="3FFE7DAE">
      <w:start w:val="1"/>
      <w:numFmt w:val="bullet"/>
      <w:lvlText w:val="o"/>
      <w:lvlJc w:val="left"/>
      <w:pPr>
        <w:ind w:left="5423" w:hanging="360"/>
      </w:pPr>
      <w:rPr>
        <w:rFonts w:ascii="Courier New" w:hAnsi="Courier New" w:hint="default"/>
      </w:rPr>
    </w:lvl>
    <w:lvl w:ilvl="8" w:tplc="243EA4B0">
      <w:start w:val="1"/>
      <w:numFmt w:val="bullet"/>
      <w:lvlText w:val=""/>
      <w:lvlJc w:val="left"/>
      <w:pPr>
        <w:ind w:left="6143" w:hanging="360"/>
      </w:pPr>
      <w:rPr>
        <w:rFonts w:ascii="Wingdings" w:hAnsi="Wingdings" w:hint="default"/>
      </w:rPr>
    </w:lvl>
  </w:abstractNum>
  <w:abstractNum w:abstractNumId="10" w15:restartNumberingAfterBreak="0">
    <w:nsid w:val="580CFC5E"/>
    <w:multiLevelType w:val="hybridMultilevel"/>
    <w:tmpl w:val="1736BC7E"/>
    <w:lvl w:ilvl="0" w:tplc="A5DA0C90">
      <w:start w:val="2"/>
      <w:numFmt w:val="decimal"/>
      <w:lvlText w:val="%1."/>
      <w:lvlJc w:val="left"/>
      <w:pPr>
        <w:ind w:left="720" w:hanging="360"/>
      </w:pPr>
    </w:lvl>
    <w:lvl w:ilvl="1" w:tplc="4E6E5D90">
      <w:start w:val="1"/>
      <w:numFmt w:val="lowerLetter"/>
      <w:lvlText w:val="%2."/>
      <w:lvlJc w:val="left"/>
      <w:pPr>
        <w:ind w:left="1440" w:hanging="360"/>
      </w:pPr>
    </w:lvl>
    <w:lvl w:ilvl="2" w:tplc="EAFAF9BC">
      <w:start w:val="1"/>
      <w:numFmt w:val="lowerRoman"/>
      <w:lvlText w:val="%3."/>
      <w:lvlJc w:val="right"/>
      <w:pPr>
        <w:ind w:left="2160" w:hanging="180"/>
      </w:pPr>
    </w:lvl>
    <w:lvl w:ilvl="3" w:tplc="5BAE9BE4">
      <w:start w:val="1"/>
      <w:numFmt w:val="decimal"/>
      <w:lvlText w:val="%4."/>
      <w:lvlJc w:val="left"/>
      <w:pPr>
        <w:ind w:left="2880" w:hanging="360"/>
      </w:pPr>
    </w:lvl>
    <w:lvl w:ilvl="4" w:tplc="FFB80230">
      <w:start w:val="1"/>
      <w:numFmt w:val="lowerLetter"/>
      <w:lvlText w:val="%5."/>
      <w:lvlJc w:val="left"/>
      <w:pPr>
        <w:ind w:left="3600" w:hanging="360"/>
      </w:pPr>
    </w:lvl>
    <w:lvl w:ilvl="5" w:tplc="361882AA">
      <w:start w:val="1"/>
      <w:numFmt w:val="lowerRoman"/>
      <w:lvlText w:val="%6."/>
      <w:lvlJc w:val="right"/>
      <w:pPr>
        <w:ind w:left="4320" w:hanging="180"/>
      </w:pPr>
    </w:lvl>
    <w:lvl w:ilvl="6" w:tplc="4BE27552">
      <w:start w:val="1"/>
      <w:numFmt w:val="decimal"/>
      <w:lvlText w:val="%7."/>
      <w:lvlJc w:val="left"/>
      <w:pPr>
        <w:ind w:left="5040" w:hanging="360"/>
      </w:pPr>
    </w:lvl>
    <w:lvl w:ilvl="7" w:tplc="54E06C3C">
      <w:start w:val="1"/>
      <w:numFmt w:val="lowerLetter"/>
      <w:lvlText w:val="%8."/>
      <w:lvlJc w:val="left"/>
      <w:pPr>
        <w:ind w:left="5760" w:hanging="360"/>
      </w:pPr>
    </w:lvl>
    <w:lvl w:ilvl="8" w:tplc="A3C676D0">
      <w:start w:val="1"/>
      <w:numFmt w:val="lowerRoman"/>
      <w:lvlText w:val="%9."/>
      <w:lvlJc w:val="right"/>
      <w:pPr>
        <w:ind w:left="6480" w:hanging="180"/>
      </w:pPr>
    </w:lvl>
  </w:abstractNum>
  <w:abstractNum w:abstractNumId="11" w15:restartNumberingAfterBreak="0">
    <w:nsid w:val="6081DC45"/>
    <w:multiLevelType w:val="hybridMultilevel"/>
    <w:tmpl w:val="B8DA14A4"/>
    <w:lvl w:ilvl="0" w:tplc="4FC83FCE">
      <w:start w:val="1"/>
      <w:numFmt w:val="bullet"/>
      <w:lvlText w:val=""/>
      <w:lvlJc w:val="left"/>
      <w:pPr>
        <w:ind w:left="383" w:hanging="360"/>
      </w:pPr>
      <w:rPr>
        <w:rFonts w:ascii="Symbol" w:hAnsi="Symbol" w:hint="default"/>
      </w:rPr>
    </w:lvl>
    <w:lvl w:ilvl="1" w:tplc="2F9E3612">
      <w:start w:val="1"/>
      <w:numFmt w:val="bullet"/>
      <w:lvlText w:val="o"/>
      <w:lvlJc w:val="left"/>
      <w:pPr>
        <w:ind w:left="1103" w:hanging="360"/>
      </w:pPr>
      <w:rPr>
        <w:rFonts w:ascii="Courier New" w:hAnsi="Courier New" w:hint="default"/>
      </w:rPr>
    </w:lvl>
    <w:lvl w:ilvl="2" w:tplc="B7ACB7B6">
      <w:start w:val="1"/>
      <w:numFmt w:val="bullet"/>
      <w:lvlText w:val=""/>
      <w:lvlJc w:val="left"/>
      <w:pPr>
        <w:ind w:left="1823" w:hanging="360"/>
      </w:pPr>
      <w:rPr>
        <w:rFonts w:ascii="Wingdings" w:hAnsi="Wingdings" w:hint="default"/>
      </w:rPr>
    </w:lvl>
    <w:lvl w:ilvl="3" w:tplc="532C4788">
      <w:start w:val="1"/>
      <w:numFmt w:val="bullet"/>
      <w:lvlText w:val=""/>
      <w:lvlJc w:val="left"/>
      <w:pPr>
        <w:ind w:left="2543" w:hanging="360"/>
      </w:pPr>
      <w:rPr>
        <w:rFonts w:ascii="Symbol" w:hAnsi="Symbol" w:hint="default"/>
      </w:rPr>
    </w:lvl>
    <w:lvl w:ilvl="4" w:tplc="A8F40FEA">
      <w:start w:val="1"/>
      <w:numFmt w:val="bullet"/>
      <w:lvlText w:val="o"/>
      <w:lvlJc w:val="left"/>
      <w:pPr>
        <w:ind w:left="3263" w:hanging="360"/>
      </w:pPr>
      <w:rPr>
        <w:rFonts w:ascii="Courier New" w:hAnsi="Courier New" w:hint="default"/>
      </w:rPr>
    </w:lvl>
    <w:lvl w:ilvl="5" w:tplc="F17EFA54">
      <w:start w:val="1"/>
      <w:numFmt w:val="bullet"/>
      <w:lvlText w:val=""/>
      <w:lvlJc w:val="left"/>
      <w:pPr>
        <w:ind w:left="3983" w:hanging="360"/>
      </w:pPr>
      <w:rPr>
        <w:rFonts w:ascii="Wingdings" w:hAnsi="Wingdings" w:hint="default"/>
      </w:rPr>
    </w:lvl>
    <w:lvl w:ilvl="6" w:tplc="23B2BAF4">
      <w:start w:val="1"/>
      <w:numFmt w:val="bullet"/>
      <w:lvlText w:val=""/>
      <w:lvlJc w:val="left"/>
      <w:pPr>
        <w:ind w:left="4703" w:hanging="360"/>
      </w:pPr>
      <w:rPr>
        <w:rFonts w:ascii="Symbol" w:hAnsi="Symbol" w:hint="default"/>
      </w:rPr>
    </w:lvl>
    <w:lvl w:ilvl="7" w:tplc="CCC09C30">
      <w:start w:val="1"/>
      <w:numFmt w:val="bullet"/>
      <w:lvlText w:val="o"/>
      <w:lvlJc w:val="left"/>
      <w:pPr>
        <w:ind w:left="5423" w:hanging="360"/>
      </w:pPr>
      <w:rPr>
        <w:rFonts w:ascii="Courier New" w:hAnsi="Courier New" w:hint="default"/>
      </w:rPr>
    </w:lvl>
    <w:lvl w:ilvl="8" w:tplc="49BAFB44">
      <w:start w:val="1"/>
      <w:numFmt w:val="bullet"/>
      <w:lvlText w:val=""/>
      <w:lvlJc w:val="left"/>
      <w:pPr>
        <w:ind w:left="6143" w:hanging="360"/>
      </w:pPr>
      <w:rPr>
        <w:rFonts w:ascii="Wingdings" w:hAnsi="Wingdings" w:hint="default"/>
      </w:rPr>
    </w:lvl>
  </w:abstractNum>
  <w:abstractNum w:abstractNumId="12" w15:restartNumberingAfterBreak="0">
    <w:nsid w:val="61BC3CDB"/>
    <w:multiLevelType w:val="hybridMultilevel"/>
    <w:tmpl w:val="AA96E1C0"/>
    <w:lvl w:ilvl="0" w:tplc="18090001">
      <w:start w:val="1"/>
      <w:numFmt w:val="bullet"/>
      <w:lvlText w:val=""/>
      <w:lvlJc w:val="left"/>
      <w:pPr>
        <w:ind w:left="743" w:hanging="360"/>
      </w:pPr>
      <w:rPr>
        <w:rFonts w:ascii="Symbol" w:hAnsi="Symbol" w:hint="default"/>
      </w:rPr>
    </w:lvl>
    <w:lvl w:ilvl="1" w:tplc="18090003" w:tentative="1">
      <w:start w:val="1"/>
      <w:numFmt w:val="bullet"/>
      <w:lvlText w:val="o"/>
      <w:lvlJc w:val="left"/>
      <w:pPr>
        <w:ind w:left="1463" w:hanging="360"/>
      </w:pPr>
      <w:rPr>
        <w:rFonts w:ascii="Courier New" w:hAnsi="Courier New" w:cs="Courier New" w:hint="default"/>
      </w:rPr>
    </w:lvl>
    <w:lvl w:ilvl="2" w:tplc="18090005" w:tentative="1">
      <w:start w:val="1"/>
      <w:numFmt w:val="bullet"/>
      <w:lvlText w:val=""/>
      <w:lvlJc w:val="left"/>
      <w:pPr>
        <w:ind w:left="2183" w:hanging="360"/>
      </w:pPr>
      <w:rPr>
        <w:rFonts w:ascii="Wingdings" w:hAnsi="Wingdings" w:hint="default"/>
      </w:rPr>
    </w:lvl>
    <w:lvl w:ilvl="3" w:tplc="18090001" w:tentative="1">
      <w:start w:val="1"/>
      <w:numFmt w:val="bullet"/>
      <w:lvlText w:val=""/>
      <w:lvlJc w:val="left"/>
      <w:pPr>
        <w:ind w:left="2903" w:hanging="360"/>
      </w:pPr>
      <w:rPr>
        <w:rFonts w:ascii="Symbol" w:hAnsi="Symbol" w:hint="default"/>
      </w:rPr>
    </w:lvl>
    <w:lvl w:ilvl="4" w:tplc="18090003" w:tentative="1">
      <w:start w:val="1"/>
      <w:numFmt w:val="bullet"/>
      <w:lvlText w:val="o"/>
      <w:lvlJc w:val="left"/>
      <w:pPr>
        <w:ind w:left="3623" w:hanging="360"/>
      </w:pPr>
      <w:rPr>
        <w:rFonts w:ascii="Courier New" w:hAnsi="Courier New" w:cs="Courier New" w:hint="default"/>
      </w:rPr>
    </w:lvl>
    <w:lvl w:ilvl="5" w:tplc="18090005" w:tentative="1">
      <w:start w:val="1"/>
      <w:numFmt w:val="bullet"/>
      <w:lvlText w:val=""/>
      <w:lvlJc w:val="left"/>
      <w:pPr>
        <w:ind w:left="4343" w:hanging="360"/>
      </w:pPr>
      <w:rPr>
        <w:rFonts w:ascii="Wingdings" w:hAnsi="Wingdings" w:hint="default"/>
      </w:rPr>
    </w:lvl>
    <w:lvl w:ilvl="6" w:tplc="18090001" w:tentative="1">
      <w:start w:val="1"/>
      <w:numFmt w:val="bullet"/>
      <w:lvlText w:val=""/>
      <w:lvlJc w:val="left"/>
      <w:pPr>
        <w:ind w:left="5063" w:hanging="360"/>
      </w:pPr>
      <w:rPr>
        <w:rFonts w:ascii="Symbol" w:hAnsi="Symbol" w:hint="default"/>
      </w:rPr>
    </w:lvl>
    <w:lvl w:ilvl="7" w:tplc="18090003" w:tentative="1">
      <w:start w:val="1"/>
      <w:numFmt w:val="bullet"/>
      <w:lvlText w:val="o"/>
      <w:lvlJc w:val="left"/>
      <w:pPr>
        <w:ind w:left="5783" w:hanging="360"/>
      </w:pPr>
      <w:rPr>
        <w:rFonts w:ascii="Courier New" w:hAnsi="Courier New" w:cs="Courier New" w:hint="default"/>
      </w:rPr>
    </w:lvl>
    <w:lvl w:ilvl="8" w:tplc="18090005" w:tentative="1">
      <w:start w:val="1"/>
      <w:numFmt w:val="bullet"/>
      <w:lvlText w:val=""/>
      <w:lvlJc w:val="left"/>
      <w:pPr>
        <w:ind w:left="6503" w:hanging="360"/>
      </w:pPr>
      <w:rPr>
        <w:rFonts w:ascii="Wingdings" w:hAnsi="Wingdings" w:hint="default"/>
      </w:rPr>
    </w:lvl>
  </w:abstractNum>
  <w:abstractNum w:abstractNumId="13" w15:restartNumberingAfterBreak="0">
    <w:nsid w:val="64486F03"/>
    <w:multiLevelType w:val="hybridMultilevel"/>
    <w:tmpl w:val="E508FD8E"/>
    <w:lvl w:ilvl="0" w:tplc="4BC2A7CC">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8985046"/>
    <w:multiLevelType w:val="hybridMultilevel"/>
    <w:tmpl w:val="0F3A6CE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6C05ABC7"/>
    <w:multiLevelType w:val="hybridMultilevel"/>
    <w:tmpl w:val="97843E62"/>
    <w:lvl w:ilvl="0" w:tplc="9F0E7F60">
      <w:start w:val="1"/>
      <w:numFmt w:val="bullet"/>
      <w:lvlText w:val=""/>
      <w:lvlJc w:val="left"/>
      <w:pPr>
        <w:ind w:left="383" w:hanging="360"/>
      </w:pPr>
      <w:rPr>
        <w:rFonts w:ascii="Symbol" w:hAnsi="Symbol" w:hint="default"/>
      </w:rPr>
    </w:lvl>
    <w:lvl w:ilvl="1" w:tplc="2A66E6FE">
      <w:start w:val="1"/>
      <w:numFmt w:val="bullet"/>
      <w:lvlText w:val="o"/>
      <w:lvlJc w:val="left"/>
      <w:pPr>
        <w:ind w:left="1103" w:hanging="360"/>
      </w:pPr>
      <w:rPr>
        <w:rFonts w:ascii="Courier New" w:hAnsi="Courier New" w:hint="default"/>
      </w:rPr>
    </w:lvl>
    <w:lvl w:ilvl="2" w:tplc="4AD07004">
      <w:start w:val="1"/>
      <w:numFmt w:val="bullet"/>
      <w:lvlText w:val=""/>
      <w:lvlJc w:val="left"/>
      <w:pPr>
        <w:ind w:left="1823" w:hanging="360"/>
      </w:pPr>
      <w:rPr>
        <w:rFonts w:ascii="Wingdings" w:hAnsi="Wingdings" w:hint="default"/>
      </w:rPr>
    </w:lvl>
    <w:lvl w:ilvl="3" w:tplc="E1784996">
      <w:start w:val="1"/>
      <w:numFmt w:val="bullet"/>
      <w:lvlText w:val=""/>
      <w:lvlJc w:val="left"/>
      <w:pPr>
        <w:ind w:left="2543" w:hanging="360"/>
      </w:pPr>
      <w:rPr>
        <w:rFonts w:ascii="Symbol" w:hAnsi="Symbol" w:hint="default"/>
      </w:rPr>
    </w:lvl>
    <w:lvl w:ilvl="4" w:tplc="5F522506">
      <w:start w:val="1"/>
      <w:numFmt w:val="bullet"/>
      <w:lvlText w:val="o"/>
      <w:lvlJc w:val="left"/>
      <w:pPr>
        <w:ind w:left="3263" w:hanging="360"/>
      </w:pPr>
      <w:rPr>
        <w:rFonts w:ascii="Courier New" w:hAnsi="Courier New" w:hint="default"/>
      </w:rPr>
    </w:lvl>
    <w:lvl w:ilvl="5" w:tplc="CAF49A0A">
      <w:start w:val="1"/>
      <w:numFmt w:val="bullet"/>
      <w:lvlText w:val=""/>
      <w:lvlJc w:val="left"/>
      <w:pPr>
        <w:ind w:left="3983" w:hanging="360"/>
      </w:pPr>
      <w:rPr>
        <w:rFonts w:ascii="Wingdings" w:hAnsi="Wingdings" w:hint="default"/>
      </w:rPr>
    </w:lvl>
    <w:lvl w:ilvl="6" w:tplc="0C021FE2">
      <w:start w:val="1"/>
      <w:numFmt w:val="bullet"/>
      <w:lvlText w:val=""/>
      <w:lvlJc w:val="left"/>
      <w:pPr>
        <w:ind w:left="4703" w:hanging="360"/>
      </w:pPr>
      <w:rPr>
        <w:rFonts w:ascii="Symbol" w:hAnsi="Symbol" w:hint="default"/>
      </w:rPr>
    </w:lvl>
    <w:lvl w:ilvl="7" w:tplc="A3E056B4">
      <w:start w:val="1"/>
      <w:numFmt w:val="bullet"/>
      <w:lvlText w:val="o"/>
      <w:lvlJc w:val="left"/>
      <w:pPr>
        <w:ind w:left="5423" w:hanging="360"/>
      </w:pPr>
      <w:rPr>
        <w:rFonts w:ascii="Courier New" w:hAnsi="Courier New" w:hint="default"/>
      </w:rPr>
    </w:lvl>
    <w:lvl w:ilvl="8" w:tplc="90C8F40A">
      <w:start w:val="1"/>
      <w:numFmt w:val="bullet"/>
      <w:lvlText w:val=""/>
      <w:lvlJc w:val="left"/>
      <w:pPr>
        <w:ind w:left="6143" w:hanging="360"/>
      </w:pPr>
      <w:rPr>
        <w:rFonts w:ascii="Wingdings" w:hAnsi="Wingdings" w:hint="default"/>
      </w:rPr>
    </w:lvl>
  </w:abstractNum>
  <w:abstractNum w:abstractNumId="16" w15:restartNumberingAfterBreak="0">
    <w:nsid w:val="756B53F0"/>
    <w:multiLevelType w:val="hybridMultilevel"/>
    <w:tmpl w:val="54D835A2"/>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6E91C8E"/>
    <w:multiLevelType w:val="hybridMultilevel"/>
    <w:tmpl w:val="5D90ED18"/>
    <w:lvl w:ilvl="0" w:tplc="DC7ADC9E">
      <w:start w:val="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num w:numId="1">
    <w:abstractNumId w:val="3"/>
  </w:num>
  <w:num w:numId="2">
    <w:abstractNumId w:val="10"/>
  </w:num>
  <w:num w:numId="3">
    <w:abstractNumId w:val="11"/>
  </w:num>
  <w:num w:numId="4">
    <w:abstractNumId w:val="15"/>
  </w:num>
  <w:num w:numId="5">
    <w:abstractNumId w:val="1"/>
  </w:num>
  <w:num w:numId="6">
    <w:abstractNumId w:val="9"/>
  </w:num>
  <w:num w:numId="7">
    <w:abstractNumId w:val="8"/>
  </w:num>
  <w:num w:numId="8">
    <w:abstractNumId w:val="5"/>
  </w:num>
  <w:num w:numId="9">
    <w:abstractNumId w:val="7"/>
  </w:num>
  <w:num w:numId="10">
    <w:abstractNumId w:val="0"/>
  </w:num>
  <w:num w:numId="11">
    <w:abstractNumId w:val="2"/>
  </w:num>
  <w:num w:numId="12">
    <w:abstractNumId w:val="17"/>
  </w:num>
  <w:num w:numId="13">
    <w:abstractNumId w:val="12"/>
  </w:num>
  <w:num w:numId="14">
    <w:abstractNumId w:val="6"/>
  </w:num>
  <w:num w:numId="15">
    <w:abstractNumId w:val="4"/>
  </w:num>
  <w:num w:numId="16">
    <w:abstractNumId w:val="13"/>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A5B172C-0FDF-44D9-B010-19976CDEC0FC"/>
    <w:docVar w:name="LW_COVERPAGE_TYPE" w:val="1"/>
    <w:docVar w:name="LW_CROSSREFERENCE" w:val="&lt;UNUSED&gt;"/>
    <w:docVar w:name="LW_DocType" w:val="NORMAL"/>
    <w:docVar w:name="LW_EMISSION" w:val="16.6.2026"/>
    <w:docVar w:name="LW_EMISSION_ISODATE" w:val="2026-06-16"/>
    <w:docVar w:name="LW_EMISSION_LOCATION" w:val="STR"/>
    <w:docVar w:name="LW_EMISSION_PREFIX" w:val="Strasbourg, "/>
    <w:docVar w:name="LW_EMISSION_SUFFIX" w:val=" "/>
    <w:docVar w:name="LW_ID_DOCTYPE_NONLW" w:val="CP-00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41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ini\u539?iativa cet\u259?\u539?eneasc\u259? european\u259? (ICE) intitulat\u259? \u8222?Stop Destroying Videogames\u8221? (\u8222?Stop distrugerii jocurilor video!\u8221?)&lt;/FMT&gt;_x000d__x000d__x000b_"/>
    <w:docVar w:name="LW_TYPE.DOC.CP" w:val="COMUNICARE A COMISIEI"/>
    <w:docVar w:name="LW_TYPE.DOC.CP.USERTEXT" w:val="&lt;EMPTY&gt;"/>
    <w:docVar w:name="LwApiVersions" w:val="LW4CoDe 1.24.5.0; LW 9.2, Build 20251112"/>
  </w:docVars>
  <w:rsids>
    <w:rsidRoot w:val="000242DE"/>
    <w:rsid w:val="000004E3"/>
    <w:rsid w:val="000010F2"/>
    <w:rsid w:val="000013B1"/>
    <w:rsid w:val="000014E2"/>
    <w:rsid w:val="00001B3C"/>
    <w:rsid w:val="0000273D"/>
    <w:rsid w:val="00002744"/>
    <w:rsid w:val="000038A6"/>
    <w:rsid w:val="00003C3E"/>
    <w:rsid w:val="000041C8"/>
    <w:rsid w:val="00004522"/>
    <w:rsid w:val="00004631"/>
    <w:rsid w:val="000047F3"/>
    <w:rsid w:val="0000529E"/>
    <w:rsid w:val="0000557C"/>
    <w:rsid w:val="000059C2"/>
    <w:rsid w:val="00005AE8"/>
    <w:rsid w:val="00006269"/>
    <w:rsid w:val="000068B1"/>
    <w:rsid w:val="00006A2E"/>
    <w:rsid w:val="00006E07"/>
    <w:rsid w:val="00006EEC"/>
    <w:rsid w:val="00007323"/>
    <w:rsid w:val="00007457"/>
    <w:rsid w:val="00007DF6"/>
    <w:rsid w:val="0001022E"/>
    <w:rsid w:val="00010349"/>
    <w:rsid w:val="00010FCD"/>
    <w:rsid w:val="000114B7"/>
    <w:rsid w:val="00011574"/>
    <w:rsid w:val="00011933"/>
    <w:rsid w:val="00011B9F"/>
    <w:rsid w:val="00011F08"/>
    <w:rsid w:val="000122F9"/>
    <w:rsid w:val="0001260E"/>
    <w:rsid w:val="00012E76"/>
    <w:rsid w:val="00013365"/>
    <w:rsid w:val="00013405"/>
    <w:rsid w:val="0001373D"/>
    <w:rsid w:val="00013A0F"/>
    <w:rsid w:val="00013CF3"/>
    <w:rsid w:val="0001432F"/>
    <w:rsid w:val="0001459F"/>
    <w:rsid w:val="000152C3"/>
    <w:rsid w:val="00015488"/>
    <w:rsid w:val="00015D7E"/>
    <w:rsid w:val="00015F7C"/>
    <w:rsid w:val="000164D4"/>
    <w:rsid w:val="000166E2"/>
    <w:rsid w:val="00016DEC"/>
    <w:rsid w:val="00016E87"/>
    <w:rsid w:val="000171E6"/>
    <w:rsid w:val="000174BC"/>
    <w:rsid w:val="00020474"/>
    <w:rsid w:val="000208F3"/>
    <w:rsid w:val="00020D19"/>
    <w:rsid w:val="00021371"/>
    <w:rsid w:val="000215AD"/>
    <w:rsid w:val="0002172F"/>
    <w:rsid w:val="0002173C"/>
    <w:rsid w:val="00021801"/>
    <w:rsid w:val="00021A1B"/>
    <w:rsid w:val="00022573"/>
    <w:rsid w:val="00022BA7"/>
    <w:rsid w:val="00023045"/>
    <w:rsid w:val="000234D6"/>
    <w:rsid w:val="0002369F"/>
    <w:rsid w:val="000237C6"/>
    <w:rsid w:val="000242DE"/>
    <w:rsid w:val="000242E7"/>
    <w:rsid w:val="00024304"/>
    <w:rsid w:val="000250FF"/>
    <w:rsid w:val="00025431"/>
    <w:rsid w:val="000254C2"/>
    <w:rsid w:val="000258CB"/>
    <w:rsid w:val="00026493"/>
    <w:rsid w:val="000271A9"/>
    <w:rsid w:val="00030777"/>
    <w:rsid w:val="00030BF2"/>
    <w:rsid w:val="00030EF7"/>
    <w:rsid w:val="000317C1"/>
    <w:rsid w:val="00031A20"/>
    <w:rsid w:val="00031B6C"/>
    <w:rsid w:val="000326F0"/>
    <w:rsid w:val="000327FB"/>
    <w:rsid w:val="00032F1D"/>
    <w:rsid w:val="000334E1"/>
    <w:rsid w:val="000335E5"/>
    <w:rsid w:val="00033C63"/>
    <w:rsid w:val="00034522"/>
    <w:rsid w:val="00034780"/>
    <w:rsid w:val="00034A25"/>
    <w:rsid w:val="00034F02"/>
    <w:rsid w:val="00035009"/>
    <w:rsid w:val="000353C8"/>
    <w:rsid w:val="0003603D"/>
    <w:rsid w:val="000362B9"/>
    <w:rsid w:val="00036661"/>
    <w:rsid w:val="000368C1"/>
    <w:rsid w:val="00037490"/>
    <w:rsid w:val="00037663"/>
    <w:rsid w:val="00037BA9"/>
    <w:rsid w:val="00037EF8"/>
    <w:rsid w:val="00037F28"/>
    <w:rsid w:val="000402BD"/>
    <w:rsid w:val="00040731"/>
    <w:rsid w:val="000409C5"/>
    <w:rsid w:val="00041004"/>
    <w:rsid w:val="00041235"/>
    <w:rsid w:val="000413D3"/>
    <w:rsid w:val="0004242D"/>
    <w:rsid w:val="000429FB"/>
    <w:rsid w:val="00042A4C"/>
    <w:rsid w:val="00042B23"/>
    <w:rsid w:val="00042C4B"/>
    <w:rsid w:val="000430C4"/>
    <w:rsid w:val="000432CA"/>
    <w:rsid w:val="000442EF"/>
    <w:rsid w:val="000449D8"/>
    <w:rsid w:val="0004533E"/>
    <w:rsid w:val="00045473"/>
    <w:rsid w:val="00045765"/>
    <w:rsid w:val="00045A79"/>
    <w:rsid w:val="00045CC9"/>
    <w:rsid w:val="0004655F"/>
    <w:rsid w:val="00046F19"/>
    <w:rsid w:val="00047599"/>
    <w:rsid w:val="00050242"/>
    <w:rsid w:val="000509EE"/>
    <w:rsid w:val="00050CFB"/>
    <w:rsid w:val="0005210D"/>
    <w:rsid w:val="000525D2"/>
    <w:rsid w:val="00052BB8"/>
    <w:rsid w:val="00053732"/>
    <w:rsid w:val="000540B2"/>
    <w:rsid w:val="00054E7C"/>
    <w:rsid w:val="00055021"/>
    <w:rsid w:val="000551AB"/>
    <w:rsid w:val="0005530B"/>
    <w:rsid w:val="00055392"/>
    <w:rsid w:val="00055A34"/>
    <w:rsid w:val="00055B34"/>
    <w:rsid w:val="000566E3"/>
    <w:rsid w:val="0005752D"/>
    <w:rsid w:val="000575EA"/>
    <w:rsid w:val="000576AD"/>
    <w:rsid w:val="000576B6"/>
    <w:rsid w:val="000576C9"/>
    <w:rsid w:val="000579BB"/>
    <w:rsid w:val="000600C6"/>
    <w:rsid w:val="000608F7"/>
    <w:rsid w:val="00060A22"/>
    <w:rsid w:val="00060BC0"/>
    <w:rsid w:val="00060C54"/>
    <w:rsid w:val="000617F1"/>
    <w:rsid w:val="00061991"/>
    <w:rsid w:val="00061A47"/>
    <w:rsid w:val="00061AC2"/>
    <w:rsid w:val="00062642"/>
    <w:rsid w:val="0006381C"/>
    <w:rsid w:val="00063F5B"/>
    <w:rsid w:val="00064965"/>
    <w:rsid w:val="00064BDD"/>
    <w:rsid w:val="00065684"/>
    <w:rsid w:val="00065A8E"/>
    <w:rsid w:val="00065B30"/>
    <w:rsid w:val="00066115"/>
    <w:rsid w:val="00066557"/>
    <w:rsid w:val="000669DC"/>
    <w:rsid w:val="00066EB4"/>
    <w:rsid w:val="000674FC"/>
    <w:rsid w:val="00067507"/>
    <w:rsid w:val="00070A27"/>
    <w:rsid w:val="000719C7"/>
    <w:rsid w:val="00071B7D"/>
    <w:rsid w:val="00071E72"/>
    <w:rsid w:val="00071FC7"/>
    <w:rsid w:val="00072047"/>
    <w:rsid w:val="00072115"/>
    <w:rsid w:val="0007221E"/>
    <w:rsid w:val="0007242F"/>
    <w:rsid w:val="00072467"/>
    <w:rsid w:val="0007269B"/>
    <w:rsid w:val="0007278C"/>
    <w:rsid w:val="00072A22"/>
    <w:rsid w:val="00072BE9"/>
    <w:rsid w:val="00072DF1"/>
    <w:rsid w:val="00072E32"/>
    <w:rsid w:val="00072F69"/>
    <w:rsid w:val="00073258"/>
    <w:rsid w:val="00073383"/>
    <w:rsid w:val="0007351D"/>
    <w:rsid w:val="00074647"/>
    <w:rsid w:val="000748EC"/>
    <w:rsid w:val="00074A7B"/>
    <w:rsid w:val="00075398"/>
    <w:rsid w:val="00075EAB"/>
    <w:rsid w:val="000764AB"/>
    <w:rsid w:val="00076B93"/>
    <w:rsid w:val="00076EC6"/>
    <w:rsid w:val="00076F4B"/>
    <w:rsid w:val="00077075"/>
    <w:rsid w:val="000771CA"/>
    <w:rsid w:val="000775BA"/>
    <w:rsid w:val="00077EFB"/>
    <w:rsid w:val="000809BF"/>
    <w:rsid w:val="00080A0E"/>
    <w:rsid w:val="0008257D"/>
    <w:rsid w:val="0008281A"/>
    <w:rsid w:val="00082993"/>
    <w:rsid w:val="00082DEB"/>
    <w:rsid w:val="000830E5"/>
    <w:rsid w:val="000831E0"/>
    <w:rsid w:val="0008334E"/>
    <w:rsid w:val="000837E1"/>
    <w:rsid w:val="00084687"/>
    <w:rsid w:val="00084868"/>
    <w:rsid w:val="0008492F"/>
    <w:rsid w:val="00084AF9"/>
    <w:rsid w:val="00084D04"/>
    <w:rsid w:val="00085BBF"/>
    <w:rsid w:val="00086756"/>
    <w:rsid w:val="000869E6"/>
    <w:rsid w:val="00087F4A"/>
    <w:rsid w:val="00090134"/>
    <w:rsid w:val="00090AC3"/>
    <w:rsid w:val="00090FBA"/>
    <w:rsid w:val="00091BB3"/>
    <w:rsid w:val="000926B8"/>
    <w:rsid w:val="00092B5B"/>
    <w:rsid w:val="00092D1E"/>
    <w:rsid w:val="00092DB2"/>
    <w:rsid w:val="0009351D"/>
    <w:rsid w:val="00093905"/>
    <w:rsid w:val="00093C7A"/>
    <w:rsid w:val="00093F39"/>
    <w:rsid w:val="00094671"/>
    <w:rsid w:val="00094887"/>
    <w:rsid w:val="00094918"/>
    <w:rsid w:val="00094E15"/>
    <w:rsid w:val="00095298"/>
    <w:rsid w:val="00095BC3"/>
    <w:rsid w:val="00095C1E"/>
    <w:rsid w:val="0009627B"/>
    <w:rsid w:val="000967CB"/>
    <w:rsid w:val="000976AF"/>
    <w:rsid w:val="00097748"/>
    <w:rsid w:val="00097E5A"/>
    <w:rsid w:val="000A043B"/>
    <w:rsid w:val="000A05FF"/>
    <w:rsid w:val="000A0B8F"/>
    <w:rsid w:val="000A1498"/>
    <w:rsid w:val="000A191A"/>
    <w:rsid w:val="000A1E16"/>
    <w:rsid w:val="000A2734"/>
    <w:rsid w:val="000A2980"/>
    <w:rsid w:val="000A2FD6"/>
    <w:rsid w:val="000A3493"/>
    <w:rsid w:val="000A4934"/>
    <w:rsid w:val="000A58E9"/>
    <w:rsid w:val="000A5E76"/>
    <w:rsid w:val="000A6269"/>
    <w:rsid w:val="000A7082"/>
    <w:rsid w:val="000A7238"/>
    <w:rsid w:val="000A74CB"/>
    <w:rsid w:val="000A7872"/>
    <w:rsid w:val="000A78B6"/>
    <w:rsid w:val="000A7BEA"/>
    <w:rsid w:val="000A7C44"/>
    <w:rsid w:val="000B01D2"/>
    <w:rsid w:val="000B03C9"/>
    <w:rsid w:val="000B04AB"/>
    <w:rsid w:val="000B062E"/>
    <w:rsid w:val="000B0CDA"/>
    <w:rsid w:val="000B10A0"/>
    <w:rsid w:val="000B11C1"/>
    <w:rsid w:val="000B1489"/>
    <w:rsid w:val="000B15DF"/>
    <w:rsid w:val="000B2C8F"/>
    <w:rsid w:val="000B344E"/>
    <w:rsid w:val="000B3AB5"/>
    <w:rsid w:val="000B3CEC"/>
    <w:rsid w:val="000B4F69"/>
    <w:rsid w:val="000B5029"/>
    <w:rsid w:val="000B569C"/>
    <w:rsid w:val="000B5B45"/>
    <w:rsid w:val="000B5D32"/>
    <w:rsid w:val="000B5E89"/>
    <w:rsid w:val="000B611B"/>
    <w:rsid w:val="000B704D"/>
    <w:rsid w:val="000B7470"/>
    <w:rsid w:val="000B7C81"/>
    <w:rsid w:val="000BAFC1"/>
    <w:rsid w:val="000C09AF"/>
    <w:rsid w:val="000C1428"/>
    <w:rsid w:val="000C161C"/>
    <w:rsid w:val="000C16F9"/>
    <w:rsid w:val="000C4125"/>
    <w:rsid w:val="000C4CA9"/>
    <w:rsid w:val="000C5191"/>
    <w:rsid w:val="000C5372"/>
    <w:rsid w:val="000C5664"/>
    <w:rsid w:val="000C6C87"/>
    <w:rsid w:val="000C77E9"/>
    <w:rsid w:val="000C7C46"/>
    <w:rsid w:val="000C7D7B"/>
    <w:rsid w:val="000D09F0"/>
    <w:rsid w:val="000D0B97"/>
    <w:rsid w:val="000D0BCB"/>
    <w:rsid w:val="000D0C61"/>
    <w:rsid w:val="000D11BA"/>
    <w:rsid w:val="000D1ADB"/>
    <w:rsid w:val="000D1AFA"/>
    <w:rsid w:val="000D1DF5"/>
    <w:rsid w:val="000D2812"/>
    <w:rsid w:val="000D2CAF"/>
    <w:rsid w:val="000D2CD1"/>
    <w:rsid w:val="000D30AF"/>
    <w:rsid w:val="000D30D9"/>
    <w:rsid w:val="000D314B"/>
    <w:rsid w:val="000D345B"/>
    <w:rsid w:val="000D39A2"/>
    <w:rsid w:val="000D43DF"/>
    <w:rsid w:val="000D4552"/>
    <w:rsid w:val="000D4A0E"/>
    <w:rsid w:val="000D4C59"/>
    <w:rsid w:val="000D54B3"/>
    <w:rsid w:val="000D5C11"/>
    <w:rsid w:val="000D5F90"/>
    <w:rsid w:val="000D64AC"/>
    <w:rsid w:val="000D6B4D"/>
    <w:rsid w:val="000D72CB"/>
    <w:rsid w:val="000D733C"/>
    <w:rsid w:val="000D758A"/>
    <w:rsid w:val="000D77A3"/>
    <w:rsid w:val="000D7984"/>
    <w:rsid w:val="000D7CEC"/>
    <w:rsid w:val="000D7EBD"/>
    <w:rsid w:val="000D7F9D"/>
    <w:rsid w:val="000E01AA"/>
    <w:rsid w:val="000E0752"/>
    <w:rsid w:val="000E0E62"/>
    <w:rsid w:val="000E0E88"/>
    <w:rsid w:val="000E16FA"/>
    <w:rsid w:val="000E1863"/>
    <w:rsid w:val="000E1A59"/>
    <w:rsid w:val="000E20F9"/>
    <w:rsid w:val="000E2DBE"/>
    <w:rsid w:val="000E334E"/>
    <w:rsid w:val="000E3879"/>
    <w:rsid w:val="000E3AAE"/>
    <w:rsid w:val="000E4294"/>
    <w:rsid w:val="000E43B0"/>
    <w:rsid w:val="000E490E"/>
    <w:rsid w:val="000E4F4B"/>
    <w:rsid w:val="000E5CAA"/>
    <w:rsid w:val="000E5DA9"/>
    <w:rsid w:val="000E6115"/>
    <w:rsid w:val="000E6901"/>
    <w:rsid w:val="000E6AB5"/>
    <w:rsid w:val="000E6CAA"/>
    <w:rsid w:val="000E7151"/>
    <w:rsid w:val="000E7B80"/>
    <w:rsid w:val="000E7D57"/>
    <w:rsid w:val="000F08D9"/>
    <w:rsid w:val="000F14E3"/>
    <w:rsid w:val="000F1921"/>
    <w:rsid w:val="000F2CBA"/>
    <w:rsid w:val="000F3A62"/>
    <w:rsid w:val="000F3CAD"/>
    <w:rsid w:val="000F3D8A"/>
    <w:rsid w:val="000F4EC3"/>
    <w:rsid w:val="000F5AC0"/>
    <w:rsid w:val="000F5EBC"/>
    <w:rsid w:val="000F638E"/>
    <w:rsid w:val="000F68AF"/>
    <w:rsid w:val="000F77D6"/>
    <w:rsid w:val="000F79BC"/>
    <w:rsid w:val="0010007B"/>
    <w:rsid w:val="0010017A"/>
    <w:rsid w:val="001005FD"/>
    <w:rsid w:val="0010094E"/>
    <w:rsid w:val="00100C89"/>
    <w:rsid w:val="00101971"/>
    <w:rsid w:val="00102B46"/>
    <w:rsid w:val="00102D58"/>
    <w:rsid w:val="00103026"/>
    <w:rsid w:val="001034A8"/>
    <w:rsid w:val="00103A2B"/>
    <w:rsid w:val="00103D32"/>
    <w:rsid w:val="00104320"/>
    <w:rsid w:val="00104562"/>
    <w:rsid w:val="00104736"/>
    <w:rsid w:val="00104B30"/>
    <w:rsid w:val="0010504C"/>
    <w:rsid w:val="001050FA"/>
    <w:rsid w:val="00105DE4"/>
    <w:rsid w:val="0010670F"/>
    <w:rsid w:val="00107615"/>
    <w:rsid w:val="001109AB"/>
    <w:rsid w:val="00110AD0"/>
    <w:rsid w:val="00110E9C"/>
    <w:rsid w:val="00111AE8"/>
    <w:rsid w:val="00111BC9"/>
    <w:rsid w:val="00111FDC"/>
    <w:rsid w:val="0011343F"/>
    <w:rsid w:val="001134EE"/>
    <w:rsid w:val="00113BEB"/>
    <w:rsid w:val="00113F2D"/>
    <w:rsid w:val="00113F91"/>
    <w:rsid w:val="00114AAA"/>
    <w:rsid w:val="00115114"/>
    <w:rsid w:val="0011552D"/>
    <w:rsid w:val="001158F7"/>
    <w:rsid w:val="00115AD1"/>
    <w:rsid w:val="00116260"/>
    <w:rsid w:val="00116A71"/>
    <w:rsid w:val="00116C72"/>
    <w:rsid w:val="001202CD"/>
    <w:rsid w:val="00120DB2"/>
    <w:rsid w:val="00121039"/>
    <w:rsid w:val="001216E8"/>
    <w:rsid w:val="00121BFA"/>
    <w:rsid w:val="00121DD4"/>
    <w:rsid w:val="0012232F"/>
    <w:rsid w:val="001225DF"/>
    <w:rsid w:val="001227DD"/>
    <w:rsid w:val="00122BED"/>
    <w:rsid w:val="00122CC8"/>
    <w:rsid w:val="00122D69"/>
    <w:rsid w:val="00122E80"/>
    <w:rsid w:val="00123046"/>
    <w:rsid w:val="00124371"/>
    <w:rsid w:val="001249BB"/>
    <w:rsid w:val="00124B53"/>
    <w:rsid w:val="00124B61"/>
    <w:rsid w:val="00125561"/>
    <w:rsid w:val="00125664"/>
    <w:rsid w:val="00126003"/>
    <w:rsid w:val="00126444"/>
    <w:rsid w:val="00126AE8"/>
    <w:rsid w:val="0012739B"/>
    <w:rsid w:val="001274DB"/>
    <w:rsid w:val="001275A6"/>
    <w:rsid w:val="001278CE"/>
    <w:rsid w:val="0012F820"/>
    <w:rsid w:val="00130A9E"/>
    <w:rsid w:val="00130C69"/>
    <w:rsid w:val="00130E47"/>
    <w:rsid w:val="00130ECC"/>
    <w:rsid w:val="00131236"/>
    <w:rsid w:val="001313F0"/>
    <w:rsid w:val="0013182A"/>
    <w:rsid w:val="0013297B"/>
    <w:rsid w:val="0013311B"/>
    <w:rsid w:val="00133471"/>
    <w:rsid w:val="00133924"/>
    <w:rsid w:val="00134AF4"/>
    <w:rsid w:val="00134B87"/>
    <w:rsid w:val="00135013"/>
    <w:rsid w:val="00135325"/>
    <w:rsid w:val="0013550A"/>
    <w:rsid w:val="0013558C"/>
    <w:rsid w:val="00135637"/>
    <w:rsid w:val="001356ED"/>
    <w:rsid w:val="0013596A"/>
    <w:rsid w:val="00135B79"/>
    <w:rsid w:val="00135BEE"/>
    <w:rsid w:val="001364DC"/>
    <w:rsid w:val="0013668E"/>
    <w:rsid w:val="00136892"/>
    <w:rsid w:val="00136CF9"/>
    <w:rsid w:val="0013798B"/>
    <w:rsid w:val="00137A59"/>
    <w:rsid w:val="00137E83"/>
    <w:rsid w:val="0013850E"/>
    <w:rsid w:val="00140858"/>
    <w:rsid w:val="001409A4"/>
    <w:rsid w:val="00140A50"/>
    <w:rsid w:val="001413CD"/>
    <w:rsid w:val="001414D6"/>
    <w:rsid w:val="00141558"/>
    <w:rsid w:val="001415BA"/>
    <w:rsid w:val="00142443"/>
    <w:rsid w:val="00142CBD"/>
    <w:rsid w:val="00142F46"/>
    <w:rsid w:val="00142F53"/>
    <w:rsid w:val="001430F7"/>
    <w:rsid w:val="0014337C"/>
    <w:rsid w:val="00143AA7"/>
    <w:rsid w:val="001445A5"/>
    <w:rsid w:val="00144704"/>
    <w:rsid w:val="0014496B"/>
    <w:rsid w:val="001452EF"/>
    <w:rsid w:val="0014531D"/>
    <w:rsid w:val="00145428"/>
    <w:rsid w:val="00145719"/>
    <w:rsid w:val="00145E4E"/>
    <w:rsid w:val="0014608F"/>
    <w:rsid w:val="001466CB"/>
    <w:rsid w:val="001468FA"/>
    <w:rsid w:val="00147311"/>
    <w:rsid w:val="00150379"/>
    <w:rsid w:val="0015061D"/>
    <w:rsid w:val="001509BF"/>
    <w:rsid w:val="00150C6B"/>
    <w:rsid w:val="001514C5"/>
    <w:rsid w:val="00151B03"/>
    <w:rsid w:val="00151B82"/>
    <w:rsid w:val="00151CA5"/>
    <w:rsid w:val="00152479"/>
    <w:rsid w:val="00152926"/>
    <w:rsid w:val="001529F0"/>
    <w:rsid w:val="00152A08"/>
    <w:rsid w:val="00152FFA"/>
    <w:rsid w:val="0015301F"/>
    <w:rsid w:val="00154115"/>
    <w:rsid w:val="0015479E"/>
    <w:rsid w:val="001547B1"/>
    <w:rsid w:val="0015492E"/>
    <w:rsid w:val="0015499C"/>
    <w:rsid w:val="00154D47"/>
    <w:rsid w:val="001552E9"/>
    <w:rsid w:val="00155612"/>
    <w:rsid w:val="00155D27"/>
    <w:rsid w:val="00155F2A"/>
    <w:rsid w:val="00156044"/>
    <w:rsid w:val="001566E9"/>
    <w:rsid w:val="001566F7"/>
    <w:rsid w:val="00156AC3"/>
    <w:rsid w:val="00156F24"/>
    <w:rsid w:val="001570F5"/>
    <w:rsid w:val="00157764"/>
    <w:rsid w:val="00157C02"/>
    <w:rsid w:val="00160423"/>
    <w:rsid w:val="001607A8"/>
    <w:rsid w:val="00160D00"/>
    <w:rsid w:val="00160E55"/>
    <w:rsid w:val="00160F35"/>
    <w:rsid w:val="001619E9"/>
    <w:rsid w:val="00161D0D"/>
    <w:rsid w:val="0016262C"/>
    <w:rsid w:val="00162A36"/>
    <w:rsid w:val="00162CFE"/>
    <w:rsid w:val="00163047"/>
    <w:rsid w:val="001632C2"/>
    <w:rsid w:val="0016371C"/>
    <w:rsid w:val="0016390F"/>
    <w:rsid w:val="00163C24"/>
    <w:rsid w:val="00164055"/>
    <w:rsid w:val="0016405A"/>
    <w:rsid w:val="001643BE"/>
    <w:rsid w:val="001649D4"/>
    <w:rsid w:val="001652E3"/>
    <w:rsid w:val="001652E8"/>
    <w:rsid w:val="00165A1F"/>
    <w:rsid w:val="00165AEE"/>
    <w:rsid w:val="00166156"/>
    <w:rsid w:val="001661CB"/>
    <w:rsid w:val="001663EB"/>
    <w:rsid w:val="001667BC"/>
    <w:rsid w:val="00166F8D"/>
    <w:rsid w:val="001671A1"/>
    <w:rsid w:val="0016736D"/>
    <w:rsid w:val="00170D12"/>
    <w:rsid w:val="001711E0"/>
    <w:rsid w:val="00171282"/>
    <w:rsid w:val="0017171A"/>
    <w:rsid w:val="00171B43"/>
    <w:rsid w:val="001722EB"/>
    <w:rsid w:val="001726C5"/>
    <w:rsid w:val="00172E60"/>
    <w:rsid w:val="0017325C"/>
    <w:rsid w:val="00174CD2"/>
    <w:rsid w:val="00175E1D"/>
    <w:rsid w:val="00176816"/>
    <w:rsid w:val="00176F0E"/>
    <w:rsid w:val="001771ED"/>
    <w:rsid w:val="001772AE"/>
    <w:rsid w:val="0017735A"/>
    <w:rsid w:val="001778FE"/>
    <w:rsid w:val="00177A7D"/>
    <w:rsid w:val="001801BF"/>
    <w:rsid w:val="00180220"/>
    <w:rsid w:val="0018103E"/>
    <w:rsid w:val="00181122"/>
    <w:rsid w:val="001818F3"/>
    <w:rsid w:val="00181D00"/>
    <w:rsid w:val="00182250"/>
    <w:rsid w:val="00182BD1"/>
    <w:rsid w:val="00182CDC"/>
    <w:rsid w:val="00182D04"/>
    <w:rsid w:val="0018301C"/>
    <w:rsid w:val="00183A3B"/>
    <w:rsid w:val="00183D54"/>
    <w:rsid w:val="00183F54"/>
    <w:rsid w:val="00184B80"/>
    <w:rsid w:val="0018510F"/>
    <w:rsid w:val="00185784"/>
    <w:rsid w:val="00185B5F"/>
    <w:rsid w:val="00185F00"/>
    <w:rsid w:val="0018671A"/>
    <w:rsid w:val="00186895"/>
    <w:rsid w:val="001868F9"/>
    <w:rsid w:val="00186C74"/>
    <w:rsid w:val="00187AEE"/>
    <w:rsid w:val="0019003B"/>
    <w:rsid w:val="0019032C"/>
    <w:rsid w:val="0019042C"/>
    <w:rsid w:val="001906D9"/>
    <w:rsid w:val="0019097C"/>
    <w:rsid w:val="00190A1A"/>
    <w:rsid w:val="00190BC1"/>
    <w:rsid w:val="00190D46"/>
    <w:rsid w:val="00191132"/>
    <w:rsid w:val="00191707"/>
    <w:rsid w:val="0019203F"/>
    <w:rsid w:val="00192080"/>
    <w:rsid w:val="00192213"/>
    <w:rsid w:val="001929E4"/>
    <w:rsid w:val="00192A1F"/>
    <w:rsid w:val="00192A47"/>
    <w:rsid w:val="00192EE4"/>
    <w:rsid w:val="00193684"/>
    <w:rsid w:val="0019388A"/>
    <w:rsid w:val="00193C28"/>
    <w:rsid w:val="00195208"/>
    <w:rsid w:val="00195402"/>
    <w:rsid w:val="001957DC"/>
    <w:rsid w:val="001964FD"/>
    <w:rsid w:val="0019658D"/>
    <w:rsid w:val="0019685C"/>
    <w:rsid w:val="00196B80"/>
    <w:rsid w:val="00196CAB"/>
    <w:rsid w:val="00197940"/>
    <w:rsid w:val="00197F30"/>
    <w:rsid w:val="001A0171"/>
    <w:rsid w:val="001A0184"/>
    <w:rsid w:val="001A0315"/>
    <w:rsid w:val="001A06F4"/>
    <w:rsid w:val="001A0A37"/>
    <w:rsid w:val="001A1689"/>
    <w:rsid w:val="001A1A80"/>
    <w:rsid w:val="001A2B4B"/>
    <w:rsid w:val="001A2E83"/>
    <w:rsid w:val="001A31A9"/>
    <w:rsid w:val="001A3314"/>
    <w:rsid w:val="001A34E3"/>
    <w:rsid w:val="001A3D86"/>
    <w:rsid w:val="001A494C"/>
    <w:rsid w:val="001A4E24"/>
    <w:rsid w:val="001A51AE"/>
    <w:rsid w:val="001A52F4"/>
    <w:rsid w:val="001A53B8"/>
    <w:rsid w:val="001A5A74"/>
    <w:rsid w:val="001A646E"/>
    <w:rsid w:val="001A6560"/>
    <w:rsid w:val="001A682F"/>
    <w:rsid w:val="001A6B0E"/>
    <w:rsid w:val="001A7720"/>
    <w:rsid w:val="001A77A0"/>
    <w:rsid w:val="001A7F53"/>
    <w:rsid w:val="001B043F"/>
    <w:rsid w:val="001B1C26"/>
    <w:rsid w:val="001B1D99"/>
    <w:rsid w:val="001B1E5A"/>
    <w:rsid w:val="001B1F5A"/>
    <w:rsid w:val="001B211B"/>
    <w:rsid w:val="001B26FA"/>
    <w:rsid w:val="001B2CA4"/>
    <w:rsid w:val="001B39A2"/>
    <w:rsid w:val="001B4495"/>
    <w:rsid w:val="001B4D0E"/>
    <w:rsid w:val="001B5526"/>
    <w:rsid w:val="001B5ECB"/>
    <w:rsid w:val="001B658A"/>
    <w:rsid w:val="001B68AA"/>
    <w:rsid w:val="001B6FB5"/>
    <w:rsid w:val="001B70C2"/>
    <w:rsid w:val="001B71CF"/>
    <w:rsid w:val="001B76BA"/>
    <w:rsid w:val="001B7C08"/>
    <w:rsid w:val="001B7C4B"/>
    <w:rsid w:val="001C0090"/>
    <w:rsid w:val="001C02BC"/>
    <w:rsid w:val="001C067C"/>
    <w:rsid w:val="001C06AF"/>
    <w:rsid w:val="001C0FBE"/>
    <w:rsid w:val="001C115D"/>
    <w:rsid w:val="001C12B3"/>
    <w:rsid w:val="001C12DE"/>
    <w:rsid w:val="001C1902"/>
    <w:rsid w:val="001C1AE9"/>
    <w:rsid w:val="001C26C1"/>
    <w:rsid w:val="001C2B13"/>
    <w:rsid w:val="001C357E"/>
    <w:rsid w:val="001C3D7F"/>
    <w:rsid w:val="001C3E20"/>
    <w:rsid w:val="001C3FC0"/>
    <w:rsid w:val="001C45AB"/>
    <w:rsid w:val="001C479B"/>
    <w:rsid w:val="001C4A57"/>
    <w:rsid w:val="001C4B07"/>
    <w:rsid w:val="001C4D28"/>
    <w:rsid w:val="001C521E"/>
    <w:rsid w:val="001C550E"/>
    <w:rsid w:val="001C56B1"/>
    <w:rsid w:val="001C5A73"/>
    <w:rsid w:val="001C5E28"/>
    <w:rsid w:val="001C66A0"/>
    <w:rsid w:val="001C79BF"/>
    <w:rsid w:val="001C7A8E"/>
    <w:rsid w:val="001C7E30"/>
    <w:rsid w:val="001D082B"/>
    <w:rsid w:val="001D0B10"/>
    <w:rsid w:val="001D0CC3"/>
    <w:rsid w:val="001D1244"/>
    <w:rsid w:val="001D16E3"/>
    <w:rsid w:val="001D1D8D"/>
    <w:rsid w:val="001D21C3"/>
    <w:rsid w:val="001D21FD"/>
    <w:rsid w:val="001D2540"/>
    <w:rsid w:val="001D2788"/>
    <w:rsid w:val="001D2BE1"/>
    <w:rsid w:val="001D3607"/>
    <w:rsid w:val="001D39E7"/>
    <w:rsid w:val="001D4149"/>
    <w:rsid w:val="001D4215"/>
    <w:rsid w:val="001D46B4"/>
    <w:rsid w:val="001D48B9"/>
    <w:rsid w:val="001D4C2A"/>
    <w:rsid w:val="001D57D2"/>
    <w:rsid w:val="001D62A0"/>
    <w:rsid w:val="001D69F0"/>
    <w:rsid w:val="001D6E23"/>
    <w:rsid w:val="001D7785"/>
    <w:rsid w:val="001D7B6C"/>
    <w:rsid w:val="001E0A2F"/>
    <w:rsid w:val="001E15EE"/>
    <w:rsid w:val="001E20B1"/>
    <w:rsid w:val="001E235D"/>
    <w:rsid w:val="001E282F"/>
    <w:rsid w:val="001E2A94"/>
    <w:rsid w:val="001E2F17"/>
    <w:rsid w:val="001E306B"/>
    <w:rsid w:val="001E31A6"/>
    <w:rsid w:val="001E34D5"/>
    <w:rsid w:val="001E3A64"/>
    <w:rsid w:val="001E3C2C"/>
    <w:rsid w:val="001E45F2"/>
    <w:rsid w:val="001E48B0"/>
    <w:rsid w:val="001E4DB5"/>
    <w:rsid w:val="001E4EFD"/>
    <w:rsid w:val="001E55EA"/>
    <w:rsid w:val="001E5855"/>
    <w:rsid w:val="001E5B0B"/>
    <w:rsid w:val="001E61E4"/>
    <w:rsid w:val="001E67E3"/>
    <w:rsid w:val="001E758E"/>
    <w:rsid w:val="001E76E8"/>
    <w:rsid w:val="001E7D28"/>
    <w:rsid w:val="001E7D69"/>
    <w:rsid w:val="001F026C"/>
    <w:rsid w:val="001F05E1"/>
    <w:rsid w:val="001F07F7"/>
    <w:rsid w:val="001F0B4C"/>
    <w:rsid w:val="001F0DBD"/>
    <w:rsid w:val="001F0E61"/>
    <w:rsid w:val="001F108C"/>
    <w:rsid w:val="001F1276"/>
    <w:rsid w:val="001F132C"/>
    <w:rsid w:val="001F159C"/>
    <w:rsid w:val="001F15AC"/>
    <w:rsid w:val="001F199E"/>
    <w:rsid w:val="001F1B60"/>
    <w:rsid w:val="001F215A"/>
    <w:rsid w:val="001F2B7B"/>
    <w:rsid w:val="001F3749"/>
    <w:rsid w:val="001F3A4E"/>
    <w:rsid w:val="001F3E38"/>
    <w:rsid w:val="001F446E"/>
    <w:rsid w:val="001F48C6"/>
    <w:rsid w:val="001F4ACA"/>
    <w:rsid w:val="001F5938"/>
    <w:rsid w:val="001F5AE0"/>
    <w:rsid w:val="001F5EDB"/>
    <w:rsid w:val="001F7113"/>
    <w:rsid w:val="002006B9"/>
    <w:rsid w:val="002016BF"/>
    <w:rsid w:val="002023D5"/>
    <w:rsid w:val="0020240A"/>
    <w:rsid w:val="00203021"/>
    <w:rsid w:val="00203513"/>
    <w:rsid w:val="00203628"/>
    <w:rsid w:val="00204039"/>
    <w:rsid w:val="002046A1"/>
    <w:rsid w:val="00204A6D"/>
    <w:rsid w:val="00204FA6"/>
    <w:rsid w:val="0020585F"/>
    <w:rsid w:val="002059F9"/>
    <w:rsid w:val="00205E29"/>
    <w:rsid w:val="00206769"/>
    <w:rsid w:val="00206BE4"/>
    <w:rsid w:val="00206DAE"/>
    <w:rsid w:val="002072C8"/>
    <w:rsid w:val="00207386"/>
    <w:rsid w:val="002077E8"/>
    <w:rsid w:val="00207EC6"/>
    <w:rsid w:val="0021065D"/>
    <w:rsid w:val="00211511"/>
    <w:rsid w:val="00211583"/>
    <w:rsid w:val="00211BF5"/>
    <w:rsid w:val="00211EAB"/>
    <w:rsid w:val="002123D6"/>
    <w:rsid w:val="00212525"/>
    <w:rsid w:val="00212964"/>
    <w:rsid w:val="00212A34"/>
    <w:rsid w:val="00213195"/>
    <w:rsid w:val="0021366E"/>
    <w:rsid w:val="00213C8E"/>
    <w:rsid w:val="00213E86"/>
    <w:rsid w:val="00213EEB"/>
    <w:rsid w:val="002142BA"/>
    <w:rsid w:val="00214718"/>
    <w:rsid w:val="00214A08"/>
    <w:rsid w:val="00214AC9"/>
    <w:rsid w:val="002164D4"/>
    <w:rsid w:val="002168A7"/>
    <w:rsid w:val="0021691A"/>
    <w:rsid w:val="002170D3"/>
    <w:rsid w:val="00217BC6"/>
    <w:rsid w:val="00217C8F"/>
    <w:rsid w:val="00217CB1"/>
    <w:rsid w:val="0022044D"/>
    <w:rsid w:val="00220928"/>
    <w:rsid w:val="00220A15"/>
    <w:rsid w:val="00220C5B"/>
    <w:rsid w:val="00220CA3"/>
    <w:rsid w:val="00220F2B"/>
    <w:rsid w:val="00221363"/>
    <w:rsid w:val="002215B4"/>
    <w:rsid w:val="00221AFA"/>
    <w:rsid w:val="00221CA4"/>
    <w:rsid w:val="002220BA"/>
    <w:rsid w:val="00222945"/>
    <w:rsid w:val="00222BA9"/>
    <w:rsid w:val="00222D3C"/>
    <w:rsid w:val="00222E06"/>
    <w:rsid w:val="0022356C"/>
    <w:rsid w:val="0022396D"/>
    <w:rsid w:val="002239D4"/>
    <w:rsid w:val="00224CD3"/>
    <w:rsid w:val="00225049"/>
    <w:rsid w:val="002257BF"/>
    <w:rsid w:val="00225B6B"/>
    <w:rsid w:val="002262E7"/>
    <w:rsid w:val="00226B74"/>
    <w:rsid w:val="00226E87"/>
    <w:rsid w:val="002270B4"/>
    <w:rsid w:val="00227134"/>
    <w:rsid w:val="002273F8"/>
    <w:rsid w:val="00227875"/>
    <w:rsid w:val="0022794E"/>
    <w:rsid w:val="00227CBF"/>
    <w:rsid w:val="00227F91"/>
    <w:rsid w:val="002305C1"/>
    <w:rsid w:val="00230C86"/>
    <w:rsid w:val="00230ED1"/>
    <w:rsid w:val="00230EF6"/>
    <w:rsid w:val="00231953"/>
    <w:rsid w:val="00231D24"/>
    <w:rsid w:val="00231EB2"/>
    <w:rsid w:val="00232453"/>
    <w:rsid w:val="0023273C"/>
    <w:rsid w:val="002328F5"/>
    <w:rsid w:val="00232F09"/>
    <w:rsid w:val="0023357C"/>
    <w:rsid w:val="002336A8"/>
    <w:rsid w:val="00233B30"/>
    <w:rsid w:val="00234409"/>
    <w:rsid w:val="002344AF"/>
    <w:rsid w:val="00234604"/>
    <w:rsid w:val="002346F4"/>
    <w:rsid w:val="0023531D"/>
    <w:rsid w:val="00235618"/>
    <w:rsid w:val="00235F86"/>
    <w:rsid w:val="0023650A"/>
    <w:rsid w:val="00236F9C"/>
    <w:rsid w:val="002370FB"/>
    <w:rsid w:val="00237474"/>
    <w:rsid w:val="00237655"/>
    <w:rsid w:val="00237B89"/>
    <w:rsid w:val="002400DF"/>
    <w:rsid w:val="0024073D"/>
    <w:rsid w:val="0024079B"/>
    <w:rsid w:val="00240A40"/>
    <w:rsid w:val="00240C5F"/>
    <w:rsid w:val="00240DB1"/>
    <w:rsid w:val="00240F84"/>
    <w:rsid w:val="00241044"/>
    <w:rsid w:val="0024115C"/>
    <w:rsid w:val="002418A1"/>
    <w:rsid w:val="00241A83"/>
    <w:rsid w:val="00241BB5"/>
    <w:rsid w:val="00241E66"/>
    <w:rsid w:val="002420EB"/>
    <w:rsid w:val="00243836"/>
    <w:rsid w:val="00243DC8"/>
    <w:rsid w:val="0024435E"/>
    <w:rsid w:val="00244A3D"/>
    <w:rsid w:val="00244FDB"/>
    <w:rsid w:val="0024513F"/>
    <w:rsid w:val="00245728"/>
    <w:rsid w:val="00245A47"/>
    <w:rsid w:val="00246531"/>
    <w:rsid w:val="00246DA5"/>
    <w:rsid w:val="002473E8"/>
    <w:rsid w:val="0024776D"/>
    <w:rsid w:val="00247D9C"/>
    <w:rsid w:val="0025014F"/>
    <w:rsid w:val="00250503"/>
    <w:rsid w:val="00250C46"/>
    <w:rsid w:val="00250D3A"/>
    <w:rsid w:val="00250FEA"/>
    <w:rsid w:val="00251267"/>
    <w:rsid w:val="00251A41"/>
    <w:rsid w:val="00251E2B"/>
    <w:rsid w:val="0025232C"/>
    <w:rsid w:val="002524A6"/>
    <w:rsid w:val="002527A6"/>
    <w:rsid w:val="002529DD"/>
    <w:rsid w:val="00253435"/>
    <w:rsid w:val="0025401E"/>
    <w:rsid w:val="002550CD"/>
    <w:rsid w:val="002553F8"/>
    <w:rsid w:val="002558B4"/>
    <w:rsid w:val="00255944"/>
    <w:rsid w:val="00255E18"/>
    <w:rsid w:val="0025615C"/>
    <w:rsid w:val="00256664"/>
    <w:rsid w:val="00256695"/>
    <w:rsid w:val="002570E6"/>
    <w:rsid w:val="002571EA"/>
    <w:rsid w:val="00257786"/>
    <w:rsid w:val="00257795"/>
    <w:rsid w:val="00257A97"/>
    <w:rsid w:val="00257E46"/>
    <w:rsid w:val="00260088"/>
    <w:rsid w:val="00260385"/>
    <w:rsid w:val="002606D9"/>
    <w:rsid w:val="0026090F"/>
    <w:rsid w:val="0026098A"/>
    <w:rsid w:val="00260D5B"/>
    <w:rsid w:val="00261010"/>
    <w:rsid w:val="002613C8"/>
    <w:rsid w:val="00261594"/>
    <w:rsid w:val="00261878"/>
    <w:rsid w:val="002618E6"/>
    <w:rsid w:val="0026249A"/>
    <w:rsid w:val="0026269E"/>
    <w:rsid w:val="002627D3"/>
    <w:rsid w:val="00262ADA"/>
    <w:rsid w:val="00263693"/>
    <w:rsid w:val="00263738"/>
    <w:rsid w:val="002638CE"/>
    <w:rsid w:val="00263BCC"/>
    <w:rsid w:val="00263DD8"/>
    <w:rsid w:val="00264391"/>
    <w:rsid w:val="00264622"/>
    <w:rsid w:val="00264648"/>
    <w:rsid w:val="00264822"/>
    <w:rsid w:val="00264AA5"/>
    <w:rsid w:val="0026519C"/>
    <w:rsid w:val="002652C4"/>
    <w:rsid w:val="00265744"/>
    <w:rsid w:val="0026581F"/>
    <w:rsid w:val="00265A83"/>
    <w:rsid w:val="00265C3F"/>
    <w:rsid w:val="00265D80"/>
    <w:rsid w:val="00266624"/>
    <w:rsid w:val="0026666E"/>
    <w:rsid w:val="0026682B"/>
    <w:rsid w:val="00266C49"/>
    <w:rsid w:val="0026730E"/>
    <w:rsid w:val="00270C63"/>
    <w:rsid w:val="00270D2F"/>
    <w:rsid w:val="00270E6F"/>
    <w:rsid w:val="00271056"/>
    <w:rsid w:val="00271D0A"/>
    <w:rsid w:val="00271DFA"/>
    <w:rsid w:val="002727A3"/>
    <w:rsid w:val="00272852"/>
    <w:rsid w:val="0027291B"/>
    <w:rsid w:val="00272EB9"/>
    <w:rsid w:val="00272F1F"/>
    <w:rsid w:val="00273277"/>
    <w:rsid w:val="0027329B"/>
    <w:rsid w:val="00273DE8"/>
    <w:rsid w:val="002741F9"/>
    <w:rsid w:val="002745CE"/>
    <w:rsid w:val="002749DE"/>
    <w:rsid w:val="00275107"/>
    <w:rsid w:val="00275BB5"/>
    <w:rsid w:val="00275E90"/>
    <w:rsid w:val="00276B17"/>
    <w:rsid w:val="00276DE6"/>
    <w:rsid w:val="002775C9"/>
    <w:rsid w:val="002802D6"/>
    <w:rsid w:val="0028052B"/>
    <w:rsid w:val="0028086B"/>
    <w:rsid w:val="00280A05"/>
    <w:rsid w:val="00281F4B"/>
    <w:rsid w:val="00282041"/>
    <w:rsid w:val="00282B5B"/>
    <w:rsid w:val="00282D04"/>
    <w:rsid w:val="0028308E"/>
    <w:rsid w:val="0028332B"/>
    <w:rsid w:val="00283357"/>
    <w:rsid w:val="0028358B"/>
    <w:rsid w:val="0028361C"/>
    <w:rsid w:val="00283A84"/>
    <w:rsid w:val="00283E27"/>
    <w:rsid w:val="00283FB2"/>
    <w:rsid w:val="00284330"/>
    <w:rsid w:val="002843CC"/>
    <w:rsid w:val="0028491F"/>
    <w:rsid w:val="00284A87"/>
    <w:rsid w:val="0028556C"/>
    <w:rsid w:val="00285712"/>
    <w:rsid w:val="00285D1B"/>
    <w:rsid w:val="00285E1A"/>
    <w:rsid w:val="00286735"/>
    <w:rsid w:val="00286ACF"/>
    <w:rsid w:val="00286D04"/>
    <w:rsid w:val="00286E67"/>
    <w:rsid w:val="0028744F"/>
    <w:rsid w:val="0028771B"/>
    <w:rsid w:val="002879A0"/>
    <w:rsid w:val="00287FA8"/>
    <w:rsid w:val="00288489"/>
    <w:rsid w:val="00290333"/>
    <w:rsid w:val="00290AA0"/>
    <w:rsid w:val="00290EFD"/>
    <w:rsid w:val="00291078"/>
    <w:rsid w:val="002910D8"/>
    <w:rsid w:val="00291284"/>
    <w:rsid w:val="0029177F"/>
    <w:rsid w:val="0029198C"/>
    <w:rsid w:val="002919A7"/>
    <w:rsid w:val="0029376A"/>
    <w:rsid w:val="002937D9"/>
    <w:rsid w:val="00293C6B"/>
    <w:rsid w:val="00293DD4"/>
    <w:rsid w:val="00293F8C"/>
    <w:rsid w:val="00294189"/>
    <w:rsid w:val="00294261"/>
    <w:rsid w:val="00294610"/>
    <w:rsid w:val="00294E62"/>
    <w:rsid w:val="00295270"/>
    <w:rsid w:val="002957B3"/>
    <w:rsid w:val="00295C67"/>
    <w:rsid w:val="00295CFD"/>
    <w:rsid w:val="00296FBB"/>
    <w:rsid w:val="00297F2D"/>
    <w:rsid w:val="002A0459"/>
    <w:rsid w:val="002A0958"/>
    <w:rsid w:val="002A095D"/>
    <w:rsid w:val="002A116E"/>
    <w:rsid w:val="002A1989"/>
    <w:rsid w:val="002A1EE7"/>
    <w:rsid w:val="002A26CB"/>
    <w:rsid w:val="002A28D2"/>
    <w:rsid w:val="002A295C"/>
    <w:rsid w:val="002A29B0"/>
    <w:rsid w:val="002A35F4"/>
    <w:rsid w:val="002A369D"/>
    <w:rsid w:val="002A3835"/>
    <w:rsid w:val="002A3EC0"/>
    <w:rsid w:val="002A3FE3"/>
    <w:rsid w:val="002A48CE"/>
    <w:rsid w:val="002A5236"/>
    <w:rsid w:val="002A5401"/>
    <w:rsid w:val="002A5E3D"/>
    <w:rsid w:val="002A60BF"/>
    <w:rsid w:val="002A6109"/>
    <w:rsid w:val="002A7014"/>
    <w:rsid w:val="002A7114"/>
    <w:rsid w:val="002A71CF"/>
    <w:rsid w:val="002B05E4"/>
    <w:rsid w:val="002B0CCE"/>
    <w:rsid w:val="002B1C59"/>
    <w:rsid w:val="002B2D2A"/>
    <w:rsid w:val="002B353A"/>
    <w:rsid w:val="002B3A1E"/>
    <w:rsid w:val="002B42B1"/>
    <w:rsid w:val="002B5163"/>
    <w:rsid w:val="002B520C"/>
    <w:rsid w:val="002B552D"/>
    <w:rsid w:val="002B564C"/>
    <w:rsid w:val="002B616A"/>
    <w:rsid w:val="002B6269"/>
    <w:rsid w:val="002B6282"/>
    <w:rsid w:val="002B628B"/>
    <w:rsid w:val="002B6305"/>
    <w:rsid w:val="002B63FB"/>
    <w:rsid w:val="002B647B"/>
    <w:rsid w:val="002B64D8"/>
    <w:rsid w:val="002B69BA"/>
    <w:rsid w:val="002B6C9B"/>
    <w:rsid w:val="002B6EE1"/>
    <w:rsid w:val="002B7069"/>
    <w:rsid w:val="002B7586"/>
    <w:rsid w:val="002C0252"/>
    <w:rsid w:val="002C0369"/>
    <w:rsid w:val="002C0749"/>
    <w:rsid w:val="002C0FC9"/>
    <w:rsid w:val="002C16BB"/>
    <w:rsid w:val="002C1AA2"/>
    <w:rsid w:val="002C1D78"/>
    <w:rsid w:val="002C2495"/>
    <w:rsid w:val="002C24D9"/>
    <w:rsid w:val="002C25A9"/>
    <w:rsid w:val="002C28C4"/>
    <w:rsid w:val="002C2E4F"/>
    <w:rsid w:val="002C326E"/>
    <w:rsid w:val="002C328F"/>
    <w:rsid w:val="002C3534"/>
    <w:rsid w:val="002C4150"/>
    <w:rsid w:val="002C45B9"/>
    <w:rsid w:val="002C46D0"/>
    <w:rsid w:val="002C4F9A"/>
    <w:rsid w:val="002C50F7"/>
    <w:rsid w:val="002C53B0"/>
    <w:rsid w:val="002C56C9"/>
    <w:rsid w:val="002C5E75"/>
    <w:rsid w:val="002C5EA0"/>
    <w:rsid w:val="002C5F70"/>
    <w:rsid w:val="002C61F7"/>
    <w:rsid w:val="002C629A"/>
    <w:rsid w:val="002C703C"/>
    <w:rsid w:val="002C735A"/>
    <w:rsid w:val="002C7972"/>
    <w:rsid w:val="002C7D82"/>
    <w:rsid w:val="002C7EE1"/>
    <w:rsid w:val="002D002C"/>
    <w:rsid w:val="002D0378"/>
    <w:rsid w:val="002D0819"/>
    <w:rsid w:val="002D0AFB"/>
    <w:rsid w:val="002D0B43"/>
    <w:rsid w:val="002D0D3A"/>
    <w:rsid w:val="002D1120"/>
    <w:rsid w:val="002D1133"/>
    <w:rsid w:val="002D1258"/>
    <w:rsid w:val="002D184C"/>
    <w:rsid w:val="002D1CA3"/>
    <w:rsid w:val="002D1E11"/>
    <w:rsid w:val="002D1F97"/>
    <w:rsid w:val="002D1FEE"/>
    <w:rsid w:val="002D24E3"/>
    <w:rsid w:val="002D2976"/>
    <w:rsid w:val="002D37B9"/>
    <w:rsid w:val="002D3A96"/>
    <w:rsid w:val="002D3A9F"/>
    <w:rsid w:val="002D3EB5"/>
    <w:rsid w:val="002D419E"/>
    <w:rsid w:val="002D44BE"/>
    <w:rsid w:val="002D4DC4"/>
    <w:rsid w:val="002D515D"/>
    <w:rsid w:val="002D567C"/>
    <w:rsid w:val="002D58CD"/>
    <w:rsid w:val="002D5CBF"/>
    <w:rsid w:val="002D5EA0"/>
    <w:rsid w:val="002D6400"/>
    <w:rsid w:val="002D686B"/>
    <w:rsid w:val="002D6BED"/>
    <w:rsid w:val="002D7188"/>
    <w:rsid w:val="002D769D"/>
    <w:rsid w:val="002D799A"/>
    <w:rsid w:val="002D7FBE"/>
    <w:rsid w:val="002E068B"/>
    <w:rsid w:val="002E06CE"/>
    <w:rsid w:val="002E06EF"/>
    <w:rsid w:val="002E0784"/>
    <w:rsid w:val="002E1003"/>
    <w:rsid w:val="002E14C2"/>
    <w:rsid w:val="002E1678"/>
    <w:rsid w:val="002E19A6"/>
    <w:rsid w:val="002E1DD7"/>
    <w:rsid w:val="002E2111"/>
    <w:rsid w:val="002E223B"/>
    <w:rsid w:val="002E2452"/>
    <w:rsid w:val="002E2985"/>
    <w:rsid w:val="002E2FBA"/>
    <w:rsid w:val="002E30EA"/>
    <w:rsid w:val="002E3761"/>
    <w:rsid w:val="002E37DA"/>
    <w:rsid w:val="002E3E38"/>
    <w:rsid w:val="002E412E"/>
    <w:rsid w:val="002E5197"/>
    <w:rsid w:val="002E58DC"/>
    <w:rsid w:val="002E607D"/>
    <w:rsid w:val="002E6314"/>
    <w:rsid w:val="002E6741"/>
    <w:rsid w:val="002E675E"/>
    <w:rsid w:val="002E6F26"/>
    <w:rsid w:val="002E77D8"/>
    <w:rsid w:val="002F0867"/>
    <w:rsid w:val="002F14A0"/>
    <w:rsid w:val="002F15C6"/>
    <w:rsid w:val="002F2546"/>
    <w:rsid w:val="002F262C"/>
    <w:rsid w:val="002F26A5"/>
    <w:rsid w:val="002F29D1"/>
    <w:rsid w:val="002F2D3B"/>
    <w:rsid w:val="002F37B1"/>
    <w:rsid w:val="002F381C"/>
    <w:rsid w:val="002F3937"/>
    <w:rsid w:val="002F44E0"/>
    <w:rsid w:val="002F4751"/>
    <w:rsid w:val="002F4D04"/>
    <w:rsid w:val="002F5BF4"/>
    <w:rsid w:val="002F6091"/>
    <w:rsid w:val="002F629D"/>
    <w:rsid w:val="002F6589"/>
    <w:rsid w:val="002F67FA"/>
    <w:rsid w:val="002F690F"/>
    <w:rsid w:val="002F69A3"/>
    <w:rsid w:val="002F6AF8"/>
    <w:rsid w:val="002F6FBC"/>
    <w:rsid w:val="002F7745"/>
    <w:rsid w:val="0030004F"/>
    <w:rsid w:val="003003C7"/>
    <w:rsid w:val="0030070F"/>
    <w:rsid w:val="00300A65"/>
    <w:rsid w:val="00301BB2"/>
    <w:rsid w:val="00301C96"/>
    <w:rsid w:val="0030202E"/>
    <w:rsid w:val="0030233F"/>
    <w:rsid w:val="003023B3"/>
    <w:rsid w:val="00302835"/>
    <w:rsid w:val="00303639"/>
    <w:rsid w:val="0030364D"/>
    <w:rsid w:val="003036AB"/>
    <w:rsid w:val="00303A85"/>
    <w:rsid w:val="0030416D"/>
    <w:rsid w:val="00304875"/>
    <w:rsid w:val="00304ADD"/>
    <w:rsid w:val="00304EEA"/>
    <w:rsid w:val="00305826"/>
    <w:rsid w:val="00305B2C"/>
    <w:rsid w:val="00306275"/>
    <w:rsid w:val="00306501"/>
    <w:rsid w:val="00306EF7"/>
    <w:rsid w:val="00307317"/>
    <w:rsid w:val="00307425"/>
    <w:rsid w:val="00307BCB"/>
    <w:rsid w:val="00310276"/>
    <w:rsid w:val="003105DC"/>
    <w:rsid w:val="0031094A"/>
    <w:rsid w:val="0031118B"/>
    <w:rsid w:val="003114BD"/>
    <w:rsid w:val="0031288B"/>
    <w:rsid w:val="00312DC3"/>
    <w:rsid w:val="00313607"/>
    <w:rsid w:val="003143AB"/>
    <w:rsid w:val="00314774"/>
    <w:rsid w:val="00314917"/>
    <w:rsid w:val="0031495E"/>
    <w:rsid w:val="003149AC"/>
    <w:rsid w:val="00314E6E"/>
    <w:rsid w:val="00315331"/>
    <w:rsid w:val="00315548"/>
    <w:rsid w:val="0031597E"/>
    <w:rsid w:val="00316052"/>
    <w:rsid w:val="003163A8"/>
    <w:rsid w:val="003166BB"/>
    <w:rsid w:val="003166DD"/>
    <w:rsid w:val="00316755"/>
    <w:rsid w:val="00317558"/>
    <w:rsid w:val="003175C8"/>
    <w:rsid w:val="00317E5E"/>
    <w:rsid w:val="003206D7"/>
    <w:rsid w:val="0032070D"/>
    <w:rsid w:val="00320FF7"/>
    <w:rsid w:val="0032116E"/>
    <w:rsid w:val="0032167A"/>
    <w:rsid w:val="00321925"/>
    <w:rsid w:val="00322086"/>
    <w:rsid w:val="00322C92"/>
    <w:rsid w:val="00322D28"/>
    <w:rsid w:val="00322D3E"/>
    <w:rsid w:val="00322FB9"/>
    <w:rsid w:val="003235DD"/>
    <w:rsid w:val="003239F8"/>
    <w:rsid w:val="003241A7"/>
    <w:rsid w:val="00324726"/>
    <w:rsid w:val="00324CD9"/>
    <w:rsid w:val="00324E67"/>
    <w:rsid w:val="00324FB9"/>
    <w:rsid w:val="00325156"/>
    <w:rsid w:val="0032548C"/>
    <w:rsid w:val="003257E9"/>
    <w:rsid w:val="00325912"/>
    <w:rsid w:val="0032593A"/>
    <w:rsid w:val="00326B6B"/>
    <w:rsid w:val="00326CE3"/>
    <w:rsid w:val="00326E26"/>
    <w:rsid w:val="0032742D"/>
    <w:rsid w:val="00327744"/>
    <w:rsid w:val="003277DC"/>
    <w:rsid w:val="00327AF6"/>
    <w:rsid w:val="00327B72"/>
    <w:rsid w:val="00327F56"/>
    <w:rsid w:val="0033046B"/>
    <w:rsid w:val="0033054C"/>
    <w:rsid w:val="003310C9"/>
    <w:rsid w:val="0033116A"/>
    <w:rsid w:val="00331664"/>
    <w:rsid w:val="003320FC"/>
    <w:rsid w:val="00332130"/>
    <w:rsid w:val="00332B4C"/>
    <w:rsid w:val="00333215"/>
    <w:rsid w:val="00333837"/>
    <w:rsid w:val="0033421B"/>
    <w:rsid w:val="003343F7"/>
    <w:rsid w:val="003344C1"/>
    <w:rsid w:val="003345D6"/>
    <w:rsid w:val="00335235"/>
    <w:rsid w:val="003356D6"/>
    <w:rsid w:val="00335774"/>
    <w:rsid w:val="003357D9"/>
    <w:rsid w:val="00335997"/>
    <w:rsid w:val="00336418"/>
    <w:rsid w:val="00336618"/>
    <w:rsid w:val="00336A47"/>
    <w:rsid w:val="00337045"/>
    <w:rsid w:val="003375A7"/>
    <w:rsid w:val="003375F0"/>
    <w:rsid w:val="00337706"/>
    <w:rsid w:val="00337C4D"/>
    <w:rsid w:val="00337F6A"/>
    <w:rsid w:val="00337F99"/>
    <w:rsid w:val="00340118"/>
    <w:rsid w:val="0034051F"/>
    <w:rsid w:val="003407D0"/>
    <w:rsid w:val="00341D67"/>
    <w:rsid w:val="00341ECB"/>
    <w:rsid w:val="00341F27"/>
    <w:rsid w:val="00342CF6"/>
    <w:rsid w:val="00342D26"/>
    <w:rsid w:val="003430F3"/>
    <w:rsid w:val="00343722"/>
    <w:rsid w:val="00343895"/>
    <w:rsid w:val="003443E7"/>
    <w:rsid w:val="00344785"/>
    <w:rsid w:val="00344862"/>
    <w:rsid w:val="00344A60"/>
    <w:rsid w:val="0034627C"/>
    <w:rsid w:val="00346409"/>
    <w:rsid w:val="00346871"/>
    <w:rsid w:val="00346A0E"/>
    <w:rsid w:val="00346A6C"/>
    <w:rsid w:val="00346EC5"/>
    <w:rsid w:val="003478C6"/>
    <w:rsid w:val="00347A9B"/>
    <w:rsid w:val="003506B3"/>
    <w:rsid w:val="00350BC5"/>
    <w:rsid w:val="00350BF1"/>
    <w:rsid w:val="003511FC"/>
    <w:rsid w:val="00351805"/>
    <w:rsid w:val="003518FA"/>
    <w:rsid w:val="0035199C"/>
    <w:rsid w:val="00353373"/>
    <w:rsid w:val="00353A1A"/>
    <w:rsid w:val="00353E64"/>
    <w:rsid w:val="00354462"/>
    <w:rsid w:val="00354AE6"/>
    <w:rsid w:val="00354CDE"/>
    <w:rsid w:val="00355C3A"/>
    <w:rsid w:val="00355D86"/>
    <w:rsid w:val="003561C7"/>
    <w:rsid w:val="00356C4D"/>
    <w:rsid w:val="00357DD6"/>
    <w:rsid w:val="00357FB5"/>
    <w:rsid w:val="00360168"/>
    <w:rsid w:val="00360A39"/>
    <w:rsid w:val="0036153F"/>
    <w:rsid w:val="0036159A"/>
    <w:rsid w:val="003616AF"/>
    <w:rsid w:val="00361A5F"/>
    <w:rsid w:val="00361CD6"/>
    <w:rsid w:val="00361FB8"/>
    <w:rsid w:val="00362291"/>
    <w:rsid w:val="00362414"/>
    <w:rsid w:val="0036290F"/>
    <w:rsid w:val="00362C0A"/>
    <w:rsid w:val="00362F41"/>
    <w:rsid w:val="00362F6C"/>
    <w:rsid w:val="0036317F"/>
    <w:rsid w:val="00363263"/>
    <w:rsid w:val="003637C8"/>
    <w:rsid w:val="00363BD0"/>
    <w:rsid w:val="00363FE2"/>
    <w:rsid w:val="003643AE"/>
    <w:rsid w:val="003645A2"/>
    <w:rsid w:val="0036478B"/>
    <w:rsid w:val="00364E60"/>
    <w:rsid w:val="003659F0"/>
    <w:rsid w:val="00365AFF"/>
    <w:rsid w:val="00365D6F"/>
    <w:rsid w:val="00370492"/>
    <w:rsid w:val="00370A5A"/>
    <w:rsid w:val="00370A95"/>
    <w:rsid w:val="00370CD8"/>
    <w:rsid w:val="00371C0E"/>
    <w:rsid w:val="00371F86"/>
    <w:rsid w:val="00372048"/>
    <w:rsid w:val="0037205A"/>
    <w:rsid w:val="003722EF"/>
    <w:rsid w:val="00373241"/>
    <w:rsid w:val="00374350"/>
    <w:rsid w:val="003746C3"/>
    <w:rsid w:val="00375147"/>
    <w:rsid w:val="00375725"/>
    <w:rsid w:val="003757DC"/>
    <w:rsid w:val="00376298"/>
    <w:rsid w:val="0037647F"/>
    <w:rsid w:val="00376C44"/>
    <w:rsid w:val="0037711B"/>
    <w:rsid w:val="003774C9"/>
    <w:rsid w:val="003775EB"/>
    <w:rsid w:val="003776E2"/>
    <w:rsid w:val="00377913"/>
    <w:rsid w:val="0038047A"/>
    <w:rsid w:val="00380D67"/>
    <w:rsid w:val="00380DA8"/>
    <w:rsid w:val="003812A5"/>
    <w:rsid w:val="00381C3A"/>
    <w:rsid w:val="00381C5D"/>
    <w:rsid w:val="0038210B"/>
    <w:rsid w:val="00382474"/>
    <w:rsid w:val="003829E5"/>
    <w:rsid w:val="00382D5B"/>
    <w:rsid w:val="0038316C"/>
    <w:rsid w:val="003835E6"/>
    <w:rsid w:val="00383828"/>
    <w:rsid w:val="003838FC"/>
    <w:rsid w:val="00383EF2"/>
    <w:rsid w:val="00384DB2"/>
    <w:rsid w:val="00384E37"/>
    <w:rsid w:val="00384ED1"/>
    <w:rsid w:val="003851F5"/>
    <w:rsid w:val="00385749"/>
    <w:rsid w:val="00385BAF"/>
    <w:rsid w:val="00385C79"/>
    <w:rsid w:val="00385D9F"/>
    <w:rsid w:val="003861DC"/>
    <w:rsid w:val="00386B80"/>
    <w:rsid w:val="003871C4"/>
    <w:rsid w:val="00387A00"/>
    <w:rsid w:val="00387D8A"/>
    <w:rsid w:val="00387DBC"/>
    <w:rsid w:val="003909CE"/>
    <w:rsid w:val="00390A96"/>
    <w:rsid w:val="00391153"/>
    <w:rsid w:val="0039124C"/>
    <w:rsid w:val="0039124E"/>
    <w:rsid w:val="00391368"/>
    <w:rsid w:val="00391470"/>
    <w:rsid w:val="003918B0"/>
    <w:rsid w:val="0039198C"/>
    <w:rsid w:val="003919EF"/>
    <w:rsid w:val="00391BA4"/>
    <w:rsid w:val="00392153"/>
    <w:rsid w:val="003923A1"/>
    <w:rsid w:val="0039264D"/>
    <w:rsid w:val="003935E1"/>
    <w:rsid w:val="00393868"/>
    <w:rsid w:val="003938CA"/>
    <w:rsid w:val="00393B00"/>
    <w:rsid w:val="00393C80"/>
    <w:rsid w:val="00393CD6"/>
    <w:rsid w:val="0039433B"/>
    <w:rsid w:val="00394C04"/>
    <w:rsid w:val="00395191"/>
    <w:rsid w:val="00395414"/>
    <w:rsid w:val="00395672"/>
    <w:rsid w:val="00395904"/>
    <w:rsid w:val="00395B50"/>
    <w:rsid w:val="00395F8F"/>
    <w:rsid w:val="00396115"/>
    <w:rsid w:val="00396A65"/>
    <w:rsid w:val="00396FEE"/>
    <w:rsid w:val="00397287"/>
    <w:rsid w:val="0039761F"/>
    <w:rsid w:val="00397906"/>
    <w:rsid w:val="00397CC5"/>
    <w:rsid w:val="003A08E7"/>
    <w:rsid w:val="003A112A"/>
    <w:rsid w:val="003A1B19"/>
    <w:rsid w:val="003A3E18"/>
    <w:rsid w:val="003A3F20"/>
    <w:rsid w:val="003A44A4"/>
    <w:rsid w:val="003A45D3"/>
    <w:rsid w:val="003A460D"/>
    <w:rsid w:val="003A4682"/>
    <w:rsid w:val="003A4979"/>
    <w:rsid w:val="003A49A6"/>
    <w:rsid w:val="003A4B4E"/>
    <w:rsid w:val="003A4B6E"/>
    <w:rsid w:val="003A5E88"/>
    <w:rsid w:val="003A5EA0"/>
    <w:rsid w:val="003A6360"/>
    <w:rsid w:val="003A6D7A"/>
    <w:rsid w:val="003A7167"/>
    <w:rsid w:val="003A72E8"/>
    <w:rsid w:val="003A7D27"/>
    <w:rsid w:val="003B0B90"/>
    <w:rsid w:val="003B0C75"/>
    <w:rsid w:val="003B0EB4"/>
    <w:rsid w:val="003B1193"/>
    <w:rsid w:val="003B1290"/>
    <w:rsid w:val="003B188C"/>
    <w:rsid w:val="003B2E7F"/>
    <w:rsid w:val="003B3988"/>
    <w:rsid w:val="003B3BE3"/>
    <w:rsid w:val="003B3E2D"/>
    <w:rsid w:val="003B40DF"/>
    <w:rsid w:val="003B433C"/>
    <w:rsid w:val="003B45D3"/>
    <w:rsid w:val="003B4A06"/>
    <w:rsid w:val="003B4CF4"/>
    <w:rsid w:val="003B4E63"/>
    <w:rsid w:val="003B5090"/>
    <w:rsid w:val="003B5ACB"/>
    <w:rsid w:val="003B6080"/>
    <w:rsid w:val="003B60F0"/>
    <w:rsid w:val="003B67EB"/>
    <w:rsid w:val="003B685B"/>
    <w:rsid w:val="003B6D1D"/>
    <w:rsid w:val="003B73B0"/>
    <w:rsid w:val="003B7EC7"/>
    <w:rsid w:val="003B7F05"/>
    <w:rsid w:val="003C0395"/>
    <w:rsid w:val="003C0A16"/>
    <w:rsid w:val="003C0BF8"/>
    <w:rsid w:val="003C13A6"/>
    <w:rsid w:val="003C1AE5"/>
    <w:rsid w:val="003C20A0"/>
    <w:rsid w:val="003C3056"/>
    <w:rsid w:val="003C32CC"/>
    <w:rsid w:val="003C333A"/>
    <w:rsid w:val="003C4A27"/>
    <w:rsid w:val="003C4C0F"/>
    <w:rsid w:val="003C4C2E"/>
    <w:rsid w:val="003C57D9"/>
    <w:rsid w:val="003C57E2"/>
    <w:rsid w:val="003C5A28"/>
    <w:rsid w:val="003C5C09"/>
    <w:rsid w:val="003C5EC5"/>
    <w:rsid w:val="003C610E"/>
    <w:rsid w:val="003C64F3"/>
    <w:rsid w:val="003C6E35"/>
    <w:rsid w:val="003D00EE"/>
    <w:rsid w:val="003D0347"/>
    <w:rsid w:val="003D13D0"/>
    <w:rsid w:val="003D1501"/>
    <w:rsid w:val="003D1B93"/>
    <w:rsid w:val="003D2557"/>
    <w:rsid w:val="003D2778"/>
    <w:rsid w:val="003D2D22"/>
    <w:rsid w:val="003D3009"/>
    <w:rsid w:val="003D3370"/>
    <w:rsid w:val="003D34F5"/>
    <w:rsid w:val="003D366A"/>
    <w:rsid w:val="003D3DE1"/>
    <w:rsid w:val="003D4105"/>
    <w:rsid w:val="003D4204"/>
    <w:rsid w:val="003D4294"/>
    <w:rsid w:val="003D4C66"/>
    <w:rsid w:val="003D4EB0"/>
    <w:rsid w:val="003D55C5"/>
    <w:rsid w:val="003D6595"/>
    <w:rsid w:val="003D66AD"/>
    <w:rsid w:val="003D69D2"/>
    <w:rsid w:val="003D6BE1"/>
    <w:rsid w:val="003D78FE"/>
    <w:rsid w:val="003D7B2E"/>
    <w:rsid w:val="003D7BFC"/>
    <w:rsid w:val="003E0898"/>
    <w:rsid w:val="003E0AE1"/>
    <w:rsid w:val="003E1463"/>
    <w:rsid w:val="003E15DF"/>
    <w:rsid w:val="003E1DA8"/>
    <w:rsid w:val="003E1E42"/>
    <w:rsid w:val="003E2D72"/>
    <w:rsid w:val="003E314D"/>
    <w:rsid w:val="003E395F"/>
    <w:rsid w:val="003E3B56"/>
    <w:rsid w:val="003E440D"/>
    <w:rsid w:val="003E49E9"/>
    <w:rsid w:val="003E4EEA"/>
    <w:rsid w:val="003E5246"/>
    <w:rsid w:val="003E5510"/>
    <w:rsid w:val="003E5B08"/>
    <w:rsid w:val="003E5C1C"/>
    <w:rsid w:val="003E62B6"/>
    <w:rsid w:val="003E6C6C"/>
    <w:rsid w:val="003E7151"/>
    <w:rsid w:val="003E749F"/>
    <w:rsid w:val="003E7756"/>
    <w:rsid w:val="003F0384"/>
    <w:rsid w:val="003F087D"/>
    <w:rsid w:val="003F08BF"/>
    <w:rsid w:val="003F097E"/>
    <w:rsid w:val="003F0B00"/>
    <w:rsid w:val="003F19DA"/>
    <w:rsid w:val="003F1E26"/>
    <w:rsid w:val="003F1F59"/>
    <w:rsid w:val="003F251A"/>
    <w:rsid w:val="003F270D"/>
    <w:rsid w:val="003F2937"/>
    <w:rsid w:val="003F29E7"/>
    <w:rsid w:val="003F2BC7"/>
    <w:rsid w:val="003F355A"/>
    <w:rsid w:val="003F41F4"/>
    <w:rsid w:val="003F4EFC"/>
    <w:rsid w:val="003F5022"/>
    <w:rsid w:val="003F517C"/>
    <w:rsid w:val="003F530A"/>
    <w:rsid w:val="003F56E0"/>
    <w:rsid w:val="003F57B8"/>
    <w:rsid w:val="003F57C7"/>
    <w:rsid w:val="003F5A9D"/>
    <w:rsid w:val="003F5AB8"/>
    <w:rsid w:val="003F5E06"/>
    <w:rsid w:val="003F6013"/>
    <w:rsid w:val="003F6102"/>
    <w:rsid w:val="003F6D85"/>
    <w:rsid w:val="003F6F2F"/>
    <w:rsid w:val="003F717D"/>
    <w:rsid w:val="003F7569"/>
    <w:rsid w:val="003F7841"/>
    <w:rsid w:val="003F7D47"/>
    <w:rsid w:val="004001AB"/>
    <w:rsid w:val="004002A2"/>
    <w:rsid w:val="00400E1D"/>
    <w:rsid w:val="00401295"/>
    <w:rsid w:val="004018AA"/>
    <w:rsid w:val="004018C3"/>
    <w:rsid w:val="00401902"/>
    <w:rsid w:val="004026F7"/>
    <w:rsid w:val="00403433"/>
    <w:rsid w:val="004035AB"/>
    <w:rsid w:val="00403663"/>
    <w:rsid w:val="004037AF"/>
    <w:rsid w:val="004038DA"/>
    <w:rsid w:val="00403ABF"/>
    <w:rsid w:val="00403F00"/>
    <w:rsid w:val="00403FB2"/>
    <w:rsid w:val="00404024"/>
    <w:rsid w:val="0040406E"/>
    <w:rsid w:val="00404961"/>
    <w:rsid w:val="004049A2"/>
    <w:rsid w:val="00404F2F"/>
    <w:rsid w:val="0040535C"/>
    <w:rsid w:val="0040543E"/>
    <w:rsid w:val="0040563B"/>
    <w:rsid w:val="00405BFB"/>
    <w:rsid w:val="00405D3A"/>
    <w:rsid w:val="00406383"/>
    <w:rsid w:val="00406496"/>
    <w:rsid w:val="00406ADA"/>
    <w:rsid w:val="0040753B"/>
    <w:rsid w:val="004077B0"/>
    <w:rsid w:val="004079F2"/>
    <w:rsid w:val="00410392"/>
    <w:rsid w:val="004105DA"/>
    <w:rsid w:val="004108C4"/>
    <w:rsid w:val="004114F4"/>
    <w:rsid w:val="004119C7"/>
    <w:rsid w:val="004120A6"/>
    <w:rsid w:val="00412A7D"/>
    <w:rsid w:val="00412D82"/>
    <w:rsid w:val="004153B6"/>
    <w:rsid w:val="00415835"/>
    <w:rsid w:val="00415AFF"/>
    <w:rsid w:val="00415D76"/>
    <w:rsid w:val="00415E2B"/>
    <w:rsid w:val="004160F6"/>
    <w:rsid w:val="0041629D"/>
    <w:rsid w:val="00416657"/>
    <w:rsid w:val="004172C1"/>
    <w:rsid w:val="004200E4"/>
    <w:rsid w:val="00420BAB"/>
    <w:rsid w:val="00421B28"/>
    <w:rsid w:val="00421E72"/>
    <w:rsid w:val="0042204D"/>
    <w:rsid w:val="00422390"/>
    <w:rsid w:val="0042309D"/>
    <w:rsid w:val="00423A0D"/>
    <w:rsid w:val="00423C7B"/>
    <w:rsid w:val="00423DF4"/>
    <w:rsid w:val="00423E0E"/>
    <w:rsid w:val="004246A3"/>
    <w:rsid w:val="00424D85"/>
    <w:rsid w:val="004250B8"/>
    <w:rsid w:val="004252A5"/>
    <w:rsid w:val="00425719"/>
    <w:rsid w:val="00425776"/>
    <w:rsid w:val="004270A5"/>
    <w:rsid w:val="00427DEC"/>
    <w:rsid w:val="004305A5"/>
    <w:rsid w:val="00430F00"/>
    <w:rsid w:val="00431953"/>
    <w:rsid w:val="00431AE4"/>
    <w:rsid w:val="0043284D"/>
    <w:rsid w:val="00432A15"/>
    <w:rsid w:val="00432C02"/>
    <w:rsid w:val="004332B6"/>
    <w:rsid w:val="004332D4"/>
    <w:rsid w:val="00433513"/>
    <w:rsid w:val="00433988"/>
    <w:rsid w:val="0043459B"/>
    <w:rsid w:val="00434600"/>
    <w:rsid w:val="00434C2C"/>
    <w:rsid w:val="004350BD"/>
    <w:rsid w:val="0043510F"/>
    <w:rsid w:val="004351EA"/>
    <w:rsid w:val="004358B8"/>
    <w:rsid w:val="00435AA9"/>
    <w:rsid w:val="00435CBA"/>
    <w:rsid w:val="00436015"/>
    <w:rsid w:val="00436555"/>
    <w:rsid w:val="00437299"/>
    <w:rsid w:val="00437678"/>
    <w:rsid w:val="00437B64"/>
    <w:rsid w:val="00437DAF"/>
    <w:rsid w:val="0043AF82"/>
    <w:rsid w:val="0044042E"/>
    <w:rsid w:val="00440E7F"/>
    <w:rsid w:val="00441085"/>
    <w:rsid w:val="004413EC"/>
    <w:rsid w:val="00441E46"/>
    <w:rsid w:val="00441EBD"/>
    <w:rsid w:val="004429F8"/>
    <w:rsid w:val="00442E8B"/>
    <w:rsid w:val="004430E5"/>
    <w:rsid w:val="004436F9"/>
    <w:rsid w:val="0044370E"/>
    <w:rsid w:val="00443DDC"/>
    <w:rsid w:val="004440B8"/>
    <w:rsid w:val="00444201"/>
    <w:rsid w:val="00444347"/>
    <w:rsid w:val="004446E4"/>
    <w:rsid w:val="00444C26"/>
    <w:rsid w:val="00444D23"/>
    <w:rsid w:val="00445013"/>
    <w:rsid w:val="00445799"/>
    <w:rsid w:val="004459A8"/>
    <w:rsid w:val="00445D6E"/>
    <w:rsid w:val="00446558"/>
    <w:rsid w:val="004475C3"/>
    <w:rsid w:val="00447A70"/>
    <w:rsid w:val="004508FB"/>
    <w:rsid w:val="00450920"/>
    <w:rsid w:val="004509C8"/>
    <w:rsid w:val="00450DDD"/>
    <w:rsid w:val="0045115E"/>
    <w:rsid w:val="00451542"/>
    <w:rsid w:val="00452604"/>
    <w:rsid w:val="004526D4"/>
    <w:rsid w:val="00452AF2"/>
    <w:rsid w:val="00452FA6"/>
    <w:rsid w:val="0045385C"/>
    <w:rsid w:val="00453BE0"/>
    <w:rsid w:val="00453D1E"/>
    <w:rsid w:val="004541AF"/>
    <w:rsid w:val="004541DA"/>
    <w:rsid w:val="004543AA"/>
    <w:rsid w:val="0045475D"/>
    <w:rsid w:val="00454FDE"/>
    <w:rsid w:val="00455306"/>
    <w:rsid w:val="00455CDD"/>
    <w:rsid w:val="0045620A"/>
    <w:rsid w:val="004564A2"/>
    <w:rsid w:val="004569E7"/>
    <w:rsid w:val="00456C4F"/>
    <w:rsid w:val="00456E8A"/>
    <w:rsid w:val="00456EF1"/>
    <w:rsid w:val="0045721D"/>
    <w:rsid w:val="0045738D"/>
    <w:rsid w:val="00457FE2"/>
    <w:rsid w:val="00460268"/>
    <w:rsid w:val="0046047D"/>
    <w:rsid w:val="004605AC"/>
    <w:rsid w:val="0046085A"/>
    <w:rsid w:val="00460F2F"/>
    <w:rsid w:val="00460FFB"/>
    <w:rsid w:val="0046150A"/>
    <w:rsid w:val="00461702"/>
    <w:rsid w:val="00461774"/>
    <w:rsid w:val="0046186E"/>
    <w:rsid w:val="00461C08"/>
    <w:rsid w:val="004627DC"/>
    <w:rsid w:val="00462866"/>
    <w:rsid w:val="004632EA"/>
    <w:rsid w:val="004664D2"/>
    <w:rsid w:val="004666D1"/>
    <w:rsid w:val="004668AB"/>
    <w:rsid w:val="00466FB6"/>
    <w:rsid w:val="00467249"/>
    <w:rsid w:val="0046750F"/>
    <w:rsid w:val="004677C8"/>
    <w:rsid w:val="00467C53"/>
    <w:rsid w:val="00467F26"/>
    <w:rsid w:val="0047021E"/>
    <w:rsid w:val="0047046B"/>
    <w:rsid w:val="0047077E"/>
    <w:rsid w:val="00470BAD"/>
    <w:rsid w:val="00470E5C"/>
    <w:rsid w:val="0047246B"/>
    <w:rsid w:val="00472C6E"/>
    <w:rsid w:val="00472D3A"/>
    <w:rsid w:val="00472F8F"/>
    <w:rsid w:val="00474633"/>
    <w:rsid w:val="0047515F"/>
    <w:rsid w:val="00475432"/>
    <w:rsid w:val="00475675"/>
    <w:rsid w:val="00475CDC"/>
    <w:rsid w:val="00476F9E"/>
    <w:rsid w:val="00477554"/>
    <w:rsid w:val="00477CD7"/>
    <w:rsid w:val="00477DCF"/>
    <w:rsid w:val="004800D0"/>
    <w:rsid w:val="004802D4"/>
    <w:rsid w:val="004806F2"/>
    <w:rsid w:val="00480811"/>
    <w:rsid w:val="00481459"/>
    <w:rsid w:val="00481E54"/>
    <w:rsid w:val="004821AC"/>
    <w:rsid w:val="004825D1"/>
    <w:rsid w:val="00482928"/>
    <w:rsid w:val="00482989"/>
    <w:rsid w:val="00482ACA"/>
    <w:rsid w:val="00482ED5"/>
    <w:rsid w:val="00482F9E"/>
    <w:rsid w:val="0048437E"/>
    <w:rsid w:val="004846B4"/>
    <w:rsid w:val="004846F8"/>
    <w:rsid w:val="00484958"/>
    <w:rsid w:val="00485DA4"/>
    <w:rsid w:val="00486038"/>
    <w:rsid w:val="00486538"/>
    <w:rsid w:val="00486780"/>
    <w:rsid w:val="00486A67"/>
    <w:rsid w:val="004872E9"/>
    <w:rsid w:val="00487B1A"/>
    <w:rsid w:val="00490C33"/>
    <w:rsid w:val="00490C7D"/>
    <w:rsid w:val="00491931"/>
    <w:rsid w:val="00491B38"/>
    <w:rsid w:val="00491FF3"/>
    <w:rsid w:val="004927F3"/>
    <w:rsid w:val="0049285A"/>
    <w:rsid w:val="00492D84"/>
    <w:rsid w:val="00492E8F"/>
    <w:rsid w:val="00493338"/>
    <w:rsid w:val="00493871"/>
    <w:rsid w:val="00493E4B"/>
    <w:rsid w:val="004940FB"/>
    <w:rsid w:val="0049476A"/>
    <w:rsid w:val="004948ED"/>
    <w:rsid w:val="004955A6"/>
    <w:rsid w:val="004955D6"/>
    <w:rsid w:val="00495895"/>
    <w:rsid w:val="00495A10"/>
    <w:rsid w:val="00495C29"/>
    <w:rsid w:val="004960CF"/>
    <w:rsid w:val="00496244"/>
    <w:rsid w:val="004965C9"/>
    <w:rsid w:val="00496A7D"/>
    <w:rsid w:val="00497089"/>
    <w:rsid w:val="00497165"/>
    <w:rsid w:val="004977AE"/>
    <w:rsid w:val="00497FDE"/>
    <w:rsid w:val="004A012F"/>
    <w:rsid w:val="004A0527"/>
    <w:rsid w:val="004A09CC"/>
    <w:rsid w:val="004A0CE2"/>
    <w:rsid w:val="004A187F"/>
    <w:rsid w:val="004A23B9"/>
    <w:rsid w:val="004A244D"/>
    <w:rsid w:val="004A2579"/>
    <w:rsid w:val="004A2B68"/>
    <w:rsid w:val="004A2D59"/>
    <w:rsid w:val="004A3274"/>
    <w:rsid w:val="004A34B1"/>
    <w:rsid w:val="004A3838"/>
    <w:rsid w:val="004A3961"/>
    <w:rsid w:val="004A3CCE"/>
    <w:rsid w:val="004A3ED4"/>
    <w:rsid w:val="004A423C"/>
    <w:rsid w:val="004A476E"/>
    <w:rsid w:val="004A48B2"/>
    <w:rsid w:val="004A4F1A"/>
    <w:rsid w:val="004A4F9A"/>
    <w:rsid w:val="004A5250"/>
    <w:rsid w:val="004A55D4"/>
    <w:rsid w:val="004A5852"/>
    <w:rsid w:val="004A59E5"/>
    <w:rsid w:val="004A5BB2"/>
    <w:rsid w:val="004A5BFE"/>
    <w:rsid w:val="004A5CD1"/>
    <w:rsid w:val="004A625A"/>
    <w:rsid w:val="004A6419"/>
    <w:rsid w:val="004A7776"/>
    <w:rsid w:val="004A79DB"/>
    <w:rsid w:val="004A7AAC"/>
    <w:rsid w:val="004A7E31"/>
    <w:rsid w:val="004B0F10"/>
    <w:rsid w:val="004B1474"/>
    <w:rsid w:val="004B1C0E"/>
    <w:rsid w:val="004B1C9A"/>
    <w:rsid w:val="004B1FD4"/>
    <w:rsid w:val="004B21A1"/>
    <w:rsid w:val="004B2440"/>
    <w:rsid w:val="004B2631"/>
    <w:rsid w:val="004B28C4"/>
    <w:rsid w:val="004B34E3"/>
    <w:rsid w:val="004B45F4"/>
    <w:rsid w:val="004B4666"/>
    <w:rsid w:val="004B4F70"/>
    <w:rsid w:val="004B5AF7"/>
    <w:rsid w:val="004B5DEA"/>
    <w:rsid w:val="004B6592"/>
    <w:rsid w:val="004B672D"/>
    <w:rsid w:val="004B6787"/>
    <w:rsid w:val="004B68E3"/>
    <w:rsid w:val="004B6CA0"/>
    <w:rsid w:val="004B7576"/>
    <w:rsid w:val="004C1557"/>
    <w:rsid w:val="004C1FC6"/>
    <w:rsid w:val="004C2457"/>
    <w:rsid w:val="004C245E"/>
    <w:rsid w:val="004C2577"/>
    <w:rsid w:val="004C26AD"/>
    <w:rsid w:val="004C2F77"/>
    <w:rsid w:val="004C3388"/>
    <w:rsid w:val="004C370F"/>
    <w:rsid w:val="004C4011"/>
    <w:rsid w:val="004C4192"/>
    <w:rsid w:val="004C4C44"/>
    <w:rsid w:val="004C563F"/>
    <w:rsid w:val="004C5860"/>
    <w:rsid w:val="004C5D4B"/>
    <w:rsid w:val="004C5E23"/>
    <w:rsid w:val="004C661E"/>
    <w:rsid w:val="004C6B5A"/>
    <w:rsid w:val="004C6D6E"/>
    <w:rsid w:val="004C6FEC"/>
    <w:rsid w:val="004C7550"/>
    <w:rsid w:val="004C7BEC"/>
    <w:rsid w:val="004D03FF"/>
    <w:rsid w:val="004D08D7"/>
    <w:rsid w:val="004D0AA4"/>
    <w:rsid w:val="004D1051"/>
    <w:rsid w:val="004D1248"/>
    <w:rsid w:val="004D1307"/>
    <w:rsid w:val="004D1D32"/>
    <w:rsid w:val="004D24C9"/>
    <w:rsid w:val="004D2ADB"/>
    <w:rsid w:val="004D3036"/>
    <w:rsid w:val="004D303C"/>
    <w:rsid w:val="004D377C"/>
    <w:rsid w:val="004D3BFA"/>
    <w:rsid w:val="004D466E"/>
    <w:rsid w:val="004D4679"/>
    <w:rsid w:val="004D4C6D"/>
    <w:rsid w:val="004D4DB0"/>
    <w:rsid w:val="004D5511"/>
    <w:rsid w:val="004D5AC5"/>
    <w:rsid w:val="004D62F7"/>
    <w:rsid w:val="004D7458"/>
    <w:rsid w:val="004D7504"/>
    <w:rsid w:val="004D7801"/>
    <w:rsid w:val="004D7E0F"/>
    <w:rsid w:val="004E07DA"/>
    <w:rsid w:val="004E11B9"/>
    <w:rsid w:val="004E16A2"/>
    <w:rsid w:val="004E1AFC"/>
    <w:rsid w:val="004E1FEC"/>
    <w:rsid w:val="004E2270"/>
    <w:rsid w:val="004E2770"/>
    <w:rsid w:val="004E281D"/>
    <w:rsid w:val="004E2977"/>
    <w:rsid w:val="004E32F2"/>
    <w:rsid w:val="004E38CB"/>
    <w:rsid w:val="004E3908"/>
    <w:rsid w:val="004E3FEB"/>
    <w:rsid w:val="004E40B5"/>
    <w:rsid w:val="004E40B6"/>
    <w:rsid w:val="004E41EA"/>
    <w:rsid w:val="004E4379"/>
    <w:rsid w:val="004E438C"/>
    <w:rsid w:val="004E48E7"/>
    <w:rsid w:val="004E49CD"/>
    <w:rsid w:val="004E4F43"/>
    <w:rsid w:val="004E4FC6"/>
    <w:rsid w:val="004E5339"/>
    <w:rsid w:val="004E5E48"/>
    <w:rsid w:val="004E60CC"/>
    <w:rsid w:val="004E6222"/>
    <w:rsid w:val="004E698D"/>
    <w:rsid w:val="004E703D"/>
    <w:rsid w:val="004E72D9"/>
    <w:rsid w:val="004E7A2B"/>
    <w:rsid w:val="004E7C7B"/>
    <w:rsid w:val="004E7CD0"/>
    <w:rsid w:val="004E7F38"/>
    <w:rsid w:val="004F0078"/>
    <w:rsid w:val="004F03E4"/>
    <w:rsid w:val="004F0B08"/>
    <w:rsid w:val="004F116F"/>
    <w:rsid w:val="004F1618"/>
    <w:rsid w:val="004F16C8"/>
    <w:rsid w:val="004F17A9"/>
    <w:rsid w:val="004F1D9C"/>
    <w:rsid w:val="004F1EC0"/>
    <w:rsid w:val="004F22D0"/>
    <w:rsid w:val="004F2E57"/>
    <w:rsid w:val="004F2E7B"/>
    <w:rsid w:val="004F2F5A"/>
    <w:rsid w:val="004F304A"/>
    <w:rsid w:val="004F31CB"/>
    <w:rsid w:val="004F3436"/>
    <w:rsid w:val="004F34B5"/>
    <w:rsid w:val="004F38D8"/>
    <w:rsid w:val="004F3FD3"/>
    <w:rsid w:val="004F44EB"/>
    <w:rsid w:val="004F47BC"/>
    <w:rsid w:val="004F4C5C"/>
    <w:rsid w:val="004F50D9"/>
    <w:rsid w:val="004F518A"/>
    <w:rsid w:val="004F5D38"/>
    <w:rsid w:val="004F5F95"/>
    <w:rsid w:val="004F64D4"/>
    <w:rsid w:val="004F6999"/>
    <w:rsid w:val="004F7405"/>
    <w:rsid w:val="004F7483"/>
    <w:rsid w:val="00500028"/>
    <w:rsid w:val="005000F0"/>
    <w:rsid w:val="0050041A"/>
    <w:rsid w:val="005006ED"/>
    <w:rsid w:val="00500818"/>
    <w:rsid w:val="00501404"/>
    <w:rsid w:val="00501470"/>
    <w:rsid w:val="005017AD"/>
    <w:rsid w:val="00501C38"/>
    <w:rsid w:val="00501FE0"/>
    <w:rsid w:val="00502187"/>
    <w:rsid w:val="00502CCC"/>
    <w:rsid w:val="005030DF"/>
    <w:rsid w:val="005039A3"/>
    <w:rsid w:val="005043D0"/>
    <w:rsid w:val="00504DFB"/>
    <w:rsid w:val="00505A43"/>
    <w:rsid w:val="00505B62"/>
    <w:rsid w:val="00506000"/>
    <w:rsid w:val="005067A4"/>
    <w:rsid w:val="00506E08"/>
    <w:rsid w:val="00506F41"/>
    <w:rsid w:val="005078F7"/>
    <w:rsid w:val="00507A88"/>
    <w:rsid w:val="00510314"/>
    <w:rsid w:val="00510A49"/>
    <w:rsid w:val="00510B6A"/>
    <w:rsid w:val="0051113E"/>
    <w:rsid w:val="00511518"/>
    <w:rsid w:val="0051163E"/>
    <w:rsid w:val="0051196E"/>
    <w:rsid w:val="00511C65"/>
    <w:rsid w:val="00512728"/>
    <w:rsid w:val="0051294D"/>
    <w:rsid w:val="00512CC7"/>
    <w:rsid w:val="00512D3B"/>
    <w:rsid w:val="0051333C"/>
    <w:rsid w:val="00513765"/>
    <w:rsid w:val="005138C5"/>
    <w:rsid w:val="00513D15"/>
    <w:rsid w:val="00513EFE"/>
    <w:rsid w:val="005142F6"/>
    <w:rsid w:val="00514DD4"/>
    <w:rsid w:val="00515245"/>
    <w:rsid w:val="0051524C"/>
    <w:rsid w:val="005161A1"/>
    <w:rsid w:val="005164BA"/>
    <w:rsid w:val="005169EF"/>
    <w:rsid w:val="0051759A"/>
    <w:rsid w:val="00517A5E"/>
    <w:rsid w:val="00517E90"/>
    <w:rsid w:val="00520209"/>
    <w:rsid w:val="00520F21"/>
    <w:rsid w:val="005212D6"/>
    <w:rsid w:val="00521490"/>
    <w:rsid w:val="0052177B"/>
    <w:rsid w:val="00521CA3"/>
    <w:rsid w:val="00521E59"/>
    <w:rsid w:val="0052244E"/>
    <w:rsid w:val="00523207"/>
    <w:rsid w:val="005234AC"/>
    <w:rsid w:val="0052381C"/>
    <w:rsid w:val="005242B3"/>
    <w:rsid w:val="005245A3"/>
    <w:rsid w:val="00525B1A"/>
    <w:rsid w:val="00525CF6"/>
    <w:rsid w:val="00525D2F"/>
    <w:rsid w:val="00525D66"/>
    <w:rsid w:val="00525EB5"/>
    <w:rsid w:val="005266CF"/>
    <w:rsid w:val="005269C0"/>
    <w:rsid w:val="00526CFC"/>
    <w:rsid w:val="00526F30"/>
    <w:rsid w:val="005279C5"/>
    <w:rsid w:val="00527AC6"/>
    <w:rsid w:val="0053011F"/>
    <w:rsid w:val="00530947"/>
    <w:rsid w:val="00530BFA"/>
    <w:rsid w:val="00530DF4"/>
    <w:rsid w:val="00530EC5"/>
    <w:rsid w:val="0053129C"/>
    <w:rsid w:val="00531360"/>
    <w:rsid w:val="005313C9"/>
    <w:rsid w:val="0053169F"/>
    <w:rsid w:val="005317C6"/>
    <w:rsid w:val="00531873"/>
    <w:rsid w:val="00532B6C"/>
    <w:rsid w:val="00532CD9"/>
    <w:rsid w:val="005337A0"/>
    <w:rsid w:val="005337E9"/>
    <w:rsid w:val="00533C71"/>
    <w:rsid w:val="00533C89"/>
    <w:rsid w:val="00533D4E"/>
    <w:rsid w:val="00534164"/>
    <w:rsid w:val="005345AE"/>
    <w:rsid w:val="00534953"/>
    <w:rsid w:val="00534A3B"/>
    <w:rsid w:val="00534C5E"/>
    <w:rsid w:val="00534C92"/>
    <w:rsid w:val="00534EA2"/>
    <w:rsid w:val="0053506A"/>
    <w:rsid w:val="005350AF"/>
    <w:rsid w:val="0053526D"/>
    <w:rsid w:val="005353E9"/>
    <w:rsid w:val="005356F0"/>
    <w:rsid w:val="00535770"/>
    <w:rsid w:val="00535870"/>
    <w:rsid w:val="005358C5"/>
    <w:rsid w:val="00535F03"/>
    <w:rsid w:val="005360F5"/>
    <w:rsid w:val="0053642D"/>
    <w:rsid w:val="005368F8"/>
    <w:rsid w:val="00536B3F"/>
    <w:rsid w:val="0053711F"/>
    <w:rsid w:val="00537733"/>
    <w:rsid w:val="00537FFD"/>
    <w:rsid w:val="005407E4"/>
    <w:rsid w:val="00540EB4"/>
    <w:rsid w:val="005411F1"/>
    <w:rsid w:val="0054148D"/>
    <w:rsid w:val="00541930"/>
    <w:rsid w:val="00541C3A"/>
    <w:rsid w:val="00541CEB"/>
    <w:rsid w:val="0054354D"/>
    <w:rsid w:val="00543732"/>
    <w:rsid w:val="00543AB6"/>
    <w:rsid w:val="00543B3B"/>
    <w:rsid w:val="00543DB3"/>
    <w:rsid w:val="005443F3"/>
    <w:rsid w:val="005449EB"/>
    <w:rsid w:val="0054554A"/>
    <w:rsid w:val="005456AE"/>
    <w:rsid w:val="00545933"/>
    <w:rsid w:val="00546344"/>
    <w:rsid w:val="0054693D"/>
    <w:rsid w:val="00547705"/>
    <w:rsid w:val="0054775F"/>
    <w:rsid w:val="0054790D"/>
    <w:rsid w:val="00547CBF"/>
    <w:rsid w:val="005505D1"/>
    <w:rsid w:val="00550FDF"/>
    <w:rsid w:val="00551518"/>
    <w:rsid w:val="0055163E"/>
    <w:rsid w:val="00551912"/>
    <w:rsid w:val="00551A3E"/>
    <w:rsid w:val="00551AA8"/>
    <w:rsid w:val="00551DBF"/>
    <w:rsid w:val="00552026"/>
    <w:rsid w:val="00552AA3"/>
    <w:rsid w:val="0055306B"/>
    <w:rsid w:val="005532F6"/>
    <w:rsid w:val="00553570"/>
    <w:rsid w:val="005536A2"/>
    <w:rsid w:val="00553E46"/>
    <w:rsid w:val="005545BE"/>
    <w:rsid w:val="00554BA1"/>
    <w:rsid w:val="00554ECB"/>
    <w:rsid w:val="005551F7"/>
    <w:rsid w:val="00555889"/>
    <w:rsid w:val="005560CD"/>
    <w:rsid w:val="00556878"/>
    <w:rsid w:val="00556A25"/>
    <w:rsid w:val="0055758D"/>
    <w:rsid w:val="005576FE"/>
    <w:rsid w:val="00557FAA"/>
    <w:rsid w:val="0056056B"/>
    <w:rsid w:val="00560616"/>
    <w:rsid w:val="00560643"/>
    <w:rsid w:val="00560850"/>
    <w:rsid w:val="00560E4A"/>
    <w:rsid w:val="005614E2"/>
    <w:rsid w:val="00561929"/>
    <w:rsid w:val="00561A7C"/>
    <w:rsid w:val="00561F5E"/>
    <w:rsid w:val="00561FFD"/>
    <w:rsid w:val="005620F5"/>
    <w:rsid w:val="00562A23"/>
    <w:rsid w:val="00562B0A"/>
    <w:rsid w:val="00562F37"/>
    <w:rsid w:val="005630C3"/>
    <w:rsid w:val="0056353B"/>
    <w:rsid w:val="005635B7"/>
    <w:rsid w:val="00563884"/>
    <w:rsid w:val="00563CD1"/>
    <w:rsid w:val="005643CF"/>
    <w:rsid w:val="00564996"/>
    <w:rsid w:val="00565CD8"/>
    <w:rsid w:val="005663BB"/>
    <w:rsid w:val="0056655B"/>
    <w:rsid w:val="00566E0C"/>
    <w:rsid w:val="00567A3C"/>
    <w:rsid w:val="00567AB7"/>
    <w:rsid w:val="00570248"/>
    <w:rsid w:val="00570614"/>
    <w:rsid w:val="00570BA9"/>
    <w:rsid w:val="00570D59"/>
    <w:rsid w:val="00570F3A"/>
    <w:rsid w:val="00571004"/>
    <w:rsid w:val="005713BB"/>
    <w:rsid w:val="00571E0D"/>
    <w:rsid w:val="0057201A"/>
    <w:rsid w:val="00572A55"/>
    <w:rsid w:val="00572FFC"/>
    <w:rsid w:val="00573B82"/>
    <w:rsid w:val="00573C23"/>
    <w:rsid w:val="00575550"/>
    <w:rsid w:val="00575A9D"/>
    <w:rsid w:val="00575E4C"/>
    <w:rsid w:val="00575F17"/>
    <w:rsid w:val="005769F9"/>
    <w:rsid w:val="00576E84"/>
    <w:rsid w:val="005771E8"/>
    <w:rsid w:val="005774BC"/>
    <w:rsid w:val="005778E0"/>
    <w:rsid w:val="005778FD"/>
    <w:rsid w:val="00580460"/>
    <w:rsid w:val="00580983"/>
    <w:rsid w:val="00580DF3"/>
    <w:rsid w:val="00581232"/>
    <w:rsid w:val="005813DA"/>
    <w:rsid w:val="00581451"/>
    <w:rsid w:val="00581A5F"/>
    <w:rsid w:val="00582670"/>
    <w:rsid w:val="00582A83"/>
    <w:rsid w:val="0058313A"/>
    <w:rsid w:val="00583CFA"/>
    <w:rsid w:val="00584610"/>
    <w:rsid w:val="0058497A"/>
    <w:rsid w:val="00584A6C"/>
    <w:rsid w:val="00584D66"/>
    <w:rsid w:val="0058543E"/>
    <w:rsid w:val="0058559A"/>
    <w:rsid w:val="00585729"/>
    <w:rsid w:val="00586625"/>
    <w:rsid w:val="0058690C"/>
    <w:rsid w:val="00586B29"/>
    <w:rsid w:val="00586F53"/>
    <w:rsid w:val="00587721"/>
    <w:rsid w:val="0058788F"/>
    <w:rsid w:val="00587AE1"/>
    <w:rsid w:val="00590532"/>
    <w:rsid w:val="00590BB5"/>
    <w:rsid w:val="00590FE7"/>
    <w:rsid w:val="00591674"/>
    <w:rsid w:val="00592062"/>
    <w:rsid w:val="005920BE"/>
    <w:rsid w:val="005927DC"/>
    <w:rsid w:val="00592EFF"/>
    <w:rsid w:val="00593589"/>
    <w:rsid w:val="00595C34"/>
    <w:rsid w:val="00595DE6"/>
    <w:rsid w:val="00595E51"/>
    <w:rsid w:val="0059629E"/>
    <w:rsid w:val="005963F5"/>
    <w:rsid w:val="0059644F"/>
    <w:rsid w:val="00596A2B"/>
    <w:rsid w:val="00597371"/>
    <w:rsid w:val="005974AD"/>
    <w:rsid w:val="00597980"/>
    <w:rsid w:val="005987EC"/>
    <w:rsid w:val="005A0C9A"/>
    <w:rsid w:val="005A11E5"/>
    <w:rsid w:val="005A122B"/>
    <w:rsid w:val="005A281E"/>
    <w:rsid w:val="005A30E7"/>
    <w:rsid w:val="005A3C23"/>
    <w:rsid w:val="005A4121"/>
    <w:rsid w:val="005A46A4"/>
    <w:rsid w:val="005A4CCA"/>
    <w:rsid w:val="005A53AD"/>
    <w:rsid w:val="005A58BC"/>
    <w:rsid w:val="005A6788"/>
    <w:rsid w:val="005A6E8D"/>
    <w:rsid w:val="005A7460"/>
    <w:rsid w:val="005A75FC"/>
    <w:rsid w:val="005A7C3A"/>
    <w:rsid w:val="005A7FC5"/>
    <w:rsid w:val="005B0F7B"/>
    <w:rsid w:val="005B1457"/>
    <w:rsid w:val="005B1BE4"/>
    <w:rsid w:val="005B1F35"/>
    <w:rsid w:val="005B2016"/>
    <w:rsid w:val="005B20D2"/>
    <w:rsid w:val="005B2534"/>
    <w:rsid w:val="005B2597"/>
    <w:rsid w:val="005B28A5"/>
    <w:rsid w:val="005B2B97"/>
    <w:rsid w:val="005B2CAD"/>
    <w:rsid w:val="005B2F41"/>
    <w:rsid w:val="005B30FF"/>
    <w:rsid w:val="005B36BA"/>
    <w:rsid w:val="005B3990"/>
    <w:rsid w:val="005B3C3F"/>
    <w:rsid w:val="005B3D9A"/>
    <w:rsid w:val="005B3FD5"/>
    <w:rsid w:val="005B4155"/>
    <w:rsid w:val="005B45BE"/>
    <w:rsid w:val="005B45EA"/>
    <w:rsid w:val="005B4B7F"/>
    <w:rsid w:val="005B4DA2"/>
    <w:rsid w:val="005B4ED9"/>
    <w:rsid w:val="005B507A"/>
    <w:rsid w:val="005B50C0"/>
    <w:rsid w:val="005B5A88"/>
    <w:rsid w:val="005B5AEA"/>
    <w:rsid w:val="005B5DE2"/>
    <w:rsid w:val="005B615B"/>
    <w:rsid w:val="005B6539"/>
    <w:rsid w:val="005B67DC"/>
    <w:rsid w:val="005B6F06"/>
    <w:rsid w:val="005B72C6"/>
    <w:rsid w:val="005B7478"/>
    <w:rsid w:val="005B7D8A"/>
    <w:rsid w:val="005BD4D1"/>
    <w:rsid w:val="005C0939"/>
    <w:rsid w:val="005C09DD"/>
    <w:rsid w:val="005C0ACB"/>
    <w:rsid w:val="005C0E0A"/>
    <w:rsid w:val="005C0E88"/>
    <w:rsid w:val="005C1015"/>
    <w:rsid w:val="005C1164"/>
    <w:rsid w:val="005C125D"/>
    <w:rsid w:val="005C1452"/>
    <w:rsid w:val="005C20AA"/>
    <w:rsid w:val="005C2F8E"/>
    <w:rsid w:val="005C36B9"/>
    <w:rsid w:val="005C37DE"/>
    <w:rsid w:val="005C4050"/>
    <w:rsid w:val="005C4248"/>
    <w:rsid w:val="005C4304"/>
    <w:rsid w:val="005C50A2"/>
    <w:rsid w:val="005C5383"/>
    <w:rsid w:val="005C550E"/>
    <w:rsid w:val="005C6C12"/>
    <w:rsid w:val="005C6F3B"/>
    <w:rsid w:val="005C7993"/>
    <w:rsid w:val="005D02F2"/>
    <w:rsid w:val="005D0872"/>
    <w:rsid w:val="005D0B30"/>
    <w:rsid w:val="005D101D"/>
    <w:rsid w:val="005D11F3"/>
    <w:rsid w:val="005D138C"/>
    <w:rsid w:val="005D1CF9"/>
    <w:rsid w:val="005D1DA2"/>
    <w:rsid w:val="005D29CD"/>
    <w:rsid w:val="005D2BFB"/>
    <w:rsid w:val="005D431B"/>
    <w:rsid w:val="005D5799"/>
    <w:rsid w:val="005D57AA"/>
    <w:rsid w:val="005D5949"/>
    <w:rsid w:val="005D5F26"/>
    <w:rsid w:val="005D5FA4"/>
    <w:rsid w:val="005D62BF"/>
    <w:rsid w:val="005D6308"/>
    <w:rsid w:val="005D70F5"/>
    <w:rsid w:val="005E052A"/>
    <w:rsid w:val="005E0653"/>
    <w:rsid w:val="005E09E6"/>
    <w:rsid w:val="005E1B20"/>
    <w:rsid w:val="005E1CC0"/>
    <w:rsid w:val="005E228A"/>
    <w:rsid w:val="005E2AB1"/>
    <w:rsid w:val="005E2C60"/>
    <w:rsid w:val="005E2CC4"/>
    <w:rsid w:val="005E2DF4"/>
    <w:rsid w:val="005E368B"/>
    <w:rsid w:val="005E368E"/>
    <w:rsid w:val="005E36EF"/>
    <w:rsid w:val="005E3914"/>
    <w:rsid w:val="005E3E5D"/>
    <w:rsid w:val="005E4517"/>
    <w:rsid w:val="005E4D10"/>
    <w:rsid w:val="005E51E8"/>
    <w:rsid w:val="005E57BF"/>
    <w:rsid w:val="005E62AA"/>
    <w:rsid w:val="005E63AB"/>
    <w:rsid w:val="005E6553"/>
    <w:rsid w:val="005E6732"/>
    <w:rsid w:val="005E6895"/>
    <w:rsid w:val="005E713F"/>
    <w:rsid w:val="005E7416"/>
    <w:rsid w:val="005E7D05"/>
    <w:rsid w:val="005E7F03"/>
    <w:rsid w:val="005F0917"/>
    <w:rsid w:val="005F12C1"/>
    <w:rsid w:val="005F1A72"/>
    <w:rsid w:val="005F1B46"/>
    <w:rsid w:val="005F2020"/>
    <w:rsid w:val="005F203A"/>
    <w:rsid w:val="005F2704"/>
    <w:rsid w:val="005F2909"/>
    <w:rsid w:val="005F2A00"/>
    <w:rsid w:val="005F2EF9"/>
    <w:rsid w:val="005F3D20"/>
    <w:rsid w:val="005F428B"/>
    <w:rsid w:val="005F539B"/>
    <w:rsid w:val="005F5ADF"/>
    <w:rsid w:val="005F5D35"/>
    <w:rsid w:val="005F6059"/>
    <w:rsid w:val="005F61CA"/>
    <w:rsid w:val="005F65BD"/>
    <w:rsid w:val="005F6BDE"/>
    <w:rsid w:val="005F71E4"/>
    <w:rsid w:val="005F742D"/>
    <w:rsid w:val="00600627"/>
    <w:rsid w:val="00600AFA"/>
    <w:rsid w:val="00600FAA"/>
    <w:rsid w:val="00600FD2"/>
    <w:rsid w:val="006017EC"/>
    <w:rsid w:val="00602142"/>
    <w:rsid w:val="00602280"/>
    <w:rsid w:val="00602292"/>
    <w:rsid w:val="006025D8"/>
    <w:rsid w:val="00602928"/>
    <w:rsid w:val="0060309F"/>
    <w:rsid w:val="00603567"/>
    <w:rsid w:val="0060360E"/>
    <w:rsid w:val="00603654"/>
    <w:rsid w:val="006039F2"/>
    <w:rsid w:val="00604387"/>
    <w:rsid w:val="00604461"/>
    <w:rsid w:val="0060465B"/>
    <w:rsid w:val="00604EF1"/>
    <w:rsid w:val="00605307"/>
    <w:rsid w:val="0060568A"/>
    <w:rsid w:val="00605E8A"/>
    <w:rsid w:val="0060605C"/>
    <w:rsid w:val="00606161"/>
    <w:rsid w:val="00606B89"/>
    <w:rsid w:val="00606B93"/>
    <w:rsid w:val="00606F0F"/>
    <w:rsid w:val="006071BE"/>
    <w:rsid w:val="006071EC"/>
    <w:rsid w:val="0061035A"/>
    <w:rsid w:val="0061059F"/>
    <w:rsid w:val="00610A26"/>
    <w:rsid w:val="00610DCD"/>
    <w:rsid w:val="0061117A"/>
    <w:rsid w:val="006123AC"/>
    <w:rsid w:val="00612A3B"/>
    <w:rsid w:val="00612C54"/>
    <w:rsid w:val="00612E69"/>
    <w:rsid w:val="00612FB0"/>
    <w:rsid w:val="00613529"/>
    <w:rsid w:val="0061394C"/>
    <w:rsid w:val="00613D8E"/>
    <w:rsid w:val="00614A66"/>
    <w:rsid w:val="00614EE7"/>
    <w:rsid w:val="006150F9"/>
    <w:rsid w:val="0061549C"/>
    <w:rsid w:val="00615C91"/>
    <w:rsid w:val="00615E62"/>
    <w:rsid w:val="00615F72"/>
    <w:rsid w:val="006160B7"/>
    <w:rsid w:val="006168ED"/>
    <w:rsid w:val="00616E20"/>
    <w:rsid w:val="0061711C"/>
    <w:rsid w:val="006178B7"/>
    <w:rsid w:val="00620343"/>
    <w:rsid w:val="0062072D"/>
    <w:rsid w:val="006210B1"/>
    <w:rsid w:val="006211A5"/>
    <w:rsid w:val="006212E4"/>
    <w:rsid w:val="00621656"/>
    <w:rsid w:val="00621B47"/>
    <w:rsid w:val="00622669"/>
    <w:rsid w:val="00622871"/>
    <w:rsid w:val="00622A73"/>
    <w:rsid w:val="00623FAE"/>
    <w:rsid w:val="006244C1"/>
    <w:rsid w:val="006244E6"/>
    <w:rsid w:val="00624854"/>
    <w:rsid w:val="006249B3"/>
    <w:rsid w:val="0062542A"/>
    <w:rsid w:val="00625536"/>
    <w:rsid w:val="0062589C"/>
    <w:rsid w:val="006258D9"/>
    <w:rsid w:val="00626926"/>
    <w:rsid w:val="00626A26"/>
    <w:rsid w:val="00626BBA"/>
    <w:rsid w:val="00626EF7"/>
    <w:rsid w:val="006274B9"/>
    <w:rsid w:val="00627768"/>
    <w:rsid w:val="006302FA"/>
    <w:rsid w:val="00630A12"/>
    <w:rsid w:val="00630AAA"/>
    <w:rsid w:val="00630B50"/>
    <w:rsid w:val="0063165D"/>
    <w:rsid w:val="00631BD9"/>
    <w:rsid w:val="00631D80"/>
    <w:rsid w:val="00632014"/>
    <w:rsid w:val="006324C1"/>
    <w:rsid w:val="00633119"/>
    <w:rsid w:val="006334E1"/>
    <w:rsid w:val="006347B5"/>
    <w:rsid w:val="00635536"/>
    <w:rsid w:val="006360D1"/>
    <w:rsid w:val="006365C3"/>
    <w:rsid w:val="00636B5B"/>
    <w:rsid w:val="00636DEB"/>
    <w:rsid w:val="00637891"/>
    <w:rsid w:val="00637C4A"/>
    <w:rsid w:val="006406AD"/>
    <w:rsid w:val="00640AA0"/>
    <w:rsid w:val="00640E5F"/>
    <w:rsid w:val="00640F53"/>
    <w:rsid w:val="00641050"/>
    <w:rsid w:val="00641AD2"/>
    <w:rsid w:val="00641DFC"/>
    <w:rsid w:val="00642210"/>
    <w:rsid w:val="00642215"/>
    <w:rsid w:val="006423D0"/>
    <w:rsid w:val="0064260A"/>
    <w:rsid w:val="006430CE"/>
    <w:rsid w:val="006446BF"/>
    <w:rsid w:val="00644CAD"/>
    <w:rsid w:val="00644F18"/>
    <w:rsid w:val="006451E3"/>
    <w:rsid w:val="00645316"/>
    <w:rsid w:val="00645A75"/>
    <w:rsid w:val="00645AF6"/>
    <w:rsid w:val="00645DD4"/>
    <w:rsid w:val="00645F8F"/>
    <w:rsid w:val="006462B4"/>
    <w:rsid w:val="00646364"/>
    <w:rsid w:val="006463A5"/>
    <w:rsid w:val="006477E9"/>
    <w:rsid w:val="00647B7B"/>
    <w:rsid w:val="00647F3C"/>
    <w:rsid w:val="006504F8"/>
    <w:rsid w:val="00650E34"/>
    <w:rsid w:val="006511CB"/>
    <w:rsid w:val="00652447"/>
    <w:rsid w:val="00652895"/>
    <w:rsid w:val="00652A39"/>
    <w:rsid w:val="0065328A"/>
    <w:rsid w:val="006532A5"/>
    <w:rsid w:val="00654281"/>
    <w:rsid w:val="006542CF"/>
    <w:rsid w:val="00654704"/>
    <w:rsid w:val="00654B8C"/>
    <w:rsid w:val="006552A4"/>
    <w:rsid w:val="0065573D"/>
    <w:rsid w:val="0065588C"/>
    <w:rsid w:val="00655C7D"/>
    <w:rsid w:val="00655EA3"/>
    <w:rsid w:val="0065619C"/>
    <w:rsid w:val="00656471"/>
    <w:rsid w:val="0065649B"/>
    <w:rsid w:val="00656A46"/>
    <w:rsid w:val="00657330"/>
    <w:rsid w:val="006574F1"/>
    <w:rsid w:val="006576A7"/>
    <w:rsid w:val="00657880"/>
    <w:rsid w:val="00657BFE"/>
    <w:rsid w:val="00657D73"/>
    <w:rsid w:val="006603A1"/>
    <w:rsid w:val="00660504"/>
    <w:rsid w:val="0066057C"/>
    <w:rsid w:val="00660D3F"/>
    <w:rsid w:val="00660E27"/>
    <w:rsid w:val="00660EE7"/>
    <w:rsid w:val="00661665"/>
    <w:rsid w:val="00661A6F"/>
    <w:rsid w:val="00661AAD"/>
    <w:rsid w:val="00661DEC"/>
    <w:rsid w:val="00662957"/>
    <w:rsid w:val="00663354"/>
    <w:rsid w:val="0066351C"/>
    <w:rsid w:val="0066387C"/>
    <w:rsid w:val="006639E6"/>
    <w:rsid w:val="00663CCE"/>
    <w:rsid w:val="0066403C"/>
    <w:rsid w:val="006640E2"/>
    <w:rsid w:val="00664342"/>
    <w:rsid w:val="00664FB9"/>
    <w:rsid w:val="00664FEA"/>
    <w:rsid w:val="006650EE"/>
    <w:rsid w:val="00666229"/>
    <w:rsid w:val="00666CF4"/>
    <w:rsid w:val="00666E30"/>
    <w:rsid w:val="00667164"/>
    <w:rsid w:val="0066717B"/>
    <w:rsid w:val="006676E6"/>
    <w:rsid w:val="00671156"/>
    <w:rsid w:val="0067191E"/>
    <w:rsid w:val="00671B95"/>
    <w:rsid w:val="006720F7"/>
    <w:rsid w:val="00672133"/>
    <w:rsid w:val="006725F1"/>
    <w:rsid w:val="0067261B"/>
    <w:rsid w:val="006726C8"/>
    <w:rsid w:val="00672763"/>
    <w:rsid w:val="006728C0"/>
    <w:rsid w:val="0067309C"/>
    <w:rsid w:val="00673374"/>
    <w:rsid w:val="00674060"/>
    <w:rsid w:val="00674373"/>
    <w:rsid w:val="0067478A"/>
    <w:rsid w:val="00674B6B"/>
    <w:rsid w:val="00674CB6"/>
    <w:rsid w:val="0067541F"/>
    <w:rsid w:val="006754AE"/>
    <w:rsid w:val="00675794"/>
    <w:rsid w:val="00675944"/>
    <w:rsid w:val="00675D6B"/>
    <w:rsid w:val="0067680A"/>
    <w:rsid w:val="006773B4"/>
    <w:rsid w:val="006773D8"/>
    <w:rsid w:val="00677682"/>
    <w:rsid w:val="006803E3"/>
    <w:rsid w:val="0068045A"/>
    <w:rsid w:val="00681394"/>
    <w:rsid w:val="00681C03"/>
    <w:rsid w:val="00681EBF"/>
    <w:rsid w:val="00682328"/>
    <w:rsid w:val="0068251A"/>
    <w:rsid w:val="0068286A"/>
    <w:rsid w:val="00682F19"/>
    <w:rsid w:val="006831FC"/>
    <w:rsid w:val="00683676"/>
    <w:rsid w:val="00683D4A"/>
    <w:rsid w:val="00683DAB"/>
    <w:rsid w:val="0068418D"/>
    <w:rsid w:val="006845A3"/>
    <w:rsid w:val="00684C8B"/>
    <w:rsid w:val="00684DBD"/>
    <w:rsid w:val="0068522F"/>
    <w:rsid w:val="00685E32"/>
    <w:rsid w:val="00685F09"/>
    <w:rsid w:val="006861A8"/>
    <w:rsid w:val="006861E6"/>
    <w:rsid w:val="00686F8A"/>
    <w:rsid w:val="00686FD2"/>
    <w:rsid w:val="006871FB"/>
    <w:rsid w:val="00687483"/>
    <w:rsid w:val="006875F0"/>
    <w:rsid w:val="006903B3"/>
    <w:rsid w:val="00690716"/>
    <w:rsid w:val="00690736"/>
    <w:rsid w:val="006908CC"/>
    <w:rsid w:val="00690CE1"/>
    <w:rsid w:val="006918E8"/>
    <w:rsid w:val="00691941"/>
    <w:rsid w:val="00691D09"/>
    <w:rsid w:val="00691EEB"/>
    <w:rsid w:val="00691F0C"/>
    <w:rsid w:val="00691F1F"/>
    <w:rsid w:val="00692725"/>
    <w:rsid w:val="006930BA"/>
    <w:rsid w:val="00693244"/>
    <w:rsid w:val="00693251"/>
    <w:rsid w:val="00693521"/>
    <w:rsid w:val="00694044"/>
    <w:rsid w:val="00694C41"/>
    <w:rsid w:val="00695881"/>
    <w:rsid w:val="00695F42"/>
    <w:rsid w:val="00696BD3"/>
    <w:rsid w:val="00696E40"/>
    <w:rsid w:val="00697128"/>
    <w:rsid w:val="006973C3"/>
    <w:rsid w:val="006976B1"/>
    <w:rsid w:val="00697750"/>
    <w:rsid w:val="006A05E1"/>
    <w:rsid w:val="006A0931"/>
    <w:rsid w:val="006A1C57"/>
    <w:rsid w:val="006A2581"/>
    <w:rsid w:val="006A2EFF"/>
    <w:rsid w:val="006A2F1F"/>
    <w:rsid w:val="006A38E9"/>
    <w:rsid w:val="006A3CDB"/>
    <w:rsid w:val="006A4318"/>
    <w:rsid w:val="006A4D0D"/>
    <w:rsid w:val="006A5273"/>
    <w:rsid w:val="006A584B"/>
    <w:rsid w:val="006A6488"/>
    <w:rsid w:val="006A6601"/>
    <w:rsid w:val="006A686B"/>
    <w:rsid w:val="006A6AEB"/>
    <w:rsid w:val="006A6F82"/>
    <w:rsid w:val="006A7039"/>
    <w:rsid w:val="006A72D4"/>
    <w:rsid w:val="006A73B9"/>
    <w:rsid w:val="006A74A5"/>
    <w:rsid w:val="006A76F0"/>
    <w:rsid w:val="006B010C"/>
    <w:rsid w:val="006B0116"/>
    <w:rsid w:val="006B0416"/>
    <w:rsid w:val="006B0937"/>
    <w:rsid w:val="006B0D20"/>
    <w:rsid w:val="006B0EBD"/>
    <w:rsid w:val="006B1267"/>
    <w:rsid w:val="006B18E3"/>
    <w:rsid w:val="006B1953"/>
    <w:rsid w:val="006B1B69"/>
    <w:rsid w:val="006B1ED4"/>
    <w:rsid w:val="006B2666"/>
    <w:rsid w:val="006B29A2"/>
    <w:rsid w:val="006B2AAE"/>
    <w:rsid w:val="006B2AE5"/>
    <w:rsid w:val="006B2F0B"/>
    <w:rsid w:val="006B393B"/>
    <w:rsid w:val="006B467C"/>
    <w:rsid w:val="006B5143"/>
    <w:rsid w:val="006B5636"/>
    <w:rsid w:val="006B572A"/>
    <w:rsid w:val="006B59C6"/>
    <w:rsid w:val="006B5F6B"/>
    <w:rsid w:val="006B671B"/>
    <w:rsid w:val="006B671C"/>
    <w:rsid w:val="006B6878"/>
    <w:rsid w:val="006B6E21"/>
    <w:rsid w:val="006B6ED4"/>
    <w:rsid w:val="006B7462"/>
    <w:rsid w:val="006C0497"/>
    <w:rsid w:val="006C0CE4"/>
    <w:rsid w:val="006C0DFA"/>
    <w:rsid w:val="006C17DA"/>
    <w:rsid w:val="006C222F"/>
    <w:rsid w:val="006C23A9"/>
    <w:rsid w:val="006C2AF9"/>
    <w:rsid w:val="006C3BEC"/>
    <w:rsid w:val="006C4502"/>
    <w:rsid w:val="006C4F5B"/>
    <w:rsid w:val="006C5555"/>
    <w:rsid w:val="006C5B83"/>
    <w:rsid w:val="006C5E72"/>
    <w:rsid w:val="006C5F31"/>
    <w:rsid w:val="006C6815"/>
    <w:rsid w:val="006C68AD"/>
    <w:rsid w:val="006C71C4"/>
    <w:rsid w:val="006C7D74"/>
    <w:rsid w:val="006CD674"/>
    <w:rsid w:val="006D021E"/>
    <w:rsid w:val="006D05C4"/>
    <w:rsid w:val="006D098A"/>
    <w:rsid w:val="006D0F8A"/>
    <w:rsid w:val="006D1AB5"/>
    <w:rsid w:val="006D2A02"/>
    <w:rsid w:val="006D2A28"/>
    <w:rsid w:val="006D3CA5"/>
    <w:rsid w:val="006D3DB4"/>
    <w:rsid w:val="006D4017"/>
    <w:rsid w:val="006D4146"/>
    <w:rsid w:val="006D43E9"/>
    <w:rsid w:val="006D4406"/>
    <w:rsid w:val="006D44DB"/>
    <w:rsid w:val="006D46C3"/>
    <w:rsid w:val="006D5114"/>
    <w:rsid w:val="006D5503"/>
    <w:rsid w:val="006D5517"/>
    <w:rsid w:val="006D5EFC"/>
    <w:rsid w:val="006D5FD7"/>
    <w:rsid w:val="006D6CDA"/>
    <w:rsid w:val="006D732F"/>
    <w:rsid w:val="006D7620"/>
    <w:rsid w:val="006D77E8"/>
    <w:rsid w:val="006D79A0"/>
    <w:rsid w:val="006D7B91"/>
    <w:rsid w:val="006E09CD"/>
    <w:rsid w:val="006E0E53"/>
    <w:rsid w:val="006E1511"/>
    <w:rsid w:val="006E1638"/>
    <w:rsid w:val="006E19CF"/>
    <w:rsid w:val="006E21E1"/>
    <w:rsid w:val="006E2298"/>
    <w:rsid w:val="006E250B"/>
    <w:rsid w:val="006E29C6"/>
    <w:rsid w:val="006E2E79"/>
    <w:rsid w:val="006E2FE1"/>
    <w:rsid w:val="006E3DE6"/>
    <w:rsid w:val="006E4402"/>
    <w:rsid w:val="006E4604"/>
    <w:rsid w:val="006E4CCB"/>
    <w:rsid w:val="006E508A"/>
    <w:rsid w:val="006E58E4"/>
    <w:rsid w:val="006E6A83"/>
    <w:rsid w:val="006E6BA9"/>
    <w:rsid w:val="006E6CA7"/>
    <w:rsid w:val="006E7040"/>
    <w:rsid w:val="006E7F1C"/>
    <w:rsid w:val="006F0395"/>
    <w:rsid w:val="006F0584"/>
    <w:rsid w:val="006F1B06"/>
    <w:rsid w:val="006F1BD8"/>
    <w:rsid w:val="006F1FEC"/>
    <w:rsid w:val="006F2B1F"/>
    <w:rsid w:val="006F2D84"/>
    <w:rsid w:val="006F2F7C"/>
    <w:rsid w:val="006F33C1"/>
    <w:rsid w:val="006F33DD"/>
    <w:rsid w:val="006F3E78"/>
    <w:rsid w:val="006F4665"/>
    <w:rsid w:val="006F4667"/>
    <w:rsid w:val="006F50AD"/>
    <w:rsid w:val="006F535A"/>
    <w:rsid w:val="006F569D"/>
    <w:rsid w:val="006F5B23"/>
    <w:rsid w:val="006F5C02"/>
    <w:rsid w:val="006F5EA7"/>
    <w:rsid w:val="006F6A20"/>
    <w:rsid w:val="006F6B24"/>
    <w:rsid w:val="006F6B55"/>
    <w:rsid w:val="006F6B56"/>
    <w:rsid w:val="006F7A66"/>
    <w:rsid w:val="00700BCA"/>
    <w:rsid w:val="00700F56"/>
    <w:rsid w:val="00701116"/>
    <w:rsid w:val="00701787"/>
    <w:rsid w:val="00701A96"/>
    <w:rsid w:val="00702593"/>
    <w:rsid w:val="0070260B"/>
    <w:rsid w:val="00702DD9"/>
    <w:rsid w:val="00702F04"/>
    <w:rsid w:val="00703724"/>
    <w:rsid w:val="007042FC"/>
    <w:rsid w:val="00704B0B"/>
    <w:rsid w:val="00704D20"/>
    <w:rsid w:val="00705084"/>
    <w:rsid w:val="007051F3"/>
    <w:rsid w:val="007064F0"/>
    <w:rsid w:val="00707B4A"/>
    <w:rsid w:val="00707BF4"/>
    <w:rsid w:val="00707F26"/>
    <w:rsid w:val="00707FEF"/>
    <w:rsid w:val="0070EA77"/>
    <w:rsid w:val="00710142"/>
    <w:rsid w:val="0071033D"/>
    <w:rsid w:val="00710E03"/>
    <w:rsid w:val="00710FA9"/>
    <w:rsid w:val="0071181B"/>
    <w:rsid w:val="00711C20"/>
    <w:rsid w:val="00712453"/>
    <w:rsid w:val="0071253F"/>
    <w:rsid w:val="007126C6"/>
    <w:rsid w:val="007129EE"/>
    <w:rsid w:val="00712D54"/>
    <w:rsid w:val="00712F4E"/>
    <w:rsid w:val="00712F58"/>
    <w:rsid w:val="00712F72"/>
    <w:rsid w:val="007134D9"/>
    <w:rsid w:val="0071359E"/>
    <w:rsid w:val="007147CB"/>
    <w:rsid w:val="007147D5"/>
    <w:rsid w:val="00715214"/>
    <w:rsid w:val="007152D9"/>
    <w:rsid w:val="00715453"/>
    <w:rsid w:val="00716347"/>
    <w:rsid w:val="007165A6"/>
    <w:rsid w:val="00716715"/>
    <w:rsid w:val="0071747C"/>
    <w:rsid w:val="00717BF6"/>
    <w:rsid w:val="00720AD9"/>
    <w:rsid w:val="00720B92"/>
    <w:rsid w:val="00720D8D"/>
    <w:rsid w:val="00720E2E"/>
    <w:rsid w:val="00720E6F"/>
    <w:rsid w:val="00721A86"/>
    <w:rsid w:val="00721E3E"/>
    <w:rsid w:val="007220C3"/>
    <w:rsid w:val="00722600"/>
    <w:rsid w:val="007228A9"/>
    <w:rsid w:val="007228BF"/>
    <w:rsid w:val="00722D7B"/>
    <w:rsid w:val="00722F6E"/>
    <w:rsid w:val="00723149"/>
    <w:rsid w:val="007237B0"/>
    <w:rsid w:val="007246A0"/>
    <w:rsid w:val="007248A9"/>
    <w:rsid w:val="007248D1"/>
    <w:rsid w:val="00724A56"/>
    <w:rsid w:val="00724F21"/>
    <w:rsid w:val="007253DD"/>
    <w:rsid w:val="00725DA8"/>
    <w:rsid w:val="007260E2"/>
    <w:rsid w:val="00726471"/>
    <w:rsid w:val="00726BC3"/>
    <w:rsid w:val="00726D7D"/>
    <w:rsid w:val="00727833"/>
    <w:rsid w:val="007278A2"/>
    <w:rsid w:val="00730B31"/>
    <w:rsid w:val="0073123E"/>
    <w:rsid w:val="007312E1"/>
    <w:rsid w:val="00731A3E"/>
    <w:rsid w:val="00731B5B"/>
    <w:rsid w:val="00731D4E"/>
    <w:rsid w:val="00732547"/>
    <w:rsid w:val="00732738"/>
    <w:rsid w:val="00732F84"/>
    <w:rsid w:val="00733C1B"/>
    <w:rsid w:val="00733DFC"/>
    <w:rsid w:val="0073429F"/>
    <w:rsid w:val="007345EF"/>
    <w:rsid w:val="007346A6"/>
    <w:rsid w:val="00735422"/>
    <w:rsid w:val="007365D1"/>
    <w:rsid w:val="00736AFB"/>
    <w:rsid w:val="00737B07"/>
    <w:rsid w:val="00737DBE"/>
    <w:rsid w:val="0073B697"/>
    <w:rsid w:val="007400C8"/>
    <w:rsid w:val="00740CDC"/>
    <w:rsid w:val="00740EC7"/>
    <w:rsid w:val="00741D01"/>
    <w:rsid w:val="0074265B"/>
    <w:rsid w:val="00742C58"/>
    <w:rsid w:val="00742D36"/>
    <w:rsid w:val="00743044"/>
    <w:rsid w:val="007437B9"/>
    <w:rsid w:val="00743ADC"/>
    <w:rsid w:val="0074472A"/>
    <w:rsid w:val="00744C5F"/>
    <w:rsid w:val="007455B8"/>
    <w:rsid w:val="00745EB4"/>
    <w:rsid w:val="00745F19"/>
    <w:rsid w:val="00746335"/>
    <w:rsid w:val="00746629"/>
    <w:rsid w:val="00746AA7"/>
    <w:rsid w:val="00746C02"/>
    <w:rsid w:val="0075005A"/>
    <w:rsid w:val="00750082"/>
    <w:rsid w:val="00750247"/>
    <w:rsid w:val="00750A00"/>
    <w:rsid w:val="00750BC2"/>
    <w:rsid w:val="00750E3C"/>
    <w:rsid w:val="007510C0"/>
    <w:rsid w:val="00751D93"/>
    <w:rsid w:val="0075209F"/>
    <w:rsid w:val="007528EE"/>
    <w:rsid w:val="00752F0F"/>
    <w:rsid w:val="00753FC3"/>
    <w:rsid w:val="00754E6B"/>
    <w:rsid w:val="00755279"/>
    <w:rsid w:val="00756945"/>
    <w:rsid w:val="007570FD"/>
    <w:rsid w:val="007572A9"/>
    <w:rsid w:val="00757314"/>
    <w:rsid w:val="00757362"/>
    <w:rsid w:val="00757960"/>
    <w:rsid w:val="00760123"/>
    <w:rsid w:val="007603D3"/>
    <w:rsid w:val="007607C7"/>
    <w:rsid w:val="00760ED7"/>
    <w:rsid w:val="00761200"/>
    <w:rsid w:val="00761403"/>
    <w:rsid w:val="007615D3"/>
    <w:rsid w:val="007615F3"/>
    <w:rsid w:val="007617DD"/>
    <w:rsid w:val="00761BDD"/>
    <w:rsid w:val="00762614"/>
    <w:rsid w:val="00762926"/>
    <w:rsid w:val="00762A06"/>
    <w:rsid w:val="0076310E"/>
    <w:rsid w:val="007634B2"/>
    <w:rsid w:val="007635D6"/>
    <w:rsid w:val="00763895"/>
    <w:rsid w:val="00763A08"/>
    <w:rsid w:val="00763B4D"/>
    <w:rsid w:val="00763C58"/>
    <w:rsid w:val="0076412A"/>
    <w:rsid w:val="007643D4"/>
    <w:rsid w:val="00764682"/>
    <w:rsid w:val="0076485A"/>
    <w:rsid w:val="00764C60"/>
    <w:rsid w:val="00764C95"/>
    <w:rsid w:val="0076506A"/>
    <w:rsid w:val="007663C6"/>
    <w:rsid w:val="00766463"/>
    <w:rsid w:val="00766B2B"/>
    <w:rsid w:val="00766DCB"/>
    <w:rsid w:val="00766FCF"/>
    <w:rsid w:val="007672AE"/>
    <w:rsid w:val="00767758"/>
    <w:rsid w:val="007679C2"/>
    <w:rsid w:val="00767E28"/>
    <w:rsid w:val="00770544"/>
    <w:rsid w:val="0077066C"/>
    <w:rsid w:val="00770D06"/>
    <w:rsid w:val="007728E8"/>
    <w:rsid w:val="00772C88"/>
    <w:rsid w:val="007734B2"/>
    <w:rsid w:val="00774637"/>
    <w:rsid w:val="007747D3"/>
    <w:rsid w:val="00774C8F"/>
    <w:rsid w:val="0077541A"/>
    <w:rsid w:val="007756B2"/>
    <w:rsid w:val="00775839"/>
    <w:rsid w:val="00775C93"/>
    <w:rsid w:val="0077653D"/>
    <w:rsid w:val="007768BF"/>
    <w:rsid w:val="00776AD3"/>
    <w:rsid w:val="00776B45"/>
    <w:rsid w:val="00776F14"/>
    <w:rsid w:val="00777169"/>
    <w:rsid w:val="0077736B"/>
    <w:rsid w:val="007776FD"/>
    <w:rsid w:val="0077770F"/>
    <w:rsid w:val="00777816"/>
    <w:rsid w:val="0077AC91"/>
    <w:rsid w:val="0077E602"/>
    <w:rsid w:val="007802E5"/>
    <w:rsid w:val="007806A4"/>
    <w:rsid w:val="00780C5D"/>
    <w:rsid w:val="00780E6C"/>
    <w:rsid w:val="007811C4"/>
    <w:rsid w:val="00781CA9"/>
    <w:rsid w:val="00781ED0"/>
    <w:rsid w:val="00782179"/>
    <w:rsid w:val="00782D5D"/>
    <w:rsid w:val="00783909"/>
    <w:rsid w:val="00783AB1"/>
    <w:rsid w:val="00783D1D"/>
    <w:rsid w:val="00783FC5"/>
    <w:rsid w:val="00784A0D"/>
    <w:rsid w:val="00785108"/>
    <w:rsid w:val="007853CB"/>
    <w:rsid w:val="00785CF3"/>
    <w:rsid w:val="0078677E"/>
    <w:rsid w:val="007868A7"/>
    <w:rsid w:val="00786E05"/>
    <w:rsid w:val="007877A3"/>
    <w:rsid w:val="00787CDD"/>
    <w:rsid w:val="00790C3C"/>
    <w:rsid w:val="007915A5"/>
    <w:rsid w:val="00791689"/>
    <w:rsid w:val="0079192A"/>
    <w:rsid w:val="00791A81"/>
    <w:rsid w:val="00791AB3"/>
    <w:rsid w:val="00791CB1"/>
    <w:rsid w:val="00791D8A"/>
    <w:rsid w:val="00791FE3"/>
    <w:rsid w:val="007923DD"/>
    <w:rsid w:val="00792600"/>
    <w:rsid w:val="007927EE"/>
    <w:rsid w:val="00792A43"/>
    <w:rsid w:val="00792D5A"/>
    <w:rsid w:val="0079313E"/>
    <w:rsid w:val="00793199"/>
    <w:rsid w:val="0079332E"/>
    <w:rsid w:val="007934F4"/>
    <w:rsid w:val="0079352A"/>
    <w:rsid w:val="0079381C"/>
    <w:rsid w:val="007943B6"/>
    <w:rsid w:val="007945C4"/>
    <w:rsid w:val="0079474F"/>
    <w:rsid w:val="00794A4C"/>
    <w:rsid w:val="00794D87"/>
    <w:rsid w:val="00794DED"/>
    <w:rsid w:val="00794E5C"/>
    <w:rsid w:val="00794E81"/>
    <w:rsid w:val="0079546A"/>
    <w:rsid w:val="007957B0"/>
    <w:rsid w:val="00795901"/>
    <w:rsid w:val="007962B9"/>
    <w:rsid w:val="00796657"/>
    <w:rsid w:val="00796EE3"/>
    <w:rsid w:val="007970BE"/>
    <w:rsid w:val="007976F4"/>
    <w:rsid w:val="00797757"/>
    <w:rsid w:val="007978F6"/>
    <w:rsid w:val="007A02D8"/>
    <w:rsid w:val="007A05CB"/>
    <w:rsid w:val="007A0D22"/>
    <w:rsid w:val="007A0D2E"/>
    <w:rsid w:val="007A0DD5"/>
    <w:rsid w:val="007A147D"/>
    <w:rsid w:val="007A1AED"/>
    <w:rsid w:val="007A1B48"/>
    <w:rsid w:val="007A1C48"/>
    <w:rsid w:val="007A2916"/>
    <w:rsid w:val="007A29A3"/>
    <w:rsid w:val="007A3439"/>
    <w:rsid w:val="007A3A18"/>
    <w:rsid w:val="007A3D2B"/>
    <w:rsid w:val="007A3E6A"/>
    <w:rsid w:val="007A3FC7"/>
    <w:rsid w:val="007A40DC"/>
    <w:rsid w:val="007A4254"/>
    <w:rsid w:val="007A4342"/>
    <w:rsid w:val="007A43A3"/>
    <w:rsid w:val="007A444F"/>
    <w:rsid w:val="007A4E77"/>
    <w:rsid w:val="007A5136"/>
    <w:rsid w:val="007A53E9"/>
    <w:rsid w:val="007A55A8"/>
    <w:rsid w:val="007A55AD"/>
    <w:rsid w:val="007A561E"/>
    <w:rsid w:val="007A564E"/>
    <w:rsid w:val="007A5652"/>
    <w:rsid w:val="007A5918"/>
    <w:rsid w:val="007A5B4A"/>
    <w:rsid w:val="007A5F1B"/>
    <w:rsid w:val="007A65C7"/>
    <w:rsid w:val="007A6BAB"/>
    <w:rsid w:val="007A73A1"/>
    <w:rsid w:val="007A78F1"/>
    <w:rsid w:val="007A7E9E"/>
    <w:rsid w:val="007B03F8"/>
    <w:rsid w:val="007B0B5B"/>
    <w:rsid w:val="007B0D19"/>
    <w:rsid w:val="007B0DC1"/>
    <w:rsid w:val="007B12DE"/>
    <w:rsid w:val="007B1790"/>
    <w:rsid w:val="007B198E"/>
    <w:rsid w:val="007B1A62"/>
    <w:rsid w:val="007B2207"/>
    <w:rsid w:val="007B2389"/>
    <w:rsid w:val="007B2BEC"/>
    <w:rsid w:val="007B3C3A"/>
    <w:rsid w:val="007B3C7A"/>
    <w:rsid w:val="007B3CFF"/>
    <w:rsid w:val="007B4009"/>
    <w:rsid w:val="007B460C"/>
    <w:rsid w:val="007B4630"/>
    <w:rsid w:val="007B6358"/>
    <w:rsid w:val="007B6382"/>
    <w:rsid w:val="007B6547"/>
    <w:rsid w:val="007B671C"/>
    <w:rsid w:val="007B68B3"/>
    <w:rsid w:val="007B6DE2"/>
    <w:rsid w:val="007B6DF1"/>
    <w:rsid w:val="007BD82B"/>
    <w:rsid w:val="007C1388"/>
    <w:rsid w:val="007C25C2"/>
    <w:rsid w:val="007C2ECC"/>
    <w:rsid w:val="007C2FF1"/>
    <w:rsid w:val="007C36D8"/>
    <w:rsid w:val="007C377C"/>
    <w:rsid w:val="007C37C3"/>
    <w:rsid w:val="007C4569"/>
    <w:rsid w:val="007C4774"/>
    <w:rsid w:val="007C4BFB"/>
    <w:rsid w:val="007C4D03"/>
    <w:rsid w:val="007C7760"/>
    <w:rsid w:val="007D04CC"/>
    <w:rsid w:val="007D0B0B"/>
    <w:rsid w:val="007D0B66"/>
    <w:rsid w:val="007D11B6"/>
    <w:rsid w:val="007D11C1"/>
    <w:rsid w:val="007D14A7"/>
    <w:rsid w:val="007D178D"/>
    <w:rsid w:val="007D18A5"/>
    <w:rsid w:val="007D18BE"/>
    <w:rsid w:val="007D1A60"/>
    <w:rsid w:val="007D1CA3"/>
    <w:rsid w:val="007D1DAD"/>
    <w:rsid w:val="007D216E"/>
    <w:rsid w:val="007D2443"/>
    <w:rsid w:val="007D26D6"/>
    <w:rsid w:val="007D2B80"/>
    <w:rsid w:val="007D2C8B"/>
    <w:rsid w:val="007D2CF1"/>
    <w:rsid w:val="007D3585"/>
    <w:rsid w:val="007D37D9"/>
    <w:rsid w:val="007D3D54"/>
    <w:rsid w:val="007D3FC1"/>
    <w:rsid w:val="007D4383"/>
    <w:rsid w:val="007D4395"/>
    <w:rsid w:val="007D4A71"/>
    <w:rsid w:val="007D4AD2"/>
    <w:rsid w:val="007D531A"/>
    <w:rsid w:val="007D5B75"/>
    <w:rsid w:val="007D67C1"/>
    <w:rsid w:val="007D6A0F"/>
    <w:rsid w:val="007D6C08"/>
    <w:rsid w:val="007D7294"/>
    <w:rsid w:val="007D76F3"/>
    <w:rsid w:val="007D7CA1"/>
    <w:rsid w:val="007E01C8"/>
    <w:rsid w:val="007E069C"/>
    <w:rsid w:val="007E0828"/>
    <w:rsid w:val="007E2F13"/>
    <w:rsid w:val="007E2F8F"/>
    <w:rsid w:val="007E3AFF"/>
    <w:rsid w:val="007E3FFE"/>
    <w:rsid w:val="007E41EC"/>
    <w:rsid w:val="007E435B"/>
    <w:rsid w:val="007E45DD"/>
    <w:rsid w:val="007E45FC"/>
    <w:rsid w:val="007E4A1B"/>
    <w:rsid w:val="007E5423"/>
    <w:rsid w:val="007E557B"/>
    <w:rsid w:val="007E588C"/>
    <w:rsid w:val="007E62DE"/>
    <w:rsid w:val="007E6422"/>
    <w:rsid w:val="007F0DFB"/>
    <w:rsid w:val="007F106D"/>
    <w:rsid w:val="007F174C"/>
    <w:rsid w:val="007F1836"/>
    <w:rsid w:val="007F18E4"/>
    <w:rsid w:val="007F1D97"/>
    <w:rsid w:val="007F220F"/>
    <w:rsid w:val="007F273F"/>
    <w:rsid w:val="007F2875"/>
    <w:rsid w:val="007F287E"/>
    <w:rsid w:val="007F3104"/>
    <w:rsid w:val="007F337A"/>
    <w:rsid w:val="007F398A"/>
    <w:rsid w:val="007F3A02"/>
    <w:rsid w:val="007F44F3"/>
    <w:rsid w:val="007F477F"/>
    <w:rsid w:val="007F48EE"/>
    <w:rsid w:val="007F49F7"/>
    <w:rsid w:val="007F4A6E"/>
    <w:rsid w:val="007F4D95"/>
    <w:rsid w:val="007F55C8"/>
    <w:rsid w:val="007F5A55"/>
    <w:rsid w:val="007F5B81"/>
    <w:rsid w:val="007F5EFD"/>
    <w:rsid w:val="007F6E7D"/>
    <w:rsid w:val="007F7106"/>
    <w:rsid w:val="007F7AC1"/>
    <w:rsid w:val="007F7ADF"/>
    <w:rsid w:val="007F7FC4"/>
    <w:rsid w:val="00800024"/>
    <w:rsid w:val="00800106"/>
    <w:rsid w:val="0080082B"/>
    <w:rsid w:val="00800C7A"/>
    <w:rsid w:val="00800D80"/>
    <w:rsid w:val="0080156E"/>
    <w:rsid w:val="00801819"/>
    <w:rsid w:val="008018FE"/>
    <w:rsid w:val="008022FE"/>
    <w:rsid w:val="00802969"/>
    <w:rsid w:val="0080319B"/>
    <w:rsid w:val="00803931"/>
    <w:rsid w:val="0080460F"/>
    <w:rsid w:val="008053E4"/>
    <w:rsid w:val="008058C6"/>
    <w:rsid w:val="008058F9"/>
    <w:rsid w:val="008059F0"/>
    <w:rsid w:val="00805AD4"/>
    <w:rsid w:val="00805D63"/>
    <w:rsid w:val="0080611A"/>
    <w:rsid w:val="0080621B"/>
    <w:rsid w:val="008064B2"/>
    <w:rsid w:val="008066D7"/>
    <w:rsid w:val="008068A9"/>
    <w:rsid w:val="00806C3B"/>
    <w:rsid w:val="00806EE7"/>
    <w:rsid w:val="0080765E"/>
    <w:rsid w:val="0080796F"/>
    <w:rsid w:val="00810D42"/>
    <w:rsid w:val="008117EC"/>
    <w:rsid w:val="00811AD2"/>
    <w:rsid w:val="00811EF6"/>
    <w:rsid w:val="008121BC"/>
    <w:rsid w:val="0081226F"/>
    <w:rsid w:val="00812494"/>
    <w:rsid w:val="008131AD"/>
    <w:rsid w:val="008134B8"/>
    <w:rsid w:val="008136D6"/>
    <w:rsid w:val="00814148"/>
    <w:rsid w:val="0081472E"/>
    <w:rsid w:val="008149E3"/>
    <w:rsid w:val="00814E65"/>
    <w:rsid w:val="00814FB9"/>
    <w:rsid w:val="008155D1"/>
    <w:rsid w:val="0081581F"/>
    <w:rsid w:val="0081586E"/>
    <w:rsid w:val="00815C59"/>
    <w:rsid w:val="00815C70"/>
    <w:rsid w:val="00815D8A"/>
    <w:rsid w:val="00815ED6"/>
    <w:rsid w:val="00816146"/>
    <w:rsid w:val="008165C1"/>
    <w:rsid w:val="0081671A"/>
    <w:rsid w:val="008171AA"/>
    <w:rsid w:val="0081736F"/>
    <w:rsid w:val="0082032D"/>
    <w:rsid w:val="00820419"/>
    <w:rsid w:val="00820A5E"/>
    <w:rsid w:val="00820AAD"/>
    <w:rsid w:val="00820CE3"/>
    <w:rsid w:val="00821F83"/>
    <w:rsid w:val="00822628"/>
    <w:rsid w:val="00822A8F"/>
    <w:rsid w:val="00823D37"/>
    <w:rsid w:val="0082511C"/>
    <w:rsid w:val="00825C3C"/>
    <w:rsid w:val="00825D76"/>
    <w:rsid w:val="008261EB"/>
    <w:rsid w:val="00826250"/>
    <w:rsid w:val="00826400"/>
    <w:rsid w:val="00826575"/>
    <w:rsid w:val="00826964"/>
    <w:rsid w:val="00826B79"/>
    <w:rsid w:val="00827051"/>
    <w:rsid w:val="008272D3"/>
    <w:rsid w:val="008278E1"/>
    <w:rsid w:val="00827A9A"/>
    <w:rsid w:val="008303F9"/>
    <w:rsid w:val="0083058A"/>
    <w:rsid w:val="00830C93"/>
    <w:rsid w:val="00831005"/>
    <w:rsid w:val="008310B0"/>
    <w:rsid w:val="00831365"/>
    <w:rsid w:val="0083140A"/>
    <w:rsid w:val="008319E6"/>
    <w:rsid w:val="00831C89"/>
    <w:rsid w:val="00831D99"/>
    <w:rsid w:val="00831F78"/>
    <w:rsid w:val="0083227D"/>
    <w:rsid w:val="0083250A"/>
    <w:rsid w:val="0083279F"/>
    <w:rsid w:val="008334FA"/>
    <w:rsid w:val="00833A0F"/>
    <w:rsid w:val="00833A6F"/>
    <w:rsid w:val="00833DF5"/>
    <w:rsid w:val="008341F5"/>
    <w:rsid w:val="008345D1"/>
    <w:rsid w:val="008345D9"/>
    <w:rsid w:val="00834631"/>
    <w:rsid w:val="00834639"/>
    <w:rsid w:val="00835304"/>
    <w:rsid w:val="008359EC"/>
    <w:rsid w:val="00835B01"/>
    <w:rsid w:val="00835E86"/>
    <w:rsid w:val="00836496"/>
    <w:rsid w:val="008372EB"/>
    <w:rsid w:val="00837944"/>
    <w:rsid w:val="00837BF6"/>
    <w:rsid w:val="008401F7"/>
    <w:rsid w:val="008403F5"/>
    <w:rsid w:val="008407DF"/>
    <w:rsid w:val="00840C4B"/>
    <w:rsid w:val="00840E05"/>
    <w:rsid w:val="00841182"/>
    <w:rsid w:val="00841BB2"/>
    <w:rsid w:val="00841FA8"/>
    <w:rsid w:val="008422F6"/>
    <w:rsid w:val="008430FC"/>
    <w:rsid w:val="008436DC"/>
    <w:rsid w:val="00843881"/>
    <w:rsid w:val="00844058"/>
    <w:rsid w:val="00844478"/>
    <w:rsid w:val="00844F48"/>
    <w:rsid w:val="00844F4A"/>
    <w:rsid w:val="0084567E"/>
    <w:rsid w:val="00845890"/>
    <w:rsid w:val="0084643C"/>
    <w:rsid w:val="0084698E"/>
    <w:rsid w:val="00846B82"/>
    <w:rsid w:val="00846EF0"/>
    <w:rsid w:val="00846F48"/>
    <w:rsid w:val="008471CB"/>
    <w:rsid w:val="008472AA"/>
    <w:rsid w:val="00847827"/>
    <w:rsid w:val="00847AAA"/>
    <w:rsid w:val="0085011D"/>
    <w:rsid w:val="00850892"/>
    <w:rsid w:val="008512EE"/>
    <w:rsid w:val="00851905"/>
    <w:rsid w:val="0085195F"/>
    <w:rsid w:val="00851F93"/>
    <w:rsid w:val="00852498"/>
    <w:rsid w:val="008528E9"/>
    <w:rsid w:val="008531DD"/>
    <w:rsid w:val="008543B4"/>
    <w:rsid w:val="00854D69"/>
    <w:rsid w:val="0085571F"/>
    <w:rsid w:val="00855890"/>
    <w:rsid w:val="00855F67"/>
    <w:rsid w:val="008567BA"/>
    <w:rsid w:val="0085683C"/>
    <w:rsid w:val="00856927"/>
    <w:rsid w:val="008573A4"/>
    <w:rsid w:val="00857B1B"/>
    <w:rsid w:val="00860337"/>
    <w:rsid w:val="00860EE2"/>
    <w:rsid w:val="00861B44"/>
    <w:rsid w:val="00861E39"/>
    <w:rsid w:val="00861E85"/>
    <w:rsid w:val="00862C46"/>
    <w:rsid w:val="00863585"/>
    <w:rsid w:val="00863748"/>
    <w:rsid w:val="008637AA"/>
    <w:rsid w:val="00864076"/>
    <w:rsid w:val="00864967"/>
    <w:rsid w:val="008650C9"/>
    <w:rsid w:val="00865632"/>
    <w:rsid w:val="00865C4A"/>
    <w:rsid w:val="00866063"/>
    <w:rsid w:val="00866563"/>
    <w:rsid w:val="00866687"/>
    <w:rsid w:val="00866FF2"/>
    <w:rsid w:val="00867098"/>
    <w:rsid w:val="008677D5"/>
    <w:rsid w:val="00870976"/>
    <w:rsid w:val="00870F44"/>
    <w:rsid w:val="0087126B"/>
    <w:rsid w:val="00871846"/>
    <w:rsid w:val="008719C3"/>
    <w:rsid w:val="0087208F"/>
    <w:rsid w:val="00872217"/>
    <w:rsid w:val="00872599"/>
    <w:rsid w:val="008738B8"/>
    <w:rsid w:val="008739B3"/>
    <w:rsid w:val="00873CF8"/>
    <w:rsid w:val="00873EBC"/>
    <w:rsid w:val="00874169"/>
    <w:rsid w:val="00874487"/>
    <w:rsid w:val="00875015"/>
    <w:rsid w:val="008750EC"/>
    <w:rsid w:val="00875334"/>
    <w:rsid w:val="00875475"/>
    <w:rsid w:val="00875CC3"/>
    <w:rsid w:val="00875D22"/>
    <w:rsid w:val="008765F2"/>
    <w:rsid w:val="00876F79"/>
    <w:rsid w:val="00877819"/>
    <w:rsid w:val="00877E0F"/>
    <w:rsid w:val="00880764"/>
    <w:rsid w:val="008809BE"/>
    <w:rsid w:val="00880CA1"/>
    <w:rsid w:val="0088117B"/>
    <w:rsid w:val="008816C0"/>
    <w:rsid w:val="00881A8C"/>
    <w:rsid w:val="00881BB1"/>
    <w:rsid w:val="00881BB7"/>
    <w:rsid w:val="00881BBA"/>
    <w:rsid w:val="00881E72"/>
    <w:rsid w:val="008823E6"/>
    <w:rsid w:val="008827A2"/>
    <w:rsid w:val="00882C3D"/>
    <w:rsid w:val="00882F41"/>
    <w:rsid w:val="00883488"/>
    <w:rsid w:val="00883521"/>
    <w:rsid w:val="0088352D"/>
    <w:rsid w:val="00883ADA"/>
    <w:rsid w:val="00883B2B"/>
    <w:rsid w:val="00883B3C"/>
    <w:rsid w:val="00883C8B"/>
    <w:rsid w:val="00883D7A"/>
    <w:rsid w:val="00883E6B"/>
    <w:rsid w:val="0088405C"/>
    <w:rsid w:val="00884B26"/>
    <w:rsid w:val="00885130"/>
    <w:rsid w:val="0088552A"/>
    <w:rsid w:val="008855FC"/>
    <w:rsid w:val="00885DA9"/>
    <w:rsid w:val="008864CE"/>
    <w:rsid w:val="00886A43"/>
    <w:rsid w:val="00886F52"/>
    <w:rsid w:val="00887A37"/>
    <w:rsid w:val="00887D18"/>
    <w:rsid w:val="00887D6E"/>
    <w:rsid w:val="008906CE"/>
    <w:rsid w:val="00890E89"/>
    <w:rsid w:val="00891BEF"/>
    <w:rsid w:val="00892574"/>
    <w:rsid w:val="00892656"/>
    <w:rsid w:val="008928B8"/>
    <w:rsid w:val="00893B2B"/>
    <w:rsid w:val="00893DF4"/>
    <w:rsid w:val="00893F3E"/>
    <w:rsid w:val="008942D1"/>
    <w:rsid w:val="0089482E"/>
    <w:rsid w:val="00895041"/>
    <w:rsid w:val="00895202"/>
    <w:rsid w:val="00895998"/>
    <w:rsid w:val="00895BDE"/>
    <w:rsid w:val="00895C22"/>
    <w:rsid w:val="00896062"/>
    <w:rsid w:val="008961A7"/>
    <w:rsid w:val="008961FD"/>
    <w:rsid w:val="00896A58"/>
    <w:rsid w:val="008975A7"/>
    <w:rsid w:val="00897DD0"/>
    <w:rsid w:val="008A02F8"/>
    <w:rsid w:val="008A04F1"/>
    <w:rsid w:val="008A0A8E"/>
    <w:rsid w:val="008A0F93"/>
    <w:rsid w:val="008A13C7"/>
    <w:rsid w:val="008A17BE"/>
    <w:rsid w:val="008A1976"/>
    <w:rsid w:val="008A198A"/>
    <w:rsid w:val="008A1D89"/>
    <w:rsid w:val="008A253F"/>
    <w:rsid w:val="008A2FAC"/>
    <w:rsid w:val="008A2FF4"/>
    <w:rsid w:val="008A396A"/>
    <w:rsid w:val="008A3DE0"/>
    <w:rsid w:val="008A4021"/>
    <w:rsid w:val="008A4D4C"/>
    <w:rsid w:val="008A4EBC"/>
    <w:rsid w:val="008A58F1"/>
    <w:rsid w:val="008A5912"/>
    <w:rsid w:val="008A5C11"/>
    <w:rsid w:val="008A5D04"/>
    <w:rsid w:val="008A5FC2"/>
    <w:rsid w:val="008A6013"/>
    <w:rsid w:val="008A6157"/>
    <w:rsid w:val="008A6627"/>
    <w:rsid w:val="008A6AF0"/>
    <w:rsid w:val="008A700D"/>
    <w:rsid w:val="008A78E5"/>
    <w:rsid w:val="008A7923"/>
    <w:rsid w:val="008B01BB"/>
    <w:rsid w:val="008B039B"/>
    <w:rsid w:val="008B0483"/>
    <w:rsid w:val="008B0B5F"/>
    <w:rsid w:val="008B0D1C"/>
    <w:rsid w:val="008B1921"/>
    <w:rsid w:val="008B1FF4"/>
    <w:rsid w:val="008B2C17"/>
    <w:rsid w:val="008B2C5C"/>
    <w:rsid w:val="008B30D3"/>
    <w:rsid w:val="008B3563"/>
    <w:rsid w:val="008B3664"/>
    <w:rsid w:val="008B3D23"/>
    <w:rsid w:val="008B3F6F"/>
    <w:rsid w:val="008B4718"/>
    <w:rsid w:val="008B4755"/>
    <w:rsid w:val="008B4AC3"/>
    <w:rsid w:val="008B5029"/>
    <w:rsid w:val="008B53EF"/>
    <w:rsid w:val="008B5590"/>
    <w:rsid w:val="008B5734"/>
    <w:rsid w:val="008B5AE5"/>
    <w:rsid w:val="008B5E06"/>
    <w:rsid w:val="008B6107"/>
    <w:rsid w:val="008B6287"/>
    <w:rsid w:val="008B65D1"/>
    <w:rsid w:val="008B6955"/>
    <w:rsid w:val="008B7A5C"/>
    <w:rsid w:val="008B7F45"/>
    <w:rsid w:val="008C05EA"/>
    <w:rsid w:val="008C07C5"/>
    <w:rsid w:val="008C08B7"/>
    <w:rsid w:val="008C0A0E"/>
    <w:rsid w:val="008C0A11"/>
    <w:rsid w:val="008C0AC1"/>
    <w:rsid w:val="008C1101"/>
    <w:rsid w:val="008C176D"/>
    <w:rsid w:val="008C2146"/>
    <w:rsid w:val="008C2266"/>
    <w:rsid w:val="008C298B"/>
    <w:rsid w:val="008C2EF5"/>
    <w:rsid w:val="008C3076"/>
    <w:rsid w:val="008C36B5"/>
    <w:rsid w:val="008C3B3C"/>
    <w:rsid w:val="008C3C3E"/>
    <w:rsid w:val="008C4ED5"/>
    <w:rsid w:val="008C4F1E"/>
    <w:rsid w:val="008C50E4"/>
    <w:rsid w:val="008C53F2"/>
    <w:rsid w:val="008C5D5A"/>
    <w:rsid w:val="008C726F"/>
    <w:rsid w:val="008C7536"/>
    <w:rsid w:val="008C79A2"/>
    <w:rsid w:val="008C7A79"/>
    <w:rsid w:val="008D005C"/>
    <w:rsid w:val="008D0263"/>
    <w:rsid w:val="008D04A4"/>
    <w:rsid w:val="008D0561"/>
    <w:rsid w:val="008D096A"/>
    <w:rsid w:val="008D0E45"/>
    <w:rsid w:val="008D15B0"/>
    <w:rsid w:val="008D1CB3"/>
    <w:rsid w:val="008D20A6"/>
    <w:rsid w:val="008D226C"/>
    <w:rsid w:val="008D2675"/>
    <w:rsid w:val="008D2D41"/>
    <w:rsid w:val="008D2DBB"/>
    <w:rsid w:val="008D36AA"/>
    <w:rsid w:val="008D36E7"/>
    <w:rsid w:val="008D3E71"/>
    <w:rsid w:val="008D47F8"/>
    <w:rsid w:val="008D49EB"/>
    <w:rsid w:val="008D5068"/>
    <w:rsid w:val="008D52A4"/>
    <w:rsid w:val="008D5FA1"/>
    <w:rsid w:val="008D7CDC"/>
    <w:rsid w:val="008D7EC6"/>
    <w:rsid w:val="008D7FDB"/>
    <w:rsid w:val="008E0239"/>
    <w:rsid w:val="008E0564"/>
    <w:rsid w:val="008E1868"/>
    <w:rsid w:val="008E1CA8"/>
    <w:rsid w:val="008E2985"/>
    <w:rsid w:val="008E3174"/>
    <w:rsid w:val="008E3659"/>
    <w:rsid w:val="008E4156"/>
    <w:rsid w:val="008E43B4"/>
    <w:rsid w:val="008E456C"/>
    <w:rsid w:val="008E4CE7"/>
    <w:rsid w:val="008E4E2B"/>
    <w:rsid w:val="008E562E"/>
    <w:rsid w:val="008E5AAE"/>
    <w:rsid w:val="008E5F2E"/>
    <w:rsid w:val="008E650E"/>
    <w:rsid w:val="008E6966"/>
    <w:rsid w:val="008E7208"/>
    <w:rsid w:val="008E7834"/>
    <w:rsid w:val="008E7ED0"/>
    <w:rsid w:val="008ECDFC"/>
    <w:rsid w:val="008F06F2"/>
    <w:rsid w:val="008F0D0F"/>
    <w:rsid w:val="008F0D31"/>
    <w:rsid w:val="008F1F5A"/>
    <w:rsid w:val="008F245F"/>
    <w:rsid w:val="008F2F83"/>
    <w:rsid w:val="008F2FFD"/>
    <w:rsid w:val="008F31CD"/>
    <w:rsid w:val="008F322B"/>
    <w:rsid w:val="008F32FF"/>
    <w:rsid w:val="008F34B7"/>
    <w:rsid w:val="008F391C"/>
    <w:rsid w:val="008F395A"/>
    <w:rsid w:val="008F4179"/>
    <w:rsid w:val="008F423E"/>
    <w:rsid w:val="008F4314"/>
    <w:rsid w:val="008F4723"/>
    <w:rsid w:val="008F4AD2"/>
    <w:rsid w:val="008F4C2C"/>
    <w:rsid w:val="008F5891"/>
    <w:rsid w:val="008F58C4"/>
    <w:rsid w:val="008F5A81"/>
    <w:rsid w:val="008F5F2A"/>
    <w:rsid w:val="008F635B"/>
    <w:rsid w:val="008F6876"/>
    <w:rsid w:val="008F68AF"/>
    <w:rsid w:val="008F6DFA"/>
    <w:rsid w:val="008F7074"/>
    <w:rsid w:val="008F71B4"/>
    <w:rsid w:val="008F71CE"/>
    <w:rsid w:val="008F797B"/>
    <w:rsid w:val="008F7982"/>
    <w:rsid w:val="008F7FC5"/>
    <w:rsid w:val="00900204"/>
    <w:rsid w:val="009004B1"/>
    <w:rsid w:val="009008CB"/>
    <w:rsid w:val="00900FAC"/>
    <w:rsid w:val="00901C50"/>
    <w:rsid w:val="00901E5C"/>
    <w:rsid w:val="0090317F"/>
    <w:rsid w:val="0090407F"/>
    <w:rsid w:val="0090431D"/>
    <w:rsid w:val="009043DF"/>
    <w:rsid w:val="00904A86"/>
    <w:rsid w:val="00904E30"/>
    <w:rsid w:val="00905611"/>
    <w:rsid w:val="00905977"/>
    <w:rsid w:val="00905E23"/>
    <w:rsid w:val="00905E2D"/>
    <w:rsid w:val="00905E8F"/>
    <w:rsid w:val="0090614B"/>
    <w:rsid w:val="00906C83"/>
    <w:rsid w:val="0090793F"/>
    <w:rsid w:val="00907B77"/>
    <w:rsid w:val="00907C71"/>
    <w:rsid w:val="00907EBA"/>
    <w:rsid w:val="00911523"/>
    <w:rsid w:val="009115D6"/>
    <w:rsid w:val="009119F7"/>
    <w:rsid w:val="00911A0E"/>
    <w:rsid w:val="00911AAE"/>
    <w:rsid w:val="00911ACE"/>
    <w:rsid w:val="00911C61"/>
    <w:rsid w:val="00911D4F"/>
    <w:rsid w:val="0091205D"/>
    <w:rsid w:val="009132E6"/>
    <w:rsid w:val="00913A2C"/>
    <w:rsid w:val="00913C82"/>
    <w:rsid w:val="00913DE4"/>
    <w:rsid w:val="00914224"/>
    <w:rsid w:val="009147F4"/>
    <w:rsid w:val="0091482C"/>
    <w:rsid w:val="009148B2"/>
    <w:rsid w:val="0091497E"/>
    <w:rsid w:val="00914FDA"/>
    <w:rsid w:val="00915085"/>
    <w:rsid w:val="00915455"/>
    <w:rsid w:val="00915C6D"/>
    <w:rsid w:val="009161FD"/>
    <w:rsid w:val="00916959"/>
    <w:rsid w:val="00916D37"/>
    <w:rsid w:val="00916E8B"/>
    <w:rsid w:val="00916F16"/>
    <w:rsid w:val="009173E6"/>
    <w:rsid w:val="00917C65"/>
    <w:rsid w:val="00917EE9"/>
    <w:rsid w:val="009207D1"/>
    <w:rsid w:val="00920867"/>
    <w:rsid w:val="00920925"/>
    <w:rsid w:val="00920CF4"/>
    <w:rsid w:val="00920DCA"/>
    <w:rsid w:val="00921269"/>
    <w:rsid w:val="00922214"/>
    <w:rsid w:val="00922C0F"/>
    <w:rsid w:val="00922F04"/>
    <w:rsid w:val="009234E1"/>
    <w:rsid w:val="0092389D"/>
    <w:rsid w:val="009238CD"/>
    <w:rsid w:val="00923F35"/>
    <w:rsid w:val="00925005"/>
    <w:rsid w:val="00925023"/>
    <w:rsid w:val="00925084"/>
    <w:rsid w:val="00925166"/>
    <w:rsid w:val="009256AC"/>
    <w:rsid w:val="0092675F"/>
    <w:rsid w:val="00926A34"/>
    <w:rsid w:val="00926A9B"/>
    <w:rsid w:val="00926EB7"/>
    <w:rsid w:val="00926F19"/>
    <w:rsid w:val="009274F7"/>
    <w:rsid w:val="00927B23"/>
    <w:rsid w:val="009300DC"/>
    <w:rsid w:val="009304B7"/>
    <w:rsid w:val="00930533"/>
    <w:rsid w:val="009309F4"/>
    <w:rsid w:val="009318D6"/>
    <w:rsid w:val="00931DDF"/>
    <w:rsid w:val="009325C8"/>
    <w:rsid w:val="009325DF"/>
    <w:rsid w:val="00932BCB"/>
    <w:rsid w:val="009330CB"/>
    <w:rsid w:val="00933C79"/>
    <w:rsid w:val="00934E3A"/>
    <w:rsid w:val="009356B9"/>
    <w:rsid w:val="00936C40"/>
    <w:rsid w:val="00936C86"/>
    <w:rsid w:val="00937645"/>
    <w:rsid w:val="00937EA2"/>
    <w:rsid w:val="00940076"/>
    <w:rsid w:val="009408B9"/>
    <w:rsid w:val="00940D5C"/>
    <w:rsid w:val="00941339"/>
    <w:rsid w:val="00941445"/>
    <w:rsid w:val="00941590"/>
    <w:rsid w:val="009417E8"/>
    <w:rsid w:val="0094187A"/>
    <w:rsid w:val="00942817"/>
    <w:rsid w:val="00942909"/>
    <w:rsid w:val="00942937"/>
    <w:rsid w:val="00943063"/>
    <w:rsid w:val="00943757"/>
    <w:rsid w:val="00943F18"/>
    <w:rsid w:val="009446C5"/>
    <w:rsid w:val="00944700"/>
    <w:rsid w:val="00944B43"/>
    <w:rsid w:val="00944F0C"/>
    <w:rsid w:val="0094542B"/>
    <w:rsid w:val="009456F4"/>
    <w:rsid w:val="00945814"/>
    <w:rsid w:val="0094593C"/>
    <w:rsid w:val="00945B9B"/>
    <w:rsid w:val="00946205"/>
    <w:rsid w:val="0094672F"/>
    <w:rsid w:val="00946740"/>
    <w:rsid w:val="0094678D"/>
    <w:rsid w:val="0094735A"/>
    <w:rsid w:val="009473E4"/>
    <w:rsid w:val="00947809"/>
    <w:rsid w:val="00947A34"/>
    <w:rsid w:val="00947C19"/>
    <w:rsid w:val="00947F9C"/>
    <w:rsid w:val="0094CCDD"/>
    <w:rsid w:val="00950266"/>
    <w:rsid w:val="009504AC"/>
    <w:rsid w:val="00950569"/>
    <w:rsid w:val="00950771"/>
    <w:rsid w:val="00950D7C"/>
    <w:rsid w:val="009510CC"/>
    <w:rsid w:val="00951C63"/>
    <w:rsid w:val="00951C7B"/>
    <w:rsid w:val="00952084"/>
    <w:rsid w:val="00952D29"/>
    <w:rsid w:val="00953147"/>
    <w:rsid w:val="00953925"/>
    <w:rsid w:val="0095394C"/>
    <w:rsid w:val="00953A2A"/>
    <w:rsid w:val="00953CBF"/>
    <w:rsid w:val="009541B2"/>
    <w:rsid w:val="00954FBE"/>
    <w:rsid w:val="0095513A"/>
    <w:rsid w:val="0095560F"/>
    <w:rsid w:val="009562DC"/>
    <w:rsid w:val="0095635D"/>
    <w:rsid w:val="0095688E"/>
    <w:rsid w:val="009568C2"/>
    <w:rsid w:val="00956960"/>
    <w:rsid w:val="00956B47"/>
    <w:rsid w:val="009570E9"/>
    <w:rsid w:val="00957476"/>
    <w:rsid w:val="00957B20"/>
    <w:rsid w:val="00957EE3"/>
    <w:rsid w:val="00960008"/>
    <w:rsid w:val="00960166"/>
    <w:rsid w:val="00960AFA"/>
    <w:rsid w:val="00960C28"/>
    <w:rsid w:val="00960F44"/>
    <w:rsid w:val="009613AB"/>
    <w:rsid w:val="00961D15"/>
    <w:rsid w:val="009620CA"/>
    <w:rsid w:val="00962793"/>
    <w:rsid w:val="009629EA"/>
    <w:rsid w:val="00962ADF"/>
    <w:rsid w:val="00962B78"/>
    <w:rsid w:val="00962BEF"/>
    <w:rsid w:val="00963113"/>
    <w:rsid w:val="0096330B"/>
    <w:rsid w:val="0096339D"/>
    <w:rsid w:val="00963434"/>
    <w:rsid w:val="0096366B"/>
    <w:rsid w:val="0096390B"/>
    <w:rsid w:val="009639DA"/>
    <w:rsid w:val="00964286"/>
    <w:rsid w:val="00964CBF"/>
    <w:rsid w:val="00965376"/>
    <w:rsid w:val="0096632C"/>
    <w:rsid w:val="00966AFE"/>
    <w:rsid w:val="009672DC"/>
    <w:rsid w:val="009675EB"/>
    <w:rsid w:val="009675FF"/>
    <w:rsid w:val="00967AF3"/>
    <w:rsid w:val="00970850"/>
    <w:rsid w:val="00970943"/>
    <w:rsid w:val="00970C6D"/>
    <w:rsid w:val="00971233"/>
    <w:rsid w:val="009715C0"/>
    <w:rsid w:val="00971642"/>
    <w:rsid w:val="00971BF0"/>
    <w:rsid w:val="00971E7C"/>
    <w:rsid w:val="0097206A"/>
    <w:rsid w:val="009724D8"/>
    <w:rsid w:val="009730F3"/>
    <w:rsid w:val="0097339E"/>
    <w:rsid w:val="009737B3"/>
    <w:rsid w:val="009739D2"/>
    <w:rsid w:val="009747C4"/>
    <w:rsid w:val="0097494C"/>
    <w:rsid w:val="009749CF"/>
    <w:rsid w:val="00974CA3"/>
    <w:rsid w:val="009751B4"/>
    <w:rsid w:val="0097560E"/>
    <w:rsid w:val="00975AD1"/>
    <w:rsid w:val="00975BC9"/>
    <w:rsid w:val="00975FB4"/>
    <w:rsid w:val="0097688F"/>
    <w:rsid w:val="00977191"/>
    <w:rsid w:val="009779B0"/>
    <w:rsid w:val="00977A5D"/>
    <w:rsid w:val="00980AAF"/>
    <w:rsid w:val="00980E74"/>
    <w:rsid w:val="00980F79"/>
    <w:rsid w:val="0098139B"/>
    <w:rsid w:val="00981609"/>
    <w:rsid w:val="00981F4B"/>
    <w:rsid w:val="00982979"/>
    <w:rsid w:val="0098363F"/>
    <w:rsid w:val="00983699"/>
    <w:rsid w:val="009837C9"/>
    <w:rsid w:val="009839AF"/>
    <w:rsid w:val="00983BAA"/>
    <w:rsid w:val="00983BD3"/>
    <w:rsid w:val="00983DD1"/>
    <w:rsid w:val="009846A8"/>
    <w:rsid w:val="00984771"/>
    <w:rsid w:val="009849DE"/>
    <w:rsid w:val="0098591B"/>
    <w:rsid w:val="009860BA"/>
    <w:rsid w:val="00986279"/>
    <w:rsid w:val="009862FA"/>
    <w:rsid w:val="009869B1"/>
    <w:rsid w:val="00986AED"/>
    <w:rsid w:val="009875BC"/>
    <w:rsid w:val="009878E1"/>
    <w:rsid w:val="00987FF2"/>
    <w:rsid w:val="00990B92"/>
    <w:rsid w:val="00992D50"/>
    <w:rsid w:val="009930C7"/>
    <w:rsid w:val="00993D54"/>
    <w:rsid w:val="00993E4B"/>
    <w:rsid w:val="009940F1"/>
    <w:rsid w:val="009941EA"/>
    <w:rsid w:val="00994F1B"/>
    <w:rsid w:val="00995F96"/>
    <w:rsid w:val="009965A3"/>
    <w:rsid w:val="00996862"/>
    <w:rsid w:val="00997569"/>
    <w:rsid w:val="009975FD"/>
    <w:rsid w:val="0099765B"/>
    <w:rsid w:val="00997860"/>
    <w:rsid w:val="00997DC4"/>
    <w:rsid w:val="00997F47"/>
    <w:rsid w:val="009A0520"/>
    <w:rsid w:val="009A0B5E"/>
    <w:rsid w:val="009A0D14"/>
    <w:rsid w:val="009A0D31"/>
    <w:rsid w:val="009A0F9B"/>
    <w:rsid w:val="009A1118"/>
    <w:rsid w:val="009A15CD"/>
    <w:rsid w:val="009A17FD"/>
    <w:rsid w:val="009A1E6D"/>
    <w:rsid w:val="009A2813"/>
    <w:rsid w:val="009A3295"/>
    <w:rsid w:val="009A3440"/>
    <w:rsid w:val="009A3680"/>
    <w:rsid w:val="009A3AFC"/>
    <w:rsid w:val="009A405A"/>
    <w:rsid w:val="009A40FA"/>
    <w:rsid w:val="009A45B8"/>
    <w:rsid w:val="009A4727"/>
    <w:rsid w:val="009A4F4D"/>
    <w:rsid w:val="009A5386"/>
    <w:rsid w:val="009A5415"/>
    <w:rsid w:val="009A5511"/>
    <w:rsid w:val="009A58CC"/>
    <w:rsid w:val="009A5CB3"/>
    <w:rsid w:val="009A5E2D"/>
    <w:rsid w:val="009A61CD"/>
    <w:rsid w:val="009A63A2"/>
    <w:rsid w:val="009A67D0"/>
    <w:rsid w:val="009A68D8"/>
    <w:rsid w:val="009A6902"/>
    <w:rsid w:val="009A74A1"/>
    <w:rsid w:val="009A75BB"/>
    <w:rsid w:val="009A79DC"/>
    <w:rsid w:val="009B000C"/>
    <w:rsid w:val="009B0DC4"/>
    <w:rsid w:val="009B0FC4"/>
    <w:rsid w:val="009B1B46"/>
    <w:rsid w:val="009B1DF0"/>
    <w:rsid w:val="009B2517"/>
    <w:rsid w:val="009B2740"/>
    <w:rsid w:val="009B2BF8"/>
    <w:rsid w:val="009B3109"/>
    <w:rsid w:val="009B3785"/>
    <w:rsid w:val="009B41E2"/>
    <w:rsid w:val="009B48F1"/>
    <w:rsid w:val="009B4D40"/>
    <w:rsid w:val="009B4E2E"/>
    <w:rsid w:val="009B4E88"/>
    <w:rsid w:val="009B5A4B"/>
    <w:rsid w:val="009B5EB5"/>
    <w:rsid w:val="009B62D1"/>
    <w:rsid w:val="009B6529"/>
    <w:rsid w:val="009B6C3E"/>
    <w:rsid w:val="009B7866"/>
    <w:rsid w:val="009B7D5F"/>
    <w:rsid w:val="009C02B4"/>
    <w:rsid w:val="009C0828"/>
    <w:rsid w:val="009C1470"/>
    <w:rsid w:val="009C1F3E"/>
    <w:rsid w:val="009C21D0"/>
    <w:rsid w:val="009C2306"/>
    <w:rsid w:val="009C230E"/>
    <w:rsid w:val="009C303B"/>
    <w:rsid w:val="009C307C"/>
    <w:rsid w:val="009C3819"/>
    <w:rsid w:val="009C3902"/>
    <w:rsid w:val="009C3BBF"/>
    <w:rsid w:val="009C4219"/>
    <w:rsid w:val="009C442F"/>
    <w:rsid w:val="009C4960"/>
    <w:rsid w:val="009C49FC"/>
    <w:rsid w:val="009C505C"/>
    <w:rsid w:val="009C512D"/>
    <w:rsid w:val="009C5203"/>
    <w:rsid w:val="009C521B"/>
    <w:rsid w:val="009C53AA"/>
    <w:rsid w:val="009C5F20"/>
    <w:rsid w:val="009C62F0"/>
    <w:rsid w:val="009C6372"/>
    <w:rsid w:val="009C6381"/>
    <w:rsid w:val="009C6AD3"/>
    <w:rsid w:val="009C6C65"/>
    <w:rsid w:val="009C724A"/>
    <w:rsid w:val="009C7ABD"/>
    <w:rsid w:val="009C7EE5"/>
    <w:rsid w:val="009D04AF"/>
    <w:rsid w:val="009D0A80"/>
    <w:rsid w:val="009D0AE0"/>
    <w:rsid w:val="009D0BBB"/>
    <w:rsid w:val="009D0C8A"/>
    <w:rsid w:val="009D11B9"/>
    <w:rsid w:val="009D1241"/>
    <w:rsid w:val="009D1276"/>
    <w:rsid w:val="009D1ADD"/>
    <w:rsid w:val="009D1D26"/>
    <w:rsid w:val="009D1D50"/>
    <w:rsid w:val="009D1E58"/>
    <w:rsid w:val="009D20D6"/>
    <w:rsid w:val="009D24F7"/>
    <w:rsid w:val="009D2EDF"/>
    <w:rsid w:val="009D2EEC"/>
    <w:rsid w:val="009D33AC"/>
    <w:rsid w:val="009D516C"/>
    <w:rsid w:val="009D6C25"/>
    <w:rsid w:val="009D6C96"/>
    <w:rsid w:val="009D7012"/>
    <w:rsid w:val="009D73B4"/>
    <w:rsid w:val="009D7A80"/>
    <w:rsid w:val="009D7B22"/>
    <w:rsid w:val="009D7B8B"/>
    <w:rsid w:val="009E044A"/>
    <w:rsid w:val="009E05C9"/>
    <w:rsid w:val="009E0D23"/>
    <w:rsid w:val="009E1B04"/>
    <w:rsid w:val="009E2313"/>
    <w:rsid w:val="009E2C7C"/>
    <w:rsid w:val="009E2E48"/>
    <w:rsid w:val="009E3456"/>
    <w:rsid w:val="009E3583"/>
    <w:rsid w:val="009E362E"/>
    <w:rsid w:val="009E36FD"/>
    <w:rsid w:val="009E42A7"/>
    <w:rsid w:val="009E45A3"/>
    <w:rsid w:val="009E4CE6"/>
    <w:rsid w:val="009E538F"/>
    <w:rsid w:val="009E53D2"/>
    <w:rsid w:val="009E6096"/>
    <w:rsid w:val="009E612B"/>
    <w:rsid w:val="009E672C"/>
    <w:rsid w:val="009E6D19"/>
    <w:rsid w:val="009F0302"/>
    <w:rsid w:val="009F0882"/>
    <w:rsid w:val="009F0BAD"/>
    <w:rsid w:val="009F0E21"/>
    <w:rsid w:val="009F10DD"/>
    <w:rsid w:val="009F12A1"/>
    <w:rsid w:val="009F19F5"/>
    <w:rsid w:val="009F1B54"/>
    <w:rsid w:val="009F1BD8"/>
    <w:rsid w:val="009F22A1"/>
    <w:rsid w:val="009F2446"/>
    <w:rsid w:val="009F2697"/>
    <w:rsid w:val="009F27B2"/>
    <w:rsid w:val="009F2EEE"/>
    <w:rsid w:val="009F31A4"/>
    <w:rsid w:val="009F3B02"/>
    <w:rsid w:val="009F4335"/>
    <w:rsid w:val="009F597D"/>
    <w:rsid w:val="009F5A87"/>
    <w:rsid w:val="009F5DCE"/>
    <w:rsid w:val="009F6A7D"/>
    <w:rsid w:val="009F7027"/>
    <w:rsid w:val="009F714D"/>
    <w:rsid w:val="009F79EC"/>
    <w:rsid w:val="00A00237"/>
    <w:rsid w:val="00A006F2"/>
    <w:rsid w:val="00A00723"/>
    <w:rsid w:val="00A009A4"/>
    <w:rsid w:val="00A00A1A"/>
    <w:rsid w:val="00A00A3D"/>
    <w:rsid w:val="00A00F58"/>
    <w:rsid w:val="00A00FE1"/>
    <w:rsid w:val="00A013E4"/>
    <w:rsid w:val="00A02498"/>
    <w:rsid w:val="00A027D1"/>
    <w:rsid w:val="00A029DB"/>
    <w:rsid w:val="00A02A91"/>
    <w:rsid w:val="00A02E28"/>
    <w:rsid w:val="00A02EC7"/>
    <w:rsid w:val="00A0314B"/>
    <w:rsid w:val="00A03169"/>
    <w:rsid w:val="00A04076"/>
    <w:rsid w:val="00A043A1"/>
    <w:rsid w:val="00A04468"/>
    <w:rsid w:val="00A04556"/>
    <w:rsid w:val="00A0461F"/>
    <w:rsid w:val="00A04792"/>
    <w:rsid w:val="00A0552D"/>
    <w:rsid w:val="00A0588A"/>
    <w:rsid w:val="00A05CCD"/>
    <w:rsid w:val="00A06B0D"/>
    <w:rsid w:val="00A07320"/>
    <w:rsid w:val="00A07658"/>
    <w:rsid w:val="00A07AD5"/>
    <w:rsid w:val="00A1042B"/>
    <w:rsid w:val="00A10514"/>
    <w:rsid w:val="00A1054D"/>
    <w:rsid w:val="00A106A7"/>
    <w:rsid w:val="00A10CE5"/>
    <w:rsid w:val="00A10FB3"/>
    <w:rsid w:val="00A11233"/>
    <w:rsid w:val="00A11CFB"/>
    <w:rsid w:val="00A1259D"/>
    <w:rsid w:val="00A12699"/>
    <w:rsid w:val="00A12D53"/>
    <w:rsid w:val="00A13A18"/>
    <w:rsid w:val="00A13B80"/>
    <w:rsid w:val="00A141BF"/>
    <w:rsid w:val="00A1455B"/>
    <w:rsid w:val="00A14BE7"/>
    <w:rsid w:val="00A15A88"/>
    <w:rsid w:val="00A15DF0"/>
    <w:rsid w:val="00A161AB"/>
    <w:rsid w:val="00A16D51"/>
    <w:rsid w:val="00A17066"/>
    <w:rsid w:val="00A178B4"/>
    <w:rsid w:val="00A17C79"/>
    <w:rsid w:val="00A2047E"/>
    <w:rsid w:val="00A206FD"/>
    <w:rsid w:val="00A20CE9"/>
    <w:rsid w:val="00A215AF"/>
    <w:rsid w:val="00A21FD9"/>
    <w:rsid w:val="00A220B4"/>
    <w:rsid w:val="00A223D8"/>
    <w:rsid w:val="00A2255E"/>
    <w:rsid w:val="00A23D78"/>
    <w:rsid w:val="00A23DEA"/>
    <w:rsid w:val="00A24DA8"/>
    <w:rsid w:val="00A25197"/>
    <w:rsid w:val="00A255BD"/>
    <w:rsid w:val="00A256E2"/>
    <w:rsid w:val="00A25C5A"/>
    <w:rsid w:val="00A25C7E"/>
    <w:rsid w:val="00A2620D"/>
    <w:rsid w:val="00A26343"/>
    <w:rsid w:val="00A26457"/>
    <w:rsid w:val="00A26826"/>
    <w:rsid w:val="00A26E1F"/>
    <w:rsid w:val="00A271FB"/>
    <w:rsid w:val="00A27583"/>
    <w:rsid w:val="00A27984"/>
    <w:rsid w:val="00A27A6A"/>
    <w:rsid w:val="00A27B74"/>
    <w:rsid w:val="00A30947"/>
    <w:rsid w:val="00A31012"/>
    <w:rsid w:val="00A3108B"/>
    <w:rsid w:val="00A3152A"/>
    <w:rsid w:val="00A31918"/>
    <w:rsid w:val="00A31D23"/>
    <w:rsid w:val="00A32783"/>
    <w:rsid w:val="00A3295C"/>
    <w:rsid w:val="00A32B42"/>
    <w:rsid w:val="00A32DD1"/>
    <w:rsid w:val="00A334A1"/>
    <w:rsid w:val="00A33F35"/>
    <w:rsid w:val="00A34121"/>
    <w:rsid w:val="00A3450E"/>
    <w:rsid w:val="00A34601"/>
    <w:rsid w:val="00A34F8E"/>
    <w:rsid w:val="00A35E20"/>
    <w:rsid w:val="00A3670C"/>
    <w:rsid w:val="00A369DD"/>
    <w:rsid w:val="00A378D6"/>
    <w:rsid w:val="00A37D44"/>
    <w:rsid w:val="00A37F01"/>
    <w:rsid w:val="00A4118D"/>
    <w:rsid w:val="00A41386"/>
    <w:rsid w:val="00A4169D"/>
    <w:rsid w:val="00A41A6E"/>
    <w:rsid w:val="00A41F71"/>
    <w:rsid w:val="00A41FC4"/>
    <w:rsid w:val="00A420EC"/>
    <w:rsid w:val="00A4234B"/>
    <w:rsid w:val="00A4243D"/>
    <w:rsid w:val="00A42FC6"/>
    <w:rsid w:val="00A42FD6"/>
    <w:rsid w:val="00A43373"/>
    <w:rsid w:val="00A43631"/>
    <w:rsid w:val="00A4371D"/>
    <w:rsid w:val="00A4387D"/>
    <w:rsid w:val="00A438DA"/>
    <w:rsid w:val="00A44326"/>
    <w:rsid w:val="00A4481C"/>
    <w:rsid w:val="00A44B7F"/>
    <w:rsid w:val="00A44DEC"/>
    <w:rsid w:val="00A44E61"/>
    <w:rsid w:val="00A451A0"/>
    <w:rsid w:val="00A45844"/>
    <w:rsid w:val="00A45DE8"/>
    <w:rsid w:val="00A460BB"/>
    <w:rsid w:val="00A47175"/>
    <w:rsid w:val="00A47245"/>
    <w:rsid w:val="00A47677"/>
    <w:rsid w:val="00A47D3A"/>
    <w:rsid w:val="00A509A0"/>
    <w:rsid w:val="00A50D42"/>
    <w:rsid w:val="00A51113"/>
    <w:rsid w:val="00A51181"/>
    <w:rsid w:val="00A51492"/>
    <w:rsid w:val="00A51B69"/>
    <w:rsid w:val="00A51BB9"/>
    <w:rsid w:val="00A52079"/>
    <w:rsid w:val="00A52256"/>
    <w:rsid w:val="00A523C5"/>
    <w:rsid w:val="00A524F1"/>
    <w:rsid w:val="00A52798"/>
    <w:rsid w:val="00A52CC6"/>
    <w:rsid w:val="00A5312C"/>
    <w:rsid w:val="00A5333F"/>
    <w:rsid w:val="00A5352A"/>
    <w:rsid w:val="00A5357F"/>
    <w:rsid w:val="00A53753"/>
    <w:rsid w:val="00A538D4"/>
    <w:rsid w:val="00A53D57"/>
    <w:rsid w:val="00A5445B"/>
    <w:rsid w:val="00A544F0"/>
    <w:rsid w:val="00A546A8"/>
    <w:rsid w:val="00A54D45"/>
    <w:rsid w:val="00A55D3C"/>
    <w:rsid w:val="00A5678F"/>
    <w:rsid w:val="00A56C4F"/>
    <w:rsid w:val="00A56D8C"/>
    <w:rsid w:val="00A57838"/>
    <w:rsid w:val="00A6097E"/>
    <w:rsid w:val="00A61162"/>
    <w:rsid w:val="00A61393"/>
    <w:rsid w:val="00A617A0"/>
    <w:rsid w:val="00A62640"/>
    <w:rsid w:val="00A62647"/>
    <w:rsid w:val="00A627A1"/>
    <w:rsid w:val="00A62CE1"/>
    <w:rsid w:val="00A636B5"/>
    <w:rsid w:val="00A64E2A"/>
    <w:rsid w:val="00A65553"/>
    <w:rsid w:val="00A658A2"/>
    <w:rsid w:val="00A66F9E"/>
    <w:rsid w:val="00A67117"/>
    <w:rsid w:val="00A67357"/>
    <w:rsid w:val="00A677F4"/>
    <w:rsid w:val="00A67A30"/>
    <w:rsid w:val="00A7006B"/>
    <w:rsid w:val="00A7027A"/>
    <w:rsid w:val="00A70A01"/>
    <w:rsid w:val="00A70D38"/>
    <w:rsid w:val="00A70E72"/>
    <w:rsid w:val="00A70FDA"/>
    <w:rsid w:val="00A718B4"/>
    <w:rsid w:val="00A71F42"/>
    <w:rsid w:val="00A72A21"/>
    <w:rsid w:val="00A72EFB"/>
    <w:rsid w:val="00A734C8"/>
    <w:rsid w:val="00A7359F"/>
    <w:rsid w:val="00A7368A"/>
    <w:rsid w:val="00A74208"/>
    <w:rsid w:val="00A74216"/>
    <w:rsid w:val="00A7422E"/>
    <w:rsid w:val="00A74360"/>
    <w:rsid w:val="00A74BBD"/>
    <w:rsid w:val="00A74C05"/>
    <w:rsid w:val="00A74E91"/>
    <w:rsid w:val="00A74F6F"/>
    <w:rsid w:val="00A750DC"/>
    <w:rsid w:val="00A75213"/>
    <w:rsid w:val="00A755E5"/>
    <w:rsid w:val="00A75A88"/>
    <w:rsid w:val="00A75ECA"/>
    <w:rsid w:val="00A76529"/>
    <w:rsid w:val="00A77376"/>
    <w:rsid w:val="00A7762C"/>
    <w:rsid w:val="00A80173"/>
    <w:rsid w:val="00A80A36"/>
    <w:rsid w:val="00A80E17"/>
    <w:rsid w:val="00A811B0"/>
    <w:rsid w:val="00A81D91"/>
    <w:rsid w:val="00A81F81"/>
    <w:rsid w:val="00A822F1"/>
    <w:rsid w:val="00A825BB"/>
    <w:rsid w:val="00A82D12"/>
    <w:rsid w:val="00A82F30"/>
    <w:rsid w:val="00A82FEB"/>
    <w:rsid w:val="00A836A0"/>
    <w:rsid w:val="00A8454B"/>
    <w:rsid w:val="00A84869"/>
    <w:rsid w:val="00A84988"/>
    <w:rsid w:val="00A850B4"/>
    <w:rsid w:val="00A854E2"/>
    <w:rsid w:val="00A85716"/>
    <w:rsid w:val="00A85B62"/>
    <w:rsid w:val="00A868EA"/>
    <w:rsid w:val="00A86FE8"/>
    <w:rsid w:val="00A87238"/>
    <w:rsid w:val="00A877BF"/>
    <w:rsid w:val="00A9010E"/>
    <w:rsid w:val="00A905B0"/>
    <w:rsid w:val="00A90BF5"/>
    <w:rsid w:val="00A9114E"/>
    <w:rsid w:val="00A91341"/>
    <w:rsid w:val="00A91EDD"/>
    <w:rsid w:val="00A928D0"/>
    <w:rsid w:val="00A93585"/>
    <w:rsid w:val="00A93731"/>
    <w:rsid w:val="00A93980"/>
    <w:rsid w:val="00A93FBE"/>
    <w:rsid w:val="00A941B7"/>
    <w:rsid w:val="00A944BA"/>
    <w:rsid w:val="00A94C71"/>
    <w:rsid w:val="00A9511E"/>
    <w:rsid w:val="00A9582E"/>
    <w:rsid w:val="00A95A39"/>
    <w:rsid w:val="00A95AD3"/>
    <w:rsid w:val="00A95ED3"/>
    <w:rsid w:val="00A9652D"/>
    <w:rsid w:val="00A96D49"/>
    <w:rsid w:val="00A97AC2"/>
    <w:rsid w:val="00A99F81"/>
    <w:rsid w:val="00AA05F3"/>
    <w:rsid w:val="00AA07C6"/>
    <w:rsid w:val="00AA0B7A"/>
    <w:rsid w:val="00AA0D0C"/>
    <w:rsid w:val="00AA1697"/>
    <w:rsid w:val="00AA1D17"/>
    <w:rsid w:val="00AA2070"/>
    <w:rsid w:val="00AA2147"/>
    <w:rsid w:val="00AA2558"/>
    <w:rsid w:val="00AA2B9F"/>
    <w:rsid w:val="00AA2EE2"/>
    <w:rsid w:val="00AA3540"/>
    <w:rsid w:val="00AA35D6"/>
    <w:rsid w:val="00AA38A2"/>
    <w:rsid w:val="00AA4712"/>
    <w:rsid w:val="00AA4A02"/>
    <w:rsid w:val="00AA4C23"/>
    <w:rsid w:val="00AA5055"/>
    <w:rsid w:val="00AA50FB"/>
    <w:rsid w:val="00AA512F"/>
    <w:rsid w:val="00AA52C2"/>
    <w:rsid w:val="00AA5DF5"/>
    <w:rsid w:val="00AA67D9"/>
    <w:rsid w:val="00AA6BE7"/>
    <w:rsid w:val="00AA6EF1"/>
    <w:rsid w:val="00AA7A3C"/>
    <w:rsid w:val="00AA7C20"/>
    <w:rsid w:val="00AB0214"/>
    <w:rsid w:val="00AB0EFB"/>
    <w:rsid w:val="00AB125E"/>
    <w:rsid w:val="00AB1365"/>
    <w:rsid w:val="00AB2141"/>
    <w:rsid w:val="00AB32FB"/>
    <w:rsid w:val="00AB3357"/>
    <w:rsid w:val="00AB3915"/>
    <w:rsid w:val="00AB3CB3"/>
    <w:rsid w:val="00AB40B4"/>
    <w:rsid w:val="00AB476C"/>
    <w:rsid w:val="00AB49BD"/>
    <w:rsid w:val="00AB5140"/>
    <w:rsid w:val="00AB5467"/>
    <w:rsid w:val="00AB5C52"/>
    <w:rsid w:val="00AB5DC7"/>
    <w:rsid w:val="00AB7259"/>
    <w:rsid w:val="00AB7BBE"/>
    <w:rsid w:val="00AB7C96"/>
    <w:rsid w:val="00AC0A75"/>
    <w:rsid w:val="00AC0C4D"/>
    <w:rsid w:val="00AC1097"/>
    <w:rsid w:val="00AC14B7"/>
    <w:rsid w:val="00AC1CE5"/>
    <w:rsid w:val="00AC235B"/>
    <w:rsid w:val="00AC26E6"/>
    <w:rsid w:val="00AC2883"/>
    <w:rsid w:val="00AC2C74"/>
    <w:rsid w:val="00AC2F2C"/>
    <w:rsid w:val="00AC309E"/>
    <w:rsid w:val="00AC3885"/>
    <w:rsid w:val="00AC40A2"/>
    <w:rsid w:val="00AC41DB"/>
    <w:rsid w:val="00AC4BCC"/>
    <w:rsid w:val="00AC51F1"/>
    <w:rsid w:val="00AC5619"/>
    <w:rsid w:val="00AC58BD"/>
    <w:rsid w:val="00AC5A58"/>
    <w:rsid w:val="00AC5EA5"/>
    <w:rsid w:val="00AC6B32"/>
    <w:rsid w:val="00AC6D52"/>
    <w:rsid w:val="00AC737C"/>
    <w:rsid w:val="00AC7442"/>
    <w:rsid w:val="00AC7866"/>
    <w:rsid w:val="00AC7F86"/>
    <w:rsid w:val="00AC7FEB"/>
    <w:rsid w:val="00AD0800"/>
    <w:rsid w:val="00AD0897"/>
    <w:rsid w:val="00AD09A4"/>
    <w:rsid w:val="00AD0AD6"/>
    <w:rsid w:val="00AD0D91"/>
    <w:rsid w:val="00AD11C2"/>
    <w:rsid w:val="00AD14DB"/>
    <w:rsid w:val="00AD160B"/>
    <w:rsid w:val="00AD17E3"/>
    <w:rsid w:val="00AD2B19"/>
    <w:rsid w:val="00AD2BF1"/>
    <w:rsid w:val="00AD302A"/>
    <w:rsid w:val="00AD31BB"/>
    <w:rsid w:val="00AD34A3"/>
    <w:rsid w:val="00AD38DF"/>
    <w:rsid w:val="00AD3BA7"/>
    <w:rsid w:val="00AD3D2D"/>
    <w:rsid w:val="00AD4036"/>
    <w:rsid w:val="00AD417A"/>
    <w:rsid w:val="00AD5B81"/>
    <w:rsid w:val="00AD64A1"/>
    <w:rsid w:val="00AD6788"/>
    <w:rsid w:val="00AD6B25"/>
    <w:rsid w:val="00AD6E26"/>
    <w:rsid w:val="00AD6EC6"/>
    <w:rsid w:val="00AD70FE"/>
    <w:rsid w:val="00AD7178"/>
    <w:rsid w:val="00AD72F0"/>
    <w:rsid w:val="00AD73FA"/>
    <w:rsid w:val="00AD74AC"/>
    <w:rsid w:val="00AD7EE4"/>
    <w:rsid w:val="00AE02E3"/>
    <w:rsid w:val="00AE0383"/>
    <w:rsid w:val="00AE09F6"/>
    <w:rsid w:val="00AE0B91"/>
    <w:rsid w:val="00AE0C76"/>
    <w:rsid w:val="00AE1119"/>
    <w:rsid w:val="00AE1268"/>
    <w:rsid w:val="00AE15FD"/>
    <w:rsid w:val="00AE162D"/>
    <w:rsid w:val="00AE1BCC"/>
    <w:rsid w:val="00AE1DEF"/>
    <w:rsid w:val="00AE2154"/>
    <w:rsid w:val="00AE27AD"/>
    <w:rsid w:val="00AE2C2B"/>
    <w:rsid w:val="00AE32DD"/>
    <w:rsid w:val="00AE4463"/>
    <w:rsid w:val="00AE4469"/>
    <w:rsid w:val="00AE480B"/>
    <w:rsid w:val="00AE4B25"/>
    <w:rsid w:val="00AE4D27"/>
    <w:rsid w:val="00AE5175"/>
    <w:rsid w:val="00AE5A5E"/>
    <w:rsid w:val="00AE6473"/>
    <w:rsid w:val="00AE6636"/>
    <w:rsid w:val="00AE71B8"/>
    <w:rsid w:val="00AE721F"/>
    <w:rsid w:val="00AE7988"/>
    <w:rsid w:val="00AE7BD9"/>
    <w:rsid w:val="00AE7E06"/>
    <w:rsid w:val="00AF002D"/>
    <w:rsid w:val="00AF0FC2"/>
    <w:rsid w:val="00AF17C7"/>
    <w:rsid w:val="00AF2160"/>
    <w:rsid w:val="00AF2174"/>
    <w:rsid w:val="00AF23EA"/>
    <w:rsid w:val="00AF30C2"/>
    <w:rsid w:val="00AF359B"/>
    <w:rsid w:val="00AF428F"/>
    <w:rsid w:val="00AF4313"/>
    <w:rsid w:val="00AF4EEF"/>
    <w:rsid w:val="00AF5AEF"/>
    <w:rsid w:val="00AF5C3B"/>
    <w:rsid w:val="00AF602B"/>
    <w:rsid w:val="00AF6493"/>
    <w:rsid w:val="00AF6E3B"/>
    <w:rsid w:val="00AF7221"/>
    <w:rsid w:val="00AF73AA"/>
    <w:rsid w:val="00AF761D"/>
    <w:rsid w:val="00AF79A3"/>
    <w:rsid w:val="00AF7A17"/>
    <w:rsid w:val="00B00714"/>
    <w:rsid w:val="00B007E1"/>
    <w:rsid w:val="00B00DE6"/>
    <w:rsid w:val="00B00FA5"/>
    <w:rsid w:val="00B0105D"/>
    <w:rsid w:val="00B01A61"/>
    <w:rsid w:val="00B01AA5"/>
    <w:rsid w:val="00B02200"/>
    <w:rsid w:val="00B0236F"/>
    <w:rsid w:val="00B0241C"/>
    <w:rsid w:val="00B025DD"/>
    <w:rsid w:val="00B02789"/>
    <w:rsid w:val="00B04448"/>
    <w:rsid w:val="00B0491F"/>
    <w:rsid w:val="00B04F15"/>
    <w:rsid w:val="00B053F5"/>
    <w:rsid w:val="00B05586"/>
    <w:rsid w:val="00B05654"/>
    <w:rsid w:val="00B05B26"/>
    <w:rsid w:val="00B06515"/>
    <w:rsid w:val="00B067C5"/>
    <w:rsid w:val="00B06AE3"/>
    <w:rsid w:val="00B06B29"/>
    <w:rsid w:val="00B06D34"/>
    <w:rsid w:val="00B06F4C"/>
    <w:rsid w:val="00B07402"/>
    <w:rsid w:val="00B07C4D"/>
    <w:rsid w:val="00B07E27"/>
    <w:rsid w:val="00B1025E"/>
    <w:rsid w:val="00B103AB"/>
    <w:rsid w:val="00B1093A"/>
    <w:rsid w:val="00B11404"/>
    <w:rsid w:val="00B114BA"/>
    <w:rsid w:val="00B1287B"/>
    <w:rsid w:val="00B12897"/>
    <w:rsid w:val="00B12A4C"/>
    <w:rsid w:val="00B12AFB"/>
    <w:rsid w:val="00B12BFC"/>
    <w:rsid w:val="00B12CD4"/>
    <w:rsid w:val="00B13029"/>
    <w:rsid w:val="00B1367B"/>
    <w:rsid w:val="00B1373E"/>
    <w:rsid w:val="00B14042"/>
    <w:rsid w:val="00B148EF"/>
    <w:rsid w:val="00B153B3"/>
    <w:rsid w:val="00B15794"/>
    <w:rsid w:val="00B16546"/>
    <w:rsid w:val="00B1737A"/>
    <w:rsid w:val="00B1739A"/>
    <w:rsid w:val="00B179BE"/>
    <w:rsid w:val="00B17E80"/>
    <w:rsid w:val="00B17ECC"/>
    <w:rsid w:val="00B2061C"/>
    <w:rsid w:val="00B20651"/>
    <w:rsid w:val="00B206CA"/>
    <w:rsid w:val="00B21433"/>
    <w:rsid w:val="00B22AEB"/>
    <w:rsid w:val="00B22BE6"/>
    <w:rsid w:val="00B23A6A"/>
    <w:rsid w:val="00B23C80"/>
    <w:rsid w:val="00B23F9F"/>
    <w:rsid w:val="00B240F7"/>
    <w:rsid w:val="00B2430D"/>
    <w:rsid w:val="00B24F32"/>
    <w:rsid w:val="00B252B7"/>
    <w:rsid w:val="00B25322"/>
    <w:rsid w:val="00B2543F"/>
    <w:rsid w:val="00B25A3A"/>
    <w:rsid w:val="00B25D6F"/>
    <w:rsid w:val="00B25E3D"/>
    <w:rsid w:val="00B27134"/>
    <w:rsid w:val="00B275CD"/>
    <w:rsid w:val="00B30796"/>
    <w:rsid w:val="00B30B5A"/>
    <w:rsid w:val="00B30EF4"/>
    <w:rsid w:val="00B312F3"/>
    <w:rsid w:val="00B3139D"/>
    <w:rsid w:val="00B3152F"/>
    <w:rsid w:val="00B319BA"/>
    <w:rsid w:val="00B320D8"/>
    <w:rsid w:val="00B32F27"/>
    <w:rsid w:val="00B33203"/>
    <w:rsid w:val="00B33223"/>
    <w:rsid w:val="00B336B5"/>
    <w:rsid w:val="00B338D6"/>
    <w:rsid w:val="00B34A9B"/>
    <w:rsid w:val="00B35AC4"/>
    <w:rsid w:val="00B35FF4"/>
    <w:rsid w:val="00B3615D"/>
    <w:rsid w:val="00B362D2"/>
    <w:rsid w:val="00B373FD"/>
    <w:rsid w:val="00B374B8"/>
    <w:rsid w:val="00B37BB5"/>
    <w:rsid w:val="00B403AA"/>
    <w:rsid w:val="00B40553"/>
    <w:rsid w:val="00B408DE"/>
    <w:rsid w:val="00B40DDB"/>
    <w:rsid w:val="00B40E40"/>
    <w:rsid w:val="00B41569"/>
    <w:rsid w:val="00B41A1B"/>
    <w:rsid w:val="00B41D51"/>
    <w:rsid w:val="00B42535"/>
    <w:rsid w:val="00B43010"/>
    <w:rsid w:val="00B433A8"/>
    <w:rsid w:val="00B43457"/>
    <w:rsid w:val="00B455A6"/>
    <w:rsid w:val="00B45F08"/>
    <w:rsid w:val="00B46906"/>
    <w:rsid w:val="00B469CB"/>
    <w:rsid w:val="00B46A26"/>
    <w:rsid w:val="00B472E7"/>
    <w:rsid w:val="00B47302"/>
    <w:rsid w:val="00B47B4F"/>
    <w:rsid w:val="00B50784"/>
    <w:rsid w:val="00B50BCF"/>
    <w:rsid w:val="00B5141B"/>
    <w:rsid w:val="00B51784"/>
    <w:rsid w:val="00B52108"/>
    <w:rsid w:val="00B5265A"/>
    <w:rsid w:val="00B52C7E"/>
    <w:rsid w:val="00B52D9A"/>
    <w:rsid w:val="00B536A2"/>
    <w:rsid w:val="00B53817"/>
    <w:rsid w:val="00B54059"/>
    <w:rsid w:val="00B541EA"/>
    <w:rsid w:val="00B545E3"/>
    <w:rsid w:val="00B55130"/>
    <w:rsid w:val="00B56440"/>
    <w:rsid w:val="00B56F34"/>
    <w:rsid w:val="00B57255"/>
    <w:rsid w:val="00B572B9"/>
    <w:rsid w:val="00B5780D"/>
    <w:rsid w:val="00B57EB2"/>
    <w:rsid w:val="00B601B3"/>
    <w:rsid w:val="00B601EC"/>
    <w:rsid w:val="00B60CCA"/>
    <w:rsid w:val="00B60E4E"/>
    <w:rsid w:val="00B6151D"/>
    <w:rsid w:val="00B618AC"/>
    <w:rsid w:val="00B62114"/>
    <w:rsid w:val="00B621C5"/>
    <w:rsid w:val="00B62552"/>
    <w:rsid w:val="00B630EA"/>
    <w:rsid w:val="00B63151"/>
    <w:rsid w:val="00B63627"/>
    <w:rsid w:val="00B6380A"/>
    <w:rsid w:val="00B63FA1"/>
    <w:rsid w:val="00B6445D"/>
    <w:rsid w:val="00B64A61"/>
    <w:rsid w:val="00B66273"/>
    <w:rsid w:val="00B66A21"/>
    <w:rsid w:val="00B66D3B"/>
    <w:rsid w:val="00B66DB2"/>
    <w:rsid w:val="00B67012"/>
    <w:rsid w:val="00B678BC"/>
    <w:rsid w:val="00B67C85"/>
    <w:rsid w:val="00B67CC6"/>
    <w:rsid w:val="00B70A2F"/>
    <w:rsid w:val="00B70A91"/>
    <w:rsid w:val="00B70BA6"/>
    <w:rsid w:val="00B71211"/>
    <w:rsid w:val="00B713EA"/>
    <w:rsid w:val="00B71D58"/>
    <w:rsid w:val="00B7277D"/>
    <w:rsid w:val="00B72AA6"/>
    <w:rsid w:val="00B73222"/>
    <w:rsid w:val="00B7393A"/>
    <w:rsid w:val="00B73CE1"/>
    <w:rsid w:val="00B73D3B"/>
    <w:rsid w:val="00B73ED6"/>
    <w:rsid w:val="00B73FBA"/>
    <w:rsid w:val="00B74ADA"/>
    <w:rsid w:val="00B75965"/>
    <w:rsid w:val="00B75C99"/>
    <w:rsid w:val="00B75FCA"/>
    <w:rsid w:val="00B76437"/>
    <w:rsid w:val="00B77866"/>
    <w:rsid w:val="00B801DD"/>
    <w:rsid w:val="00B805ED"/>
    <w:rsid w:val="00B80946"/>
    <w:rsid w:val="00B80A53"/>
    <w:rsid w:val="00B80BC3"/>
    <w:rsid w:val="00B80F4D"/>
    <w:rsid w:val="00B80F4E"/>
    <w:rsid w:val="00B81805"/>
    <w:rsid w:val="00B82D20"/>
    <w:rsid w:val="00B82DE1"/>
    <w:rsid w:val="00B8316E"/>
    <w:rsid w:val="00B83B52"/>
    <w:rsid w:val="00B83C61"/>
    <w:rsid w:val="00B843A8"/>
    <w:rsid w:val="00B84F80"/>
    <w:rsid w:val="00B85229"/>
    <w:rsid w:val="00B8650E"/>
    <w:rsid w:val="00B867C6"/>
    <w:rsid w:val="00B87E01"/>
    <w:rsid w:val="00B905BC"/>
    <w:rsid w:val="00B90C4C"/>
    <w:rsid w:val="00B91562"/>
    <w:rsid w:val="00B91DC4"/>
    <w:rsid w:val="00B91EA9"/>
    <w:rsid w:val="00B92746"/>
    <w:rsid w:val="00B93549"/>
    <w:rsid w:val="00B936CF"/>
    <w:rsid w:val="00B937B9"/>
    <w:rsid w:val="00B937C4"/>
    <w:rsid w:val="00B93BBA"/>
    <w:rsid w:val="00B93BE5"/>
    <w:rsid w:val="00B94B83"/>
    <w:rsid w:val="00B95277"/>
    <w:rsid w:val="00B95792"/>
    <w:rsid w:val="00B95D03"/>
    <w:rsid w:val="00B96D39"/>
    <w:rsid w:val="00B96E52"/>
    <w:rsid w:val="00B972FC"/>
    <w:rsid w:val="00B97A00"/>
    <w:rsid w:val="00B97FD6"/>
    <w:rsid w:val="00BA00C7"/>
    <w:rsid w:val="00BA0248"/>
    <w:rsid w:val="00BA032B"/>
    <w:rsid w:val="00BA0417"/>
    <w:rsid w:val="00BA05F7"/>
    <w:rsid w:val="00BA0C97"/>
    <w:rsid w:val="00BA0FB1"/>
    <w:rsid w:val="00BA162A"/>
    <w:rsid w:val="00BA1906"/>
    <w:rsid w:val="00BA1AA9"/>
    <w:rsid w:val="00BA212C"/>
    <w:rsid w:val="00BA247F"/>
    <w:rsid w:val="00BA27C8"/>
    <w:rsid w:val="00BA2BA8"/>
    <w:rsid w:val="00BA2E17"/>
    <w:rsid w:val="00BA2F35"/>
    <w:rsid w:val="00BA3190"/>
    <w:rsid w:val="00BA3888"/>
    <w:rsid w:val="00BA4362"/>
    <w:rsid w:val="00BA480D"/>
    <w:rsid w:val="00BA4C14"/>
    <w:rsid w:val="00BA4CEF"/>
    <w:rsid w:val="00BA5181"/>
    <w:rsid w:val="00BA54B6"/>
    <w:rsid w:val="00BA573E"/>
    <w:rsid w:val="00BA584B"/>
    <w:rsid w:val="00BA5C66"/>
    <w:rsid w:val="00BA6689"/>
    <w:rsid w:val="00BA6F91"/>
    <w:rsid w:val="00BA70CB"/>
    <w:rsid w:val="00BA738F"/>
    <w:rsid w:val="00BA7391"/>
    <w:rsid w:val="00BB0A34"/>
    <w:rsid w:val="00BB10EF"/>
    <w:rsid w:val="00BB1134"/>
    <w:rsid w:val="00BB17D6"/>
    <w:rsid w:val="00BB17FF"/>
    <w:rsid w:val="00BB1901"/>
    <w:rsid w:val="00BB1A17"/>
    <w:rsid w:val="00BB1CB5"/>
    <w:rsid w:val="00BB1F8D"/>
    <w:rsid w:val="00BB2232"/>
    <w:rsid w:val="00BB2AFB"/>
    <w:rsid w:val="00BB2F91"/>
    <w:rsid w:val="00BB342B"/>
    <w:rsid w:val="00BB448F"/>
    <w:rsid w:val="00BB4AA9"/>
    <w:rsid w:val="00BB53C0"/>
    <w:rsid w:val="00BB5BF1"/>
    <w:rsid w:val="00BB5D87"/>
    <w:rsid w:val="00BB6DC6"/>
    <w:rsid w:val="00BB71FF"/>
    <w:rsid w:val="00BB75CC"/>
    <w:rsid w:val="00BB77AD"/>
    <w:rsid w:val="00BB77F6"/>
    <w:rsid w:val="00BB793D"/>
    <w:rsid w:val="00BB7A33"/>
    <w:rsid w:val="00BB7B30"/>
    <w:rsid w:val="00BC0397"/>
    <w:rsid w:val="00BC04B9"/>
    <w:rsid w:val="00BC0C80"/>
    <w:rsid w:val="00BC0CD4"/>
    <w:rsid w:val="00BC13F4"/>
    <w:rsid w:val="00BC143B"/>
    <w:rsid w:val="00BC19B2"/>
    <w:rsid w:val="00BC1AC1"/>
    <w:rsid w:val="00BC207B"/>
    <w:rsid w:val="00BC22BF"/>
    <w:rsid w:val="00BC2457"/>
    <w:rsid w:val="00BC27BB"/>
    <w:rsid w:val="00BC293E"/>
    <w:rsid w:val="00BC369F"/>
    <w:rsid w:val="00BC38A3"/>
    <w:rsid w:val="00BC52F6"/>
    <w:rsid w:val="00BC5596"/>
    <w:rsid w:val="00BC5B1C"/>
    <w:rsid w:val="00BC65FB"/>
    <w:rsid w:val="00BC6926"/>
    <w:rsid w:val="00BC697A"/>
    <w:rsid w:val="00BC7ED4"/>
    <w:rsid w:val="00BD013F"/>
    <w:rsid w:val="00BD015C"/>
    <w:rsid w:val="00BD025A"/>
    <w:rsid w:val="00BD02BF"/>
    <w:rsid w:val="00BD048B"/>
    <w:rsid w:val="00BD0DF5"/>
    <w:rsid w:val="00BD1EC7"/>
    <w:rsid w:val="00BD23A6"/>
    <w:rsid w:val="00BD248E"/>
    <w:rsid w:val="00BD25DA"/>
    <w:rsid w:val="00BD3055"/>
    <w:rsid w:val="00BD3728"/>
    <w:rsid w:val="00BD3948"/>
    <w:rsid w:val="00BD3AF5"/>
    <w:rsid w:val="00BD3FC9"/>
    <w:rsid w:val="00BD4382"/>
    <w:rsid w:val="00BD4AD1"/>
    <w:rsid w:val="00BD4C2E"/>
    <w:rsid w:val="00BD4E18"/>
    <w:rsid w:val="00BD52F6"/>
    <w:rsid w:val="00BD5B45"/>
    <w:rsid w:val="00BD6657"/>
    <w:rsid w:val="00BD6788"/>
    <w:rsid w:val="00BD6859"/>
    <w:rsid w:val="00BD6AAF"/>
    <w:rsid w:val="00BD6EC3"/>
    <w:rsid w:val="00BE0274"/>
    <w:rsid w:val="00BE035F"/>
    <w:rsid w:val="00BE0A92"/>
    <w:rsid w:val="00BE0E33"/>
    <w:rsid w:val="00BE12E8"/>
    <w:rsid w:val="00BE1420"/>
    <w:rsid w:val="00BE145D"/>
    <w:rsid w:val="00BE19E1"/>
    <w:rsid w:val="00BE2778"/>
    <w:rsid w:val="00BE2935"/>
    <w:rsid w:val="00BE295B"/>
    <w:rsid w:val="00BE2BA5"/>
    <w:rsid w:val="00BE2C81"/>
    <w:rsid w:val="00BE33FB"/>
    <w:rsid w:val="00BE3CBB"/>
    <w:rsid w:val="00BE5313"/>
    <w:rsid w:val="00BE53B0"/>
    <w:rsid w:val="00BE54A4"/>
    <w:rsid w:val="00BE6798"/>
    <w:rsid w:val="00BE6BE3"/>
    <w:rsid w:val="00BE71D8"/>
    <w:rsid w:val="00BE743A"/>
    <w:rsid w:val="00BE77F1"/>
    <w:rsid w:val="00BE7992"/>
    <w:rsid w:val="00BED423"/>
    <w:rsid w:val="00BF023D"/>
    <w:rsid w:val="00BF1D03"/>
    <w:rsid w:val="00BF20B1"/>
    <w:rsid w:val="00BF230C"/>
    <w:rsid w:val="00BF26E8"/>
    <w:rsid w:val="00BF39BA"/>
    <w:rsid w:val="00BF4262"/>
    <w:rsid w:val="00BF4935"/>
    <w:rsid w:val="00BF4E5B"/>
    <w:rsid w:val="00BF513E"/>
    <w:rsid w:val="00BF5406"/>
    <w:rsid w:val="00BF5BF3"/>
    <w:rsid w:val="00BF5F0C"/>
    <w:rsid w:val="00BF66CB"/>
    <w:rsid w:val="00BF6AA4"/>
    <w:rsid w:val="00BF6C39"/>
    <w:rsid w:val="00BF6E61"/>
    <w:rsid w:val="00BF70D3"/>
    <w:rsid w:val="00BF7CA1"/>
    <w:rsid w:val="00BF7EC2"/>
    <w:rsid w:val="00C00050"/>
    <w:rsid w:val="00C00637"/>
    <w:rsid w:val="00C0068E"/>
    <w:rsid w:val="00C00DD4"/>
    <w:rsid w:val="00C00EA9"/>
    <w:rsid w:val="00C0122E"/>
    <w:rsid w:val="00C0127F"/>
    <w:rsid w:val="00C0131B"/>
    <w:rsid w:val="00C01431"/>
    <w:rsid w:val="00C01602"/>
    <w:rsid w:val="00C01774"/>
    <w:rsid w:val="00C01B43"/>
    <w:rsid w:val="00C01EF2"/>
    <w:rsid w:val="00C02162"/>
    <w:rsid w:val="00C02359"/>
    <w:rsid w:val="00C02417"/>
    <w:rsid w:val="00C02939"/>
    <w:rsid w:val="00C02DAE"/>
    <w:rsid w:val="00C037B6"/>
    <w:rsid w:val="00C039E6"/>
    <w:rsid w:val="00C03D87"/>
    <w:rsid w:val="00C03DB0"/>
    <w:rsid w:val="00C03FD3"/>
    <w:rsid w:val="00C04252"/>
    <w:rsid w:val="00C046D3"/>
    <w:rsid w:val="00C04E8F"/>
    <w:rsid w:val="00C05220"/>
    <w:rsid w:val="00C05230"/>
    <w:rsid w:val="00C05B41"/>
    <w:rsid w:val="00C05BB3"/>
    <w:rsid w:val="00C06131"/>
    <w:rsid w:val="00C06353"/>
    <w:rsid w:val="00C07B0D"/>
    <w:rsid w:val="00C07DF5"/>
    <w:rsid w:val="00C1050C"/>
    <w:rsid w:val="00C10DC3"/>
    <w:rsid w:val="00C1117F"/>
    <w:rsid w:val="00C116B4"/>
    <w:rsid w:val="00C117BB"/>
    <w:rsid w:val="00C12274"/>
    <w:rsid w:val="00C1314C"/>
    <w:rsid w:val="00C133A2"/>
    <w:rsid w:val="00C135C5"/>
    <w:rsid w:val="00C1371F"/>
    <w:rsid w:val="00C139BB"/>
    <w:rsid w:val="00C13FAB"/>
    <w:rsid w:val="00C14552"/>
    <w:rsid w:val="00C1492D"/>
    <w:rsid w:val="00C149A3"/>
    <w:rsid w:val="00C14BA4"/>
    <w:rsid w:val="00C1544D"/>
    <w:rsid w:val="00C15B3B"/>
    <w:rsid w:val="00C15C20"/>
    <w:rsid w:val="00C167DB"/>
    <w:rsid w:val="00C16B11"/>
    <w:rsid w:val="00C1773C"/>
    <w:rsid w:val="00C17A5C"/>
    <w:rsid w:val="00C17AF4"/>
    <w:rsid w:val="00C17B70"/>
    <w:rsid w:val="00C2069B"/>
    <w:rsid w:val="00C2095B"/>
    <w:rsid w:val="00C20C62"/>
    <w:rsid w:val="00C20FA0"/>
    <w:rsid w:val="00C212BD"/>
    <w:rsid w:val="00C21917"/>
    <w:rsid w:val="00C21ACC"/>
    <w:rsid w:val="00C226D2"/>
    <w:rsid w:val="00C2372B"/>
    <w:rsid w:val="00C23954"/>
    <w:rsid w:val="00C239D0"/>
    <w:rsid w:val="00C23B94"/>
    <w:rsid w:val="00C241CD"/>
    <w:rsid w:val="00C2496C"/>
    <w:rsid w:val="00C24BB2"/>
    <w:rsid w:val="00C2530C"/>
    <w:rsid w:val="00C25A18"/>
    <w:rsid w:val="00C25C50"/>
    <w:rsid w:val="00C25EF0"/>
    <w:rsid w:val="00C26346"/>
    <w:rsid w:val="00C267FE"/>
    <w:rsid w:val="00C270CC"/>
    <w:rsid w:val="00C27293"/>
    <w:rsid w:val="00C272F8"/>
    <w:rsid w:val="00C2748A"/>
    <w:rsid w:val="00C27543"/>
    <w:rsid w:val="00C2765E"/>
    <w:rsid w:val="00C27E59"/>
    <w:rsid w:val="00C30485"/>
    <w:rsid w:val="00C306A1"/>
    <w:rsid w:val="00C3180A"/>
    <w:rsid w:val="00C31A82"/>
    <w:rsid w:val="00C31BA1"/>
    <w:rsid w:val="00C31EAE"/>
    <w:rsid w:val="00C3274B"/>
    <w:rsid w:val="00C3284C"/>
    <w:rsid w:val="00C32AEE"/>
    <w:rsid w:val="00C32DD6"/>
    <w:rsid w:val="00C32F25"/>
    <w:rsid w:val="00C3320D"/>
    <w:rsid w:val="00C33B09"/>
    <w:rsid w:val="00C33B40"/>
    <w:rsid w:val="00C33D46"/>
    <w:rsid w:val="00C34549"/>
    <w:rsid w:val="00C3464F"/>
    <w:rsid w:val="00C34702"/>
    <w:rsid w:val="00C34B08"/>
    <w:rsid w:val="00C34BBC"/>
    <w:rsid w:val="00C34EFA"/>
    <w:rsid w:val="00C34FAA"/>
    <w:rsid w:val="00C350FF"/>
    <w:rsid w:val="00C3562A"/>
    <w:rsid w:val="00C358BC"/>
    <w:rsid w:val="00C35F84"/>
    <w:rsid w:val="00C364F1"/>
    <w:rsid w:val="00C376EB"/>
    <w:rsid w:val="00C40B32"/>
    <w:rsid w:val="00C40CB1"/>
    <w:rsid w:val="00C413C5"/>
    <w:rsid w:val="00C41A7B"/>
    <w:rsid w:val="00C41A7C"/>
    <w:rsid w:val="00C41ABF"/>
    <w:rsid w:val="00C42A8A"/>
    <w:rsid w:val="00C42BA5"/>
    <w:rsid w:val="00C42D7B"/>
    <w:rsid w:val="00C42E3F"/>
    <w:rsid w:val="00C430EE"/>
    <w:rsid w:val="00C430FC"/>
    <w:rsid w:val="00C43823"/>
    <w:rsid w:val="00C43875"/>
    <w:rsid w:val="00C440B2"/>
    <w:rsid w:val="00C44534"/>
    <w:rsid w:val="00C45034"/>
    <w:rsid w:val="00C45882"/>
    <w:rsid w:val="00C4592D"/>
    <w:rsid w:val="00C4595D"/>
    <w:rsid w:val="00C45A41"/>
    <w:rsid w:val="00C465B4"/>
    <w:rsid w:val="00C46B98"/>
    <w:rsid w:val="00C46CC7"/>
    <w:rsid w:val="00C478CA"/>
    <w:rsid w:val="00C478CF"/>
    <w:rsid w:val="00C47D07"/>
    <w:rsid w:val="00C47D75"/>
    <w:rsid w:val="00C50CB6"/>
    <w:rsid w:val="00C50DAF"/>
    <w:rsid w:val="00C50F99"/>
    <w:rsid w:val="00C51C7C"/>
    <w:rsid w:val="00C52237"/>
    <w:rsid w:val="00C522DC"/>
    <w:rsid w:val="00C522E7"/>
    <w:rsid w:val="00C523DA"/>
    <w:rsid w:val="00C52735"/>
    <w:rsid w:val="00C53057"/>
    <w:rsid w:val="00C53B8A"/>
    <w:rsid w:val="00C53C04"/>
    <w:rsid w:val="00C53E33"/>
    <w:rsid w:val="00C53FE6"/>
    <w:rsid w:val="00C53FF6"/>
    <w:rsid w:val="00C54526"/>
    <w:rsid w:val="00C550E5"/>
    <w:rsid w:val="00C55218"/>
    <w:rsid w:val="00C55477"/>
    <w:rsid w:val="00C55949"/>
    <w:rsid w:val="00C55C78"/>
    <w:rsid w:val="00C55E75"/>
    <w:rsid w:val="00C55EDE"/>
    <w:rsid w:val="00C5608B"/>
    <w:rsid w:val="00C56235"/>
    <w:rsid w:val="00C56290"/>
    <w:rsid w:val="00C56BBC"/>
    <w:rsid w:val="00C56E3B"/>
    <w:rsid w:val="00C5723A"/>
    <w:rsid w:val="00C57302"/>
    <w:rsid w:val="00C5737A"/>
    <w:rsid w:val="00C5738A"/>
    <w:rsid w:val="00C57812"/>
    <w:rsid w:val="00C57AA0"/>
    <w:rsid w:val="00C57D66"/>
    <w:rsid w:val="00C600B1"/>
    <w:rsid w:val="00C60A7C"/>
    <w:rsid w:val="00C61169"/>
    <w:rsid w:val="00C611A5"/>
    <w:rsid w:val="00C618A1"/>
    <w:rsid w:val="00C618F8"/>
    <w:rsid w:val="00C61B70"/>
    <w:rsid w:val="00C61C21"/>
    <w:rsid w:val="00C62229"/>
    <w:rsid w:val="00C63912"/>
    <w:rsid w:val="00C63966"/>
    <w:rsid w:val="00C64263"/>
    <w:rsid w:val="00C6441F"/>
    <w:rsid w:val="00C64522"/>
    <w:rsid w:val="00C64A2D"/>
    <w:rsid w:val="00C651D5"/>
    <w:rsid w:val="00C6546E"/>
    <w:rsid w:val="00C65871"/>
    <w:rsid w:val="00C66128"/>
    <w:rsid w:val="00C66248"/>
    <w:rsid w:val="00C66329"/>
    <w:rsid w:val="00C66DF4"/>
    <w:rsid w:val="00C670AE"/>
    <w:rsid w:val="00C67BB5"/>
    <w:rsid w:val="00C700A2"/>
    <w:rsid w:val="00C7033F"/>
    <w:rsid w:val="00C704EC"/>
    <w:rsid w:val="00C707BB"/>
    <w:rsid w:val="00C71D24"/>
    <w:rsid w:val="00C71FE8"/>
    <w:rsid w:val="00C72327"/>
    <w:rsid w:val="00C72682"/>
    <w:rsid w:val="00C72CCF"/>
    <w:rsid w:val="00C72F86"/>
    <w:rsid w:val="00C73573"/>
    <w:rsid w:val="00C735DA"/>
    <w:rsid w:val="00C73A9C"/>
    <w:rsid w:val="00C73ACE"/>
    <w:rsid w:val="00C74390"/>
    <w:rsid w:val="00C7475F"/>
    <w:rsid w:val="00C753BA"/>
    <w:rsid w:val="00C754FB"/>
    <w:rsid w:val="00C757B6"/>
    <w:rsid w:val="00C75CAF"/>
    <w:rsid w:val="00C76CA1"/>
    <w:rsid w:val="00C8072C"/>
    <w:rsid w:val="00C81368"/>
    <w:rsid w:val="00C814BE"/>
    <w:rsid w:val="00C814DF"/>
    <w:rsid w:val="00C81701"/>
    <w:rsid w:val="00C81FAE"/>
    <w:rsid w:val="00C81FDD"/>
    <w:rsid w:val="00C8248C"/>
    <w:rsid w:val="00C82642"/>
    <w:rsid w:val="00C8270A"/>
    <w:rsid w:val="00C82B69"/>
    <w:rsid w:val="00C82DEB"/>
    <w:rsid w:val="00C83598"/>
    <w:rsid w:val="00C8386B"/>
    <w:rsid w:val="00C8537B"/>
    <w:rsid w:val="00C860F3"/>
    <w:rsid w:val="00C86588"/>
    <w:rsid w:val="00C8676C"/>
    <w:rsid w:val="00C86938"/>
    <w:rsid w:val="00C878B8"/>
    <w:rsid w:val="00C87CA2"/>
    <w:rsid w:val="00C90097"/>
    <w:rsid w:val="00C908FD"/>
    <w:rsid w:val="00C91098"/>
    <w:rsid w:val="00C914D6"/>
    <w:rsid w:val="00C917AB"/>
    <w:rsid w:val="00C91D37"/>
    <w:rsid w:val="00C92135"/>
    <w:rsid w:val="00C92255"/>
    <w:rsid w:val="00C9277C"/>
    <w:rsid w:val="00C93757"/>
    <w:rsid w:val="00C939A6"/>
    <w:rsid w:val="00C944D4"/>
    <w:rsid w:val="00C94AD0"/>
    <w:rsid w:val="00C95C7F"/>
    <w:rsid w:val="00C95CA1"/>
    <w:rsid w:val="00C95E81"/>
    <w:rsid w:val="00C965BA"/>
    <w:rsid w:val="00C96634"/>
    <w:rsid w:val="00C9691E"/>
    <w:rsid w:val="00C96A3C"/>
    <w:rsid w:val="00C9725E"/>
    <w:rsid w:val="00C97451"/>
    <w:rsid w:val="00C9760F"/>
    <w:rsid w:val="00C97A78"/>
    <w:rsid w:val="00C97BF2"/>
    <w:rsid w:val="00C97EE0"/>
    <w:rsid w:val="00C97FF3"/>
    <w:rsid w:val="00CA01DD"/>
    <w:rsid w:val="00CA0930"/>
    <w:rsid w:val="00CA12BC"/>
    <w:rsid w:val="00CA1BAC"/>
    <w:rsid w:val="00CA1FF0"/>
    <w:rsid w:val="00CA2697"/>
    <w:rsid w:val="00CA30AC"/>
    <w:rsid w:val="00CA3AC5"/>
    <w:rsid w:val="00CA3D60"/>
    <w:rsid w:val="00CA3F0E"/>
    <w:rsid w:val="00CA41DF"/>
    <w:rsid w:val="00CA41F0"/>
    <w:rsid w:val="00CA4E3D"/>
    <w:rsid w:val="00CA54E0"/>
    <w:rsid w:val="00CA5659"/>
    <w:rsid w:val="00CA588E"/>
    <w:rsid w:val="00CA5E01"/>
    <w:rsid w:val="00CA63EE"/>
    <w:rsid w:val="00CA6420"/>
    <w:rsid w:val="00CA7053"/>
    <w:rsid w:val="00CA757F"/>
    <w:rsid w:val="00CA7763"/>
    <w:rsid w:val="00CA7A99"/>
    <w:rsid w:val="00CB034C"/>
    <w:rsid w:val="00CB043F"/>
    <w:rsid w:val="00CB062F"/>
    <w:rsid w:val="00CB0D9F"/>
    <w:rsid w:val="00CB11A8"/>
    <w:rsid w:val="00CB1243"/>
    <w:rsid w:val="00CB18C4"/>
    <w:rsid w:val="00CB1985"/>
    <w:rsid w:val="00CB1A99"/>
    <w:rsid w:val="00CB1B9E"/>
    <w:rsid w:val="00CB1FA6"/>
    <w:rsid w:val="00CB20D1"/>
    <w:rsid w:val="00CB334D"/>
    <w:rsid w:val="00CB42AF"/>
    <w:rsid w:val="00CB447F"/>
    <w:rsid w:val="00CB4C92"/>
    <w:rsid w:val="00CB4F11"/>
    <w:rsid w:val="00CB582D"/>
    <w:rsid w:val="00CB59DD"/>
    <w:rsid w:val="00CB5B7D"/>
    <w:rsid w:val="00CB5DE3"/>
    <w:rsid w:val="00CB63B6"/>
    <w:rsid w:val="00CB64EE"/>
    <w:rsid w:val="00CB69FD"/>
    <w:rsid w:val="00CB7E8B"/>
    <w:rsid w:val="00CC1009"/>
    <w:rsid w:val="00CC1063"/>
    <w:rsid w:val="00CC11A5"/>
    <w:rsid w:val="00CC18C2"/>
    <w:rsid w:val="00CC1A3C"/>
    <w:rsid w:val="00CC1B39"/>
    <w:rsid w:val="00CC1B81"/>
    <w:rsid w:val="00CC1C14"/>
    <w:rsid w:val="00CC266B"/>
    <w:rsid w:val="00CC2671"/>
    <w:rsid w:val="00CC362E"/>
    <w:rsid w:val="00CC3F31"/>
    <w:rsid w:val="00CC3F81"/>
    <w:rsid w:val="00CC47F8"/>
    <w:rsid w:val="00CC52D9"/>
    <w:rsid w:val="00CC5711"/>
    <w:rsid w:val="00CC577B"/>
    <w:rsid w:val="00CC6533"/>
    <w:rsid w:val="00CC6F65"/>
    <w:rsid w:val="00CC7350"/>
    <w:rsid w:val="00CC7C7F"/>
    <w:rsid w:val="00CD015A"/>
    <w:rsid w:val="00CD0D23"/>
    <w:rsid w:val="00CD17D0"/>
    <w:rsid w:val="00CD1810"/>
    <w:rsid w:val="00CD185F"/>
    <w:rsid w:val="00CD196C"/>
    <w:rsid w:val="00CD265E"/>
    <w:rsid w:val="00CD2A39"/>
    <w:rsid w:val="00CD2C0D"/>
    <w:rsid w:val="00CD2D55"/>
    <w:rsid w:val="00CD37E3"/>
    <w:rsid w:val="00CD37FD"/>
    <w:rsid w:val="00CD47A1"/>
    <w:rsid w:val="00CD4AA2"/>
    <w:rsid w:val="00CD4C9A"/>
    <w:rsid w:val="00CD57AC"/>
    <w:rsid w:val="00CD5A05"/>
    <w:rsid w:val="00CD5F8E"/>
    <w:rsid w:val="00CD61F3"/>
    <w:rsid w:val="00CD6B8F"/>
    <w:rsid w:val="00CD7264"/>
    <w:rsid w:val="00CD746E"/>
    <w:rsid w:val="00CD74D3"/>
    <w:rsid w:val="00CD7EC9"/>
    <w:rsid w:val="00CE0B89"/>
    <w:rsid w:val="00CE0E02"/>
    <w:rsid w:val="00CE0EDA"/>
    <w:rsid w:val="00CE0F95"/>
    <w:rsid w:val="00CE1EB0"/>
    <w:rsid w:val="00CE2239"/>
    <w:rsid w:val="00CE2564"/>
    <w:rsid w:val="00CE2B86"/>
    <w:rsid w:val="00CE2C33"/>
    <w:rsid w:val="00CE2EC9"/>
    <w:rsid w:val="00CE2F02"/>
    <w:rsid w:val="00CE2F79"/>
    <w:rsid w:val="00CE307B"/>
    <w:rsid w:val="00CE3321"/>
    <w:rsid w:val="00CE3443"/>
    <w:rsid w:val="00CE390D"/>
    <w:rsid w:val="00CE396B"/>
    <w:rsid w:val="00CE4087"/>
    <w:rsid w:val="00CE433E"/>
    <w:rsid w:val="00CE4456"/>
    <w:rsid w:val="00CE455E"/>
    <w:rsid w:val="00CE5C75"/>
    <w:rsid w:val="00CE5E80"/>
    <w:rsid w:val="00CE6121"/>
    <w:rsid w:val="00CE64FE"/>
    <w:rsid w:val="00CE78A7"/>
    <w:rsid w:val="00CE7B7B"/>
    <w:rsid w:val="00CF030C"/>
    <w:rsid w:val="00CF0625"/>
    <w:rsid w:val="00CF24B2"/>
    <w:rsid w:val="00CF2550"/>
    <w:rsid w:val="00CF25D1"/>
    <w:rsid w:val="00CF3105"/>
    <w:rsid w:val="00CF37A3"/>
    <w:rsid w:val="00CF3BB2"/>
    <w:rsid w:val="00CF3CA7"/>
    <w:rsid w:val="00CF4034"/>
    <w:rsid w:val="00CF41B6"/>
    <w:rsid w:val="00CF5147"/>
    <w:rsid w:val="00CF5501"/>
    <w:rsid w:val="00CF5769"/>
    <w:rsid w:val="00CF59B8"/>
    <w:rsid w:val="00CF5B78"/>
    <w:rsid w:val="00CF5ECF"/>
    <w:rsid w:val="00CF624E"/>
    <w:rsid w:val="00CF6597"/>
    <w:rsid w:val="00CF7190"/>
    <w:rsid w:val="00CF7370"/>
    <w:rsid w:val="00CF7481"/>
    <w:rsid w:val="00CF76FD"/>
    <w:rsid w:val="00CF78F6"/>
    <w:rsid w:val="00CF7E13"/>
    <w:rsid w:val="00D0014D"/>
    <w:rsid w:val="00D002B7"/>
    <w:rsid w:val="00D00469"/>
    <w:rsid w:val="00D00792"/>
    <w:rsid w:val="00D00800"/>
    <w:rsid w:val="00D00882"/>
    <w:rsid w:val="00D01A0C"/>
    <w:rsid w:val="00D01EA9"/>
    <w:rsid w:val="00D022AC"/>
    <w:rsid w:val="00D0244E"/>
    <w:rsid w:val="00D02871"/>
    <w:rsid w:val="00D02D21"/>
    <w:rsid w:val="00D02FAE"/>
    <w:rsid w:val="00D042AA"/>
    <w:rsid w:val="00D043A3"/>
    <w:rsid w:val="00D04649"/>
    <w:rsid w:val="00D046BD"/>
    <w:rsid w:val="00D04AC8"/>
    <w:rsid w:val="00D05279"/>
    <w:rsid w:val="00D054C0"/>
    <w:rsid w:val="00D05688"/>
    <w:rsid w:val="00D05727"/>
    <w:rsid w:val="00D05B2B"/>
    <w:rsid w:val="00D0653F"/>
    <w:rsid w:val="00D06972"/>
    <w:rsid w:val="00D06CBA"/>
    <w:rsid w:val="00D06D07"/>
    <w:rsid w:val="00D07337"/>
    <w:rsid w:val="00D106CD"/>
    <w:rsid w:val="00D10F8C"/>
    <w:rsid w:val="00D111F0"/>
    <w:rsid w:val="00D11804"/>
    <w:rsid w:val="00D118AA"/>
    <w:rsid w:val="00D11FA7"/>
    <w:rsid w:val="00D1219E"/>
    <w:rsid w:val="00D12C43"/>
    <w:rsid w:val="00D12CB4"/>
    <w:rsid w:val="00D12DDC"/>
    <w:rsid w:val="00D12E92"/>
    <w:rsid w:val="00D132FF"/>
    <w:rsid w:val="00D1388C"/>
    <w:rsid w:val="00D14BA5"/>
    <w:rsid w:val="00D14F23"/>
    <w:rsid w:val="00D15241"/>
    <w:rsid w:val="00D152F6"/>
    <w:rsid w:val="00D1553B"/>
    <w:rsid w:val="00D159E7"/>
    <w:rsid w:val="00D15E9E"/>
    <w:rsid w:val="00D1650E"/>
    <w:rsid w:val="00D16703"/>
    <w:rsid w:val="00D1706E"/>
    <w:rsid w:val="00D17F82"/>
    <w:rsid w:val="00D1CA4D"/>
    <w:rsid w:val="00D20337"/>
    <w:rsid w:val="00D208DF"/>
    <w:rsid w:val="00D208F0"/>
    <w:rsid w:val="00D210ED"/>
    <w:rsid w:val="00D22493"/>
    <w:rsid w:val="00D22561"/>
    <w:rsid w:val="00D22F91"/>
    <w:rsid w:val="00D24667"/>
    <w:rsid w:val="00D24D25"/>
    <w:rsid w:val="00D24DE5"/>
    <w:rsid w:val="00D2523C"/>
    <w:rsid w:val="00D252DC"/>
    <w:rsid w:val="00D2568D"/>
    <w:rsid w:val="00D25D1C"/>
    <w:rsid w:val="00D25FF8"/>
    <w:rsid w:val="00D26B33"/>
    <w:rsid w:val="00D26B53"/>
    <w:rsid w:val="00D2796F"/>
    <w:rsid w:val="00D27A5B"/>
    <w:rsid w:val="00D27B62"/>
    <w:rsid w:val="00D30280"/>
    <w:rsid w:val="00D304A5"/>
    <w:rsid w:val="00D304C2"/>
    <w:rsid w:val="00D308C7"/>
    <w:rsid w:val="00D30D98"/>
    <w:rsid w:val="00D30E36"/>
    <w:rsid w:val="00D30EAD"/>
    <w:rsid w:val="00D3191E"/>
    <w:rsid w:val="00D31B6B"/>
    <w:rsid w:val="00D31C31"/>
    <w:rsid w:val="00D31DB7"/>
    <w:rsid w:val="00D320D5"/>
    <w:rsid w:val="00D3285A"/>
    <w:rsid w:val="00D32AB9"/>
    <w:rsid w:val="00D32E60"/>
    <w:rsid w:val="00D333E7"/>
    <w:rsid w:val="00D34986"/>
    <w:rsid w:val="00D34A1C"/>
    <w:rsid w:val="00D34E78"/>
    <w:rsid w:val="00D352B0"/>
    <w:rsid w:val="00D353B4"/>
    <w:rsid w:val="00D35DFA"/>
    <w:rsid w:val="00D35F4D"/>
    <w:rsid w:val="00D3614F"/>
    <w:rsid w:val="00D3685B"/>
    <w:rsid w:val="00D369B9"/>
    <w:rsid w:val="00D36BA9"/>
    <w:rsid w:val="00D37120"/>
    <w:rsid w:val="00D37890"/>
    <w:rsid w:val="00D37B8D"/>
    <w:rsid w:val="00D37E73"/>
    <w:rsid w:val="00D37FB5"/>
    <w:rsid w:val="00D37FD2"/>
    <w:rsid w:val="00D40850"/>
    <w:rsid w:val="00D40B43"/>
    <w:rsid w:val="00D40B87"/>
    <w:rsid w:val="00D40C82"/>
    <w:rsid w:val="00D411BF"/>
    <w:rsid w:val="00D41275"/>
    <w:rsid w:val="00D41400"/>
    <w:rsid w:val="00D417F0"/>
    <w:rsid w:val="00D4182A"/>
    <w:rsid w:val="00D41E48"/>
    <w:rsid w:val="00D41EDF"/>
    <w:rsid w:val="00D424C2"/>
    <w:rsid w:val="00D42788"/>
    <w:rsid w:val="00D42DA7"/>
    <w:rsid w:val="00D42E69"/>
    <w:rsid w:val="00D430B1"/>
    <w:rsid w:val="00D4317C"/>
    <w:rsid w:val="00D43198"/>
    <w:rsid w:val="00D43A6A"/>
    <w:rsid w:val="00D43AA0"/>
    <w:rsid w:val="00D44DB2"/>
    <w:rsid w:val="00D450DE"/>
    <w:rsid w:val="00D452D4"/>
    <w:rsid w:val="00D455FB"/>
    <w:rsid w:val="00D46368"/>
    <w:rsid w:val="00D46465"/>
    <w:rsid w:val="00D46615"/>
    <w:rsid w:val="00D46E02"/>
    <w:rsid w:val="00D50167"/>
    <w:rsid w:val="00D502C8"/>
    <w:rsid w:val="00D504A9"/>
    <w:rsid w:val="00D517F0"/>
    <w:rsid w:val="00D51A3B"/>
    <w:rsid w:val="00D51A9D"/>
    <w:rsid w:val="00D51AD5"/>
    <w:rsid w:val="00D51CBE"/>
    <w:rsid w:val="00D51DDD"/>
    <w:rsid w:val="00D51E06"/>
    <w:rsid w:val="00D52CBE"/>
    <w:rsid w:val="00D52E56"/>
    <w:rsid w:val="00D5371D"/>
    <w:rsid w:val="00D53F8C"/>
    <w:rsid w:val="00D54316"/>
    <w:rsid w:val="00D5464B"/>
    <w:rsid w:val="00D5467F"/>
    <w:rsid w:val="00D54875"/>
    <w:rsid w:val="00D551B4"/>
    <w:rsid w:val="00D55996"/>
    <w:rsid w:val="00D55A1F"/>
    <w:rsid w:val="00D55F5D"/>
    <w:rsid w:val="00D563AE"/>
    <w:rsid w:val="00D57575"/>
    <w:rsid w:val="00D603D0"/>
    <w:rsid w:val="00D60D6F"/>
    <w:rsid w:val="00D627CB"/>
    <w:rsid w:val="00D62945"/>
    <w:rsid w:val="00D62B31"/>
    <w:rsid w:val="00D62FE4"/>
    <w:rsid w:val="00D63517"/>
    <w:rsid w:val="00D63519"/>
    <w:rsid w:val="00D63C70"/>
    <w:rsid w:val="00D63EFC"/>
    <w:rsid w:val="00D64694"/>
    <w:rsid w:val="00D64927"/>
    <w:rsid w:val="00D649FC"/>
    <w:rsid w:val="00D64CD2"/>
    <w:rsid w:val="00D651E5"/>
    <w:rsid w:val="00D65506"/>
    <w:rsid w:val="00D6556B"/>
    <w:rsid w:val="00D6590D"/>
    <w:rsid w:val="00D65B4E"/>
    <w:rsid w:val="00D660B0"/>
    <w:rsid w:val="00D6699A"/>
    <w:rsid w:val="00D66DBC"/>
    <w:rsid w:val="00D67DF7"/>
    <w:rsid w:val="00D67FA9"/>
    <w:rsid w:val="00D698CC"/>
    <w:rsid w:val="00D70062"/>
    <w:rsid w:val="00D703B2"/>
    <w:rsid w:val="00D70FE5"/>
    <w:rsid w:val="00D70FF3"/>
    <w:rsid w:val="00D71D46"/>
    <w:rsid w:val="00D725F7"/>
    <w:rsid w:val="00D727B6"/>
    <w:rsid w:val="00D72BA5"/>
    <w:rsid w:val="00D731FC"/>
    <w:rsid w:val="00D734A3"/>
    <w:rsid w:val="00D739BA"/>
    <w:rsid w:val="00D73A45"/>
    <w:rsid w:val="00D74709"/>
    <w:rsid w:val="00D74AF6"/>
    <w:rsid w:val="00D74F06"/>
    <w:rsid w:val="00D75795"/>
    <w:rsid w:val="00D760AF"/>
    <w:rsid w:val="00D76243"/>
    <w:rsid w:val="00D764A2"/>
    <w:rsid w:val="00D76802"/>
    <w:rsid w:val="00D76D60"/>
    <w:rsid w:val="00D7709B"/>
    <w:rsid w:val="00D77797"/>
    <w:rsid w:val="00D806F7"/>
    <w:rsid w:val="00D80D1B"/>
    <w:rsid w:val="00D81B34"/>
    <w:rsid w:val="00D8208E"/>
    <w:rsid w:val="00D82673"/>
    <w:rsid w:val="00D82F11"/>
    <w:rsid w:val="00D83047"/>
    <w:rsid w:val="00D83517"/>
    <w:rsid w:val="00D83727"/>
    <w:rsid w:val="00D83AC1"/>
    <w:rsid w:val="00D83C8F"/>
    <w:rsid w:val="00D846F0"/>
    <w:rsid w:val="00D84A42"/>
    <w:rsid w:val="00D85135"/>
    <w:rsid w:val="00D85683"/>
    <w:rsid w:val="00D86429"/>
    <w:rsid w:val="00D86666"/>
    <w:rsid w:val="00D8672C"/>
    <w:rsid w:val="00D86792"/>
    <w:rsid w:val="00D867B6"/>
    <w:rsid w:val="00D86B18"/>
    <w:rsid w:val="00D86C30"/>
    <w:rsid w:val="00D86D75"/>
    <w:rsid w:val="00D87749"/>
    <w:rsid w:val="00D87FD2"/>
    <w:rsid w:val="00D9005B"/>
    <w:rsid w:val="00D908F1"/>
    <w:rsid w:val="00D909F9"/>
    <w:rsid w:val="00D913D8"/>
    <w:rsid w:val="00D9147A"/>
    <w:rsid w:val="00D91545"/>
    <w:rsid w:val="00D91B4D"/>
    <w:rsid w:val="00D92357"/>
    <w:rsid w:val="00D92581"/>
    <w:rsid w:val="00D926F8"/>
    <w:rsid w:val="00D92779"/>
    <w:rsid w:val="00D92EBA"/>
    <w:rsid w:val="00D931BA"/>
    <w:rsid w:val="00D937FC"/>
    <w:rsid w:val="00D93A8E"/>
    <w:rsid w:val="00D93AFD"/>
    <w:rsid w:val="00D93E03"/>
    <w:rsid w:val="00D93E5A"/>
    <w:rsid w:val="00D93F03"/>
    <w:rsid w:val="00D94153"/>
    <w:rsid w:val="00D94602"/>
    <w:rsid w:val="00D9473A"/>
    <w:rsid w:val="00D94883"/>
    <w:rsid w:val="00D94896"/>
    <w:rsid w:val="00D94A8B"/>
    <w:rsid w:val="00D95911"/>
    <w:rsid w:val="00D95A90"/>
    <w:rsid w:val="00D961D8"/>
    <w:rsid w:val="00D9630C"/>
    <w:rsid w:val="00D96319"/>
    <w:rsid w:val="00D96345"/>
    <w:rsid w:val="00D969FE"/>
    <w:rsid w:val="00DA00A5"/>
    <w:rsid w:val="00DA024B"/>
    <w:rsid w:val="00DA099B"/>
    <w:rsid w:val="00DA0E88"/>
    <w:rsid w:val="00DA1093"/>
    <w:rsid w:val="00DA1667"/>
    <w:rsid w:val="00DA1C08"/>
    <w:rsid w:val="00DA1E32"/>
    <w:rsid w:val="00DA1FEF"/>
    <w:rsid w:val="00DA24FE"/>
    <w:rsid w:val="00DA2671"/>
    <w:rsid w:val="00DA274A"/>
    <w:rsid w:val="00DA29A0"/>
    <w:rsid w:val="00DA2A0D"/>
    <w:rsid w:val="00DA2D07"/>
    <w:rsid w:val="00DA33BE"/>
    <w:rsid w:val="00DA36B6"/>
    <w:rsid w:val="00DA3AFF"/>
    <w:rsid w:val="00DA3B72"/>
    <w:rsid w:val="00DA3D11"/>
    <w:rsid w:val="00DA3EED"/>
    <w:rsid w:val="00DA4A5D"/>
    <w:rsid w:val="00DA4E92"/>
    <w:rsid w:val="00DA5042"/>
    <w:rsid w:val="00DA53FD"/>
    <w:rsid w:val="00DA5D54"/>
    <w:rsid w:val="00DA5FEE"/>
    <w:rsid w:val="00DA6308"/>
    <w:rsid w:val="00DA6471"/>
    <w:rsid w:val="00DA68F9"/>
    <w:rsid w:val="00DA6A7F"/>
    <w:rsid w:val="00DA6B39"/>
    <w:rsid w:val="00DA7574"/>
    <w:rsid w:val="00DB013E"/>
    <w:rsid w:val="00DB0436"/>
    <w:rsid w:val="00DB05C3"/>
    <w:rsid w:val="00DB0C8F"/>
    <w:rsid w:val="00DB12EC"/>
    <w:rsid w:val="00DB14FF"/>
    <w:rsid w:val="00DB205B"/>
    <w:rsid w:val="00DB23C2"/>
    <w:rsid w:val="00DB27B8"/>
    <w:rsid w:val="00DB2806"/>
    <w:rsid w:val="00DB2AF6"/>
    <w:rsid w:val="00DB304F"/>
    <w:rsid w:val="00DB3230"/>
    <w:rsid w:val="00DB3327"/>
    <w:rsid w:val="00DB36BD"/>
    <w:rsid w:val="00DB36E1"/>
    <w:rsid w:val="00DB3917"/>
    <w:rsid w:val="00DB3B14"/>
    <w:rsid w:val="00DB49F2"/>
    <w:rsid w:val="00DB4AEC"/>
    <w:rsid w:val="00DB4CE6"/>
    <w:rsid w:val="00DB5436"/>
    <w:rsid w:val="00DB5B38"/>
    <w:rsid w:val="00DB5E2B"/>
    <w:rsid w:val="00DB64CA"/>
    <w:rsid w:val="00DB658F"/>
    <w:rsid w:val="00DB6BA9"/>
    <w:rsid w:val="00DB77E3"/>
    <w:rsid w:val="00DB7A6D"/>
    <w:rsid w:val="00DC0392"/>
    <w:rsid w:val="00DC0B94"/>
    <w:rsid w:val="00DC0E1C"/>
    <w:rsid w:val="00DC0F47"/>
    <w:rsid w:val="00DC10DA"/>
    <w:rsid w:val="00DC1110"/>
    <w:rsid w:val="00DC2DA6"/>
    <w:rsid w:val="00DC340F"/>
    <w:rsid w:val="00DC3520"/>
    <w:rsid w:val="00DC3961"/>
    <w:rsid w:val="00DC3BD0"/>
    <w:rsid w:val="00DC3DE3"/>
    <w:rsid w:val="00DC4687"/>
    <w:rsid w:val="00DC4712"/>
    <w:rsid w:val="00DC4E9E"/>
    <w:rsid w:val="00DC51E2"/>
    <w:rsid w:val="00DC533F"/>
    <w:rsid w:val="00DC5633"/>
    <w:rsid w:val="00DC56B0"/>
    <w:rsid w:val="00DC5C08"/>
    <w:rsid w:val="00DC5DAC"/>
    <w:rsid w:val="00DC61D9"/>
    <w:rsid w:val="00DC6838"/>
    <w:rsid w:val="00DC6AA5"/>
    <w:rsid w:val="00DC6F5D"/>
    <w:rsid w:val="00DC7289"/>
    <w:rsid w:val="00DC7511"/>
    <w:rsid w:val="00DC7B8B"/>
    <w:rsid w:val="00DC7C3A"/>
    <w:rsid w:val="00DD00B2"/>
    <w:rsid w:val="00DD05A7"/>
    <w:rsid w:val="00DD0671"/>
    <w:rsid w:val="00DD11A8"/>
    <w:rsid w:val="00DD1204"/>
    <w:rsid w:val="00DD13DD"/>
    <w:rsid w:val="00DD182B"/>
    <w:rsid w:val="00DD1B9C"/>
    <w:rsid w:val="00DD1D07"/>
    <w:rsid w:val="00DD1E47"/>
    <w:rsid w:val="00DD209D"/>
    <w:rsid w:val="00DD2CA1"/>
    <w:rsid w:val="00DD2D31"/>
    <w:rsid w:val="00DD30E6"/>
    <w:rsid w:val="00DD343E"/>
    <w:rsid w:val="00DD467D"/>
    <w:rsid w:val="00DD4707"/>
    <w:rsid w:val="00DD4E3C"/>
    <w:rsid w:val="00DD527F"/>
    <w:rsid w:val="00DD5A60"/>
    <w:rsid w:val="00DD5E0B"/>
    <w:rsid w:val="00DD5FCC"/>
    <w:rsid w:val="00DD6230"/>
    <w:rsid w:val="00DD64BC"/>
    <w:rsid w:val="00DD6684"/>
    <w:rsid w:val="00DD6DA2"/>
    <w:rsid w:val="00DD7772"/>
    <w:rsid w:val="00DD780C"/>
    <w:rsid w:val="00DD7A47"/>
    <w:rsid w:val="00DE0518"/>
    <w:rsid w:val="00DE0653"/>
    <w:rsid w:val="00DE0A27"/>
    <w:rsid w:val="00DE0CB4"/>
    <w:rsid w:val="00DE1346"/>
    <w:rsid w:val="00DE150D"/>
    <w:rsid w:val="00DE150E"/>
    <w:rsid w:val="00DE1ADB"/>
    <w:rsid w:val="00DE1D43"/>
    <w:rsid w:val="00DE2207"/>
    <w:rsid w:val="00DE365D"/>
    <w:rsid w:val="00DE3678"/>
    <w:rsid w:val="00DE399E"/>
    <w:rsid w:val="00DE3C3F"/>
    <w:rsid w:val="00DE3EEC"/>
    <w:rsid w:val="00DE4266"/>
    <w:rsid w:val="00DE4E71"/>
    <w:rsid w:val="00DE522D"/>
    <w:rsid w:val="00DE5855"/>
    <w:rsid w:val="00DE598F"/>
    <w:rsid w:val="00DE5FF5"/>
    <w:rsid w:val="00DE6A89"/>
    <w:rsid w:val="00DE70F2"/>
    <w:rsid w:val="00DE73E8"/>
    <w:rsid w:val="00DF0032"/>
    <w:rsid w:val="00DF0AF0"/>
    <w:rsid w:val="00DF10C5"/>
    <w:rsid w:val="00DF121F"/>
    <w:rsid w:val="00DF1A0F"/>
    <w:rsid w:val="00DF2115"/>
    <w:rsid w:val="00DF252E"/>
    <w:rsid w:val="00DF2948"/>
    <w:rsid w:val="00DF31A3"/>
    <w:rsid w:val="00DF349C"/>
    <w:rsid w:val="00DF3675"/>
    <w:rsid w:val="00DF3950"/>
    <w:rsid w:val="00DF3BC7"/>
    <w:rsid w:val="00DF3BD9"/>
    <w:rsid w:val="00DF491D"/>
    <w:rsid w:val="00DF4E67"/>
    <w:rsid w:val="00DF55BE"/>
    <w:rsid w:val="00DF58DA"/>
    <w:rsid w:val="00DF5AB6"/>
    <w:rsid w:val="00DF5B7D"/>
    <w:rsid w:val="00DF5C04"/>
    <w:rsid w:val="00DF5C65"/>
    <w:rsid w:val="00DF6415"/>
    <w:rsid w:val="00DF68AE"/>
    <w:rsid w:val="00DF6904"/>
    <w:rsid w:val="00DF692D"/>
    <w:rsid w:val="00DF69C6"/>
    <w:rsid w:val="00DF6ACB"/>
    <w:rsid w:val="00DF6D6D"/>
    <w:rsid w:val="00DF6FB6"/>
    <w:rsid w:val="00DF7069"/>
    <w:rsid w:val="00DF73AC"/>
    <w:rsid w:val="00DF78B5"/>
    <w:rsid w:val="00E00557"/>
    <w:rsid w:val="00E00A84"/>
    <w:rsid w:val="00E00ECD"/>
    <w:rsid w:val="00E013C9"/>
    <w:rsid w:val="00E0151B"/>
    <w:rsid w:val="00E01787"/>
    <w:rsid w:val="00E023DE"/>
    <w:rsid w:val="00E0258B"/>
    <w:rsid w:val="00E02736"/>
    <w:rsid w:val="00E02C15"/>
    <w:rsid w:val="00E03155"/>
    <w:rsid w:val="00E03218"/>
    <w:rsid w:val="00E03662"/>
    <w:rsid w:val="00E037F4"/>
    <w:rsid w:val="00E037FC"/>
    <w:rsid w:val="00E03B87"/>
    <w:rsid w:val="00E045F2"/>
    <w:rsid w:val="00E04B88"/>
    <w:rsid w:val="00E04C7D"/>
    <w:rsid w:val="00E04DC5"/>
    <w:rsid w:val="00E0532B"/>
    <w:rsid w:val="00E05803"/>
    <w:rsid w:val="00E059EE"/>
    <w:rsid w:val="00E05AB8"/>
    <w:rsid w:val="00E05C4F"/>
    <w:rsid w:val="00E05F53"/>
    <w:rsid w:val="00E0611D"/>
    <w:rsid w:val="00E061BE"/>
    <w:rsid w:val="00E06202"/>
    <w:rsid w:val="00E062AB"/>
    <w:rsid w:val="00E06B1A"/>
    <w:rsid w:val="00E06BF4"/>
    <w:rsid w:val="00E0703A"/>
    <w:rsid w:val="00E07B26"/>
    <w:rsid w:val="00E10007"/>
    <w:rsid w:val="00E10769"/>
    <w:rsid w:val="00E108C0"/>
    <w:rsid w:val="00E10A4B"/>
    <w:rsid w:val="00E10FD8"/>
    <w:rsid w:val="00E11D96"/>
    <w:rsid w:val="00E12535"/>
    <w:rsid w:val="00E1261D"/>
    <w:rsid w:val="00E12DE6"/>
    <w:rsid w:val="00E12EC6"/>
    <w:rsid w:val="00E131F4"/>
    <w:rsid w:val="00E13456"/>
    <w:rsid w:val="00E13AC6"/>
    <w:rsid w:val="00E13AF3"/>
    <w:rsid w:val="00E14AA5"/>
    <w:rsid w:val="00E15588"/>
    <w:rsid w:val="00E15823"/>
    <w:rsid w:val="00E15BF5"/>
    <w:rsid w:val="00E15C9A"/>
    <w:rsid w:val="00E16000"/>
    <w:rsid w:val="00E16617"/>
    <w:rsid w:val="00E1670D"/>
    <w:rsid w:val="00E16A63"/>
    <w:rsid w:val="00E17045"/>
    <w:rsid w:val="00E1723F"/>
    <w:rsid w:val="00E17D4B"/>
    <w:rsid w:val="00E19197"/>
    <w:rsid w:val="00E2073A"/>
    <w:rsid w:val="00E208BB"/>
    <w:rsid w:val="00E20929"/>
    <w:rsid w:val="00E20BAB"/>
    <w:rsid w:val="00E21036"/>
    <w:rsid w:val="00E21038"/>
    <w:rsid w:val="00E215A3"/>
    <w:rsid w:val="00E21E9F"/>
    <w:rsid w:val="00E22340"/>
    <w:rsid w:val="00E22378"/>
    <w:rsid w:val="00E22655"/>
    <w:rsid w:val="00E22778"/>
    <w:rsid w:val="00E22B4C"/>
    <w:rsid w:val="00E22DC6"/>
    <w:rsid w:val="00E2342C"/>
    <w:rsid w:val="00E2376D"/>
    <w:rsid w:val="00E2382F"/>
    <w:rsid w:val="00E23BD9"/>
    <w:rsid w:val="00E23E35"/>
    <w:rsid w:val="00E243B2"/>
    <w:rsid w:val="00E243CB"/>
    <w:rsid w:val="00E244D8"/>
    <w:rsid w:val="00E248A3"/>
    <w:rsid w:val="00E258FD"/>
    <w:rsid w:val="00E25CD8"/>
    <w:rsid w:val="00E26068"/>
    <w:rsid w:val="00E260BE"/>
    <w:rsid w:val="00E2644D"/>
    <w:rsid w:val="00E266F2"/>
    <w:rsid w:val="00E26CC4"/>
    <w:rsid w:val="00E26E07"/>
    <w:rsid w:val="00E26E86"/>
    <w:rsid w:val="00E26F4A"/>
    <w:rsid w:val="00E27A85"/>
    <w:rsid w:val="00E30180"/>
    <w:rsid w:val="00E301ED"/>
    <w:rsid w:val="00E30426"/>
    <w:rsid w:val="00E315DB"/>
    <w:rsid w:val="00E32103"/>
    <w:rsid w:val="00E323A9"/>
    <w:rsid w:val="00E323F8"/>
    <w:rsid w:val="00E32658"/>
    <w:rsid w:val="00E32D31"/>
    <w:rsid w:val="00E3306E"/>
    <w:rsid w:val="00E331DC"/>
    <w:rsid w:val="00E331EC"/>
    <w:rsid w:val="00E3349A"/>
    <w:rsid w:val="00E335CF"/>
    <w:rsid w:val="00E3408F"/>
    <w:rsid w:val="00E34102"/>
    <w:rsid w:val="00E34259"/>
    <w:rsid w:val="00E34CF7"/>
    <w:rsid w:val="00E35B07"/>
    <w:rsid w:val="00E360A1"/>
    <w:rsid w:val="00E3652D"/>
    <w:rsid w:val="00E369DA"/>
    <w:rsid w:val="00E36CEC"/>
    <w:rsid w:val="00E36E14"/>
    <w:rsid w:val="00E36F76"/>
    <w:rsid w:val="00E3751C"/>
    <w:rsid w:val="00E3757C"/>
    <w:rsid w:val="00E37B80"/>
    <w:rsid w:val="00E40140"/>
    <w:rsid w:val="00E40FCC"/>
    <w:rsid w:val="00E41130"/>
    <w:rsid w:val="00E41261"/>
    <w:rsid w:val="00E41397"/>
    <w:rsid w:val="00E41AEB"/>
    <w:rsid w:val="00E4271B"/>
    <w:rsid w:val="00E429B7"/>
    <w:rsid w:val="00E429E1"/>
    <w:rsid w:val="00E42F71"/>
    <w:rsid w:val="00E42FF2"/>
    <w:rsid w:val="00E43B49"/>
    <w:rsid w:val="00E43B9B"/>
    <w:rsid w:val="00E43F36"/>
    <w:rsid w:val="00E44229"/>
    <w:rsid w:val="00E446E9"/>
    <w:rsid w:val="00E4520B"/>
    <w:rsid w:val="00E452E8"/>
    <w:rsid w:val="00E45364"/>
    <w:rsid w:val="00E45FE0"/>
    <w:rsid w:val="00E4616B"/>
    <w:rsid w:val="00E46186"/>
    <w:rsid w:val="00E469AC"/>
    <w:rsid w:val="00E46A00"/>
    <w:rsid w:val="00E46AEF"/>
    <w:rsid w:val="00E47279"/>
    <w:rsid w:val="00E473D3"/>
    <w:rsid w:val="00E47AF0"/>
    <w:rsid w:val="00E4AD3C"/>
    <w:rsid w:val="00E4E816"/>
    <w:rsid w:val="00E5005C"/>
    <w:rsid w:val="00E50118"/>
    <w:rsid w:val="00E505FD"/>
    <w:rsid w:val="00E50C8B"/>
    <w:rsid w:val="00E50DDC"/>
    <w:rsid w:val="00E51BF3"/>
    <w:rsid w:val="00E52004"/>
    <w:rsid w:val="00E5230D"/>
    <w:rsid w:val="00E52334"/>
    <w:rsid w:val="00E5262F"/>
    <w:rsid w:val="00E529B0"/>
    <w:rsid w:val="00E52DF6"/>
    <w:rsid w:val="00E52F84"/>
    <w:rsid w:val="00E53090"/>
    <w:rsid w:val="00E53637"/>
    <w:rsid w:val="00E537C1"/>
    <w:rsid w:val="00E5406A"/>
    <w:rsid w:val="00E5462C"/>
    <w:rsid w:val="00E55400"/>
    <w:rsid w:val="00E56694"/>
    <w:rsid w:val="00E566BB"/>
    <w:rsid w:val="00E56CF1"/>
    <w:rsid w:val="00E5755B"/>
    <w:rsid w:val="00E579AC"/>
    <w:rsid w:val="00E57D1F"/>
    <w:rsid w:val="00E60393"/>
    <w:rsid w:val="00E60567"/>
    <w:rsid w:val="00E6080E"/>
    <w:rsid w:val="00E60A0E"/>
    <w:rsid w:val="00E60C89"/>
    <w:rsid w:val="00E621FD"/>
    <w:rsid w:val="00E62862"/>
    <w:rsid w:val="00E628A4"/>
    <w:rsid w:val="00E6335C"/>
    <w:rsid w:val="00E63415"/>
    <w:rsid w:val="00E63DB3"/>
    <w:rsid w:val="00E641A0"/>
    <w:rsid w:val="00E64529"/>
    <w:rsid w:val="00E647C4"/>
    <w:rsid w:val="00E64B89"/>
    <w:rsid w:val="00E64BE1"/>
    <w:rsid w:val="00E6505C"/>
    <w:rsid w:val="00E655F9"/>
    <w:rsid w:val="00E656A3"/>
    <w:rsid w:val="00E6583F"/>
    <w:rsid w:val="00E65D3E"/>
    <w:rsid w:val="00E65D5D"/>
    <w:rsid w:val="00E65FA7"/>
    <w:rsid w:val="00E66F84"/>
    <w:rsid w:val="00E670D9"/>
    <w:rsid w:val="00E67584"/>
    <w:rsid w:val="00E6758B"/>
    <w:rsid w:val="00E675CB"/>
    <w:rsid w:val="00E67807"/>
    <w:rsid w:val="00E703A2"/>
    <w:rsid w:val="00E70661"/>
    <w:rsid w:val="00E707A6"/>
    <w:rsid w:val="00E70DFA"/>
    <w:rsid w:val="00E71039"/>
    <w:rsid w:val="00E71202"/>
    <w:rsid w:val="00E71256"/>
    <w:rsid w:val="00E71FAC"/>
    <w:rsid w:val="00E72163"/>
    <w:rsid w:val="00E72683"/>
    <w:rsid w:val="00E729D3"/>
    <w:rsid w:val="00E72C58"/>
    <w:rsid w:val="00E72E25"/>
    <w:rsid w:val="00E730D3"/>
    <w:rsid w:val="00E731AC"/>
    <w:rsid w:val="00E73384"/>
    <w:rsid w:val="00E7351E"/>
    <w:rsid w:val="00E73C1B"/>
    <w:rsid w:val="00E73F7C"/>
    <w:rsid w:val="00E741C2"/>
    <w:rsid w:val="00E74916"/>
    <w:rsid w:val="00E749CE"/>
    <w:rsid w:val="00E75334"/>
    <w:rsid w:val="00E757A8"/>
    <w:rsid w:val="00E75821"/>
    <w:rsid w:val="00E75C6A"/>
    <w:rsid w:val="00E7691B"/>
    <w:rsid w:val="00E76B89"/>
    <w:rsid w:val="00E76F69"/>
    <w:rsid w:val="00E77226"/>
    <w:rsid w:val="00E77357"/>
    <w:rsid w:val="00E77B23"/>
    <w:rsid w:val="00E77B30"/>
    <w:rsid w:val="00E77D39"/>
    <w:rsid w:val="00E77FE1"/>
    <w:rsid w:val="00E80175"/>
    <w:rsid w:val="00E802F3"/>
    <w:rsid w:val="00E803D3"/>
    <w:rsid w:val="00E81168"/>
    <w:rsid w:val="00E81572"/>
    <w:rsid w:val="00E81B48"/>
    <w:rsid w:val="00E81F41"/>
    <w:rsid w:val="00E82336"/>
    <w:rsid w:val="00E828B3"/>
    <w:rsid w:val="00E8294C"/>
    <w:rsid w:val="00E82D79"/>
    <w:rsid w:val="00E8338A"/>
    <w:rsid w:val="00E83404"/>
    <w:rsid w:val="00E838A1"/>
    <w:rsid w:val="00E83D66"/>
    <w:rsid w:val="00E84401"/>
    <w:rsid w:val="00E8440A"/>
    <w:rsid w:val="00E845BF"/>
    <w:rsid w:val="00E852F2"/>
    <w:rsid w:val="00E8580D"/>
    <w:rsid w:val="00E8581F"/>
    <w:rsid w:val="00E85954"/>
    <w:rsid w:val="00E85B35"/>
    <w:rsid w:val="00E86034"/>
    <w:rsid w:val="00E8669A"/>
    <w:rsid w:val="00E8779F"/>
    <w:rsid w:val="00E905AB"/>
    <w:rsid w:val="00E912BA"/>
    <w:rsid w:val="00E91A2A"/>
    <w:rsid w:val="00E920B7"/>
    <w:rsid w:val="00E92BD7"/>
    <w:rsid w:val="00E931BA"/>
    <w:rsid w:val="00E934EA"/>
    <w:rsid w:val="00E9359A"/>
    <w:rsid w:val="00E93EEA"/>
    <w:rsid w:val="00E949ED"/>
    <w:rsid w:val="00E94A36"/>
    <w:rsid w:val="00E9573F"/>
    <w:rsid w:val="00E95B14"/>
    <w:rsid w:val="00E95CCC"/>
    <w:rsid w:val="00E95F22"/>
    <w:rsid w:val="00E95FAF"/>
    <w:rsid w:val="00E960FB"/>
    <w:rsid w:val="00E96797"/>
    <w:rsid w:val="00E96AD2"/>
    <w:rsid w:val="00E97004"/>
    <w:rsid w:val="00E97011"/>
    <w:rsid w:val="00E970E7"/>
    <w:rsid w:val="00E978E7"/>
    <w:rsid w:val="00E97F1D"/>
    <w:rsid w:val="00EA063B"/>
    <w:rsid w:val="00EA068C"/>
    <w:rsid w:val="00EA1AC7"/>
    <w:rsid w:val="00EA1C8D"/>
    <w:rsid w:val="00EA1DCF"/>
    <w:rsid w:val="00EA258B"/>
    <w:rsid w:val="00EA29C4"/>
    <w:rsid w:val="00EA2AEA"/>
    <w:rsid w:val="00EA2C14"/>
    <w:rsid w:val="00EA2C62"/>
    <w:rsid w:val="00EA2EED"/>
    <w:rsid w:val="00EA3B08"/>
    <w:rsid w:val="00EA3C6B"/>
    <w:rsid w:val="00EA3C6F"/>
    <w:rsid w:val="00EA3F79"/>
    <w:rsid w:val="00EA40BA"/>
    <w:rsid w:val="00EA418E"/>
    <w:rsid w:val="00EA4AAA"/>
    <w:rsid w:val="00EA4B32"/>
    <w:rsid w:val="00EA4DEF"/>
    <w:rsid w:val="00EA504E"/>
    <w:rsid w:val="00EA50F3"/>
    <w:rsid w:val="00EA5871"/>
    <w:rsid w:val="00EA58DE"/>
    <w:rsid w:val="00EA5BCF"/>
    <w:rsid w:val="00EA64E4"/>
    <w:rsid w:val="00EA6899"/>
    <w:rsid w:val="00EA6ADF"/>
    <w:rsid w:val="00EA6F0D"/>
    <w:rsid w:val="00EA7242"/>
    <w:rsid w:val="00EA7358"/>
    <w:rsid w:val="00EA76F3"/>
    <w:rsid w:val="00EA7862"/>
    <w:rsid w:val="00EA7C5E"/>
    <w:rsid w:val="00EA7F22"/>
    <w:rsid w:val="00EB0257"/>
    <w:rsid w:val="00EB0D5C"/>
    <w:rsid w:val="00EB17CB"/>
    <w:rsid w:val="00EB1EEA"/>
    <w:rsid w:val="00EB2AA9"/>
    <w:rsid w:val="00EB30B9"/>
    <w:rsid w:val="00EB3118"/>
    <w:rsid w:val="00EB3262"/>
    <w:rsid w:val="00EB3F5F"/>
    <w:rsid w:val="00EB4002"/>
    <w:rsid w:val="00EB4272"/>
    <w:rsid w:val="00EB4BD1"/>
    <w:rsid w:val="00EB574A"/>
    <w:rsid w:val="00EB5967"/>
    <w:rsid w:val="00EB59CD"/>
    <w:rsid w:val="00EB5FEA"/>
    <w:rsid w:val="00EB61E6"/>
    <w:rsid w:val="00EB6889"/>
    <w:rsid w:val="00EB77F3"/>
    <w:rsid w:val="00EB7EC5"/>
    <w:rsid w:val="00EC0553"/>
    <w:rsid w:val="00EC058C"/>
    <w:rsid w:val="00EC15A8"/>
    <w:rsid w:val="00EC21B6"/>
    <w:rsid w:val="00EC2729"/>
    <w:rsid w:val="00EC2896"/>
    <w:rsid w:val="00EC2E00"/>
    <w:rsid w:val="00EC2E1A"/>
    <w:rsid w:val="00EC3AD3"/>
    <w:rsid w:val="00EC48AE"/>
    <w:rsid w:val="00EC4ABF"/>
    <w:rsid w:val="00EC4E82"/>
    <w:rsid w:val="00EC5013"/>
    <w:rsid w:val="00EC5171"/>
    <w:rsid w:val="00EC56F0"/>
    <w:rsid w:val="00EC59C1"/>
    <w:rsid w:val="00EC5CD8"/>
    <w:rsid w:val="00EC5D3B"/>
    <w:rsid w:val="00EC60F8"/>
    <w:rsid w:val="00EC63EE"/>
    <w:rsid w:val="00EC6CE4"/>
    <w:rsid w:val="00EC78DD"/>
    <w:rsid w:val="00EC7938"/>
    <w:rsid w:val="00EC798A"/>
    <w:rsid w:val="00ED0537"/>
    <w:rsid w:val="00ED09C3"/>
    <w:rsid w:val="00ED0F1C"/>
    <w:rsid w:val="00ED134F"/>
    <w:rsid w:val="00ED1794"/>
    <w:rsid w:val="00ED1C1E"/>
    <w:rsid w:val="00ED1C7C"/>
    <w:rsid w:val="00ED1EE8"/>
    <w:rsid w:val="00ED22EB"/>
    <w:rsid w:val="00ED2954"/>
    <w:rsid w:val="00ED29CC"/>
    <w:rsid w:val="00ED2E06"/>
    <w:rsid w:val="00ED37E3"/>
    <w:rsid w:val="00ED39DE"/>
    <w:rsid w:val="00ED3CB9"/>
    <w:rsid w:val="00ED4893"/>
    <w:rsid w:val="00ED49FA"/>
    <w:rsid w:val="00ED4FC2"/>
    <w:rsid w:val="00ED5B88"/>
    <w:rsid w:val="00ED5FDE"/>
    <w:rsid w:val="00ED5FEC"/>
    <w:rsid w:val="00ED613B"/>
    <w:rsid w:val="00ED6857"/>
    <w:rsid w:val="00ED6A76"/>
    <w:rsid w:val="00ED72A2"/>
    <w:rsid w:val="00ED7B70"/>
    <w:rsid w:val="00ED7FDF"/>
    <w:rsid w:val="00EE0586"/>
    <w:rsid w:val="00EE1357"/>
    <w:rsid w:val="00EE13B9"/>
    <w:rsid w:val="00EE13F2"/>
    <w:rsid w:val="00EE188E"/>
    <w:rsid w:val="00EE18FF"/>
    <w:rsid w:val="00EE248C"/>
    <w:rsid w:val="00EE251A"/>
    <w:rsid w:val="00EE2788"/>
    <w:rsid w:val="00EE2937"/>
    <w:rsid w:val="00EE2F88"/>
    <w:rsid w:val="00EE4AA4"/>
    <w:rsid w:val="00EE4DDF"/>
    <w:rsid w:val="00EE4FDE"/>
    <w:rsid w:val="00EE52B4"/>
    <w:rsid w:val="00EE576C"/>
    <w:rsid w:val="00EE57B8"/>
    <w:rsid w:val="00EE5FC5"/>
    <w:rsid w:val="00EE670E"/>
    <w:rsid w:val="00EE6C8F"/>
    <w:rsid w:val="00EE7231"/>
    <w:rsid w:val="00EE7523"/>
    <w:rsid w:val="00EE7620"/>
    <w:rsid w:val="00EE77A0"/>
    <w:rsid w:val="00EF0049"/>
    <w:rsid w:val="00EF06E6"/>
    <w:rsid w:val="00EF1C5F"/>
    <w:rsid w:val="00EF1F0E"/>
    <w:rsid w:val="00EF2BEC"/>
    <w:rsid w:val="00EF2E56"/>
    <w:rsid w:val="00EF3312"/>
    <w:rsid w:val="00EF38CC"/>
    <w:rsid w:val="00EF3AD4"/>
    <w:rsid w:val="00EF45DA"/>
    <w:rsid w:val="00EF4BE9"/>
    <w:rsid w:val="00EF6200"/>
    <w:rsid w:val="00EF63D0"/>
    <w:rsid w:val="00EF6690"/>
    <w:rsid w:val="00EF6777"/>
    <w:rsid w:val="00EF6DCF"/>
    <w:rsid w:val="00EF779C"/>
    <w:rsid w:val="00EF7DCB"/>
    <w:rsid w:val="00EF7E3B"/>
    <w:rsid w:val="00EF7FA5"/>
    <w:rsid w:val="00F00427"/>
    <w:rsid w:val="00F010C8"/>
    <w:rsid w:val="00F01150"/>
    <w:rsid w:val="00F0136E"/>
    <w:rsid w:val="00F017C4"/>
    <w:rsid w:val="00F01935"/>
    <w:rsid w:val="00F01983"/>
    <w:rsid w:val="00F01D55"/>
    <w:rsid w:val="00F02094"/>
    <w:rsid w:val="00F027C2"/>
    <w:rsid w:val="00F0285C"/>
    <w:rsid w:val="00F02A6D"/>
    <w:rsid w:val="00F03726"/>
    <w:rsid w:val="00F04CA9"/>
    <w:rsid w:val="00F04D18"/>
    <w:rsid w:val="00F04D77"/>
    <w:rsid w:val="00F04F92"/>
    <w:rsid w:val="00F04FC4"/>
    <w:rsid w:val="00F05473"/>
    <w:rsid w:val="00F0549A"/>
    <w:rsid w:val="00F05BB5"/>
    <w:rsid w:val="00F06118"/>
    <w:rsid w:val="00F06268"/>
    <w:rsid w:val="00F0677F"/>
    <w:rsid w:val="00F0679D"/>
    <w:rsid w:val="00F067DA"/>
    <w:rsid w:val="00F067F1"/>
    <w:rsid w:val="00F07062"/>
    <w:rsid w:val="00F07301"/>
    <w:rsid w:val="00F073FB"/>
    <w:rsid w:val="00F0779D"/>
    <w:rsid w:val="00F07824"/>
    <w:rsid w:val="00F078C1"/>
    <w:rsid w:val="00F10729"/>
    <w:rsid w:val="00F10BBC"/>
    <w:rsid w:val="00F110AA"/>
    <w:rsid w:val="00F11438"/>
    <w:rsid w:val="00F1149C"/>
    <w:rsid w:val="00F114F5"/>
    <w:rsid w:val="00F11A36"/>
    <w:rsid w:val="00F127AC"/>
    <w:rsid w:val="00F12AA5"/>
    <w:rsid w:val="00F130C7"/>
    <w:rsid w:val="00F14320"/>
    <w:rsid w:val="00F143C7"/>
    <w:rsid w:val="00F146C9"/>
    <w:rsid w:val="00F1489C"/>
    <w:rsid w:val="00F14A34"/>
    <w:rsid w:val="00F14D6A"/>
    <w:rsid w:val="00F1519A"/>
    <w:rsid w:val="00F15916"/>
    <w:rsid w:val="00F15EB5"/>
    <w:rsid w:val="00F15FD3"/>
    <w:rsid w:val="00F15FF9"/>
    <w:rsid w:val="00F1647F"/>
    <w:rsid w:val="00F17853"/>
    <w:rsid w:val="00F17E65"/>
    <w:rsid w:val="00F20582"/>
    <w:rsid w:val="00F20A8F"/>
    <w:rsid w:val="00F20B78"/>
    <w:rsid w:val="00F235B3"/>
    <w:rsid w:val="00F238BF"/>
    <w:rsid w:val="00F23986"/>
    <w:rsid w:val="00F23D5E"/>
    <w:rsid w:val="00F241DB"/>
    <w:rsid w:val="00F244BA"/>
    <w:rsid w:val="00F24924"/>
    <w:rsid w:val="00F24A52"/>
    <w:rsid w:val="00F24EED"/>
    <w:rsid w:val="00F25664"/>
    <w:rsid w:val="00F30ACA"/>
    <w:rsid w:val="00F32F6F"/>
    <w:rsid w:val="00F33AC0"/>
    <w:rsid w:val="00F33FE9"/>
    <w:rsid w:val="00F34140"/>
    <w:rsid w:val="00F34395"/>
    <w:rsid w:val="00F34428"/>
    <w:rsid w:val="00F3466B"/>
    <w:rsid w:val="00F34FFF"/>
    <w:rsid w:val="00F3516B"/>
    <w:rsid w:val="00F35722"/>
    <w:rsid w:val="00F360F5"/>
    <w:rsid w:val="00F36BAB"/>
    <w:rsid w:val="00F372D7"/>
    <w:rsid w:val="00F37791"/>
    <w:rsid w:val="00F404DD"/>
    <w:rsid w:val="00F415D1"/>
    <w:rsid w:val="00F421B1"/>
    <w:rsid w:val="00F42233"/>
    <w:rsid w:val="00F4256F"/>
    <w:rsid w:val="00F43101"/>
    <w:rsid w:val="00F43984"/>
    <w:rsid w:val="00F43D0A"/>
    <w:rsid w:val="00F4468C"/>
    <w:rsid w:val="00F44C23"/>
    <w:rsid w:val="00F44C43"/>
    <w:rsid w:val="00F44F0D"/>
    <w:rsid w:val="00F450F6"/>
    <w:rsid w:val="00F45472"/>
    <w:rsid w:val="00F45D1E"/>
    <w:rsid w:val="00F462C4"/>
    <w:rsid w:val="00F46591"/>
    <w:rsid w:val="00F46D8B"/>
    <w:rsid w:val="00F478BB"/>
    <w:rsid w:val="00F50244"/>
    <w:rsid w:val="00F50377"/>
    <w:rsid w:val="00F50CC5"/>
    <w:rsid w:val="00F50F80"/>
    <w:rsid w:val="00F5159B"/>
    <w:rsid w:val="00F524F0"/>
    <w:rsid w:val="00F52A7E"/>
    <w:rsid w:val="00F53079"/>
    <w:rsid w:val="00F53A97"/>
    <w:rsid w:val="00F55052"/>
    <w:rsid w:val="00F554AA"/>
    <w:rsid w:val="00F5569E"/>
    <w:rsid w:val="00F56EB1"/>
    <w:rsid w:val="00F56F98"/>
    <w:rsid w:val="00F57326"/>
    <w:rsid w:val="00F5737D"/>
    <w:rsid w:val="00F573D4"/>
    <w:rsid w:val="00F5794E"/>
    <w:rsid w:val="00F57CC4"/>
    <w:rsid w:val="00F60330"/>
    <w:rsid w:val="00F60611"/>
    <w:rsid w:val="00F6065D"/>
    <w:rsid w:val="00F60CD4"/>
    <w:rsid w:val="00F617ED"/>
    <w:rsid w:val="00F619E7"/>
    <w:rsid w:val="00F61F3E"/>
    <w:rsid w:val="00F62026"/>
    <w:rsid w:val="00F622CE"/>
    <w:rsid w:val="00F622CF"/>
    <w:rsid w:val="00F62C28"/>
    <w:rsid w:val="00F6315F"/>
    <w:rsid w:val="00F63353"/>
    <w:rsid w:val="00F6407F"/>
    <w:rsid w:val="00F6415B"/>
    <w:rsid w:val="00F6479B"/>
    <w:rsid w:val="00F64CB8"/>
    <w:rsid w:val="00F64D07"/>
    <w:rsid w:val="00F64EE0"/>
    <w:rsid w:val="00F6509D"/>
    <w:rsid w:val="00F650B4"/>
    <w:rsid w:val="00F65A4D"/>
    <w:rsid w:val="00F65C34"/>
    <w:rsid w:val="00F65C67"/>
    <w:rsid w:val="00F65D61"/>
    <w:rsid w:val="00F66177"/>
    <w:rsid w:val="00F66640"/>
    <w:rsid w:val="00F66A32"/>
    <w:rsid w:val="00F6706F"/>
    <w:rsid w:val="00F672EC"/>
    <w:rsid w:val="00F673E9"/>
    <w:rsid w:val="00F67473"/>
    <w:rsid w:val="00F67E77"/>
    <w:rsid w:val="00F70459"/>
    <w:rsid w:val="00F7046E"/>
    <w:rsid w:val="00F708DB"/>
    <w:rsid w:val="00F7093B"/>
    <w:rsid w:val="00F70993"/>
    <w:rsid w:val="00F70D5A"/>
    <w:rsid w:val="00F71079"/>
    <w:rsid w:val="00F71E06"/>
    <w:rsid w:val="00F726CF"/>
    <w:rsid w:val="00F72C9A"/>
    <w:rsid w:val="00F72F67"/>
    <w:rsid w:val="00F733EF"/>
    <w:rsid w:val="00F73519"/>
    <w:rsid w:val="00F736A0"/>
    <w:rsid w:val="00F73C6D"/>
    <w:rsid w:val="00F74288"/>
    <w:rsid w:val="00F752D6"/>
    <w:rsid w:val="00F7543B"/>
    <w:rsid w:val="00F75824"/>
    <w:rsid w:val="00F75936"/>
    <w:rsid w:val="00F75C14"/>
    <w:rsid w:val="00F75C36"/>
    <w:rsid w:val="00F764C2"/>
    <w:rsid w:val="00F765A9"/>
    <w:rsid w:val="00F76878"/>
    <w:rsid w:val="00F77246"/>
    <w:rsid w:val="00F77387"/>
    <w:rsid w:val="00F777E6"/>
    <w:rsid w:val="00F77B06"/>
    <w:rsid w:val="00F80AA1"/>
    <w:rsid w:val="00F80BE5"/>
    <w:rsid w:val="00F80FE3"/>
    <w:rsid w:val="00F80FE9"/>
    <w:rsid w:val="00F81198"/>
    <w:rsid w:val="00F8158F"/>
    <w:rsid w:val="00F82B73"/>
    <w:rsid w:val="00F830D3"/>
    <w:rsid w:val="00F83366"/>
    <w:rsid w:val="00F838A3"/>
    <w:rsid w:val="00F83C81"/>
    <w:rsid w:val="00F8497C"/>
    <w:rsid w:val="00F84D76"/>
    <w:rsid w:val="00F84E3B"/>
    <w:rsid w:val="00F8595C"/>
    <w:rsid w:val="00F85F7D"/>
    <w:rsid w:val="00F8607A"/>
    <w:rsid w:val="00F86ABA"/>
    <w:rsid w:val="00F86F3F"/>
    <w:rsid w:val="00F904D5"/>
    <w:rsid w:val="00F906E1"/>
    <w:rsid w:val="00F90E9F"/>
    <w:rsid w:val="00F923B7"/>
    <w:rsid w:val="00F924AD"/>
    <w:rsid w:val="00F92DC6"/>
    <w:rsid w:val="00F93093"/>
    <w:rsid w:val="00F93161"/>
    <w:rsid w:val="00F9326C"/>
    <w:rsid w:val="00F9392F"/>
    <w:rsid w:val="00F93BA5"/>
    <w:rsid w:val="00F95149"/>
    <w:rsid w:val="00F954FE"/>
    <w:rsid w:val="00F956C2"/>
    <w:rsid w:val="00F95879"/>
    <w:rsid w:val="00F95930"/>
    <w:rsid w:val="00F95A42"/>
    <w:rsid w:val="00F95D13"/>
    <w:rsid w:val="00F95E13"/>
    <w:rsid w:val="00F95E8A"/>
    <w:rsid w:val="00F96094"/>
    <w:rsid w:val="00F96118"/>
    <w:rsid w:val="00F96CEF"/>
    <w:rsid w:val="00F96EF8"/>
    <w:rsid w:val="00F970F7"/>
    <w:rsid w:val="00F97749"/>
    <w:rsid w:val="00F97AA8"/>
    <w:rsid w:val="00F97EC4"/>
    <w:rsid w:val="00FA03C7"/>
    <w:rsid w:val="00FA07BC"/>
    <w:rsid w:val="00FA0979"/>
    <w:rsid w:val="00FA0DEE"/>
    <w:rsid w:val="00FA0E33"/>
    <w:rsid w:val="00FA1116"/>
    <w:rsid w:val="00FA1543"/>
    <w:rsid w:val="00FA1913"/>
    <w:rsid w:val="00FA1B03"/>
    <w:rsid w:val="00FA2D61"/>
    <w:rsid w:val="00FA2EAE"/>
    <w:rsid w:val="00FA345A"/>
    <w:rsid w:val="00FA3934"/>
    <w:rsid w:val="00FA42C7"/>
    <w:rsid w:val="00FA4542"/>
    <w:rsid w:val="00FA46AF"/>
    <w:rsid w:val="00FA4C38"/>
    <w:rsid w:val="00FA547E"/>
    <w:rsid w:val="00FA580A"/>
    <w:rsid w:val="00FA666F"/>
    <w:rsid w:val="00FA6BBE"/>
    <w:rsid w:val="00FA6C82"/>
    <w:rsid w:val="00FA6E8A"/>
    <w:rsid w:val="00FA77FC"/>
    <w:rsid w:val="00FB0161"/>
    <w:rsid w:val="00FB01C8"/>
    <w:rsid w:val="00FB0D62"/>
    <w:rsid w:val="00FB0E06"/>
    <w:rsid w:val="00FB10C8"/>
    <w:rsid w:val="00FB10FB"/>
    <w:rsid w:val="00FB1178"/>
    <w:rsid w:val="00FB1AED"/>
    <w:rsid w:val="00FB1BAE"/>
    <w:rsid w:val="00FB1F01"/>
    <w:rsid w:val="00FB2874"/>
    <w:rsid w:val="00FB29B9"/>
    <w:rsid w:val="00FB3684"/>
    <w:rsid w:val="00FB3B9B"/>
    <w:rsid w:val="00FB3CDF"/>
    <w:rsid w:val="00FB4860"/>
    <w:rsid w:val="00FB4C9D"/>
    <w:rsid w:val="00FB4DDF"/>
    <w:rsid w:val="00FB56E4"/>
    <w:rsid w:val="00FB56F6"/>
    <w:rsid w:val="00FB581C"/>
    <w:rsid w:val="00FB5978"/>
    <w:rsid w:val="00FB5C14"/>
    <w:rsid w:val="00FB5F1D"/>
    <w:rsid w:val="00FB5F48"/>
    <w:rsid w:val="00FB66D7"/>
    <w:rsid w:val="00FB6F82"/>
    <w:rsid w:val="00FB7633"/>
    <w:rsid w:val="00FB79CC"/>
    <w:rsid w:val="00FB7BCF"/>
    <w:rsid w:val="00FC03D5"/>
    <w:rsid w:val="00FC06C9"/>
    <w:rsid w:val="00FC108A"/>
    <w:rsid w:val="00FC14AF"/>
    <w:rsid w:val="00FC1AB6"/>
    <w:rsid w:val="00FC1D92"/>
    <w:rsid w:val="00FC1F1C"/>
    <w:rsid w:val="00FC2FA8"/>
    <w:rsid w:val="00FC33EA"/>
    <w:rsid w:val="00FC3B8E"/>
    <w:rsid w:val="00FC3BE3"/>
    <w:rsid w:val="00FC4006"/>
    <w:rsid w:val="00FC44EF"/>
    <w:rsid w:val="00FC4543"/>
    <w:rsid w:val="00FC4780"/>
    <w:rsid w:val="00FC496C"/>
    <w:rsid w:val="00FC4ECF"/>
    <w:rsid w:val="00FC71B5"/>
    <w:rsid w:val="00FC7546"/>
    <w:rsid w:val="00FC7950"/>
    <w:rsid w:val="00FD0449"/>
    <w:rsid w:val="00FD0DE2"/>
    <w:rsid w:val="00FD0ED0"/>
    <w:rsid w:val="00FD14D0"/>
    <w:rsid w:val="00FD1605"/>
    <w:rsid w:val="00FD1750"/>
    <w:rsid w:val="00FD1DC1"/>
    <w:rsid w:val="00FD1FB9"/>
    <w:rsid w:val="00FD25F4"/>
    <w:rsid w:val="00FD2697"/>
    <w:rsid w:val="00FD26AE"/>
    <w:rsid w:val="00FD2885"/>
    <w:rsid w:val="00FD2B07"/>
    <w:rsid w:val="00FD36CB"/>
    <w:rsid w:val="00FD462B"/>
    <w:rsid w:val="00FD4ECB"/>
    <w:rsid w:val="00FD530F"/>
    <w:rsid w:val="00FD5AFD"/>
    <w:rsid w:val="00FD5D49"/>
    <w:rsid w:val="00FD5E8C"/>
    <w:rsid w:val="00FD6367"/>
    <w:rsid w:val="00FD696D"/>
    <w:rsid w:val="00FD6A25"/>
    <w:rsid w:val="00FD731F"/>
    <w:rsid w:val="00FD7338"/>
    <w:rsid w:val="00FD777D"/>
    <w:rsid w:val="00FD7905"/>
    <w:rsid w:val="00FE1066"/>
    <w:rsid w:val="00FE10AD"/>
    <w:rsid w:val="00FE1230"/>
    <w:rsid w:val="00FE174E"/>
    <w:rsid w:val="00FE2094"/>
    <w:rsid w:val="00FE2A6F"/>
    <w:rsid w:val="00FE2F8A"/>
    <w:rsid w:val="00FE328B"/>
    <w:rsid w:val="00FE3329"/>
    <w:rsid w:val="00FE3732"/>
    <w:rsid w:val="00FE37E2"/>
    <w:rsid w:val="00FE39D1"/>
    <w:rsid w:val="00FE3EF4"/>
    <w:rsid w:val="00FE49B2"/>
    <w:rsid w:val="00FE5B6F"/>
    <w:rsid w:val="00FE6AB9"/>
    <w:rsid w:val="00FE7A1C"/>
    <w:rsid w:val="00FE7D81"/>
    <w:rsid w:val="00FE7F24"/>
    <w:rsid w:val="00FF01CE"/>
    <w:rsid w:val="00FF034E"/>
    <w:rsid w:val="00FF0592"/>
    <w:rsid w:val="00FF0AFB"/>
    <w:rsid w:val="00FF0B2B"/>
    <w:rsid w:val="00FF0D0F"/>
    <w:rsid w:val="00FF0FBE"/>
    <w:rsid w:val="00FF18CA"/>
    <w:rsid w:val="00FF21E5"/>
    <w:rsid w:val="00FF2A50"/>
    <w:rsid w:val="00FF3325"/>
    <w:rsid w:val="00FF33EE"/>
    <w:rsid w:val="00FF3BF1"/>
    <w:rsid w:val="00FF44B3"/>
    <w:rsid w:val="00FF4683"/>
    <w:rsid w:val="00FF49F7"/>
    <w:rsid w:val="00FF4B4A"/>
    <w:rsid w:val="00FF526E"/>
    <w:rsid w:val="00FF56AD"/>
    <w:rsid w:val="00FF5976"/>
    <w:rsid w:val="00FF5FC9"/>
    <w:rsid w:val="00FF647D"/>
    <w:rsid w:val="00FF6522"/>
    <w:rsid w:val="00FF669C"/>
    <w:rsid w:val="00FF7661"/>
    <w:rsid w:val="00FF796B"/>
    <w:rsid w:val="01024A8B"/>
    <w:rsid w:val="011086D0"/>
    <w:rsid w:val="01126FD7"/>
    <w:rsid w:val="011374A8"/>
    <w:rsid w:val="0123ABA2"/>
    <w:rsid w:val="0124B56F"/>
    <w:rsid w:val="0126788A"/>
    <w:rsid w:val="0128B469"/>
    <w:rsid w:val="01309260"/>
    <w:rsid w:val="0131CF1A"/>
    <w:rsid w:val="0169C846"/>
    <w:rsid w:val="016DFC56"/>
    <w:rsid w:val="0180B2AE"/>
    <w:rsid w:val="01B94D6A"/>
    <w:rsid w:val="01B9805F"/>
    <w:rsid w:val="01C526C4"/>
    <w:rsid w:val="01D1F567"/>
    <w:rsid w:val="01DE8FAF"/>
    <w:rsid w:val="01E073F5"/>
    <w:rsid w:val="01F2BBFC"/>
    <w:rsid w:val="01FC91B0"/>
    <w:rsid w:val="02001673"/>
    <w:rsid w:val="02055220"/>
    <w:rsid w:val="021EFD63"/>
    <w:rsid w:val="02272218"/>
    <w:rsid w:val="02338778"/>
    <w:rsid w:val="0234DC4E"/>
    <w:rsid w:val="023E89A2"/>
    <w:rsid w:val="02423E38"/>
    <w:rsid w:val="02430D7E"/>
    <w:rsid w:val="02442D01"/>
    <w:rsid w:val="02497A36"/>
    <w:rsid w:val="024E47EC"/>
    <w:rsid w:val="024FFC86"/>
    <w:rsid w:val="025DF067"/>
    <w:rsid w:val="026140C4"/>
    <w:rsid w:val="0262CA15"/>
    <w:rsid w:val="02697413"/>
    <w:rsid w:val="0276BCBD"/>
    <w:rsid w:val="0279AB3E"/>
    <w:rsid w:val="027BAD77"/>
    <w:rsid w:val="027E8257"/>
    <w:rsid w:val="02854714"/>
    <w:rsid w:val="0291DE3A"/>
    <w:rsid w:val="029FB732"/>
    <w:rsid w:val="02B0543C"/>
    <w:rsid w:val="02B1A329"/>
    <w:rsid w:val="02BD0D72"/>
    <w:rsid w:val="02C055CC"/>
    <w:rsid w:val="02C9A714"/>
    <w:rsid w:val="02E0535E"/>
    <w:rsid w:val="02E39F0F"/>
    <w:rsid w:val="02F4B747"/>
    <w:rsid w:val="02FC84A2"/>
    <w:rsid w:val="030DF4A8"/>
    <w:rsid w:val="030E1D5C"/>
    <w:rsid w:val="0312D650"/>
    <w:rsid w:val="032432E8"/>
    <w:rsid w:val="033B78F8"/>
    <w:rsid w:val="034CCAFE"/>
    <w:rsid w:val="0352EDD7"/>
    <w:rsid w:val="035C7907"/>
    <w:rsid w:val="035DA466"/>
    <w:rsid w:val="0363EEEE"/>
    <w:rsid w:val="0364A853"/>
    <w:rsid w:val="036B08D8"/>
    <w:rsid w:val="03852C2D"/>
    <w:rsid w:val="03993477"/>
    <w:rsid w:val="03A88916"/>
    <w:rsid w:val="03AD49B0"/>
    <w:rsid w:val="03B4CB16"/>
    <w:rsid w:val="03B69875"/>
    <w:rsid w:val="03BE3689"/>
    <w:rsid w:val="03C2DF71"/>
    <w:rsid w:val="03C4ED5E"/>
    <w:rsid w:val="03C58A79"/>
    <w:rsid w:val="03E72CD9"/>
    <w:rsid w:val="03F111C9"/>
    <w:rsid w:val="03F505AD"/>
    <w:rsid w:val="03F899A7"/>
    <w:rsid w:val="03FE4529"/>
    <w:rsid w:val="0404BE94"/>
    <w:rsid w:val="0413EE5B"/>
    <w:rsid w:val="0430CDB6"/>
    <w:rsid w:val="04345F58"/>
    <w:rsid w:val="0437B31B"/>
    <w:rsid w:val="0441B44D"/>
    <w:rsid w:val="04501E07"/>
    <w:rsid w:val="04553DEC"/>
    <w:rsid w:val="045AA5B2"/>
    <w:rsid w:val="046D555B"/>
    <w:rsid w:val="046D9C7A"/>
    <w:rsid w:val="04723D66"/>
    <w:rsid w:val="0479624D"/>
    <w:rsid w:val="04868E56"/>
    <w:rsid w:val="049A76BC"/>
    <w:rsid w:val="049F5D58"/>
    <w:rsid w:val="04AA2850"/>
    <w:rsid w:val="04ABFC7E"/>
    <w:rsid w:val="04B073FC"/>
    <w:rsid w:val="04B33576"/>
    <w:rsid w:val="04B7241D"/>
    <w:rsid w:val="04BB266D"/>
    <w:rsid w:val="04C7394F"/>
    <w:rsid w:val="04C8438B"/>
    <w:rsid w:val="04CCDF4E"/>
    <w:rsid w:val="04D69E12"/>
    <w:rsid w:val="04D89BEB"/>
    <w:rsid w:val="04DA4072"/>
    <w:rsid w:val="04ECCFE5"/>
    <w:rsid w:val="04F95655"/>
    <w:rsid w:val="04FCB25C"/>
    <w:rsid w:val="0500F6D2"/>
    <w:rsid w:val="0503FE00"/>
    <w:rsid w:val="051A33F5"/>
    <w:rsid w:val="05273428"/>
    <w:rsid w:val="052C1607"/>
    <w:rsid w:val="053AA069"/>
    <w:rsid w:val="054B5A10"/>
    <w:rsid w:val="0557C98E"/>
    <w:rsid w:val="056F01E5"/>
    <w:rsid w:val="056FA511"/>
    <w:rsid w:val="057872FB"/>
    <w:rsid w:val="057F54A5"/>
    <w:rsid w:val="05838A23"/>
    <w:rsid w:val="0586486E"/>
    <w:rsid w:val="0586740E"/>
    <w:rsid w:val="05883610"/>
    <w:rsid w:val="058CE19D"/>
    <w:rsid w:val="058E1FCB"/>
    <w:rsid w:val="0591F5B9"/>
    <w:rsid w:val="0597DCA3"/>
    <w:rsid w:val="05A83E97"/>
    <w:rsid w:val="05C16EE4"/>
    <w:rsid w:val="05C63D06"/>
    <w:rsid w:val="05CD5E75"/>
    <w:rsid w:val="05D8ACBC"/>
    <w:rsid w:val="05DA9D69"/>
    <w:rsid w:val="05DD47FE"/>
    <w:rsid w:val="05E31C14"/>
    <w:rsid w:val="05E80BCD"/>
    <w:rsid w:val="05F9C60A"/>
    <w:rsid w:val="05FB727C"/>
    <w:rsid w:val="05FDDAAF"/>
    <w:rsid w:val="05FF8315"/>
    <w:rsid w:val="0621D7E0"/>
    <w:rsid w:val="062A02BA"/>
    <w:rsid w:val="063AF345"/>
    <w:rsid w:val="0644ACE9"/>
    <w:rsid w:val="064AA80F"/>
    <w:rsid w:val="064BED80"/>
    <w:rsid w:val="064C0524"/>
    <w:rsid w:val="064C960F"/>
    <w:rsid w:val="06541C2D"/>
    <w:rsid w:val="0656CED2"/>
    <w:rsid w:val="0660E596"/>
    <w:rsid w:val="066317A6"/>
    <w:rsid w:val="066BA68B"/>
    <w:rsid w:val="067233CE"/>
    <w:rsid w:val="06738DD1"/>
    <w:rsid w:val="067C0831"/>
    <w:rsid w:val="067C3DC3"/>
    <w:rsid w:val="067DFF55"/>
    <w:rsid w:val="06836172"/>
    <w:rsid w:val="068D13CC"/>
    <w:rsid w:val="069C094B"/>
    <w:rsid w:val="069EA9C0"/>
    <w:rsid w:val="06A00324"/>
    <w:rsid w:val="06CCD2B9"/>
    <w:rsid w:val="06CD3669"/>
    <w:rsid w:val="06D372F0"/>
    <w:rsid w:val="06D46653"/>
    <w:rsid w:val="06D481D9"/>
    <w:rsid w:val="06E5584E"/>
    <w:rsid w:val="06EE039E"/>
    <w:rsid w:val="06F4DF33"/>
    <w:rsid w:val="06FA6480"/>
    <w:rsid w:val="06FCE2C9"/>
    <w:rsid w:val="07019AE0"/>
    <w:rsid w:val="0701A539"/>
    <w:rsid w:val="07187ABA"/>
    <w:rsid w:val="071FFEC0"/>
    <w:rsid w:val="072E4262"/>
    <w:rsid w:val="072F29FD"/>
    <w:rsid w:val="0734831D"/>
    <w:rsid w:val="073A2B1E"/>
    <w:rsid w:val="075738F0"/>
    <w:rsid w:val="076060CF"/>
    <w:rsid w:val="0761D349"/>
    <w:rsid w:val="076365AA"/>
    <w:rsid w:val="07692EEE"/>
    <w:rsid w:val="077B969D"/>
    <w:rsid w:val="078046E8"/>
    <w:rsid w:val="0782F38C"/>
    <w:rsid w:val="078606FA"/>
    <w:rsid w:val="07901710"/>
    <w:rsid w:val="0791D17C"/>
    <w:rsid w:val="07922F27"/>
    <w:rsid w:val="079A57F4"/>
    <w:rsid w:val="07A04003"/>
    <w:rsid w:val="07A3D0AE"/>
    <w:rsid w:val="07A3DA85"/>
    <w:rsid w:val="07A3E79E"/>
    <w:rsid w:val="07C54B15"/>
    <w:rsid w:val="07C88AF4"/>
    <w:rsid w:val="07CA6F3B"/>
    <w:rsid w:val="07D97499"/>
    <w:rsid w:val="07DC1A65"/>
    <w:rsid w:val="07DD18FB"/>
    <w:rsid w:val="07E27325"/>
    <w:rsid w:val="07E8F550"/>
    <w:rsid w:val="07ED0E29"/>
    <w:rsid w:val="07F9EE7D"/>
    <w:rsid w:val="07FD462D"/>
    <w:rsid w:val="0803EE9C"/>
    <w:rsid w:val="0803EEF7"/>
    <w:rsid w:val="080657E2"/>
    <w:rsid w:val="0808CECE"/>
    <w:rsid w:val="0811C183"/>
    <w:rsid w:val="08138FA0"/>
    <w:rsid w:val="08182A40"/>
    <w:rsid w:val="081F0E81"/>
    <w:rsid w:val="08209182"/>
    <w:rsid w:val="0820B0F7"/>
    <w:rsid w:val="08238D67"/>
    <w:rsid w:val="08280A7A"/>
    <w:rsid w:val="08288B06"/>
    <w:rsid w:val="08324213"/>
    <w:rsid w:val="0835B1B5"/>
    <w:rsid w:val="083F9F63"/>
    <w:rsid w:val="084166A6"/>
    <w:rsid w:val="0841B9D4"/>
    <w:rsid w:val="08521EC0"/>
    <w:rsid w:val="085D99B4"/>
    <w:rsid w:val="08665280"/>
    <w:rsid w:val="086DCA6E"/>
    <w:rsid w:val="087568C0"/>
    <w:rsid w:val="087BF2B2"/>
    <w:rsid w:val="08AE92EC"/>
    <w:rsid w:val="08B0AE12"/>
    <w:rsid w:val="08BDB817"/>
    <w:rsid w:val="08BE4796"/>
    <w:rsid w:val="08BF2D2B"/>
    <w:rsid w:val="08C6AE34"/>
    <w:rsid w:val="08D2FEDB"/>
    <w:rsid w:val="08D78742"/>
    <w:rsid w:val="08D9AB6D"/>
    <w:rsid w:val="08E1CF52"/>
    <w:rsid w:val="08E530A8"/>
    <w:rsid w:val="08E58114"/>
    <w:rsid w:val="08ECF6DB"/>
    <w:rsid w:val="08EE1493"/>
    <w:rsid w:val="090D0479"/>
    <w:rsid w:val="0912E22F"/>
    <w:rsid w:val="09216A73"/>
    <w:rsid w:val="0934972E"/>
    <w:rsid w:val="093555AB"/>
    <w:rsid w:val="0947E96E"/>
    <w:rsid w:val="094EA77D"/>
    <w:rsid w:val="0950D98D"/>
    <w:rsid w:val="09563F09"/>
    <w:rsid w:val="09576726"/>
    <w:rsid w:val="095DF382"/>
    <w:rsid w:val="095E4E25"/>
    <w:rsid w:val="096B9D1B"/>
    <w:rsid w:val="09756122"/>
    <w:rsid w:val="09785783"/>
    <w:rsid w:val="097EB6C2"/>
    <w:rsid w:val="09857AFE"/>
    <w:rsid w:val="09911968"/>
    <w:rsid w:val="09976F84"/>
    <w:rsid w:val="0998EE3C"/>
    <w:rsid w:val="099BC77C"/>
    <w:rsid w:val="099C3CE3"/>
    <w:rsid w:val="099C635A"/>
    <w:rsid w:val="09ADA5D9"/>
    <w:rsid w:val="09B3D179"/>
    <w:rsid w:val="09BFCE2B"/>
    <w:rsid w:val="09CCAEB7"/>
    <w:rsid w:val="09D8848C"/>
    <w:rsid w:val="09DFD177"/>
    <w:rsid w:val="0A01579D"/>
    <w:rsid w:val="0A03C3D0"/>
    <w:rsid w:val="0A04E2CE"/>
    <w:rsid w:val="0A0D32E4"/>
    <w:rsid w:val="0A0FBB64"/>
    <w:rsid w:val="0A140E82"/>
    <w:rsid w:val="0A2115AE"/>
    <w:rsid w:val="0A31EF73"/>
    <w:rsid w:val="0A34740A"/>
    <w:rsid w:val="0A446DB5"/>
    <w:rsid w:val="0A6B4DB0"/>
    <w:rsid w:val="0A6D1DE2"/>
    <w:rsid w:val="0A729610"/>
    <w:rsid w:val="0A8698E7"/>
    <w:rsid w:val="0AA94DCF"/>
    <w:rsid w:val="0AB02FC1"/>
    <w:rsid w:val="0ACB7E42"/>
    <w:rsid w:val="0ACBCB18"/>
    <w:rsid w:val="0ACE5DBD"/>
    <w:rsid w:val="0AD66C51"/>
    <w:rsid w:val="0AE4C995"/>
    <w:rsid w:val="0AE8BBE4"/>
    <w:rsid w:val="0AEDDF89"/>
    <w:rsid w:val="0AFA689D"/>
    <w:rsid w:val="0B0EA120"/>
    <w:rsid w:val="0B12D285"/>
    <w:rsid w:val="0B1588B0"/>
    <w:rsid w:val="0B183D14"/>
    <w:rsid w:val="0B2519BF"/>
    <w:rsid w:val="0B313E68"/>
    <w:rsid w:val="0B369BE6"/>
    <w:rsid w:val="0B37DA5D"/>
    <w:rsid w:val="0B3D4FBC"/>
    <w:rsid w:val="0B3F2044"/>
    <w:rsid w:val="0B3FE2A9"/>
    <w:rsid w:val="0B489C64"/>
    <w:rsid w:val="0B571BEC"/>
    <w:rsid w:val="0B5A73F4"/>
    <w:rsid w:val="0B5C0BBA"/>
    <w:rsid w:val="0B67E485"/>
    <w:rsid w:val="0B6CF6E8"/>
    <w:rsid w:val="0B750AD8"/>
    <w:rsid w:val="0B77CE09"/>
    <w:rsid w:val="0B7A043A"/>
    <w:rsid w:val="0B8DF78B"/>
    <w:rsid w:val="0B9830BA"/>
    <w:rsid w:val="0B9C2FF3"/>
    <w:rsid w:val="0BABB49D"/>
    <w:rsid w:val="0BC036EA"/>
    <w:rsid w:val="0BC2FE38"/>
    <w:rsid w:val="0BC6411C"/>
    <w:rsid w:val="0BC8EAC1"/>
    <w:rsid w:val="0BD28A4F"/>
    <w:rsid w:val="0BD5F61A"/>
    <w:rsid w:val="0BE023F1"/>
    <w:rsid w:val="0BF40E47"/>
    <w:rsid w:val="0BFA2FF6"/>
    <w:rsid w:val="0BFE00EB"/>
    <w:rsid w:val="0C136CF0"/>
    <w:rsid w:val="0C23EED2"/>
    <w:rsid w:val="0C2686E5"/>
    <w:rsid w:val="0C2B58C3"/>
    <w:rsid w:val="0C2B86F7"/>
    <w:rsid w:val="0C324464"/>
    <w:rsid w:val="0C36F788"/>
    <w:rsid w:val="0C3CFB75"/>
    <w:rsid w:val="0C4086EA"/>
    <w:rsid w:val="0C4DE154"/>
    <w:rsid w:val="0C52A2F6"/>
    <w:rsid w:val="0C5887FF"/>
    <w:rsid w:val="0C6395BC"/>
    <w:rsid w:val="0C6D19FB"/>
    <w:rsid w:val="0C71D328"/>
    <w:rsid w:val="0CBE33A2"/>
    <w:rsid w:val="0CC50310"/>
    <w:rsid w:val="0CC6B24E"/>
    <w:rsid w:val="0CCC829A"/>
    <w:rsid w:val="0CDD535A"/>
    <w:rsid w:val="0CDF4961"/>
    <w:rsid w:val="0CE0C750"/>
    <w:rsid w:val="0CF608B5"/>
    <w:rsid w:val="0CF7CA86"/>
    <w:rsid w:val="0CF91AE6"/>
    <w:rsid w:val="0CFD987A"/>
    <w:rsid w:val="0D11E4F3"/>
    <w:rsid w:val="0D14E46D"/>
    <w:rsid w:val="0D1A3EDD"/>
    <w:rsid w:val="0D31C9D5"/>
    <w:rsid w:val="0D5A250F"/>
    <w:rsid w:val="0D5B1C3D"/>
    <w:rsid w:val="0D6743F5"/>
    <w:rsid w:val="0D68A900"/>
    <w:rsid w:val="0D73B5AA"/>
    <w:rsid w:val="0D777271"/>
    <w:rsid w:val="0D883DA0"/>
    <w:rsid w:val="0D9FA2EB"/>
    <w:rsid w:val="0DA214FB"/>
    <w:rsid w:val="0DA5EB90"/>
    <w:rsid w:val="0DA96CA9"/>
    <w:rsid w:val="0DD7D255"/>
    <w:rsid w:val="0DD96464"/>
    <w:rsid w:val="0DDE6BEB"/>
    <w:rsid w:val="0DDFC81B"/>
    <w:rsid w:val="0DE79B82"/>
    <w:rsid w:val="0DEF6CFB"/>
    <w:rsid w:val="0DF0B4F8"/>
    <w:rsid w:val="0DF57209"/>
    <w:rsid w:val="0E0494D3"/>
    <w:rsid w:val="0E08DC87"/>
    <w:rsid w:val="0E0CD098"/>
    <w:rsid w:val="0E0FB262"/>
    <w:rsid w:val="0E16F87F"/>
    <w:rsid w:val="0E19B177"/>
    <w:rsid w:val="0E223CC0"/>
    <w:rsid w:val="0E48E120"/>
    <w:rsid w:val="0E5404C8"/>
    <w:rsid w:val="0E579AE0"/>
    <w:rsid w:val="0E6A4FAD"/>
    <w:rsid w:val="0E719816"/>
    <w:rsid w:val="0E86F825"/>
    <w:rsid w:val="0E888D09"/>
    <w:rsid w:val="0E894E62"/>
    <w:rsid w:val="0E8AA33C"/>
    <w:rsid w:val="0E8E3314"/>
    <w:rsid w:val="0E96BB27"/>
    <w:rsid w:val="0E97C5FD"/>
    <w:rsid w:val="0EA6E121"/>
    <w:rsid w:val="0EB01041"/>
    <w:rsid w:val="0EB02BFA"/>
    <w:rsid w:val="0EB14F8C"/>
    <w:rsid w:val="0EB7BED9"/>
    <w:rsid w:val="0EB8BF70"/>
    <w:rsid w:val="0EBA2066"/>
    <w:rsid w:val="0EBA2594"/>
    <w:rsid w:val="0EBD804C"/>
    <w:rsid w:val="0EC0C3B5"/>
    <w:rsid w:val="0EC83713"/>
    <w:rsid w:val="0ED9B426"/>
    <w:rsid w:val="0EE0A4A0"/>
    <w:rsid w:val="0EF40131"/>
    <w:rsid w:val="0F111363"/>
    <w:rsid w:val="0F1E6904"/>
    <w:rsid w:val="0F36C483"/>
    <w:rsid w:val="0F3B952D"/>
    <w:rsid w:val="0F3BA788"/>
    <w:rsid w:val="0F3FEE89"/>
    <w:rsid w:val="0F537A5F"/>
    <w:rsid w:val="0F577925"/>
    <w:rsid w:val="0F5791A1"/>
    <w:rsid w:val="0F6039D7"/>
    <w:rsid w:val="0F65D877"/>
    <w:rsid w:val="0F6E4233"/>
    <w:rsid w:val="0F7B1468"/>
    <w:rsid w:val="0F7D1593"/>
    <w:rsid w:val="0F813673"/>
    <w:rsid w:val="0F8EC163"/>
    <w:rsid w:val="0F967377"/>
    <w:rsid w:val="0FA25DC2"/>
    <w:rsid w:val="0FA8F687"/>
    <w:rsid w:val="0FB28696"/>
    <w:rsid w:val="0FC7558D"/>
    <w:rsid w:val="0FDB1409"/>
    <w:rsid w:val="0FDF5DE7"/>
    <w:rsid w:val="0FE43B07"/>
    <w:rsid w:val="0FFC430D"/>
    <w:rsid w:val="0FFC7D37"/>
    <w:rsid w:val="0FFCA18F"/>
    <w:rsid w:val="10006CAC"/>
    <w:rsid w:val="100812D1"/>
    <w:rsid w:val="10083D69"/>
    <w:rsid w:val="100B6770"/>
    <w:rsid w:val="1013F6FB"/>
    <w:rsid w:val="101DDFC6"/>
    <w:rsid w:val="101E4E04"/>
    <w:rsid w:val="102395B7"/>
    <w:rsid w:val="10463D7F"/>
    <w:rsid w:val="1049EFB4"/>
    <w:rsid w:val="105203FA"/>
    <w:rsid w:val="10532976"/>
    <w:rsid w:val="10624B32"/>
    <w:rsid w:val="1065ABE6"/>
    <w:rsid w:val="1065EDC9"/>
    <w:rsid w:val="10723645"/>
    <w:rsid w:val="1079D0DF"/>
    <w:rsid w:val="107A8A25"/>
    <w:rsid w:val="1084BD58"/>
    <w:rsid w:val="1096C20B"/>
    <w:rsid w:val="10ADEB12"/>
    <w:rsid w:val="10D62DB1"/>
    <w:rsid w:val="110B6835"/>
    <w:rsid w:val="11136FCE"/>
    <w:rsid w:val="111DB555"/>
    <w:rsid w:val="112626D1"/>
    <w:rsid w:val="1126C2B4"/>
    <w:rsid w:val="1131B28F"/>
    <w:rsid w:val="11406403"/>
    <w:rsid w:val="114177A7"/>
    <w:rsid w:val="11575374"/>
    <w:rsid w:val="115CB459"/>
    <w:rsid w:val="116E66E1"/>
    <w:rsid w:val="1184AB0C"/>
    <w:rsid w:val="11876DCA"/>
    <w:rsid w:val="1196A093"/>
    <w:rsid w:val="11975FF6"/>
    <w:rsid w:val="119D0EA1"/>
    <w:rsid w:val="11A4926F"/>
    <w:rsid w:val="11A822EE"/>
    <w:rsid w:val="11AD7502"/>
    <w:rsid w:val="11BAC679"/>
    <w:rsid w:val="11BC811B"/>
    <w:rsid w:val="11D29A95"/>
    <w:rsid w:val="11D3C7E6"/>
    <w:rsid w:val="11E169F6"/>
    <w:rsid w:val="11E54AC9"/>
    <w:rsid w:val="11E86372"/>
    <w:rsid w:val="11F8F02B"/>
    <w:rsid w:val="11F922E0"/>
    <w:rsid w:val="11FA346D"/>
    <w:rsid w:val="120AA153"/>
    <w:rsid w:val="121029CE"/>
    <w:rsid w:val="121AFA5F"/>
    <w:rsid w:val="121CF584"/>
    <w:rsid w:val="1222AC91"/>
    <w:rsid w:val="122A51D3"/>
    <w:rsid w:val="122D0B9D"/>
    <w:rsid w:val="1232C46D"/>
    <w:rsid w:val="1233E842"/>
    <w:rsid w:val="12352CF2"/>
    <w:rsid w:val="1237B797"/>
    <w:rsid w:val="12400690"/>
    <w:rsid w:val="12410123"/>
    <w:rsid w:val="1260EF93"/>
    <w:rsid w:val="126647A2"/>
    <w:rsid w:val="126BC2B0"/>
    <w:rsid w:val="126CB50B"/>
    <w:rsid w:val="128002F1"/>
    <w:rsid w:val="128A75DF"/>
    <w:rsid w:val="128BD904"/>
    <w:rsid w:val="129A2F67"/>
    <w:rsid w:val="129EE081"/>
    <w:rsid w:val="12A6A342"/>
    <w:rsid w:val="12AB9837"/>
    <w:rsid w:val="12B15C42"/>
    <w:rsid w:val="12C08B17"/>
    <w:rsid w:val="12C1CC71"/>
    <w:rsid w:val="12C2ACB3"/>
    <w:rsid w:val="12CFCF10"/>
    <w:rsid w:val="12D1415F"/>
    <w:rsid w:val="12E0F255"/>
    <w:rsid w:val="12FD5D42"/>
    <w:rsid w:val="130440D0"/>
    <w:rsid w:val="13044286"/>
    <w:rsid w:val="131043DB"/>
    <w:rsid w:val="131E8A92"/>
    <w:rsid w:val="1332C375"/>
    <w:rsid w:val="134C96C8"/>
    <w:rsid w:val="135224C1"/>
    <w:rsid w:val="1358A8C0"/>
    <w:rsid w:val="13647F3A"/>
    <w:rsid w:val="13680DE9"/>
    <w:rsid w:val="136CCDDB"/>
    <w:rsid w:val="1370F384"/>
    <w:rsid w:val="137E72D9"/>
    <w:rsid w:val="13827B90"/>
    <w:rsid w:val="1384284D"/>
    <w:rsid w:val="138CAC10"/>
    <w:rsid w:val="138D0E46"/>
    <w:rsid w:val="138DBB49"/>
    <w:rsid w:val="1399B8D9"/>
    <w:rsid w:val="139E9862"/>
    <w:rsid w:val="13AB1652"/>
    <w:rsid w:val="13AB9D62"/>
    <w:rsid w:val="13B78197"/>
    <w:rsid w:val="13BBD210"/>
    <w:rsid w:val="13C4FBBC"/>
    <w:rsid w:val="13CA45B6"/>
    <w:rsid w:val="13E44B3F"/>
    <w:rsid w:val="13FD5267"/>
    <w:rsid w:val="14032CE6"/>
    <w:rsid w:val="1417F09D"/>
    <w:rsid w:val="141B173E"/>
    <w:rsid w:val="141ED19D"/>
    <w:rsid w:val="14209399"/>
    <w:rsid w:val="1420E44A"/>
    <w:rsid w:val="1426DD4F"/>
    <w:rsid w:val="1430EC0D"/>
    <w:rsid w:val="1431CE37"/>
    <w:rsid w:val="14453941"/>
    <w:rsid w:val="144CB877"/>
    <w:rsid w:val="1461674E"/>
    <w:rsid w:val="14621EBB"/>
    <w:rsid w:val="14674E9F"/>
    <w:rsid w:val="146771A1"/>
    <w:rsid w:val="1467D79D"/>
    <w:rsid w:val="146C8E32"/>
    <w:rsid w:val="147774FC"/>
    <w:rsid w:val="147BF739"/>
    <w:rsid w:val="147C4463"/>
    <w:rsid w:val="147FC25F"/>
    <w:rsid w:val="14833315"/>
    <w:rsid w:val="149208B9"/>
    <w:rsid w:val="1492711E"/>
    <w:rsid w:val="14A02E78"/>
    <w:rsid w:val="14ACA7D7"/>
    <w:rsid w:val="14AE31D2"/>
    <w:rsid w:val="14B17E4A"/>
    <w:rsid w:val="14B562BC"/>
    <w:rsid w:val="14B9C0D8"/>
    <w:rsid w:val="14C74294"/>
    <w:rsid w:val="14C753B8"/>
    <w:rsid w:val="14CA65C4"/>
    <w:rsid w:val="14D1AC38"/>
    <w:rsid w:val="14DD48F5"/>
    <w:rsid w:val="14EB0906"/>
    <w:rsid w:val="14EF921F"/>
    <w:rsid w:val="14F552C8"/>
    <w:rsid w:val="15027561"/>
    <w:rsid w:val="150918CD"/>
    <w:rsid w:val="150B0AC7"/>
    <w:rsid w:val="1517F7DC"/>
    <w:rsid w:val="152586F2"/>
    <w:rsid w:val="15387E3C"/>
    <w:rsid w:val="15467CD6"/>
    <w:rsid w:val="1549B07E"/>
    <w:rsid w:val="154CBD91"/>
    <w:rsid w:val="154EDF8B"/>
    <w:rsid w:val="1551B5B8"/>
    <w:rsid w:val="1551BA6C"/>
    <w:rsid w:val="1554BF82"/>
    <w:rsid w:val="15618D23"/>
    <w:rsid w:val="15657290"/>
    <w:rsid w:val="156A857D"/>
    <w:rsid w:val="1571490E"/>
    <w:rsid w:val="1573D96A"/>
    <w:rsid w:val="157823B0"/>
    <w:rsid w:val="15AEC8A8"/>
    <w:rsid w:val="15B9CB0A"/>
    <w:rsid w:val="15DDFA43"/>
    <w:rsid w:val="15E33761"/>
    <w:rsid w:val="15E3FDA7"/>
    <w:rsid w:val="15E8FFB3"/>
    <w:rsid w:val="15E9E4A1"/>
    <w:rsid w:val="15F1DED0"/>
    <w:rsid w:val="15FA3DC1"/>
    <w:rsid w:val="15FB16C2"/>
    <w:rsid w:val="15FD15B8"/>
    <w:rsid w:val="15FE24AD"/>
    <w:rsid w:val="163CC584"/>
    <w:rsid w:val="16421B77"/>
    <w:rsid w:val="16440510"/>
    <w:rsid w:val="164CD9AF"/>
    <w:rsid w:val="164DC1C7"/>
    <w:rsid w:val="165D1B2C"/>
    <w:rsid w:val="16681553"/>
    <w:rsid w:val="1668EB5B"/>
    <w:rsid w:val="166CD058"/>
    <w:rsid w:val="167850C7"/>
    <w:rsid w:val="167BDCF2"/>
    <w:rsid w:val="1684AEAD"/>
    <w:rsid w:val="1694D4F5"/>
    <w:rsid w:val="16982CA9"/>
    <w:rsid w:val="16A2D3FA"/>
    <w:rsid w:val="16C3C86F"/>
    <w:rsid w:val="16C64F10"/>
    <w:rsid w:val="16DFA8CB"/>
    <w:rsid w:val="16E27AA0"/>
    <w:rsid w:val="16E4FD66"/>
    <w:rsid w:val="16E98674"/>
    <w:rsid w:val="16EEEBC9"/>
    <w:rsid w:val="16F1574B"/>
    <w:rsid w:val="171AE388"/>
    <w:rsid w:val="171B58A4"/>
    <w:rsid w:val="1728A65F"/>
    <w:rsid w:val="17388F30"/>
    <w:rsid w:val="1740D662"/>
    <w:rsid w:val="174692E4"/>
    <w:rsid w:val="17525065"/>
    <w:rsid w:val="1753242D"/>
    <w:rsid w:val="17538C1D"/>
    <w:rsid w:val="175A4CDA"/>
    <w:rsid w:val="17618088"/>
    <w:rsid w:val="17663155"/>
    <w:rsid w:val="1768734A"/>
    <w:rsid w:val="177258BA"/>
    <w:rsid w:val="17777E80"/>
    <w:rsid w:val="177F906B"/>
    <w:rsid w:val="1781102D"/>
    <w:rsid w:val="1790EDBD"/>
    <w:rsid w:val="17966EA7"/>
    <w:rsid w:val="17984BE3"/>
    <w:rsid w:val="179E3288"/>
    <w:rsid w:val="17A33873"/>
    <w:rsid w:val="17A7350F"/>
    <w:rsid w:val="17AA2DA9"/>
    <w:rsid w:val="17AC75B4"/>
    <w:rsid w:val="17B50B86"/>
    <w:rsid w:val="17B6E5F1"/>
    <w:rsid w:val="17BC368F"/>
    <w:rsid w:val="17BDCB82"/>
    <w:rsid w:val="17D79AB7"/>
    <w:rsid w:val="17D9030D"/>
    <w:rsid w:val="17DB3071"/>
    <w:rsid w:val="17E101A0"/>
    <w:rsid w:val="17E6B904"/>
    <w:rsid w:val="17F574E8"/>
    <w:rsid w:val="181219D5"/>
    <w:rsid w:val="182351B2"/>
    <w:rsid w:val="18245F8E"/>
    <w:rsid w:val="182685D7"/>
    <w:rsid w:val="182D26A4"/>
    <w:rsid w:val="1839B2DB"/>
    <w:rsid w:val="183E50BE"/>
    <w:rsid w:val="1846D64A"/>
    <w:rsid w:val="1852B5D7"/>
    <w:rsid w:val="18609BC2"/>
    <w:rsid w:val="18649759"/>
    <w:rsid w:val="186A2153"/>
    <w:rsid w:val="186A7953"/>
    <w:rsid w:val="1876D2DF"/>
    <w:rsid w:val="187BD1F4"/>
    <w:rsid w:val="188095C4"/>
    <w:rsid w:val="1884EF80"/>
    <w:rsid w:val="189A4F9A"/>
    <w:rsid w:val="189B8FEE"/>
    <w:rsid w:val="18A1C652"/>
    <w:rsid w:val="18A2436F"/>
    <w:rsid w:val="18AD357C"/>
    <w:rsid w:val="18AEF716"/>
    <w:rsid w:val="18B40309"/>
    <w:rsid w:val="18BD8674"/>
    <w:rsid w:val="18CD61BC"/>
    <w:rsid w:val="18E438C5"/>
    <w:rsid w:val="18EC1AAB"/>
    <w:rsid w:val="18F009CF"/>
    <w:rsid w:val="18F20751"/>
    <w:rsid w:val="18F52D06"/>
    <w:rsid w:val="18F53EB7"/>
    <w:rsid w:val="18FD9C23"/>
    <w:rsid w:val="18FEC571"/>
    <w:rsid w:val="19069E55"/>
    <w:rsid w:val="19149302"/>
    <w:rsid w:val="191CAB1D"/>
    <w:rsid w:val="19213777"/>
    <w:rsid w:val="193D2FEC"/>
    <w:rsid w:val="194D15F2"/>
    <w:rsid w:val="195A4EE4"/>
    <w:rsid w:val="195D6A21"/>
    <w:rsid w:val="1961F486"/>
    <w:rsid w:val="1963EDF8"/>
    <w:rsid w:val="1963F96B"/>
    <w:rsid w:val="196906B9"/>
    <w:rsid w:val="197D0BF1"/>
    <w:rsid w:val="1984013F"/>
    <w:rsid w:val="19985D03"/>
    <w:rsid w:val="199D0811"/>
    <w:rsid w:val="19A2C979"/>
    <w:rsid w:val="19A8F073"/>
    <w:rsid w:val="19BD8108"/>
    <w:rsid w:val="19C7DB34"/>
    <w:rsid w:val="19CF2C4C"/>
    <w:rsid w:val="19CF3F0B"/>
    <w:rsid w:val="19D04977"/>
    <w:rsid w:val="19D48B19"/>
    <w:rsid w:val="19D70D86"/>
    <w:rsid w:val="19E037E3"/>
    <w:rsid w:val="19E17DE1"/>
    <w:rsid w:val="19FAC496"/>
    <w:rsid w:val="1A029EC3"/>
    <w:rsid w:val="1A02DE72"/>
    <w:rsid w:val="1A043491"/>
    <w:rsid w:val="1A0D76DE"/>
    <w:rsid w:val="1A15CC12"/>
    <w:rsid w:val="1A17945B"/>
    <w:rsid w:val="1A1DA584"/>
    <w:rsid w:val="1A2299DF"/>
    <w:rsid w:val="1A26A78A"/>
    <w:rsid w:val="1A2B30E1"/>
    <w:rsid w:val="1A46BACA"/>
    <w:rsid w:val="1A4B2192"/>
    <w:rsid w:val="1A54BC9E"/>
    <w:rsid w:val="1A5C82A0"/>
    <w:rsid w:val="1A655722"/>
    <w:rsid w:val="1A663BF9"/>
    <w:rsid w:val="1A6B1264"/>
    <w:rsid w:val="1A795DAE"/>
    <w:rsid w:val="1A7AB496"/>
    <w:rsid w:val="1A7D5FCD"/>
    <w:rsid w:val="1A888325"/>
    <w:rsid w:val="1A8C2029"/>
    <w:rsid w:val="1A8C83AE"/>
    <w:rsid w:val="1A8DBA6C"/>
    <w:rsid w:val="1AA49EB4"/>
    <w:rsid w:val="1ABB45EB"/>
    <w:rsid w:val="1ABDAFB2"/>
    <w:rsid w:val="1AC9762F"/>
    <w:rsid w:val="1AD0A0CF"/>
    <w:rsid w:val="1ADBFAD4"/>
    <w:rsid w:val="1B04D56B"/>
    <w:rsid w:val="1B16EBD6"/>
    <w:rsid w:val="1B18C714"/>
    <w:rsid w:val="1B1EF788"/>
    <w:rsid w:val="1B1FBC78"/>
    <w:rsid w:val="1B2452A1"/>
    <w:rsid w:val="1B47DB0A"/>
    <w:rsid w:val="1B47E2C0"/>
    <w:rsid w:val="1B5907EC"/>
    <w:rsid w:val="1B6590D9"/>
    <w:rsid w:val="1B67C9E9"/>
    <w:rsid w:val="1B72C970"/>
    <w:rsid w:val="1B74319D"/>
    <w:rsid w:val="1B7A5CC7"/>
    <w:rsid w:val="1B806476"/>
    <w:rsid w:val="1B816493"/>
    <w:rsid w:val="1B83E963"/>
    <w:rsid w:val="1B98F403"/>
    <w:rsid w:val="1BA2F4C4"/>
    <w:rsid w:val="1BA8B791"/>
    <w:rsid w:val="1BBD3DFC"/>
    <w:rsid w:val="1BC84C7A"/>
    <w:rsid w:val="1BC9DD44"/>
    <w:rsid w:val="1BD1795E"/>
    <w:rsid w:val="1BD54C88"/>
    <w:rsid w:val="1BD818F2"/>
    <w:rsid w:val="1BE15DDC"/>
    <w:rsid w:val="1BEE8DB5"/>
    <w:rsid w:val="1BF2F6E4"/>
    <w:rsid w:val="1BFC8585"/>
    <w:rsid w:val="1C0170C8"/>
    <w:rsid w:val="1C02664B"/>
    <w:rsid w:val="1C13D519"/>
    <w:rsid w:val="1C220804"/>
    <w:rsid w:val="1C2ED4A5"/>
    <w:rsid w:val="1C306917"/>
    <w:rsid w:val="1C34F60B"/>
    <w:rsid w:val="1C3D6792"/>
    <w:rsid w:val="1C42AA52"/>
    <w:rsid w:val="1C44D814"/>
    <w:rsid w:val="1C4A9029"/>
    <w:rsid w:val="1C4D944E"/>
    <w:rsid w:val="1C50E482"/>
    <w:rsid w:val="1C5948CF"/>
    <w:rsid w:val="1C59C914"/>
    <w:rsid w:val="1C6E2AF3"/>
    <w:rsid w:val="1C6E37CD"/>
    <w:rsid w:val="1C7203EC"/>
    <w:rsid w:val="1C7238A6"/>
    <w:rsid w:val="1C7A1F1A"/>
    <w:rsid w:val="1C7B9168"/>
    <w:rsid w:val="1C7CF9B4"/>
    <w:rsid w:val="1C7DBE9D"/>
    <w:rsid w:val="1C810CF5"/>
    <w:rsid w:val="1C87670D"/>
    <w:rsid w:val="1C8ECFC5"/>
    <w:rsid w:val="1C9485D0"/>
    <w:rsid w:val="1C9A6B0D"/>
    <w:rsid w:val="1C9BE9EB"/>
    <w:rsid w:val="1CAB2326"/>
    <w:rsid w:val="1CADC3E3"/>
    <w:rsid w:val="1CAF3E4F"/>
    <w:rsid w:val="1CB28F04"/>
    <w:rsid w:val="1CC683CB"/>
    <w:rsid w:val="1CD20FF7"/>
    <w:rsid w:val="1CDDFEDA"/>
    <w:rsid w:val="1CDF9DFF"/>
    <w:rsid w:val="1CE60C7E"/>
    <w:rsid w:val="1CE8937D"/>
    <w:rsid w:val="1CED3F83"/>
    <w:rsid w:val="1CF21A99"/>
    <w:rsid w:val="1CFA9A12"/>
    <w:rsid w:val="1CFF081E"/>
    <w:rsid w:val="1CFF139A"/>
    <w:rsid w:val="1D0456A2"/>
    <w:rsid w:val="1D081C50"/>
    <w:rsid w:val="1D2E3417"/>
    <w:rsid w:val="1D3FE43F"/>
    <w:rsid w:val="1D44D4D9"/>
    <w:rsid w:val="1D4C87AD"/>
    <w:rsid w:val="1D57C1B0"/>
    <w:rsid w:val="1D7AEAFF"/>
    <w:rsid w:val="1DAB0C3A"/>
    <w:rsid w:val="1DBE3BE9"/>
    <w:rsid w:val="1DC0686A"/>
    <w:rsid w:val="1DDE3014"/>
    <w:rsid w:val="1DE1022B"/>
    <w:rsid w:val="1DEE15BE"/>
    <w:rsid w:val="1DF41B42"/>
    <w:rsid w:val="1DFA7189"/>
    <w:rsid w:val="1E0049EE"/>
    <w:rsid w:val="1E02686F"/>
    <w:rsid w:val="1E18F845"/>
    <w:rsid w:val="1E24708B"/>
    <w:rsid w:val="1E4171F5"/>
    <w:rsid w:val="1E419A4C"/>
    <w:rsid w:val="1E4E35A6"/>
    <w:rsid w:val="1E4E87A9"/>
    <w:rsid w:val="1E615B08"/>
    <w:rsid w:val="1E638998"/>
    <w:rsid w:val="1E705333"/>
    <w:rsid w:val="1E81914F"/>
    <w:rsid w:val="1E855BD4"/>
    <w:rsid w:val="1E8F4434"/>
    <w:rsid w:val="1EA074F2"/>
    <w:rsid w:val="1EA7871E"/>
    <w:rsid w:val="1EA98422"/>
    <w:rsid w:val="1EB5904F"/>
    <w:rsid w:val="1EBDDE48"/>
    <w:rsid w:val="1EBF1172"/>
    <w:rsid w:val="1ED45C24"/>
    <w:rsid w:val="1EE32FAC"/>
    <w:rsid w:val="1EE8F415"/>
    <w:rsid w:val="1EF89172"/>
    <w:rsid w:val="1F05716F"/>
    <w:rsid w:val="1F11087C"/>
    <w:rsid w:val="1F1B23BD"/>
    <w:rsid w:val="1F25A549"/>
    <w:rsid w:val="1F2A3A01"/>
    <w:rsid w:val="1F2AC949"/>
    <w:rsid w:val="1F335ADC"/>
    <w:rsid w:val="1F34B9D4"/>
    <w:rsid w:val="1F3761D2"/>
    <w:rsid w:val="1F44DD2D"/>
    <w:rsid w:val="1F4865CB"/>
    <w:rsid w:val="1F487636"/>
    <w:rsid w:val="1F6CF61A"/>
    <w:rsid w:val="1F73AAEA"/>
    <w:rsid w:val="1F74964D"/>
    <w:rsid w:val="1F750C8F"/>
    <w:rsid w:val="1F75C7B1"/>
    <w:rsid w:val="1F795B7C"/>
    <w:rsid w:val="1F8BB8A3"/>
    <w:rsid w:val="1F8D6319"/>
    <w:rsid w:val="1F948554"/>
    <w:rsid w:val="1F9EBB85"/>
    <w:rsid w:val="1FAB1D95"/>
    <w:rsid w:val="1FB694CF"/>
    <w:rsid w:val="1FC1D358"/>
    <w:rsid w:val="1FC3CD3B"/>
    <w:rsid w:val="1FD79C7C"/>
    <w:rsid w:val="1FD927DA"/>
    <w:rsid w:val="1FEE3C2E"/>
    <w:rsid w:val="2003B49A"/>
    <w:rsid w:val="2009BA00"/>
    <w:rsid w:val="200BF2A6"/>
    <w:rsid w:val="200EC7E5"/>
    <w:rsid w:val="2019B00F"/>
    <w:rsid w:val="201B5EAD"/>
    <w:rsid w:val="202CEC2C"/>
    <w:rsid w:val="20336E38"/>
    <w:rsid w:val="203AF4A3"/>
    <w:rsid w:val="204A4B36"/>
    <w:rsid w:val="2050271B"/>
    <w:rsid w:val="209B84A3"/>
    <w:rsid w:val="20A03A80"/>
    <w:rsid w:val="20ABDDB4"/>
    <w:rsid w:val="20B70A25"/>
    <w:rsid w:val="20B8EF68"/>
    <w:rsid w:val="20C4A715"/>
    <w:rsid w:val="20DDEA3B"/>
    <w:rsid w:val="20E7DDDC"/>
    <w:rsid w:val="21495873"/>
    <w:rsid w:val="214E45FC"/>
    <w:rsid w:val="2155DDD3"/>
    <w:rsid w:val="215C5373"/>
    <w:rsid w:val="215E3DB8"/>
    <w:rsid w:val="216062CE"/>
    <w:rsid w:val="21608869"/>
    <w:rsid w:val="2178B175"/>
    <w:rsid w:val="2180FCB5"/>
    <w:rsid w:val="21819E25"/>
    <w:rsid w:val="218477E7"/>
    <w:rsid w:val="21943F24"/>
    <w:rsid w:val="219FE59A"/>
    <w:rsid w:val="21A09D32"/>
    <w:rsid w:val="21A0AB3A"/>
    <w:rsid w:val="21A2C82E"/>
    <w:rsid w:val="21A4571B"/>
    <w:rsid w:val="21A6FD56"/>
    <w:rsid w:val="21AB6F2F"/>
    <w:rsid w:val="21AD58F7"/>
    <w:rsid w:val="21CCA7A4"/>
    <w:rsid w:val="21E8AF93"/>
    <w:rsid w:val="21EC4188"/>
    <w:rsid w:val="21F40961"/>
    <w:rsid w:val="220AD90E"/>
    <w:rsid w:val="2212DB2D"/>
    <w:rsid w:val="221386D8"/>
    <w:rsid w:val="22182EEC"/>
    <w:rsid w:val="2221DC21"/>
    <w:rsid w:val="222223A2"/>
    <w:rsid w:val="2229F2CA"/>
    <w:rsid w:val="222D5A80"/>
    <w:rsid w:val="222E9283"/>
    <w:rsid w:val="22362327"/>
    <w:rsid w:val="22370B60"/>
    <w:rsid w:val="223D5D41"/>
    <w:rsid w:val="223DC574"/>
    <w:rsid w:val="2240F0BF"/>
    <w:rsid w:val="2258A9C9"/>
    <w:rsid w:val="225E3A1C"/>
    <w:rsid w:val="2268406E"/>
    <w:rsid w:val="226A9E4B"/>
    <w:rsid w:val="22709275"/>
    <w:rsid w:val="2272F894"/>
    <w:rsid w:val="227E65DC"/>
    <w:rsid w:val="229223F4"/>
    <w:rsid w:val="2292BE09"/>
    <w:rsid w:val="2293026E"/>
    <w:rsid w:val="229D3368"/>
    <w:rsid w:val="22A338EE"/>
    <w:rsid w:val="22A3E58D"/>
    <w:rsid w:val="22AEBDE1"/>
    <w:rsid w:val="22B54DA3"/>
    <w:rsid w:val="22B6E32A"/>
    <w:rsid w:val="22C212F5"/>
    <w:rsid w:val="22C74920"/>
    <w:rsid w:val="22C8CABE"/>
    <w:rsid w:val="22E1A2D3"/>
    <w:rsid w:val="22E35B42"/>
    <w:rsid w:val="2321316C"/>
    <w:rsid w:val="23237956"/>
    <w:rsid w:val="2323DD08"/>
    <w:rsid w:val="2324AE28"/>
    <w:rsid w:val="2328C7AE"/>
    <w:rsid w:val="23335AB1"/>
    <w:rsid w:val="2338500C"/>
    <w:rsid w:val="234146DA"/>
    <w:rsid w:val="23430D81"/>
    <w:rsid w:val="23485494"/>
    <w:rsid w:val="235195B6"/>
    <w:rsid w:val="235A3584"/>
    <w:rsid w:val="23619BEF"/>
    <w:rsid w:val="23861A00"/>
    <w:rsid w:val="238CC614"/>
    <w:rsid w:val="23901128"/>
    <w:rsid w:val="239791DA"/>
    <w:rsid w:val="23A1703D"/>
    <w:rsid w:val="23B6EA48"/>
    <w:rsid w:val="23B775DD"/>
    <w:rsid w:val="23BE3B3D"/>
    <w:rsid w:val="23C5837B"/>
    <w:rsid w:val="23CBD749"/>
    <w:rsid w:val="23CF3215"/>
    <w:rsid w:val="23DD8D67"/>
    <w:rsid w:val="23E3ADEF"/>
    <w:rsid w:val="23E69510"/>
    <w:rsid w:val="23F846A5"/>
    <w:rsid w:val="23F90F7D"/>
    <w:rsid w:val="23FE436B"/>
    <w:rsid w:val="2400E58D"/>
    <w:rsid w:val="24060D84"/>
    <w:rsid w:val="240F30B8"/>
    <w:rsid w:val="24167FAE"/>
    <w:rsid w:val="242012D6"/>
    <w:rsid w:val="24284D17"/>
    <w:rsid w:val="242924B1"/>
    <w:rsid w:val="242FF83D"/>
    <w:rsid w:val="2432D1C4"/>
    <w:rsid w:val="243A1F44"/>
    <w:rsid w:val="2444A239"/>
    <w:rsid w:val="24451384"/>
    <w:rsid w:val="2450CFC0"/>
    <w:rsid w:val="24597216"/>
    <w:rsid w:val="246F8695"/>
    <w:rsid w:val="24789953"/>
    <w:rsid w:val="2478FFAB"/>
    <w:rsid w:val="248771A8"/>
    <w:rsid w:val="2496D820"/>
    <w:rsid w:val="24A74B90"/>
    <w:rsid w:val="24A91886"/>
    <w:rsid w:val="24ABF939"/>
    <w:rsid w:val="24BA26DC"/>
    <w:rsid w:val="24DB1BE5"/>
    <w:rsid w:val="24F528DE"/>
    <w:rsid w:val="24F8F2BD"/>
    <w:rsid w:val="250012B3"/>
    <w:rsid w:val="2514285C"/>
    <w:rsid w:val="251E3E08"/>
    <w:rsid w:val="251EBDFC"/>
    <w:rsid w:val="2520F95D"/>
    <w:rsid w:val="2531F61D"/>
    <w:rsid w:val="25386FB7"/>
    <w:rsid w:val="2541761F"/>
    <w:rsid w:val="2543C183"/>
    <w:rsid w:val="254DE9CE"/>
    <w:rsid w:val="255FEC8F"/>
    <w:rsid w:val="25630032"/>
    <w:rsid w:val="2572FEE6"/>
    <w:rsid w:val="257CFEBF"/>
    <w:rsid w:val="25918E7C"/>
    <w:rsid w:val="25A25E2A"/>
    <w:rsid w:val="25A50D30"/>
    <w:rsid w:val="25AAD403"/>
    <w:rsid w:val="25AC236C"/>
    <w:rsid w:val="25ADD37F"/>
    <w:rsid w:val="25CB0769"/>
    <w:rsid w:val="25EAD092"/>
    <w:rsid w:val="26043636"/>
    <w:rsid w:val="2610DCEA"/>
    <w:rsid w:val="2613EFD7"/>
    <w:rsid w:val="2615AECB"/>
    <w:rsid w:val="2623D703"/>
    <w:rsid w:val="26246032"/>
    <w:rsid w:val="262DE1C0"/>
    <w:rsid w:val="262E5E01"/>
    <w:rsid w:val="2633F682"/>
    <w:rsid w:val="26367DDE"/>
    <w:rsid w:val="263845E0"/>
    <w:rsid w:val="263C68D2"/>
    <w:rsid w:val="26428939"/>
    <w:rsid w:val="26488C5F"/>
    <w:rsid w:val="264ED7F4"/>
    <w:rsid w:val="2668D362"/>
    <w:rsid w:val="26709C21"/>
    <w:rsid w:val="2671C088"/>
    <w:rsid w:val="267C5DE3"/>
    <w:rsid w:val="267F9897"/>
    <w:rsid w:val="269994F5"/>
    <w:rsid w:val="269A448C"/>
    <w:rsid w:val="26A268F8"/>
    <w:rsid w:val="26B50B89"/>
    <w:rsid w:val="26BD2C9E"/>
    <w:rsid w:val="26C70F5C"/>
    <w:rsid w:val="26D08403"/>
    <w:rsid w:val="26E340E0"/>
    <w:rsid w:val="2706B4F8"/>
    <w:rsid w:val="270904DD"/>
    <w:rsid w:val="27145066"/>
    <w:rsid w:val="27168013"/>
    <w:rsid w:val="27294986"/>
    <w:rsid w:val="272AFCCB"/>
    <w:rsid w:val="272B3B30"/>
    <w:rsid w:val="272B949A"/>
    <w:rsid w:val="272D6435"/>
    <w:rsid w:val="273892E9"/>
    <w:rsid w:val="273E8BF4"/>
    <w:rsid w:val="274D2845"/>
    <w:rsid w:val="274F5ACC"/>
    <w:rsid w:val="275208FA"/>
    <w:rsid w:val="2755E802"/>
    <w:rsid w:val="2759DACC"/>
    <w:rsid w:val="2766FB2F"/>
    <w:rsid w:val="276B9D62"/>
    <w:rsid w:val="276BD82E"/>
    <w:rsid w:val="276ECFC7"/>
    <w:rsid w:val="2770091C"/>
    <w:rsid w:val="27781DD1"/>
    <w:rsid w:val="277C54B8"/>
    <w:rsid w:val="277DAD29"/>
    <w:rsid w:val="278B3588"/>
    <w:rsid w:val="27910943"/>
    <w:rsid w:val="27936C7F"/>
    <w:rsid w:val="27956AA7"/>
    <w:rsid w:val="2799F4DA"/>
    <w:rsid w:val="279AA599"/>
    <w:rsid w:val="27A13A00"/>
    <w:rsid w:val="27B031E4"/>
    <w:rsid w:val="27B1E3BE"/>
    <w:rsid w:val="27B32A90"/>
    <w:rsid w:val="27B5BFE7"/>
    <w:rsid w:val="27B9FDE4"/>
    <w:rsid w:val="27C83F39"/>
    <w:rsid w:val="27CA6E0E"/>
    <w:rsid w:val="27D0A0EA"/>
    <w:rsid w:val="27D0E8F8"/>
    <w:rsid w:val="27D1E5E3"/>
    <w:rsid w:val="27D6814E"/>
    <w:rsid w:val="27D9993C"/>
    <w:rsid w:val="27E8BC4B"/>
    <w:rsid w:val="27EC2709"/>
    <w:rsid w:val="280A9FAD"/>
    <w:rsid w:val="2816A060"/>
    <w:rsid w:val="2817790F"/>
    <w:rsid w:val="28196932"/>
    <w:rsid w:val="28233068"/>
    <w:rsid w:val="2827E921"/>
    <w:rsid w:val="2829BC2B"/>
    <w:rsid w:val="282F8D28"/>
    <w:rsid w:val="283D9FCB"/>
    <w:rsid w:val="2840D262"/>
    <w:rsid w:val="2840FFCA"/>
    <w:rsid w:val="28414A26"/>
    <w:rsid w:val="28463602"/>
    <w:rsid w:val="284E4403"/>
    <w:rsid w:val="284FF744"/>
    <w:rsid w:val="2854E503"/>
    <w:rsid w:val="285F8DC2"/>
    <w:rsid w:val="28618C6F"/>
    <w:rsid w:val="2863E618"/>
    <w:rsid w:val="287281F4"/>
    <w:rsid w:val="287BDC64"/>
    <w:rsid w:val="2881AB20"/>
    <w:rsid w:val="288ADC6F"/>
    <w:rsid w:val="2891B6FD"/>
    <w:rsid w:val="2894AB63"/>
    <w:rsid w:val="2898EABD"/>
    <w:rsid w:val="289F1EE3"/>
    <w:rsid w:val="28A632D4"/>
    <w:rsid w:val="28A686CD"/>
    <w:rsid w:val="28B54F2E"/>
    <w:rsid w:val="28E79767"/>
    <w:rsid w:val="28EB6F9F"/>
    <w:rsid w:val="28EF93FE"/>
    <w:rsid w:val="28FB3EF8"/>
    <w:rsid w:val="2907B39F"/>
    <w:rsid w:val="290BDD11"/>
    <w:rsid w:val="290D38C6"/>
    <w:rsid w:val="290DB9C4"/>
    <w:rsid w:val="290FB5ED"/>
    <w:rsid w:val="291D674A"/>
    <w:rsid w:val="291FE08A"/>
    <w:rsid w:val="2924E5B2"/>
    <w:rsid w:val="29331338"/>
    <w:rsid w:val="293BA946"/>
    <w:rsid w:val="293C5884"/>
    <w:rsid w:val="293F79B7"/>
    <w:rsid w:val="293FAA52"/>
    <w:rsid w:val="2949F82F"/>
    <w:rsid w:val="29660D69"/>
    <w:rsid w:val="29719DBB"/>
    <w:rsid w:val="29772B03"/>
    <w:rsid w:val="297FA8B0"/>
    <w:rsid w:val="2981211F"/>
    <w:rsid w:val="2982015A"/>
    <w:rsid w:val="298F0DC7"/>
    <w:rsid w:val="299A23FC"/>
    <w:rsid w:val="299BCA33"/>
    <w:rsid w:val="299BFEAA"/>
    <w:rsid w:val="299ECE02"/>
    <w:rsid w:val="29B11AB2"/>
    <w:rsid w:val="29B445B4"/>
    <w:rsid w:val="29BDFC40"/>
    <w:rsid w:val="29C8C54D"/>
    <w:rsid w:val="29CE6405"/>
    <w:rsid w:val="29DD05F6"/>
    <w:rsid w:val="29E91069"/>
    <w:rsid w:val="29EA525A"/>
    <w:rsid w:val="29EF2D81"/>
    <w:rsid w:val="29FC7FD9"/>
    <w:rsid w:val="2A002188"/>
    <w:rsid w:val="2A03DDF0"/>
    <w:rsid w:val="2A046F80"/>
    <w:rsid w:val="2A05D699"/>
    <w:rsid w:val="2A0B4CE9"/>
    <w:rsid w:val="2A0E0119"/>
    <w:rsid w:val="2A1F76FF"/>
    <w:rsid w:val="2A2146B3"/>
    <w:rsid w:val="2A37092B"/>
    <w:rsid w:val="2A3979D5"/>
    <w:rsid w:val="2A3CA1ED"/>
    <w:rsid w:val="2A3E29B6"/>
    <w:rsid w:val="2A4ECCB3"/>
    <w:rsid w:val="2A549A88"/>
    <w:rsid w:val="2A56106A"/>
    <w:rsid w:val="2A637E98"/>
    <w:rsid w:val="2A63C375"/>
    <w:rsid w:val="2A6E986A"/>
    <w:rsid w:val="2A709E2F"/>
    <w:rsid w:val="2A7BFB53"/>
    <w:rsid w:val="2A812E6B"/>
    <w:rsid w:val="2A81C3CB"/>
    <w:rsid w:val="2A868789"/>
    <w:rsid w:val="2A8DBB2F"/>
    <w:rsid w:val="2A998A82"/>
    <w:rsid w:val="2AA0343A"/>
    <w:rsid w:val="2AAFDBF5"/>
    <w:rsid w:val="2AB89906"/>
    <w:rsid w:val="2ACDBD0F"/>
    <w:rsid w:val="2AEB4B86"/>
    <w:rsid w:val="2AEDE137"/>
    <w:rsid w:val="2AEFF8D6"/>
    <w:rsid w:val="2AF32F5A"/>
    <w:rsid w:val="2AFF605F"/>
    <w:rsid w:val="2B1A239D"/>
    <w:rsid w:val="2B1DD71C"/>
    <w:rsid w:val="2B2B39A2"/>
    <w:rsid w:val="2B30A6BA"/>
    <w:rsid w:val="2B3EADCB"/>
    <w:rsid w:val="2B4640DC"/>
    <w:rsid w:val="2B481431"/>
    <w:rsid w:val="2B4E7E14"/>
    <w:rsid w:val="2B57D92E"/>
    <w:rsid w:val="2B63782D"/>
    <w:rsid w:val="2B6604B3"/>
    <w:rsid w:val="2B66BBF8"/>
    <w:rsid w:val="2B6855A8"/>
    <w:rsid w:val="2B7BA791"/>
    <w:rsid w:val="2B7CDAA5"/>
    <w:rsid w:val="2B83C196"/>
    <w:rsid w:val="2B8928F8"/>
    <w:rsid w:val="2B89D49B"/>
    <w:rsid w:val="2B8CA9D3"/>
    <w:rsid w:val="2BA5FD61"/>
    <w:rsid w:val="2BA88745"/>
    <w:rsid w:val="2BBCB6F3"/>
    <w:rsid w:val="2BC3B918"/>
    <w:rsid w:val="2BC53B05"/>
    <w:rsid w:val="2BD0FDAF"/>
    <w:rsid w:val="2BD13FE3"/>
    <w:rsid w:val="2BEBBCAA"/>
    <w:rsid w:val="2BEBF9F2"/>
    <w:rsid w:val="2BF7E2A6"/>
    <w:rsid w:val="2BFE93CD"/>
    <w:rsid w:val="2C020576"/>
    <w:rsid w:val="2C0C7F6A"/>
    <w:rsid w:val="2C11CE33"/>
    <w:rsid w:val="2C1F3396"/>
    <w:rsid w:val="2C2D3D23"/>
    <w:rsid w:val="2C2FB075"/>
    <w:rsid w:val="2C3EAA02"/>
    <w:rsid w:val="2C3F0843"/>
    <w:rsid w:val="2C4799C8"/>
    <w:rsid w:val="2C50003C"/>
    <w:rsid w:val="2C6652C1"/>
    <w:rsid w:val="2C68C65F"/>
    <w:rsid w:val="2C69A620"/>
    <w:rsid w:val="2C738532"/>
    <w:rsid w:val="2C75D734"/>
    <w:rsid w:val="2C796C4F"/>
    <w:rsid w:val="2C80745B"/>
    <w:rsid w:val="2C85EF1D"/>
    <w:rsid w:val="2C9ABC53"/>
    <w:rsid w:val="2C9CADC2"/>
    <w:rsid w:val="2C9DF129"/>
    <w:rsid w:val="2CA80A14"/>
    <w:rsid w:val="2CA9BB42"/>
    <w:rsid w:val="2CAF0F6B"/>
    <w:rsid w:val="2CB478EF"/>
    <w:rsid w:val="2CBD95B3"/>
    <w:rsid w:val="2CC68FE1"/>
    <w:rsid w:val="2CC9D9A8"/>
    <w:rsid w:val="2CCE16A3"/>
    <w:rsid w:val="2CD3A327"/>
    <w:rsid w:val="2CDF2476"/>
    <w:rsid w:val="2CDFDCD3"/>
    <w:rsid w:val="2CE100D8"/>
    <w:rsid w:val="2CE207D9"/>
    <w:rsid w:val="2CF2F6BF"/>
    <w:rsid w:val="2CF5D5D7"/>
    <w:rsid w:val="2CF6F408"/>
    <w:rsid w:val="2CFD2472"/>
    <w:rsid w:val="2CFD80F0"/>
    <w:rsid w:val="2D08323D"/>
    <w:rsid w:val="2D0F78DE"/>
    <w:rsid w:val="2D13CF2E"/>
    <w:rsid w:val="2D1D602B"/>
    <w:rsid w:val="2D1F3E2E"/>
    <w:rsid w:val="2D3392F7"/>
    <w:rsid w:val="2D342C41"/>
    <w:rsid w:val="2D3D7673"/>
    <w:rsid w:val="2D3DF120"/>
    <w:rsid w:val="2D3EA06D"/>
    <w:rsid w:val="2D493127"/>
    <w:rsid w:val="2D4A7CDF"/>
    <w:rsid w:val="2D4DF075"/>
    <w:rsid w:val="2D64C204"/>
    <w:rsid w:val="2D65D462"/>
    <w:rsid w:val="2D6BA798"/>
    <w:rsid w:val="2D72A7C3"/>
    <w:rsid w:val="2D764EA2"/>
    <w:rsid w:val="2D7AC2D0"/>
    <w:rsid w:val="2D8CA927"/>
    <w:rsid w:val="2D8FC4A0"/>
    <w:rsid w:val="2D968037"/>
    <w:rsid w:val="2D99AEF1"/>
    <w:rsid w:val="2D9A91C9"/>
    <w:rsid w:val="2DA1E1BF"/>
    <w:rsid w:val="2DB94057"/>
    <w:rsid w:val="2DC76B00"/>
    <w:rsid w:val="2DC96D70"/>
    <w:rsid w:val="2DCFD9B7"/>
    <w:rsid w:val="2DD15CFE"/>
    <w:rsid w:val="2DD3B73C"/>
    <w:rsid w:val="2DDB618B"/>
    <w:rsid w:val="2DE23E84"/>
    <w:rsid w:val="2DE782B7"/>
    <w:rsid w:val="2DF6D201"/>
    <w:rsid w:val="2DF72149"/>
    <w:rsid w:val="2DFEA5FD"/>
    <w:rsid w:val="2E037BC3"/>
    <w:rsid w:val="2E288B88"/>
    <w:rsid w:val="2E3190E5"/>
    <w:rsid w:val="2E3408F2"/>
    <w:rsid w:val="2E499D20"/>
    <w:rsid w:val="2E532C7B"/>
    <w:rsid w:val="2E5B0594"/>
    <w:rsid w:val="2E667D8C"/>
    <w:rsid w:val="2E6A55EE"/>
    <w:rsid w:val="2E831B55"/>
    <w:rsid w:val="2E89EA32"/>
    <w:rsid w:val="2E90E723"/>
    <w:rsid w:val="2EAB8AA8"/>
    <w:rsid w:val="2EB257B2"/>
    <w:rsid w:val="2EB39B80"/>
    <w:rsid w:val="2EB656C3"/>
    <w:rsid w:val="2EB6F09E"/>
    <w:rsid w:val="2EB743E7"/>
    <w:rsid w:val="2EB9C969"/>
    <w:rsid w:val="2EBFAB9F"/>
    <w:rsid w:val="2EC5CE8D"/>
    <w:rsid w:val="2ECAFB94"/>
    <w:rsid w:val="2ECE59E3"/>
    <w:rsid w:val="2ED0C952"/>
    <w:rsid w:val="2ED12034"/>
    <w:rsid w:val="2EE80293"/>
    <w:rsid w:val="2EEE580F"/>
    <w:rsid w:val="2F077444"/>
    <w:rsid w:val="2F17B52E"/>
    <w:rsid w:val="2F1B796C"/>
    <w:rsid w:val="2F1D95CF"/>
    <w:rsid w:val="2F2C7536"/>
    <w:rsid w:val="2F3D46FB"/>
    <w:rsid w:val="2F45ACC1"/>
    <w:rsid w:val="2F49810C"/>
    <w:rsid w:val="2F53F6A3"/>
    <w:rsid w:val="2F66F230"/>
    <w:rsid w:val="2F6D6132"/>
    <w:rsid w:val="2F7A3717"/>
    <w:rsid w:val="2F7ADA37"/>
    <w:rsid w:val="2F7CD6D7"/>
    <w:rsid w:val="2F82D07C"/>
    <w:rsid w:val="2F8361FB"/>
    <w:rsid w:val="2F840C4E"/>
    <w:rsid w:val="2F8FAD3D"/>
    <w:rsid w:val="2FB49C5C"/>
    <w:rsid w:val="2FBA7D4A"/>
    <w:rsid w:val="2FBB8F40"/>
    <w:rsid w:val="2FC1F26E"/>
    <w:rsid w:val="2FC25C75"/>
    <w:rsid w:val="2FC30EA4"/>
    <w:rsid w:val="2FC340E6"/>
    <w:rsid w:val="2FC3883F"/>
    <w:rsid w:val="2FC7536D"/>
    <w:rsid w:val="2FCAC120"/>
    <w:rsid w:val="2FCCAD06"/>
    <w:rsid w:val="2FD32B4B"/>
    <w:rsid w:val="2FDE5411"/>
    <w:rsid w:val="2FE20CCB"/>
    <w:rsid w:val="2FEB6F73"/>
    <w:rsid w:val="2FF18E24"/>
    <w:rsid w:val="3015E698"/>
    <w:rsid w:val="301FB3D6"/>
    <w:rsid w:val="302062F7"/>
    <w:rsid w:val="3061081B"/>
    <w:rsid w:val="3065407A"/>
    <w:rsid w:val="306657EF"/>
    <w:rsid w:val="30675707"/>
    <w:rsid w:val="3091C0DE"/>
    <w:rsid w:val="309482BC"/>
    <w:rsid w:val="30AA3B5F"/>
    <w:rsid w:val="30AE5FC4"/>
    <w:rsid w:val="30AFB6A7"/>
    <w:rsid w:val="30B7C957"/>
    <w:rsid w:val="30C62F71"/>
    <w:rsid w:val="30D89FC1"/>
    <w:rsid w:val="30DEE66F"/>
    <w:rsid w:val="30E7C735"/>
    <w:rsid w:val="30E830CD"/>
    <w:rsid w:val="30EE0E31"/>
    <w:rsid w:val="30F4C094"/>
    <w:rsid w:val="30FAD76A"/>
    <w:rsid w:val="3103B7B5"/>
    <w:rsid w:val="3105E757"/>
    <w:rsid w:val="311A7D2A"/>
    <w:rsid w:val="312916C6"/>
    <w:rsid w:val="31299383"/>
    <w:rsid w:val="312CCEBA"/>
    <w:rsid w:val="3139CD0F"/>
    <w:rsid w:val="3140CDDE"/>
    <w:rsid w:val="31515585"/>
    <w:rsid w:val="315C289B"/>
    <w:rsid w:val="315FFBAE"/>
    <w:rsid w:val="3165FB6F"/>
    <w:rsid w:val="3168F0B8"/>
    <w:rsid w:val="3178DD4F"/>
    <w:rsid w:val="317A8043"/>
    <w:rsid w:val="31828B63"/>
    <w:rsid w:val="3183598B"/>
    <w:rsid w:val="318711D6"/>
    <w:rsid w:val="318FBB6F"/>
    <w:rsid w:val="3195DC39"/>
    <w:rsid w:val="3197AC9A"/>
    <w:rsid w:val="31A1914F"/>
    <w:rsid w:val="31A3B7C5"/>
    <w:rsid w:val="31A53CB1"/>
    <w:rsid w:val="31AA8240"/>
    <w:rsid w:val="31B14BEC"/>
    <w:rsid w:val="31B28C0E"/>
    <w:rsid w:val="31BD7F28"/>
    <w:rsid w:val="31C46606"/>
    <w:rsid w:val="31C4F7DF"/>
    <w:rsid w:val="31C50290"/>
    <w:rsid w:val="31CA81A6"/>
    <w:rsid w:val="31DBE0D6"/>
    <w:rsid w:val="31DEA2D0"/>
    <w:rsid w:val="31E9029F"/>
    <w:rsid w:val="31F81788"/>
    <w:rsid w:val="32007254"/>
    <w:rsid w:val="32029030"/>
    <w:rsid w:val="320E4301"/>
    <w:rsid w:val="3210CC56"/>
    <w:rsid w:val="321926CF"/>
    <w:rsid w:val="3224CF7C"/>
    <w:rsid w:val="322C6423"/>
    <w:rsid w:val="3231DDA2"/>
    <w:rsid w:val="323648EE"/>
    <w:rsid w:val="323C1996"/>
    <w:rsid w:val="324F9477"/>
    <w:rsid w:val="3251F090"/>
    <w:rsid w:val="3261A689"/>
    <w:rsid w:val="3264EECA"/>
    <w:rsid w:val="328AD31E"/>
    <w:rsid w:val="328EC7EF"/>
    <w:rsid w:val="3291EC4B"/>
    <w:rsid w:val="32A050B0"/>
    <w:rsid w:val="32ADA574"/>
    <w:rsid w:val="32CBC3C8"/>
    <w:rsid w:val="32D2A72E"/>
    <w:rsid w:val="32DA3F75"/>
    <w:rsid w:val="330A0B64"/>
    <w:rsid w:val="333E3E8D"/>
    <w:rsid w:val="33459AF4"/>
    <w:rsid w:val="3357D917"/>
    <w:rsid w:val="336576FF"/>
    <w:rsid w:val="3366CF18"/>
    <w:rsid w:val="33687E89"/>
    <w:rsid w:val="33763045"/>
    <w:rsid w:val="337E5826"/>
    <w:rsid w:val="339FF69F"/>
    <w:rsid w:val="33A49378"/>
    <w:rsid w:val="33A8D2AB"/>
    <w:rsid w:val="33A91CEE"/>
    <w:rsid w:val="33AACD22"/>
    <w:rsid w:val="33B75AA9"/>
    <w:rsid w:val="33B96B5B"/>
    <w:rsid w:val="33C24F1C"/>
    <w:rsid w:val="33CB57B8"/>
    <w:rsid w:val="33CC5207"/>
    <w:rsid w:val="33DED23E"/>
    <w:rsid w:val="33FDFA14"/>
    <w:rsid w:val="34009764"/>
    <w:rsid w:val="3409A186"/>
    <w:rsid w:val="340B11A1"/>
    <w:rsid w:val="3410F33D"/>
    <w:rsid w:val="341736E1"/>
    <w:rsid w:val="3417B21C"/>
    <w:rsid w:val="34205B7B"/>
    <w:rsid w:val="3427FF1F"/>
    <w:rsid w:val="342984C8"/>
    <w:rsid w:val="34372926"/>
    <w:rsid w:val="343E0F38"/>
    <w:rsid w:val="34421BEC"/>
    <w:rsid w:val="3455D2C8"/>
    <w:rsid w:val="3459770C"/>
    <w:rsid w:val="3459A662"/>
    <w:rsid w:val="346944B5"/>
    <w:rsid w:val="34799E45"/>
    <w:rsid w:val="347CA837"/>
    <w:rsid w:val="3480E748"/>
    <w:rsid w:val="34A59780"/>
    <w:rsid w:val="34AA28B4"/>
    <w:rsid w:val="34B0EEEA"/>
    <w:rsid w:val="34B1A348"/>
    <w:rsid w:val="34B3037C"/>
    <w:rsid w:val="34B48FF6"/>
    <w:rsid w:val="34B7CD7E"/>
    <w:rsid w:val="34BA825E"/>
    <w:rsid w:val="34BBD815"/>
    <w:rsid w:val="34C36853"/>
    <w:rsid w:val="34CA2F78"/>
    <w:rsid w:val="34D0A534"/>
    <w:rsid w:val="34D17FCE"/>
    <w:rsid w:val="34D1F703"/>
    <w:rsid w:val="34D70EFF"/>
    <w:rsid w:val="34DB746C"/>
    <w:rsid w:val="34DBA6C5"/>
    <w:rsid w:val="34E2E58F"/>
    <w:rsid w:val="34E75D23"/>
    <w:rsid w:val="34E96466"/>
    <w:rsid w:val="34F68B25"/>
    <w:rsid w:val="34FD134C"/>
    <w:rsid w:val="3503E14A"/>
    <w:rsid w:val="35048D18"/>
    <w:rsid w:val="3505F147"/>
    <w:rsid w:val="35069FC0"/>
    <w:rsid w:val="351568B5"/>
    <w:rsid w:val="3517449D"/>
    <w:rsid w:val="351FAFA4"/>
    <w:rsid w:val="353370ED"/>
    <w:rsid w:val="3538592B"/>
    <w:rsid w:val="354349F9"/>
    <w:rsid w:val="35478D19"/>
    <w:rsid w:val="3551A524"/>
    <w:rsid w:val="3553FD4F"/>
    <w:rsid w:val="3554C307"/>
    <w:rsid w:val="356F3E88"/>
    <w:rsid w:val="3589A2FF"/>
    <w:rsid w:val="358A552C"/>
    <w:rsid w:val="35962A21"/>
    <w:rsid w:val="35A04170"/>
    <w:rsid w:val="35AE466F"/>
    <w:rsid w:val="35B4BEC3"/>
    <w:rsid w:val="35C4E063"/>
    <w:rsid w:val="35C5A3DE"/>
    <w:rsid w:val="35CA307A"/>
    <w:rsid w:val="35CD3DD0"/>
    <w:rsid w:val="35D16897"/>
    <w:rsid w:val="35D49D57"/>
    <w:rsid w:val="35D70301"/>
    <w:rsid w:val="35DBD483"/>
    <w:rsid w:val="35DD0DB9"/>
    <w:rsid w:val="35EFF5B2"/>
    <w:rsid w:val="35FCB2D2"/>
    <w:rsid w:val="360157AC"/>
    <w:rsid w:val="360324B4"/>
    <w:rsid w:val="3604AFA5"/>
    <w:rsid w:val="360C7F28"/>
    <w:rsid w:val="36132AD4"/>
    <w:rsid w:val="361C49FF"/>
    <w:rsid w:val="361C5C4A"/>
    <w:rsid w:val="36219956"/>
    <w:rsid w:val="36304C94"/>
    <w:rsid w:val="36397C77"/>
    <w:rsid w:val="363A725F"/>
    <w:rsid w:val="365DC7E5"/>
    <w:rsid w:val="366F07B9"/>
    <w:rsid w:val="36704E0C"/>
    <w:rsid w:val="36797211"/>
    <w:rsid w:val="36896DAA"/>
    <w:rsid w:val="368EBEB3"/>
    <w:rsid w:val="36A00AF3"/>
    <w:rsid w:val="36A4DF9E"/>
    <w:rsid w:val="36B19E30"/>
    <w:rsid w:val="36BB376E"/>
    <w:rsid w:val="36C02E78"/>
    <w:rsid w:val="36C3D259"/>
    <w:rsid w:val="36DC6FF9"/>
    <w:rsid w:val="36DD7EFF"/>
    <w:rsid w:val="36E16226"/>
    <w:rsid w:val="36EDA6F6"/>
    <w:rsid w:val="36FB4DDE"/>
    <w:rsid w:val="3701406C"/>
    <w:rsid w:val="3708087F"/>
    <w:rsid w:val="370C492F"/>
    <w:rsid w:val="370D9DCE"/>
    <w:rsid w:val="37125F8D"/>
    <w:rsid w:val="37167E1A"/>
    <w:rsid w:val="37657387"/>
    <w:rsid w:val="37726FA3"/>
    <w:rsid w:val="3774A3B7"/>
    <w:rsid w:val="37764B16"/>
    <w:rsid w:val="377782D7"/>
    <w:rsid w:val="377BF829"/>
    <w:rsid w:val="37906E07"/>
    <w:rsid w:val="379B32A1"/>
    <w:rsid w:val="37A08690"/>
    <w:rsid w:val="37A423F1"/>
    <w:rsid w:val="37A654FF"/>
    <w:rsid w:val="37A6A9A2"/>
    <w:rsid w:val="37A7C41F"/>
    <w:rsid w:val="37B52CDE"/>
    <w:rsid w:val="37BA6F5B"/>
    <w:rsid w:val="37BAAAC0"/>
    <w:rsid w:val="37C129E1"/>
    <w:rsid w:val="37C61129"/>
    <w:rsid w:val="37D26376"/>
    <w:rsid w:val="37D444E6"/>
    <w:rsid w:val="37DAB842"/>
    <w:rsid w:val="37DFF8D0"/>
    <w:rsid w:val="37E2ABC9"/>
    <w:rsid w:val="37E2AFA6"/>
    <w:rsid w:val="37E825FA"/>
    <w:rsid w:val="37EA9138"/>
    <w:rsid w:val="37EBD576"/>
    <w:rsid w:val="37ED0C1B"/>
    <w:rsid w:val="37F02EDC"/>
    <w:rsid w:val="37F068D7"/>
    <w:rsid w:val="37F183D8"/>
    <w:rsid w:val="37F33DE5"/>
    <w:rsid w:val="37F529D4"/>
    <w:rsid w:val="37F59616"/>
    <w:rsid w:val="37F89A0C"/>
    <w:rsid w:val="37FA77CE"/>
    <w:rsid w:val="37FF4F58"/>
    <w:rsid w:val="37FFAF13"/>
    <w:rsid w:val="3807FABC"/>
    <w:rsid w:val="380F811F"/>
    <w:rsid w:val="38150D24"/>
    <w:rsid w:val="3815F7C0"/>
    <w:rsid w:val="382EFF47"/>
    <w:rsid w:val="383BDC96"/>
    <w:rsid w:val="383E89E8"/>
    <w:rsid w:val="3857E8C5"/>
    <w:rsid w:val="38596BF1"/>
    <w:rsid w:val="38602E2C"/>
    <w:rsid w:val="3867798A"/>
    <w:rsid w:val="386CD6FD"/>
    <w:rsid w:val="3875A8BF"/>
    <w:rsid w:val="388590BD"/>
    <w:rsid w:val="38924A68"/>
    <w:rsid w:val="3892C9AA"/>
    <w:rsid w:val="3896F749"/>
    <w:rsid w:val="389ACF7D"/>
    <w:rsid w:val="38A586F6"/>
    <w:rsid w:val="38A8D97E"/>
    <w:rsid w:val="38AA267C"/>
    <w:rsid w:val="38CC61FE"/>
    <w:rsid w:val="38D8CC71"/>
    <w:rsid w:val="38E716EF"/>
    <w:rsid w:val="38FA5B0B"/>
    <w:rsid w:val="38FC227B"/>
    <w:rsid w:val="38FD3EE3"/>
    <w:rsid w:val="38FF9867"/>
    <w:rsid w:val="391A5663"/>
    <w:rsid w:val="391DF088"/>
    <w:rsid w:val="391EC9AA"/>
    <w:rsid w:val="391FF79E"/>
    <w:rsid w:val="39311827"/>
    <w:rsid w:val="393AB1D3"/>
    <w:rsid w:val="393DD4CE"/>
    <w:rsid w:val="39507EBD"/>
    <w:rsid w:val="3951D03C"/>
    <w:rsid w:val="39540F60"/>
    <w:rsid w:val="3963B051"/>
    <w:rsid w:val="39658482"/>
    <w:rsid w:val="39677E3B"/>
    <w:rsid w:val="396C2472"/>
    <w:rsid w:val="3972B695"/>
    <w:rsid w:val="39749D90"/>
    <w:rsid w:val="397995E4"/>
    <w:rsid w:val="397AADA5"/>
    <w:rsid w:val="39808D07"/>
    <w:rsid w:val="39A679AA"/>
    <w:rsid w:val="39AE5209"/>
    <w:rsid w:val="39B6983E"/>
    <w:rsid w:val="39B740EA"/>
    <w:rsid w:val="39BC039D"/>
    <w:rsid w:val="39C47DF0"/>
    <w:rsid w:val="39CE3157"/>
    <w:rsid w:val="39F3B195"/>
    <w:rsid w:val="39F739B1"/>
    <w:rsid w:val="3A015762"/>
    <w:rsid w:val="3A039B85"/>
    <w:rsid w:val="3A1631F5"/>
    <w:rsid w:val="3A18D1EE"/>
    <w:rsid w:val="3A1A71F0"/>
    <w:rsid w:val="3A1DDF19"/>
    <w:rsid w:val="3A1FFB00"/>
    <w:rsid w:val="3A204DBC"/>
    <w:rsid w:val="3A20C5F7"/>
    <w:rsid w:val="3A21471D"/>
    <w:rsid w:val="3A25275B"/>
    <w:rsid w:val="3A282CBB"/>
    <w:rsid w:val="3A31165F"/>
    <w:rsid w:val="3A3463A0"/>
    <w:rsid w:val="3A4B265C"/>
    <w:rsid w:val="3A57EA90"/>
    <w:rsid w:val="3A59F0E7"/>
    <w:rsid w:val="3A653A0D"/>
    <w:rsid w:val="3A66BDF4"/>
    <w:rsid w:val="3A6CC875"/>
    <w:rsid w:val="3A6F6F88"/>
    <w:rsid w:val="3A724874"/>
    <w:rsid w:val="3A749E1B"/>
    <w:rsid w:val="3A84D03D"/>
    <w:rsid w:val="3A8878F5"/>
    <w:rsid w:val="3A892115"/>
    <w:rsid w:val="3A8F579B"/>
    <w:rsid w:val="3A94A3BD"/>
    <w:rsid w:val="3A9A7063"/>
    <w:rsid w:val="3A9B50DD"/>
    <w:rsid w:val="3AA0086E"/>
    <w:rsid w:val="3AA10BEF"/>
    <w:rsid w:val="3AA7BBE0"/>
    <w:rsid w:val="3AB04F1B"/>
    <w:rsid w:val="3AB4F603"/>
    <w:rsid w:val="3ABB515B"/>
    <w:rsid w:val="3ACD1502"/>
    <w:rsid w:val="3AD252DF"/>
    <w:rsid w:val="3AE1313D"/>
    <w:rsid w:val="3AE71B5D"/>
    <w:rsid w:val="3AE97FEF"/>
    <w:rsid w:val="3AE9E1E5"/>
    <w:rsid w:val="3B0B35DA"/>
    <w:rsid w:val="3B150ACA"/>
    <w:rsid w:val="3B213ACD"/>
    <w:rsid w:val="3B2611B7"/>
    <w:rsid w:val="3B29889C"/>
    <w:rsid w:val="3B2F0AC5"/>
    <w:rsid w:val="3B48E27C"/>
    <w:rsid w:val="3B4D2804"/>
    <w:rsid w:val="3B4FDC38"/>
    <w:rsid w:val="3B5073C7"/>
    <w:rsid w:val="3B57612B"/>
    <w:rsid w:val="3B58D82C"/>
    <w:rsid w:val="3B5F8436"/>
    <w:rsid w:val="3B610A21"/>
    <w:rsid w:val="3B62B14B"/>
    <w:rsid w:val="3B62E39E"/>
    <w:rsid w:val="3B670F83"/>
    <w:rsid w:val="3B86C24D"/>
    <w:rsid w:val="3B8F9750"/>
    <w:rsid w:val="3B938B8D"/>
    <w:rsid w:val="3B9B5196"/>
    <w:rsid w:val="3BB7CA64"/>
    <w:rsid w:val="3BBEB93B"/>
    <w:rsid w:val="3BC4355D"/>
    <w:rsid w:val="3BCF68CC"/>
    <w:rsid w:val="3BD3C7C4"/>
    <w:rsid w:val="3BEA14A5"/>
    <w:rsid w:val="3BF1EBF6"/>
    <w:rsid w:val="3BF281C2"/>
    <w:rsid w:val="3BF3318F"/>
    <w:rsid w:val="3BF66B5B"/>
    <w:rsid w:val="3BFF9410"/>
    <w:rsid w:val="3C01436E"/>
    <w:rsid w:val="3C06EDFE"/>
    <w:rsid w:val="3C08CE3E"/>
    <w:rsid w:val="3C0DBD79"/>
    <w:rsid w:val="3C0F167D"/>
    <w:rsid w:val="3C0F2D45"/>
    <w:rsid w:val="3C133682"/>
    <w:rsid w:val="3C1A4C43"/>
    <w:rsid w:val="3C21D64E"/>
    <w:rsid w:val="3C26F4C4"/>
    <w:rsid w:val="3C2E802C"/>
    <w:rsid w:val="3C30F0E4"/>
    <w:rsid w:val="3C337CA4"/>
    <w:rsid w:val="3C527DF9"/>
    <w:rsid w:val="3C60E730"/>
    <w:rsid w:val="3C646C2A"/>
    <w:rsid w:val="3C814D1B"/>
    <w:rsid w:val="3C844589"/>
    <w:rsid w:val="3C87A90D"/>
    <w:rsid w:val="3C89B30B"/>
    <w:rsid w:val="3C991D06"/>
    <w:rsid w:val="3C9937A0"/>
    <w:rsid w:val="3CADEFD5"/>
    <w:rsid w:val="3CB002FE"/>
    <w:rsid w:val="3CB0F7C0"/>
    <w:rsid w:val="3CB5C5A9"/>
    <w:rsid w:val="3CB648F8"/>
    <w:rsid w:val="3CB6D7DC"/>
    <w:rsid w:val="3CBDAA88"/>
    <w:rsid w:val="3CC6970D"/>
    <w:rsid w:val="3D047F7A"/>
    <w:rsid w:val="3D0A14F1"/>
    <w:rsid w:val="3D0C8088"/>
    <w:rsid w:val="3D0FB245"/>
    <w:rsid w:val="3D14F705"/>
    <w:rsid w:val="3D1C7FA9"/>
    <w:rsid w:val="3D2FCAD5"/>
    <w:rsid w:val="3D400E6B"/>
    <w:rsid w:val="3D553C25"/>
    <w:rsid w:val="3D5569F9"/>
    <w:rsid w:val="3D5847F5"/>
    <w:rsid w:val="3D5DD245"/>
    <w:rsid w:val="3D6058D9"/>
    <w:rsid w:val="3D60639B"/>
    <w:rsid w:val="3D60DB90"/>
    <w:rsid w:val="3D60E8BF"/>
    <w:rsid w:val="3D644E29"/>
    <w:rsid w:val="3D654E13"/>
    <w:rsid w:val="3D665A66"/>
    <w:rsid w:val="3D705059"/>
    <w:rsid w:val="3D79C16D"/>
    <w:rsid w:val="3D88FD3B"/>
    <w:rsid w:val="3D8A0D50"/>
    <w:rsid w:val="3D92B3D2"/>
    <w:rsid w:val="3DA3A344"/>
    <w:rsid w:val="3DA694BB"/>
    <w:rsid w:val="3DAEE1DF"/>
    <w:rsid w:val="3DAF9607"/>
    <w:rsid w:val="3DB45E73"/>
    <w:rsid w:val="3DB4F985"/>
    <w:rsid w:val="3DC455C7"/>
    <w:rsid w:val="3DC50533"/>
    <w:rsid w:val="3DD3255A"/>
    <w:rsid w:val="3DEE0AF9"/>
    <w:rsid w:val="3DFA86D5"/>
    <w:rsid w:val="3DFD05FD"/>
    <w:rsid w:val="3E00B371"/>
    <w:rsid w:val="3E02C087"/>
    <w:rsid w:val="3E03916A"/>
    <w:rsid w:val="3E0B131C"/>
    <w:rsid w:val="3E117C01"/>
    <w:rsid w:val="3E19ADEF"/>
    <w:rsid w:val="3E2227D3"/>
    <w:rsid w:val="3E2722E4"/>
    <w:rsid w:val="3E2CBBEA"/>
    <w:rsid w:val="3E2DE0D5"/>
    <w:rsid w:val="3E5902A9"/>
    <w:rsid w:val="3E5BB166"/>
    <w:rsid w:val="3E6E6A08"/>
    <w:rsid w:val="3E89A487"/>
    <w:rsid w:val="3E8AD260"/>
    <w:rsid w:val="3E8CEC05"/>
    <w:rsid w:val="3E8D0C6B"/>
    <w:rsid w:val="3E905AA8"/>
    <w:rsid w:val="3E95E898"/>
    <w:rsid w:val="3E9D96EA"/>
    <w:rsid w:val="3EA6424F"/>
    <w:rsid w:val="3EAA7239"/>
    <w:rsid w:val="3ECAB752"/>
    <w:rsid w:val="3ECF090F"/>
    <w:rsid w:val="3ED408D5"/>
    <w:rsid w:val="3ED4C8D0"/>
    <w:rsid w:val="3EEE56EC"/>
    <w:rsid w:val="3EEEBEFF"/>
    <w:rsid w:val="3F02E08D"/>
    <w:rsid w:val="3F0F413F"/>
    <w:rsid w:val="3F156FAB"/>
    <w:rsid w:val="3F1830EC"/>
    <w:rsid w:val="3F27F9A5"/>
    <w:rsid w:val="3F35CF68"/>
    <w:rsid w:val="3F3687AD"/>
    <w:rsid w:val="3F395E59"/>
    <w:rsid w:val="3F3E7118"/>
    <w:rsid w:val="3F4DAA97"/>
    <w:rsid w:val="3F4F0209"/>
    <w:rsid w:val="3F501C93"/>
    <w:rsid w:val="3F5822A1"/>
    <w:rsid w:val="3F653E9D"/>
    <w:rsid w:val="3F69FF97"/>
    <w:rsid w:val="3F7194FC"/>
    <w:rsid w:val="3F73CB86"/>
    <w:rsid w:val="3F953BCA"/>
    <w:rsid w:val="3F9F8FF7"/>
    <w:rsid w:val="3FA9528E"/>
    <w:rsid w:val="3FACE67E"/>
    <w:rsid w:val="3FBDC976"/>
    <w:rsid w:val="3FBF6FED"/>
    <w:rsid w:val="3FC79BF1"/>
    <w:rsid w:val="3FC8A1B9"/>
    <w:rsid w:val="3FD02331"/>
    <w:rsid w:val="3FD14F77"/>
    <w:rsid w:val="3FDCB243"/>
    <w:rsid w:val="3FE216CA"/>
    <w:rsid w:val="3FE44D29"/>
    <w:rsid w:val="3FEE21CB"/>
    <w:rsid w:val="3FEF34DA"/>
    <w:rsid w:val="3FF32B00"/>
    <w:rsid w:val="3FFAFBA9"/>
    <w:rsid w:val="40070F37"/>
    <w:rsid w:val="401551E9"/>
    <w:rsid w:val="40197634"/>
    <w:rsid w:val="402ECAF8"/>
    <w:rsid w:val="40331191"/>
    <w:rsid w:val="40354184"/>
    <w:rsid w:val="4043A442"/>
    <w:rsid w:val="4048F863"/>
    <w:rsid w:val="404A2E76"/>
    <w:rsid w:val="4050C596"/>
    <w:rsid w:val="40627F86"/>
    <w:rsid w:val="4065B544"/>
    <w:rsid w:val="40669155"/>
    <w:rsid w:val="4067096A"/>
    <w:rsid w:val="406EFBBE"/>
    <w:rsid w:val="407C4113"/>
    <w:rsid w:val="407E0B01"/>
    <w:rsid w:val="408C170B"/>
    <w:rsid w:val="4091FCB5"/>
    <w:rsid w:val="4097C937"/>
    <w:rsid w:val="40B1FFA2"/>
    <w:rsid w:val="40C024B5"/>
    <w:rsid w:val="40C1C545"/>
    <w:rsid w:val="40C305DE"/>
    <w:rsid w:val="40C3AB00"/>
    <w:rsid w:val="40C7A242"/>
    <w:rsid w:val="40CE1B36"/>
    <w:rsid w:val="40DD1325"/>
    <w:rsid w:val="40E6C8E0"/>
    <w:rsid w:val="410ABF76"/>
    <w:rsid w:val="4123A364"/>
    <w:rsid w:val="412AF3BB"/>
    <w:rsid w:val="412D49D1"/>
    <w:rsid w:val="4130EE6B"/>
    <w:rsid w:val="414083D9"/>
    <w:rsid w:val="41432C34"/>
    <w:rsid w:val="414609F4"/>
    <w:rsid w:val="414916B1"/>
    <w:rsid w:val="41502FD5"/>
    <w:rsid w:val="4154154A"/>
    <w:rsid w:val="41566956"/>
    <w:rsid w:val="41672A18"/>
    <w:rsid w:val="416A49BF"/>
    <w:rsid w:val="416ACC00"/>
    <w:rsid w:val="4171D984"/>
    <w:rsid w:val="4175E1E2"/>
    <w:rsid w:val="41792CA8"/>
    <w:rsid w:val="418A8A25"/>
    <w:rsid w:val="418BDA3B"/>
    <w:rsid w:val="418F516C"/>
    <w:rsid w:val="4199BB67"/>
    <w:rsid w:val="419B34C4"/>
    <w:rsid w:val="41AF156E"/>
    <w:rsid w:val="41B04854"/>
    <w:rsid w:val="41B4A312"/>
    <w:rsid w:val="41BC4330"/>
    <w:rsid w:val="41CB5A84"/>
    <w:rsid w:val="41CCEE0E"/>
    <w:rsid w:val="41D143B5"/>
    <w:rsid w:val="41D8E404"/>
    <w:rsid w:val="41E0AEFA"/>
    <w:rsid w:val="41F042D9"/>
    <w:rsid w:val="4205934A"/>
    <w:rsid w:val="42142E4B"/>
    <w:rsid w:val="42279CEE"/>
    <w:rsid w:val="423DF510"/>
    <w:rsid w:val="4243DE73"/>
    <w:rsid w:val="42504BD4"/>
    <w:rsid w:val="425396BA"/>
    <w:rsid w:val="4264CC7C"/>
    <w:rsid w:val="4266A437"/>
    <w:rsid w:val="427525F3"/>
    <w:rsid w:val="42830552"/>
    <w:rsid w:val="428430DE"/>
    <w:rsid w:val="4287F68A"/>
    <w:rsid w:val="42908AD0"/>
    <w:rsid w:val="42A2052E"/>
    <w:rsid w:val="42B83AEC"/>
    <w:rsid w:val="42C0BEC2"/>
    <w:rsid w:val="42D98185"/>
    <w:rsid w:val="42D9C476"/>
    <w:rsid w:val="42E45B00"/>
    <w:rsid w:val="42EA75F3"/>
    <w:rsid w:val="42FA8D82"/>
    <w:rsid w:val="430344AD"/>
    <w:rsid w:val="430C7170"/>
    <w:rsid w:val="430F889B"/>
    <w:rsid w:val="430FACDB"/>
    <w:rsid w:val="431476CB"/>
    <w:rsid w:val="431CFA1E"/>
    <w:rsid w:val="431F8432"/>
    <w:rsid w:val="4331DEE1"/>
    <w:rsid w:val="4338BCA4"/>
    <w:rsid w:val="4348FBFD"/>
    <w:rsid w:val="434992E0"/>
    <w:rsid w:val="43520DF0"/>
    <w:rsid w:val="43551C66"/>
    <w:rsid w:val="435584F8"/>
    <w:rsid w:val="43580A03"/>
    <w:rsid w:val="43598B25"/>
    <w:rsid w:val="4368CBE2"/>
    <w:rsid w:val="436DBC4B"/>
    <w:rsid w:val="4370F120"/>
    <w:rsid w:val="437360C6"/>
    <w:rsid w:val="4376A8E5"/>
    <w:rsid w:val="437F8293"/>
    <w:rsid w:val="438E192B"/>
    <w:rsid w:val="43A8A40C"/>
    <w:rsid w:val="43AB0A9A"/>
    <w:rsid w:val="43C2AFAC"/>
    <w:rsid w:val="43C429BF"/>
    <w:rsid w:val="43D5E3FB"/>
    <w:rsid w:val="43DE02A9"/>
    <w:rsid w:val="43E774F5"/>
    <w:rsid w:val="43E93F18"/>
    <w:rsid w:val="43EFDE57"/>
    <w:rsid w:val="440699B0"/>
    <w:rsid w:val="4413459E"/>
    <w:rsid w:val="441B6237"/>
    <w:rsid w:val="442382E6"/>
    <w:rsid w:val="442B3CE8"/>
    <w:rsid w:val="44378770"/>
    <w:rsid w:val="4448336C"/>
    <w:rsid w:val="44492199"/>
    <w:rsid w:val="444B9F11"/>
    <w:rsid w:val="4451B1D3"/>
    <w:rsid w:val="446B6695"/>
    <w:rsid w:val="44715165"/>
    <w:rsid w:val="44847455"/>
    <w:rsid w:val="448C2967"/>
    <w:rsid w:val="448CA396"/>
    <w:rsid w:val="449613C9"/>
    <w:rsid w:val="449A1EF6"/>
    <w:rsid w:val="449DA4AD"/>
    <w:rsid w:val="44A1AB0F"/>
    <w:rsid w:val="44B0775D"/>
    <w:rsid w:val="44B27609"/>
    <w:rsid w:val="44B39CA6"/>
    <w:rsid w:val="44C0ABD7"/>
    <w:rsid w:val="44C1A7A9"/>
    <w:rsid w:val="44CA0E86"/>
    <w:rsid w:val="44CB0CA2"/>
    <w:rsid w:val="44D982DD"/>
    <w:rsid w:val="44DB627E"/>
    <w:rsid w:val="44E267C4"/>
    <w:rsid w:val="44EAC64F"/>
    <w:rsid w:val="44EE4E6E"/>
    <w:rsid w:val="44F7BDAF"/>
    <w:rsid w:val="4504F1DD"/>
    <w:rsid w:val="4509B64D"/>
    <w:rsid w:val="45106E7E"/>
    <w:rsid w:val="451516C8"/>
    <w:rsid w:val="451A0330"/>
    <w:rsid w:val="451E814B"/>
    <w:rsid w:val="4522E429"/>
    <w:rsid w:val="4527B12D"/>
    <w:rsid w:val="454F09A7"/>
    <w:rsid w:val="45510626"/>
    <w:rsid w:val="455EF08A"/>
    <w:rsid w:val="45606CD0"/>
    <w:rsid w:val="4563FE69"/>
    <w:rsid w:val="456E002B"/>
    <w:rsid w:val="4582958C"/>
    <w:rsid w:val="458374D9"/>
    <w:rsid w:val="458845BC"/>
    <w:rsid w:val="4596DA8C"/>
    <w:rsid w:val="4599AFB1"/>
    <w:rsid w:val="45AB8F15"/>
    <w:rsid w:val="45ACEF35"/>
    <w:rsid w:val="45AFAA7F"/>
    <w:rsid w:val="45B279F1"/>
    <w:rsid w:val="45B91DE8"/>
    <w:rsid w:val="45C06249"/>
    <w:rsid w:val="45C193BA"/>
    <w:rsid w:val="45D7269C"/>
    <w:rsid w:val="45D95D90"/>
    <w:rsid w:val="45DAF146"/>
    <w:rsid w:val="45DD671D"/>
    <w:rsid w:val="45DD6856"/>
    <w:rsid w:val="45DF132A"/>
    <w:rsid w:val="45E346EE"/>
    <w:rsid w:val="45E879D6"/>
    <w:rsid w:val="45ED7D34"/>
    <w:rsid w:val="45F117D0"/>
    <w:rsid w:val="45FDEFB9"/>
    <w:rsid w:val="46186222"/>
    <w:rsid w:val="4620D7E1"/>
    <w:rsid w:val="462516E2"/>
    <w:rsid w:val="46321C39"/>
    <w:rsid w:val="4632FC2C"/>
    <w:rsid w:val="463EE477"/>
    <w:rsid w:val="46577AA2"/>
    <w:rsid w:val="4666EAE6"/>
    <w:rsid w:val="467387A2"/>
    <w:rsid w:val="467E316D"/>
    <w:rsid w:val="4680E921"/>
    <w:rsid w:val="4689A5EA"/>
    <w:rsid w:val="4689AC9E"/>
    <w:rsid w:val="4691F68B"/>
    <w:rsid w:val="46A2B514"/>
    <w:rsid w:val="46D80BC5"/>
    <w:rsid w:val="46DDCFF3"/>
    <w:rsid w:val="46E36373"/>
    <w:rsid w:val="46E52951"/>
    <w:rsid w:val="46F1784A"/>
    <w:rsid w:val="46F5F980"/>
    <w:rsid w:val="46F79600"/>
    <w:rsid w:val="46F9DD6E"/>
    <w:rsid w:val="46FE4B42"/>
    <w:rsid w:val="47098B3B"/>
    <w:rsid w:val="4718212F"/>
    <w:rsid w:val="471E81DD"/>
    <w:rsid w:val="47253066"/>
    <w:rsid w:val="4727858C"/>
    <w:rsid w:val="472AB680"/>
    <w:rsid w:val="472CF359"/>
    <w:rsid w:val="47400B72"/>
    <w:rsid w:val="47403C16"/>
    <w:rsid w:val="474C042E"/>
    <w:rsid w:val="47663E6B"/>
    <w:rsid w:val="47693956"/>
    <w:rsid w:val="47750C04"/>
    <w:rsid w:val="479222E4"/>
    <w:rsid w:val="47975314"/>
    <w:rsid w:val="479F9E4B"/>
    <w:rsid w:val="47A21690"/>
    <w:rsid w:val="47A29397"/>
    <w:rsid w:val="47B0261A"/>
    <w:rsid w:val="47B30C43"/>
    <w:rsid w:val="47BA157E"/>
    <w:rsid w:val="47C0779B"/>
    <w:rsid w:val="47C897F2"/>
    <w:rsid w:val="47C977AD"/>
    <w:rsid w:val="47D33DCB"/>
    <w:rsid w:val="47D4A868"/>
    <w:rsid w:val="47DD1D6C"/>
    <w:rsid w:val="47DD7343"/>
    <w:rsid w:val="47EFF546"/>
    <w:rsid w:val="47F29BBD"/>
    <w:rsid w:val="47FEEAAD"/>
    <w:rsid w:val="4801820C"/>
    <w:rsid w:val="48026887"/>
    <w:rsid w:val="4802906F"/>
    <w:rsid w:val="480864F7"/>
    <w:rsid w:val="480B6674"/>
    <w:rsid w:val="480E6B6A"/>
    <w:rsid w:val="4817F813"/>
    <w:rsid w:val="4818A605"/>
    <w:rsid w:val="48194F08"/>
    <w:rsid w:val="481E2B75"/>
    <w:rsid w:val="482E5D44"/>
    <w:rsid w:val="4835DEFF"/>
    <w:rsid w:val="4850EF62"/>
    <w:rsid w:val="48702F22"/>
    <w:rsid w:val="487C7C6B"/>
    <w:rsid w:val="488072E3"/>
    <w:rsid w:val="4883831B"/>
    <w:rsid w:val="488BB61F"/>
    <w:rsid w:val="48981292"/>
    <w:rsid w:val="489EFC38"/>
    <w:rsid w:val="48A0311A"/>
    <w:rsid w:val="48A352CE"/>
    <w:rsid w:val="48AF8C98"/>
    <w:rsid w:val="48B31477"/>
    <w:rsid w:val="48B60114"/>
    <w:rsid w:val="48BFDB77"/>
    <w:rsid w:val="48C3B37A"/>
    <w:rsid w:val="48C84E43"/>
    <w:rsid w:val="48C8B811"/>
    <w:rsid w:val="48D29017"/>
    <w:rsid w:val="48DC1579"/>
    <w:rsid w:val="48DFD98C"/>
    <w:rsid w:val="48E000DC"/>
    <w:rsid w:val="48EE8765"/>
    <w:rsid w:val="48FA30E9"/>
    <w:rsid w:val="49023D4E"/>
    <w:rsid w:val="4902B693"/>
    <w:rsid w:val="491A6726"/>
    <w:rsid w:val="491C957E"/>
    <w:rsid w:val="49219A0E"/>
    <w:rsid w:val="4921C910"/>
    <w:rsid w:val="4923BE00"/>
    <w:rsid w:val="492CC52B"/>
    <w:rsid w:val="4932E8F4"/>
    <w:rsid w:val="49369C45"/>
    <w:rsid w:val="49397A8B"/>
    <w:rsid w:val="4945427C"/>
    <w:rsid w:val="49520778"/>
    <w:rsid w:val="495369E7"/>
    <w:rsid w:val="4958E835"/>
    <w:rsid w:val="495C95E2"/>
    <w:rsid w:val="495F7C37"/>
    <w:rsid w:val="4977BFFB"/>
    <w:rsid w:val="497DCDAD"/>
    <w:rsid w:val="49875135"/>
    <w:rsid w:val="498EDF69"/>
    <w:rsid w:val="499520FB"/>
    <w:rsid w:val="49A84A98"/>
    <w:rsid w:val="49B9F7A4"/>
    <w:rsid w:val="49CF315B"/>
    <w:rsid w:val="49D24E48"/>
    <w:rsid w:val="49D6768D"/>
    <w:rsid w:val="49D6B926"/>
    <w:rsid w:val="49E6B6EC"/>
    <w:rsid w:val="49E8F149"/>
    <w:rsid w:val="49EE4BCE"/>
    <w:rsid w:val="49EE8159"/>
    <w:rsid w:val="49F3DC25"/>
    <w:rsid w:val="4A075B10"/>
    <w:rsid w:val="4A0C1995"/>
    <w:rsid w:val="4A25A66E"/>
    <w:rsid w:val="4A2A26E0"/>
    <w:rsid w:val="4A314A42"/>
    <w:rsid w:val="4A3C1D1F"/>
    <w:rsid w:val="4A3FB2DA"/>
    <w:rsid w:val="4A55555F"/>
    <w:rsid w:val="4A56A092"/>
    <w:rsid w:val="4A61317F"/>
    <w:rsid w:val="4A6292D2"/>
    <w:rsid w:val="4A72A9D1"/>
    <w:rsid w:val="4A786E4F"/>
    <w:rsid w:val="4A794552"/>
    <w:rsid w:val="4A891945"/>
    <w:rsid w:val="4A932E5B"/>
    <w:rsid w:val="4A934448"/>
    <w:rsid w:val="4A966E9C"/>
    <w:rsid w:val="4AA777DF"/>
    <w:rsid w:val="4AB45E05"/>
    <w:rsid w:val="4ACA647C"/>
    <w:rsid w:val="4ACEF764"/>
    <w:rsid w:val="4AD214BB"/>
    <w:rsid w:val="4AF18612"/>
    <w:rsid w:val="4AFBCE7A"/>
    <w:rsid w:val="4B0EE1FA"/>
    <w:rsid w:val="4B144C25"/>
    <w:rsid w:val="4B15D9A2"/>
    <w:rsid w:val="4B2C09BA"/>
    <w:rsid w:val="4B2F4DA7"/>
    <w:rsid w:val="4B33BE72"/>
    <w:rsid w:val="4B3AF0A2"/>
    <w:rsid w:val="4B4976FA"/>
    <w:rsid w:val="4B4E4062"/>
    <w:rsid w:val="4B596699"/>
    <w:rsid w:val="4B62B89C"/>
    <w:rsid w:val="4B64BFB4"/>
    <w:rsid w:val="4B6FF06E"/>
    <w:rsid w:val="4B72DF0B"/>
    <w:rsid w:val="4B80BC0E"/>
    <w:rsid w:val="4B86DEB8"/>
    <w:rsid w:val="4B8B19DF"/>
    <w:rsid w:val="4B96440B"/>
    <w:rsid w:val="4B992F66"/>
    <w:rsid w:val="4BA1FA92"/>
    <w:rsid w:val="4BA5434B"/>
    <w:rsid w:val="4BA606FA"/>
    <w:rsid w:val="4BAFB2A2"/>
    <w:rsid w:val="4BB1C461"/>
    <w:rsid w:val="4BB6B25C"/>
    <w:rsid w:val="4BC3266A"/>
    <w:rsid w:val="4BC9398F"/>
    <w:rsid w:val="4BCC1255"/>
    <w:rsid w:val="4BDE8DA3"/>
    <w:rsid w:val="4BDF2417"/>
    <w:rsid w:val="4BE31E0B"/>
    <w:rsid w:val="4BEEC88C"/>
    <w:rsid w:val="4BF21CE0"/>
    <w:rsid w:val="4BF4FDAA"/>
    <w:rsid w:val="4BF5CDBE"/>
    <w:rsid w:val="4BFD0861"/>
    <w:rsid w:val="4C1DB3F5"/>
    <w:rsid w:val="4C1FDD75"/>
    <w:rsid w:val="4C2CD66E"/>
    <w:rsid w:val="4C2E1A17"/>
    <w:rsid w:val="4C305B5D"/>
    <w:rsid w:val="4C31A3DE"/>
    <w:rsid w:val="4C360737"/>
    <w:rsid w:val="4C53F6C5"/>
    <w:rsid w:val="4C5EC17D"/>
    <w:rsid w:val="4C63DCC0"/>
    <w:rsid w:val="4C85178B"/>
    <w:rsid w:val="4C860160"/>
    <w:rsid w:val="4C92F2B6"/>
    <w:rsid w:val="4C95AC5D"/>
    <w:rsid w:val="4C9BDA45"/>
    <w:rsid w:val="4CAC278D"/>
    <w:rsid w:val="4CB4E564"/>
    <w:rsid w:val="4CC3D50F"/>
    <w:rsid w:val="4CD015F2"/>
    <w:rsid w:val="4CD9B072"/>
    <w:rsid w:val="4CDF1CF7"/>
    <w:rsid w:val="4CE1457A"/>
    <w:rsid w:val="4CE4617F"/>
    <w:rsid w:val="4CE72FEB"/>
    <w:rsid w:val="4CE80358"/>
    <w:rsid w:val="4CECE180"/>
    <w:rsid w:val="4CF3E5FA"/>
    <w:rsid w:val="4CF83C08"/>
    <w:rsid w:val="4CF91251"/>
    <w:rsid w:val="4CFBB272"/>
    <w:rsid w:val="4CFCB45F"/>
    <w:rsid w:val="4D03169B"/>
    <w:rsid w:val="4D05FE11"/>
    <w:rsid w:val="4D067E65"/>
    <w:rsid w:val="4D0748CF"/>
    <w:rsid w:val="4D138D57"/>
    <w:rsid w:val="4D178E80"/>
    <w:rsid w:val="4D1DB6D0"/>
    <w:rsid w:val="4D225470"/>
    <w:rsid w:val="4D26F7C9"/>
    <w:rsid w:val="4D27BF5B"/>
    <w:rsid w:val="4D280E4F"/>
    <w:rsid w:val="4D304727"/>
    <w:rsid w:val="4D3BCF03"/>
    <w:rsid w:val="4D55D036"/>
    <w:rsid w:val="4D55F1E7"/>
    <w:rsid w:val="4D5732C1"/>
    <w:rsid w:val="4D606135"/>
    <w:rsid w:val="4D627B86"/>
    <w:rsid w:val="4D658E83"/>
    <w:rsid w:val="4D6681F1"/>
    <w:rsid w:val="4D6D8DEC"/>
    <w:rsid w:val="4D7549E1"/>
    <w:rsid w:val="4D9A693D"/>
    <w:rsid w:val="4DA30868"/>
    <w:rsid w:val="4DADFA62"/>
    <w:rsid w:val="4DB8091C"/>
    <w:rsid w:val="4DC5F516"/>
    <w:rsid w:val="4DCC12DD"/>
    <w:rsid w:val="4DD2E7EB"/>
    <w:rsid w:val="4DDCAB00"/>
    <w:rsid w:val="4DEE0AEA"/>
    <w:rsid w:val="4DEE689C"/>
    <w:rsid w:val="4DEF0D7E"/>
    <w:rsid w:val="4DF26531"/>
    <w:rsid w:val="4DF80F5E"/>
    <w:rsid w:val="4DF887B9"/>
    <w:rsid w:val="4DFCD512"/>
    <w:rsid w:val="4DFEBD82"/>
    <w:rsid w:val="4E0136AE"/>
    <w:rsid w:val="4E057D3A"/>
    <w:rsid w:val="4E09A343"/>
    <w:rsid w:val="4E1242EA"/>
    <w:rsid w:val="4E1395A6"/>
    <w:rsid w:val="4E13C46B"/>
    <w:rsid w:val="4E14778B"/>
    <w:rsid w:val="4E2B4C87"/>
    <w:rsid w:val="4E3845BF"/>
    <w:rsid w:val="4E39AEDF"/>
    <w:rsid w:val="4E3C2C1F"/>
    <w:rsid w:val="4E502502"/>
    <w:rsid w:val="4E673846"/>
    <w:rsid w:val="4E718699"/>
    <w:rsid w:val="4E7294C6"/>
    <w:rsid w:val="4E75CDE6"/>
    <w:rsid w:val="4E7BED63"/>
    <w:rsid w:val="4E8E47CB"/>
    <w:rsid w:val="4E9E0652"/>
    <w:rsid w:val="4EB6164F"/>
    <w:rsid w:val="4EBA0DFB"/>
    <w:rsid w:val="4EC04C3F"/>
    <w:rsid w:val="4EC8C3AF"/>
    <w:rsid w:val="4ECA6016"/>
    <w:rsid w:val="4ECBDE36"/>
    <w:rsid w:val="4EE5E2CC"/>
    <w:rsid w:val="4EED3DF1"/>
    <w:rsid w:val="4EF84256"/>
    <w:rsid w:val="4EF8D131"/>
    <w:rsid w:val="4F0BB762"/>
    <w:rsid w:val="4F155D4D"/>
    <w:rsid w:val="4F15AEC8"/>
    <w:rsid w:val="4F206914"/>
    <w:rsid w:val="4F22C62C"/>
    <w:rsid w:val="4F2407B5"/>
    <w:rsid w:val="4F24230C"/>
    <w:rsid w:val="4F2FB0E8"/>
    <w:rsid w:val="4F31F717"/>
    <w:rsid w:val="4F3B7BBF"/>
    <w:rsid w:val="4F488D6C"/>
    <w:rsid w:val="4F6301A9"/>
    <w:rsid w:val="4F6E816A"/>
    <w:rsid w:val="4F797BB0"/>
    <w:rsid w:val="4F7F32FD"/>
    <w:rsid w:val="4F8A371D"/>
    <w:rsid w:val="4F91222D"/>
    <w:rsid w:val="4F92A000"/>
    <w:rsid w:val="4FABDD4A"/>
    <w:rsid w:val="4FDD00EC"/>
    <w:rsid w:val="4FEB1232"/>
    <w:rsid w:val="4FECBE8A"/>
    <w:rsid w:val="4FF21266"/>
    <w:rsid w:val="4FFC4B51"/>
    <w:rsid w:val="4FFF36D1"/>
    <w:rsid w:val="50028935"/>
    <w:rsid w:val="5007A61B"/>
    <w:rsid w:val="5022271E"/>
    <w:rsid w:val="5025AEAF"/>
    <w:rsid w:val="50356B2E"/>
    <w:rsid w:val="50389645"/>
    <w:rsid w:val="503CA00F"/>
    <w:rsid w:val="50540525"/>
    <w:rsid w:val="5055640B"/>
    <w:rsid w:val="505DA01B"/>
    <w:rsid w:val="505FA701"/>
    <w:rsid w:val="50689001"/>
    <w:rsid w:val="507844BC"/>
    <w:rsid w:val="507FC0C5"/>
    <w:rsid w:val="5081A797"/>
    <w:rsid w:val="508406C1"/>
    <w:rsid w:val="50894DD6"/>
    <w:rsid w:val="508FE518"/>
    <w:rsid w:val="5094454D"/>
    <w:rsid w:val="509ADF09"/>
    <w:rsid w:val="50A36378"/>
    <w:rsid w:val="50A6AB87"/>
    <w:rsid w:val="50AA83C7"/>
    <w:rsid w:val="50B66123"/>
    <w:rsid w:val="50B6EB90"/>
    <w:rsid w:val="50B70114"/>
    <w:rsid w:val="50C299FF"/>
    <w:rsid w:val="50C72C97"/>
    <w:rsid w:val="50CA12CB"/>
    <w:rsid w:val="50CA7C75"/>
    <w:rsid w:val="50CC3034"/>
    <w:rsid w:val="50DFD075"/>
    <w:rsid w:val="50F7B19A"/>
    <w:rsid w:val="5100CAF8"/>
    <w:rsid w:val="5107597D"/>
    <w:rsid w:val="51182FF7"/>
    <w:rsid w:val="512AC9C1"/>
    <w:rsid w:val="5135AFB7"/>
    <w:rsid w:val="5138198D"/>
    <w:rsid w:val="513F6F3F"/>
    <w:rsid w:val="5140AB30"/>
    <w:rsid w:val="51654066"/>
    <w:rsid w:val="516E6097"/>
    <w:rsid w:val="51725E44"/>
    <w:rsid w:val="51745207"/>
    <w:rsid w:val="5174AE3F"/>
    <w:rsid w:val="51752D88"/>
    <w:rsid w:val="517C6F83"/>
    <w:rsid w:val="518887B8"/>
    <w:rsid w:val="5192886D"/>
    <w:rsid w:val="519D4F7A"/>
    <w:rsid w:val="519F58DB"/>
    <w:rsid w:val="51B388EC"/>
    <w:rsid w:val="51B55A4E"/>
    <w:rsid w:val="51BE5834"/>
    <w:rsid w:val="51C2E76D"/>
    <w:rsid w:val="51D9E0E0"/>
    <w:rsid w:val="51E79511"/>
    <w:rsid w:val="51EFB78F"/>
    <w:rsid w:val="52006832"/>
    <w:rsid w:val="5203AA63"/>
    <w:rsid w:val="521B91A1"/>
    <w:rsid w:val="521E1408"/>
    <w:rsid w:val="52206E10"/>
    <w:rsid w:val="52422E04"/>
    <w:rsid w:val="52462227"/>
    <w:rsid w:val="524D020B"/>
    <w:rsid w:val="524F7C8F"/>
    <w:rsid w:val="525570A0"/>
    <w:rsid w:val="5256B99A"/>
    <w:rsid w:val="5257E366"/>
    <w:rsid w:val="5259FD69"/>
    <w:rsid w:val="525A6B69"/>
    <w:rsid w:val="525C6DF9"/>
    <w:rsid w:val="526669DF"/>
    <w:rsid w:val="526C5089"/>
    <w:rsid w:val="526D7654"/>
    <w:rsid w:val="526EB091"/>
    <w:rsid w:val="5273849B"/>
    <w:rsid w:val="527D10C1"/>
    <w:rsid w:val="528116C4"/>
    <w:rsid w:val="528F822C"/>
    <w:rsid w:val="52989C54"/>
    <w:rsid w:val="52A37600"/>
    <w:rsid w:val="52A87A8A"/>
    <w:rsid w:val="52BA5EE5"/>
    <w:rsid w:val="52D27ACE"/>
    <w:rsid w:val="52D9348D"/>
    <w:rsid w:val="52DE4D2F"/>
    <w:rsid w:val="52E0D73A"/>
    <w:rsid w:val="52EFEFAC"/>
    <w:rsid w:val="52F4C681"/>
    <w:rsid w:val="52F81562"/>
    <w:rsid w:val="52FA0AB6"/>
    <w:rsid w:val="530AD9A3"/>
    <w:rsid w:val="530BC036"/>
    <w:rsid w:val="53331750"/>
    <w:rsid w:val="533C7911"/>
    <w:rsid w:val="534053A3"/>
    <w:rsid w:val="534A4BDA"/>
    <w:rsid w:val="53538147"/>
    <w:rsid w:val="5356F330"/>
    <w:rsid w:val="535CE602"/>
    <w:rsid w:val="536E9A33"/>
    <w:rsid w:val="5377C4CF"/>
    <w:rsid w:val="537BBD6D"/>
    <w:rsid w:val="537C296F"/>
    <w:rsid w:val="5384B895"/>
    <w:rsid w:val="53889B4C"/>
    <w:rsid w:val="538D3D54"/>
    <w:rsid w:val="538FA1F6"/>
    <w:rsid w:val="53937A14"/>
    <w:rsid w:val="5393BD25"/>
    <w:rsid w:val="539BF2B4"/>
    <w:rsid w:val="539E15E7"/>
    <w:rsid w:val="53AAF5BA"/>
    <w:rsid w:val="53AB33A6"/>
    <w:rsid w:val="53AC4291"/>
    <w:rsid w:val="53AF08E7"/>
    <w:rsid w:val="53B33664"/>
    <w:rsid w:val="53C1F590"/>
    <w:rsid w:val="53C93E24"/>
    <w:rsid w:val="53D4A06B"/>
    <w:rsid w:val="53E768B8"/>
    <w:rsid w:val="53EAF7F1"/>
    <w:rsid w:val="53F2F86E"/>
    <w:rsid w:val="53F5DA10"/>
    <w:rsid w:val="541AF562"/>
    <w:rsid w:val="541C8706"/>
    <w:rsid w:val="541E1052"/>
    <w:rsid w:val="542A2A4F"/>
    <w:rsid w:val="542CA6D6"/>
    <w:rsid w:val="542D7DFA"/>
    <w:rsid w:val="543636AE"/>
    <w:rsid w:val="543B0118"/>
    <w:rsid w:val="5442706E"/>
    <w:rsid w:val="544D1455"/>
    <w:rsid w:val="54557FD8"/>
    <w:rsid w:val="5455CD41"/>
    <w:rsid w:val="545EFF05"/>
    <w:rsid w:val="54685CF8"/>
    <w:rsid w:val="54882359"/>
    <w:rsid w:val="548C6A71"/>
    <w:rsid w:val="549AC489"/>
    <w:rsid w:val="54CC4AB6"/>
    <w:rsid w:val="54D04714"/>
    <w:rsid w:val="54D48AEE"/>
    <w:rsid w:val="54DBEE26"/>
    <w:rsid w:val="54FF1B9E"/>
    <w:rsid w:val="550D3BF9"/>
    <w:rsid w:val="55106294"/>
    <w:rsid w:val="553DC0FC"/>
    <w:rsid w:val="554419C2"/>
    <w:rsid w:val="55464A6A"/>
    <w:rsid w:val="55567AF2"/>
    <w:rsid w:val="5557431A"/>
    <w:rsid w:val="5557C8AA"/>
    <w:rsid w:val="5566C736"/>
    <w:rsid w:val="556CA8DB"/>
    <w:rsid w:val="5573F9A3"/>
    <w:rsid w:val="55741DFD"/>
    <w:rsid w:val="557C8159"/>
    <w:rsid w:val="55833F34"/>
    <w:rsid w:val="558800CA"/>
    <w:rsid w:val="5589744C"/>
    <w:rsid w:val="558A842D"/>
    <w:rsid w:val="559445B5"/>
    <w:rsid w:val="55A0CC9E"/>
    <w:rsid w:val="55A69A82"/>
    <w:rsid w:val="55AD4D5A"/>
    <w:rsid w:val="55AE1E59"/>
    <w:rsid w:val="55D5B26A"/>
    <w:rsid w:val="55DBC858"/>
    <w:rsid w:val="55DDA939"/>
    <w:rsid w:val="55E31B16"/>
    <w:rsid w:val="55E9A82D"/>
    <w:rsid w:val="55FAB08F"/>
    <w:rsid w:val="56069862"/>
    <w:rsid w:val="5607E540"/>
    <w:rsid w:val="5611B384"/>
    <w:rsid w:val="56125E7A"/>
    <w:rsid w:val="56166690"/>
    <w:rsid w:val="561B233F"/>
    <w:rsid w:val="5627DD3F"/>
    <w:rsid w:val="56313889"/>
    <w:rsid w:val="563A27D4"/>
    <w:rsid w:val="563C598F"/>
    <w:rsid w:val="563CD486"/>
    <w:rsid w:val="563DA38D"/>
    <w:rsid w:val="56461FE9"/>
    <w:rsid w:val="5646502C"/>
    <w:rsid w:val="564D9FE6"/>
    <w:rsid w:val="565A1C02"/>
    <w:rsid w:val="566541FE"/>
    <w:rsid w:val="566EA2B9"/>
    <w:rsid w:val="56702D70"/>
    <w:rsid w:val="567744B4"/>
    <w:rsid w:val="5685CFF8"/>
    <w:rsid w:val="569166CE"/>
    <w:rsid w:val="5693C51F"/>
    <w:rsid w:val="56A13C52"/>
    <w:rsid w:val="56A62E87"/>
    <w:rsid w:val="56A7732C"/>
    <w:rsid w:val="56B16C98"/>
    <w:rsid w:val="56B7E5FA"/>
    <w:rsid w:val="56B9865D"/>
    <w:rsid w:val="56BB25C2"/>
    <w:rsid w:val="56D64930"/>
    <w:rsid w:val="56DD137D"/>
    <w:rsid w:val="56E549FB"/>
    <w:rsid w:val="56F281F2"/>
    <w:rsid w:val="56FB6186"/>
    <w:rsid w:val="570869FB"/>
    <w:rsid w:val="570B7695"/>
    <w:rsid w:val="5713D444"/>
    <w:rsid w:val="5715A5A4"/>
    <w:rsid w:val="5721C31D"/>
    <w:rsid w:val="572D1115"/>
    <w:rsid w:val="572E09AC"/>
    <w:rsid w:val="5745340F"/>
    <w:rsid w:val="5753498E"/>
    <w:rsid w:val="575B259B"/>
    <w:rsid w:val="575D1A16"/>
    <w:rsid w:val="575DB5A5"/>
    <w:rsid w:val="57793F21"/>
    <w:rsid w:val="577EF2B2"/>
    <w:rsid w:val="5788D827"/>
    <w:rsid w:val="57973399"/>
    <w:rsid w:val="57A24699"/>
    <w:rsid w:val="57A3D73D"/>
    <w:rsid w:val="57B2CAD4"/>
    <w:rsid w:val="57C23BDA"/>
    <w:rsid w:val="57C7F6CC"/>
    <w:rsid w:val="57D5F88F"/>
    <w:rsid w:val="57D958D7"/>
    <w:rsid w:val="57F3BDBB"/>
    <w:rsid w:val="57FFDDFB"/>
    <w:rsid w:val="580E6288"/>
    <w:rsid w:val="581B51A2"/>
    <w:rsid w:val="581E08C4"/>
    <w:rsid w:val="582554B7"/>
    <w:rsid w:val="58328C89"/>
    <w:rsid w:val="583813D0"/>
    <w:rsid w:val="583E0496"/>
    <w:rsid w:val="58553DD7"/>
    <w:rsid w:val="585D223D"/>
    <w:rsid w:val="586F644C"/>
    <w:rsid w:val="58778AE6"/>
    <w:rsid w:val="587BEAC7"/>
    <w:rsid w:val="587EF60D"/>
    <w:rsid w:val="5894197A"/>
    <w:rsid w:val="58B337FE"/>
    <w:rsid w:val="58B75734"/>
    <w:rsid w:val="58B85233"/>
    <w:rsid w:val="58C72EF3"/>
    <w:rsid w:val="58CA2325"/>
    <w:rsid w:val="58CA8A5A"/>
    <w:rsid w:val="58D44BE2"/>
    <w:rsid w:val="58DC1322"/>
    <w:rsid w:val="58DFEFE8"/>
    <w:rsid w:val="58E239F0"/>
    <w:rsid w:val="58E330DA"/>
    <w:rsid w:val="58E4ABED"/>
    <w:rsid w:val="58EA11A3"/>
    <w:rsid w:val="58EABABF"/>
    <w:rsid w:val="58F0E843"/>
    <w:rsid w:val="58FE6A49"/>
    <w:rsid w:val="5907905F"/>
    <w:rsid w:val="591252FC"/>
    <w:rsid w:val="591DF3CB"/>
    <w:rsid w:val="5924220B"/>
    <w:rsid w:val="592992CC"/>
    <w:rsid w:val="592F427F"/>
    <w:rsid w:val="593697D6"/>
    <w:rsid w:val="59383009"/>
    <w:rsid w:val="5942310F"/>
    <w:rsid w:val="5943178D"/>
    <w:rsid w:val="5948FB2D"/>
    <w:rsid w:val="594E1047"/>
    <w:rsid w:val="5954C33B"/>
    <w:rsid w:val="5971F5FE"/>
    <w:rsid w:val="59947AA5"/>
    <w:rsid w:val="5998700D"/>
    <w:rsid w:val="599C29BB"/>
    <w:rsid w:val="59AFBDBE"/>
    <w:rsid w:val="59CDAE0E"/>
    <w:rsid w:val="59DDF1B3"/>
    <w:rsid w:val="59ECDE70"/>
    <w:rsid w:val="59F119B7"/>
    <w:rsid w:val="5A0230A1"/>
    <w:rsid w:val="5A0E83B7"/>
    <w:rsid w:val="5A10912D"/>
    <w:rsid w:val="5A1B5F6A"/>
    <w:rsid w:val="5A1D95CF"/>
    <w:rsid w:val="5A2752A3"/>
    <w:rsid w:val="5A410C69"/>
    <w:rsid w:val="5A484354"/>
    <w:rsid w:val="5A49E3BB"/>
    <w:rsid w:val="5A4AA1DA"/>
    <w:rsid w:val="5A4F6BAA"/>
    <w:rsid w:val="5A676B03"/>
    <w:rsid w:val="5A766A91"/>
    <w:rsid w:val="5A79DA57"/>
    <w:rsid w:val="5A79FC31"/>
    <w:rsid w:val="5A7FAE84"/>
    <w:rsid w:val="5A839222"/>
    <w:rsid w:val="5A84BB2B"/>
    <w:rsid w:val="5A97B780"/>
    <w:rsid w:val="5AA9833C"/>
    <w:rsid w:val="5AAA4148"/>
    <w:rsid w:val="5AAC09B6"/>
    <w:rsid w:val="5AAF64D3"/>
    <w:rsid w:val="5ABB2B0C"/>
    <w:rsid w:val="5AD8EC61"/>
    <w:rsid w:val="5AF814C8"/>
    <w:rsid w:val="5AFCDACE"/>
    <w:rsid w:val="5AFE1BE0"/>
    <w:rsid w:val="5B112394"/>
    <w:rsid w:val="5B161202"/>
    <w:rsid w:val="5B1CFF24"/>
    <w:rsid w:val="5B1EC97D"/>
    <w:rsid w:val="5B2B3E91"/>
    <w:rsid w:val="5B2D4838"/>
    <w:rsid w:val="5B3174F4"/>
    <w:rsid w:val="5B436106"/>
    <w:rsid w:val="5B594805"/>
    <w:rsid w:val="5B5AD2EE"/>
    <w:rsid w:val="5B5C6F25"/>
    <w:rsid w:val="5B6ADB47"/>
    <w:rsid w:val="5B7E8BA8"/>
    <w:rsid w:val="5B7FA4EB"/>
    <w:rsid w:val="5B7FA9C0"/>
    <w:rsid w:val="5B8811DB"/>
    <w:rsid w:val="5B9E2CF1"/>
    <w:rsid w:val="5BA5C3A4"/>
    <w:rsid w:val="5BA6C684"/>
    <w:rsid w:val="5BABE64E"/>
    <w:rsid w:val="5BC839A9"/>
    <w:rsid w:val="5BCEE2D6"/>
    <w:rsid w:val="5BD2EA49"/>
    <w:rsid w:val="5BD529D1"/>
    <w:rsid w:val="5BD8BCB0"/>
    <w:rsid w:val="5BDE4EAE"/>
    <w:rsid w:val="5BF0C215"/>
    <w:rsid w:val="5BFC23FB"/>
    <w:rsid w:val="5BFD18F5"/>
    <w:rsid w:val="5BFF0953"/>
    <w:rsid w:val="5C0721FD"/>
    <w:rsid w:val="5C196A1B"/>
    <w:rsid w:val="5C1F6D71"/>
    <w:rsid w:val="5C2086E8"/>
    <w:rsid w:val="5C3279F4"/>
    <w:rsid w:val="5C3583E5"/>
    <w:rsid w:val="5C3ECFD9"/>
    <w:rsid w:val="5C441DE4"/>
    <w:rsid w:val="5C448682"/>
    <w:rsid w:val="5C607DC9"/>
    <w:rsid w:val="5C62BFB2"/>
    <w:rsid w:val="5C6C74F3"/>
    <w:rsid w:val="5C6D86B7"/>
    <w:rsid w:val="5C6F0E44"/>
    <w:rsid w:val="5C86341A"/>
    <w:rsid w:val="5C8AA034"/>
    <w:rsid w:val="5C91FBA3"/>
    <w:rsid w:val="5C983968"/>
    <w:rsid w:val="5CB1D25D"/>
    <w:rsid w:val="5CB9009F"/>
    <w:rsid w:val="5CBA4880"/>
    <w:rsid w:val="5CCD0D46"/>
    <w:rsid w:val="5CDC37B1"/>
    <w:rsid w:val="5CE06F24"/>
    <w:rsid w:val="5CE32D62"/>
    <w:rsid w:val="5CF656A6"/>
    <w:rsid w:val="5CF6B295"/>
    <w:rsid w:val="5D014D73"/>
    <w:rsid w:val="5D085765"/>
    <w:rsid w:val="5D21C3B6"/>
    <w:rsid w:val="5D2B63E9"/>
    <w:rsid w:val="5D36E85B"/>
    <w:rsid w:val="5D38297E"/>
    <w:rsid w:val="5D3D1E79"/>
    <w:rsid w:val="5D4AAFA9"/>
    <w:rsid w:val="5D6BB332"/>
    <w:rsid w:val="5D718ACD"/>
    <w:rsid w:val="5D75C363"/>
    <w:rsid w:val="5D7AA8ED"/>
    <w:rsid w:val="5D7F7B93"/>
    <w:rsid w:val="5D975B7C"/>
    <w:rsid w:val="5DAFBC93"/>
    <w:rsid w:val="5DB1C970"/>
    <w:rsid w:val="5DC2990B"/>
    <w:rsid w:val="5DC43611"/>
    <w:rsid w:val="5DCBBBED"/>
    <w:rsid w:val="5DCE764C"/>
    <w:rsid w:val="5DD0FC9F"/>
    <w:rsid w:val="5DE11AFF"/>
    <w:rsid w:val="5DF0D459"/>
    <w:rsid w:val="5DF1DAF2"/>
    <w:rsid w:val="5DFC5669"/>
    <w:rsid w:val="5E1F6C74"/>
    <w:rsid w:val="5E38FBA2"/>
    <w:rsid w:val="5E3AFABF"/>
    <w:rsid w:val="5E47DB62"/>
    <w:rsid w:val="5E4B2E34"/>
    <w:rsid w:val="5E4E37F4"/>
    <w:rsid w:val="5E50F5A5"/>
    <w:rsid w:val="5E584DF6"/>
    <w:rsid w:val="5E5FE108"/>
    <w:rsid w:val="5E64DBB2"/>
    <w:rsid w:val="5E73FD60"/>
    <w:rsid w:val="5E7ACFDA"/>
    <w:rsid w:val="5E7E6F08"/>
    <w:rsid w:val="5E7F7B74"/>
    <w:rsid w:val="5E893393"/>
    <w:rsid w:val="5E90005A"/>
    <w:rsid w:val="5E915A6A"/>
    <w:rsid w:val="5E94450E"/>
    <w:rsid w:val="5EA16F9E"/>
    <w:rsid w:val="5EA8CE2E"/>
    <w:rsid w:val="5EB74F62"/>
    <w:rsid w:val="5EE0CDA7"/>
    <w:rsid w:val="5EE78DCB"/>
    <w:rsid w:val="5EF4AA80"/>
    <w:rsid w:val="5F13EB95"/>
    <w:rsid w:val="5F1AB1FA"/>
    <w:rsid w:val="5F259BD0"/>
    <w:rsid w:val="5F279828"/>
    <w:rsid w:val="5F282C52"/>
    <w:rsid w:val="5F301D66"/>
    <w:rsid w:val="5F31FEE7"/>
    <w:rsid w:val="5F38423D"/>
    <w:rsid w:val="5F47901F"/>
    <w:rsid w:val="5F4FFAA3"/>
    <w:rsid w:val="5F5E3993"/>
    <w:rsid w:val="5F61CDAA"/>
    <w:rsid w:val="5F7145AB"/>
    <w:rsid w:val="5F750B97"/>
    <w:rsid w:val="5F75A9FE"/>
    <w:rsid w:val="5F7C2094"/>
    <w:rsid w:val="5F7FE3FA"/>
    <w:rsid w:val="5F854A11"/>
    <w:rsid w:val="5F897D99"/>
    <w:rsid w:val="5F9703D0"/>
    <w:rsid w:val="5F99A88E"/>
    <w:rsid w:val="5F9DA467"/>
    <w:rsid w:val="5F9ECFAF"/>
    <w:rsid w:val="5FA2C050"/>
    <w:rsid w:val="5FA78D95"/>
    <w:rsid w:val="5FB3E0C3"/>
    <w:rsid w:val="5FBDF7C0"/>
    <w:rsid w:val="5FC45396"/>
    <w:rsid w:val="5FCC3755"/>
    <w:rsid w:val="5FE1B4D7"/>
    <w:rsid w:val="5FE47996"/>
    <w:rsid w:val="5FE667D5"/>
    <w:rsid w:val="5FE8B43D"/>
    <w:rsid w:val="5FEC3C86"/>
    <w:rsid w:val="5FEC40FA"/>
    <w:rsid w:val="5FF4063C"/>
    <w:rsid w:val="5FF56351"/>
    <w:rsid w:val="5FF841FD"/>
    <w:rsid w:val="60137474"/>
    <w:rsid w:val="601683DF"/>
    <w:rsid w:val="601749AA"/>
    <w:rsid w:val="6041CD81"/>
    <w:rsid w:val="6051B5F8"/>
    <w:rsid w:val="605B8E2F"/>
    <w:rsid w:val="606656BC"/>
    <w:rsid w:val="606C3FA7"/>
    <w:rsid w:val="606EEF83"/>
    <w:rsid w:val="607AF7F0"/>
    <w:rsid w:val="6083014D"/>
    <w:rsid w:val="60876BB7"/>
    <w:rsid w:val="608A0EE6"/>
    <w:rsid w:val="608B58E7"/>
    <w:rsid w:val="608C0490"/>
    <w:rsid w:val="6095F7C9"/>
    <w:rsid w:val="6096BC1C"/>
    <w:rsid w:val="609D62B6"/>
    <w:rsid w:val="609E23F5"/>
    <w:rsid w:val="609E384F"/>
    <w:rsid w:val="609EC810"/>
    <w:rsid w:val="609EFFD8"/>
    <w:rsid w:val="60B6C7D2"/>
    <w:rsid w:val="60CC9870"/>
    <w:rsid w:val="60D49260"/>
    <w:rsid w:val="60D51350"/>
    <w:rsid w:val="60E61434"/>
    <w:rsid w:val="60EA8763"/>
    <w:rsid w:val="60EEDF5F"/>
    <w:rsid w:val="60F49BBF"/>
    <w:rsid w:val="60F8712C"/>
    <w:rsid w:val="61026E8B"/>
    <w:rsid w:val="6139B2A8"/>
    <w:rsid w:val="61454957"/>
    <w:rsid w:val="614E2E81"/>
    <w:rsid w:val="614FFC65"/>
    <w:rsid w:val="615348F4"/>
    <w:rsid w:val="6165462C"/>
    <w:rsid w:val="61679AA6"/>
    <w:rsid w:val="6168A8B9"/>
    <w:rsid w:val="616A3276"/>
    <w:rsid w:val="617ED687"/>
    <w:rsid w:val="6180323B"/>
    <w:rsid w:val="6187BE6A"/>
    <w:rsid w:val="6189702B"/>
    <w:rsid w:val="619ACAAE"/>
    <w:rsid w:val="61A81531"/>
    <w:rsid w:val="61ACCADF"/>
    <w:rsid w:val="61B87F21"/>
    <w:rsid w:val="61CD2634"/>
    <w:rsid w:val="61DA814A"/>
    <w:rsid w:val="61E52D97"/>
    <w:rsid w:val="61EBC20C"/>
    <w:rsid w:val="61F044D3"/>
    <w:rsid w:val="61F46A02"/>
    <w:rsid w:val="6201023A"/>
    <w:rsid w:val="62028FDC"/>
    <w:rsid w:val="621292B1"/>
    <w:rsid w:val="6226523B"/>
    <w:rsid w:val="62455A6B"/>
    <w:rsid w:val="6248116E"/>
    <w:rsid w:val="624EC607"/>
    <w:rsid w:val="626E70A6"/>
    <w:rsid w:val="6271129E"/>
    <w:rsid w:val="6272CF4C"/>
    <w:rsid w:val="62761F3F"/>
    <w:rsid w:val="627B0202"/>
    <w:rsid w:val="627E29BC"/>
    <w:rsid w:val="6282D9EF"/>
    <w:rsid w:val="62830A8F"/>
    <w:rsid w:val="62862C17"/>
    <w:rsid w:val="62894199"/>
    <w:rsid w:val="6294A60B"/>
    <w:rsid w:val="62984903"/>
    <w:rsid w:val="629A6A62"/>
    <w:rsid w:val="62A190C4"/>
    <w:rsid w:val="62A20382"/>
    <w:rsid w:val="62A6F922"/>
    <w:rsid w:val="62BB390E"/>
    <w:rsid w:val="62C202DB"/>
    <w:rsid w:val="62D943A6"/>
    <w:rsid w:val="62F38A1B"/>
    <w:rsid w:val="62F4120D"/>
    <w:rsid w:val="62FB1C0F"/>
    <w:rsid w:val="62FDC131"/>
    <w:rsid w:val="63012233"/>
    <w:rsid w:val="63053120"/>
    <w:rsid w:val="63179752"/>
    <w:rsid w:val="631930AA"/>
    <w:rsid w:val="631AC67B"/>
    <w:rsid w:val="63312863"/>
    <w:rsid w:val="63317F98"/>
    <w:rsid w:val="633B9CD9"/>
    <w:rsid w:val="63433C85"/>
    <w:rsid w:val="634CE38B"/>
    <w:rsid w:val="634FCBC7"/>
    <w:rsid w:val="63594A52"/>
    <w:rsid w:val="63596607"/>
    <w:rsid w:val="635AB066"/>
    <w:rsid w:val="636F04FD"/>
    <w:rsid w:val="6389395A"/>
    <w:rsid w:val="63920E84"/>
    <w:rsid w:val="6394C304"/>
    <w:rsid w:val="639598EC"/>
    <w:rsid w:val="63968BC2"/>
    <w:rsid w:val="6398000C"/>
    <w:rsid w:val="63996908"/>
    <w:rsid w:val="6399AD2B"/>
    <w:rsid w:val="639CDF77"/>
    <w:rsid w:val="639FA779"/>
    <w:rsid w:val="63A0A71D"/>
    <w:rsid w:val="63A1574B"/>
    <w:rsid w:val="63A9985F"/>
    <w:rsid w:val="63CAB55A"/>
    <w:rsid w:val="63CE36EF"/>
    <w:rsid w:val="63D0FEE3"/>
    <w:rsid w:val="63D10814"/>
    <w:rsid w:val="63D58A57"/>
    <w:rsid w:val="63E109BB"/>
    <w:rsid w:val="63E63B6C"/>
    <w:rsid w:val="63E7A765"/>
    <w:rsid w:val="63F5E1D4"/>
    <w:rsid w:val="6405A961"/>
    <w:rsid w:val="64092DD0"/>
    <w:rsid w:val="640B55AB"/>
    <w:rsid w:val="640CA5A8"/>
    <w:rsid w:val="640DC110"/>
    <w:rsid w:val="6412AF59"/>
    <w:rsid w:val="64145D2A"/>
    <w:rsid w:val="64177114"/>
    <w:rsid w:val="641773E4"/>
    <w:rsid w:val="6417F38F"/>
    <w:rsid w:val="642F483E"/>
    <w:rsid w:val="64319144"/>
    <w:rsid w:val="6432E214"/>
    <w:rsid w:val="6439F172"/>
    <w:rsid w:val="643BE60C"/>
    <w:rsid w:val="643C8BCC"/>
    <w:rsid w:val="6441D9CE"/>
    <w:rsid w:val="6445CF48"/>
    <w:rsid w:val="644715D5"/>
    <w:rsid w:val="64478D8E"/>
    <w:rsid w:val="64499C54"/>
    <w:rsid w:val="6457BDC9"/>
    <w:rsid w:val="64660EEC"/>
    <w:rsid w:val="6476341D"/>
    <w:rsid w:val="647B0699"/>
    <w:rsid w:val="648B0BB0"/>
    <w:rsid w:val="649EFC85"/>
    <w:rsid w:val="649F824C"/>
    <w:rsid w:val="64A07DF4"/>
    <w:rsid w:val="64AC17B1"/>
    <w:rsid w:val="64B03BC0"/>
    <w:rsid w:val="64B10D18"/>
    <w:rsid w:val="64BE90A8"/>
    <w:rsid w:val="64C290FB"/>
    <w:rsid w:val="64CF46A4"/>
    <w:rsid w:val="64D36CA0"/>
    <w:rsid w:val="64D3B1C8"/>
    <w:rsid w:val="64E0825E"/>
    <w:rsid w:val="64F026E7"/>
    <w:rsid w:val="64F39B9F"/>
    <w:rsid w:val="64FA5B0A"/>
    <w:rsid w:val="651525B4"/>
    <w:rsid w:val="65156032"/>
    <w:rsid w:val="65244925"/>
    <w:rsid w:val="653641FD"/>
    <w:rsid w:val="6545DC22"/>
    <w:rsid w:val="654E7190"/>
    <w:rsid w:val="655B227D"/>
    <w:rsid w:val="6560DBF2"/>
    <w:rsid w:val="65611A04"/>
    <w:rsid w:val="65672CE1"/>
    <w:rsid w:val="656C20EE"/>
    <w:rsid w:val="6571B9DE"/>
    <w:rsid w:val="65738CB3"/>
    <w:rsid w:val="65814453"/>
    <w:rsid w:val="6586A00D"/>
    <w:rsid w:val="658E0E6F"/>
    <w:rsid w:val="658E6AA8"/>
    <w:rsid w:val="658F399C"/>
    <w:rsid w:val="65A21EF0"/>
    <w:rsid w:val="65AADC46"/>
    <w:rsid w:val="65AAE281"/>
    <w:rsid w:val="65AB10BA"/>
    <w:rsid w:val="65B8AE71"/>
    <w:rsid w:val="65E036BC"/>
    <w:rsid w:val="65E4E50B"/>
    <w:rsid w:val="65FC8157"/>
    <w:rsid w:val="65FD314E"/>
    <w:rsid w:val="65FFB2C6"/>
    <w:rsid w:val="6610CCFC"/>
    <w:rsid w:val="6621FD89"/>
    <w:rsid w:val="662B4D82"/>
    <w:rsid w:val="663BF27B"/>
    <w:rsid w:val="6646571E"/>
    <w:rsid w:val="66495828"/>
    <w:rsid w:val="664D445C"/>
    <w:rsid w:val="664F13D2"/>
    <w:rsid w:val="6666915E"/>
    <w:rsid w:val="6673EFDC"/>
    <w:rsid w:val="66755E85"/>
    <w:rsid w:val="6676AF54"/>
    <w:rsid w:val="6679E194"/>
    <w:rsid w:val="6680B6C3"/>
    <w:rsid w:val="668722F2"/>
    <w:rsid w:val="668CB2E8"/>
    <w:rsid w:val="668EB4BD"/>
    <w:rsid w:val="66B4A5E6"/>
    <w:rsid w:val="66B85E37"/>
    <w:rsid w:val="66C4609E"/>
    <w:rsid w:val="66CBFE5F"/>
    <w:rsid w:val="66D16896"/>
    <w:rsid w:val="66DBA738"/>
    <w:rsid w:val="66DD1132"/>
    <w:rsid w:val="66EB81A5"/>
    <w:rsid w:val="66ED74E1"/>
    <w:rsid w:val="66F4C368"/>
    <w:rsid w:val="66F798A6"/>
    <w:rsid w:val="6708A04A"/>
    <w:rsid w:val="6709FA93"/>
    <w:rsid w:val="6710ABD2"/>
    <w:rsid w:val="67161055"/>
    <w:rsid w:val="671AA020"/>
    <w:rsid w:val="672D9FC5"/>
    <w:rsid w:val="673001B3"/>
    <w:rsid w:val="673ADF15"/>
    <w:rsid w:val="673D1C7D"/>
    <w:rsid w:val="673D475B"/>
    <w:rsid w:val="6749EBB9"/>
    <w:rsid w:val="675455E6"/>
    <w:rsid w:val="6757E02D"/>
    <w:rsid w:val="675C39C5"/>
    <w:rsid w:val="675C774F"/>
    <w:rsid w:val="676813ED"/>
    <w:rsid w:val="6769D027"/>
    <w:rsid w:val="676A0D6F"/>
    <w:rsid w:val="676B2855"/>
    <w:rsid w:val="67704355"/>
    <w:rsid w:val="67865AEC"/>
    <w:rsid w:val="678AF680"/>
    <w:rsid w:val="678D6819"/>
    <w:rsid w:val="6799CC63"/>
    <w:rsid w:val="679DC08A"/>
    <w:rsid w:val="67A2272E"/>
    <w:rsid w:val="67A59D26"/>
    <w:rsid w:val="67AF481F"/>
    <w:rsid w:val="67C1D7A8"/>
    <w:rsid w:val="67C25766"/>
    <w:rsid w:val="67C46A94"/>
    <w:rsid w:val="67CEA178"/>
    <w:rsid w:val="67DC57CD"/>
    <w:rsid w:val="67DCB26A"/>
    <w:rsid w:val="67E225F3"/>
    <w:rsid w:val="67E5D2C5"/>
    <w:rsid w:val="67F911BF"/>
    <w:rsid w:val="680071B3"/>
    <w:rsid w:val="6809DCC9"/>
    <w:rsid w:val="681F1D17"/>
    <w:rsid w:val="6836CBD7"/>
    <w:rsid w:val="683A00B1"/>
    <w:rsid w:val="683DBBD6"/>
    <w:rsid w:val="68483CDC"/>
    <w:rsid w:val="68540B94"/>
    <w:rsid w:val="685DBBD2"/>
    <w:rsid w:val="685F07CF"/>
    <w:rsid w:val="6861E9EB"/>
    <w:rsid w:val="6871B0A2"/>
    <w:rsid w:val="6885B2F2"/>
    <w:rsid w:val="688CC802"/>
    <w:rsid w:val="688F3831"/>
    <w:rsid w:val="688F450B"/>
    <w:rsid w:val="68942B72"/>
    <w:rsid w:val="6896092C"/>
    <w:rsid w:val="68A4D7A6"/>
    <w:rsid w:val="68B2AD09"/>
    <w:rsid w:val="68BADB93"/>
    <w:rsid w:val="68BC2665"/>
    <w:rsid w:val="68C1F7D2"/>
    <w:rsid w:val="68C89655"/>
    <w:rsid w:val="68CFE3C6"/>
    <w:rsid w:val="68D1616B"/>
    <w:rsid w:val="68D9CE57"/>
    <w:rsid w:val="68E7C259"/>
    <w:rsid w:val="68F3CFB9"/>
    <w:rsid w:val="68F9284D"/>
    <w:rsid w:val="68FBB319"/>
    <w:rsid w:val="6903174B"/>
    <w:rsid w:val="690A8853"/>
    <w:rsid w:val="690B6A6C"/>
    <w:rsid w:val="69258592"/>
    <w:rsid w:val="69400095"/>
    <w:rsid w:val="69407260"/>
    <w:rsid w:val="6941B104"/>
    <w:rsid w:val="6946E54C"/>
    <w:rsid w:val="694AE4D1"/>
    <w:rsid w:val="694C88E8"/>
    <w:rsid w:val="6955B388"/>
    <w:rsid w:val="696E285B"/>
    <w:rsid w:val="696FDB92"/>
    <w:rsid w:val="69894FBF"/>
    <w:rsid w:val="699B8054"/>
    <w:rsid w:val="69A0AEEC"/>
    <w:rsid w:val="69B08680"/>
    <w:rsid w:val="69BDA9D2"/>
    <w:rsid w:val="69BDE92B"/>
    <w:rsid w:val="69C363DD"/>
    <w:rsid w:val="69C83F36"/>
    <w:rsid w:val="69CEB494"/>
    <w:rsid w:val="69D27427"/>
    <w:rsid w:val="69D9E077"/>
    <w:rsid w:val="69DF1AD7"/>
    <w:rsid w:val="69DF936C"/>
    <w:rsid w:val="69E04DE3"/>
    <w:rsid w:val="69E0E0F0"/>
    <w:rsid w:val="69E6F641"/>
    <w:rsid w:val="69FCF490"/>
    <w:rsid w:val="69FE0360"/>
    <w:rsid w:val="6A0F921A"/>
    <w:rsid w:val="6A119F23"/>
    <w:rsid w:val="6A123748"/>
    <w:rsid w:val="6A18CDE9"/>
    <w:rsid w:val="6A35D72E"/>
    <w:rsid w:val="6A3B31AD"/>
    <w:rsid w:val="6A464471"/>
    <w:rsid w:val="6A4CA12C"/>
    <w:rsid w:val="6A4D87F8"/>
    <w:rsid w:val="6A5302C4"/>
    <w:rsid w:val="6A5F918D"/>
    <w:rsid w:val="6A7B25E9"/>
    <w:rsid w:val="6A8312EC"/>
    <w:rsid w:val="6A83244D"/>
    <w:rsid w:val="6AA60570"/>
    <w:rsid w:val="6AA91B3E"/>
    <w:rsid w:val="6ABB8BF7"/>
    <w:rsid w:val="6ABC7BC8"/>
    <w:rsid w:val="6AC52BF1"/>
    <w:rsid w:val="6ACB5454"/>
    <w:rsid w:val="6ACD3817"/>
    <w:rsid w:val="6AD586F3"/>
    <w:rsid w:val="6AE0DB12"/>
    <w:rsid w:val="6AEDD43C"/>
    <w:rsid w:val="6AF288FC"/>
    <w:rsid w:val="6B007614"/>
    <w:rsid w:val="6B05D831"/>
    <w:rsid w:val="6B05EBB0"/>
    <w:rsid w:val="6B0EDE30"/>
    <w:rsid w:val="6B15EB80"/>
    <w:rsid w:val="6B197E9B"/>
    <w:rsid w:val="6B307E71"/>
    <w:rsid w:val="6B3848D9"/>
    <w:rsid w:val="6B44386A"/>
    <w:rsid w:val="6B4B3408"/>
    <w:rsid w:val="6B4EA7B1"/>
    <w:rsid w:val="6B558149"/>
    <w:rsid w:val="6B55A527"/>
    <w:rsid w:val="6B5819DC"/>
    <w:rsid w:val="6B5F98E5"/>
    <w:rsid w:val="6B676F6E"/>
    <w:rsid w:val="6B6C7F79"/>
    <w:rsid w:val="6B76F283"/>
    <w:rsid w:val="6B8D9EAC"/>
    <w:rsid w:val="6B968705"/>
    <w:rsid w:val="6BA03601"/>
    <w:rsid w:val="6BA8CFEF"/>
    <w:rsid w:val="6BB8BDF8"/>
    <w:rsid w:val="6BBCA9DD"/>
    <w:rsid w:val="6BCC03AE"/>
    <w:rsid w:val="6BCFF51D"/>
    <w:rsid w:val="6BD63783"/>
    <w:rsid w:val="6BD79E22"/>
    <w:rsid w:val="6BDF7D27"/>
    <w:rsid w:val="6BE6C54B"/>
    <w:rsid w:val="6BF0D2C1"/>
    <w:rsid w:val="6BF939A2"/>
    <w:rsid w:val="6C0B6242"/>
    <w:rsid w:val="6C10FE56"/>
    <w:rsid w:val="6C13C047"/>
    <w:rsid w:val="6C15E722"/>
    <w:rsid w:val="6C35CA3E"/>
    <w:rsid w:val="6C3CBE35"/>
    <w:rsid w:val="6C42C74D"/>
    <w:rsid w:val="6C529F81"/>
    <w:rsid w:val="6C5F10ED"/>
    <w:rsid w:val="6C71B5AC"/>
    <w:rsid w:val="6C73EED1"/>
    <w:rsid w:val="6C74D0DF"/>
    <w:rsid w:val="6C7B1C0D"/>
    <w:rsid w:val="6C7BA81B"/>
    <w:rsid w:val="6C7F3C1C"/>
    <w:rsid w:val="6C878204"/>
    <w:rsid w:val="6C976DA2"/>
    <w:rsid w:val="6C97AA09"/>
    <w:rsid w:val="6CA97FBF"/>
    <w:rsid w:val="6CC485AE"/>
    <w:rsid w:val="6CC903BF"/>
    <w:rsid w:val="6CC91345"/>
    <w:rsid w:val="6CD0DFC4"/>
    <w:rsid w:val="6CD26FD9"/>
    <w:rsid w:val="6CD59A06"/>
    <w:rsid w:val="6CE3A6E5"/>
    <w:rsid w:val="6CE69DF2"/>
    <w:rsid w:val="6CF084DE"/>
    <w:rsid w:val="6CF1D651"/>
    <w:rsid w:val="6CF72301"/>
    <w:rsid w:val="6D04643E"/>
    <w:rsid w:val="6D10F3C3"/>
    <w:rsid w:val="6D14E313"/>
    <w:rsid w:val="6D15AFF6"/>
    <w:rsid w:val="6D1C98AE"/>
    <w:rsid w:val="6D2AA1DB"/>
    <w:rsid w:val="6D301B12"/>
    <w:rsid w:val="6D30568F"/>
    <w:rsid w:val="6D3DF867"/>
    <w:rsid w:val="6D4E87A3"/>
    <w:rsid w:val="6D5C3B76"/>
    <w:rsid w:val="6D6FA6C5"/>
    <w:rsid w:val="6D74867D"/>
    <w:rsid w:val="6D75B376"/>
    <w:rsid w:val="6DA32F56"/>
    <w:rsid w:val="6DA7A4B4"/>
    <w:rsid w:val="6DABFD84"/>
    <w:rsid w:val="6DB48009"/>
    <w:rsid w:val="6DB8DB02"/>
    <w:rsid w:val="6DBD8032"/>
    <w:rsid w:val="6DC4F5A4"/>
    <w:rsid w:val="6DCB3255"/>
    <w:rsid w:val="6DD8DC22"/>
    <w:rsid w:val="6DDFCB3D"/>
    <w:rsid w:val="6DE75627"/>
    <w:rsid w:val="6DEA0C7E"/>
    <w:rsid w:val="6DEC9198"/>
    <w:rsid w:val="6DFEC7DA"/>
    <w:rsid w:val="6E10763A"/>
    <w:rsid w:val="6E1E103A"/>
    <w:rsid w:val="6E213281"/>
    <w:rsid w:val="6E24ECFB"/>
    <w:rsid w:val="6E3723A4"/>
    <w:rsid w:val="6E38BE72"/>
    <w:rsid w:val="6E48793A"/>
    <w:rsid w:val="6E544567"/>
    <w:rsid w:val="6E54A7AE"/>
    <w:rsid w:val="6E84C3CF"/>
    <w:rsid w:val="6EAF68E2"/>
    <w:rsid w:val="6EB1487A"/>
    <w:rsid w:val="6EC5EFB1"/>
    <w:rsid w:val="6ECFF5A2"/>
    <w:rsid w:val="6EF0B335"/>
    <w:rsid w:val="6EF9A8B4"/>
    <w:rsid w:val="6F03332D"/>
    <w:rsid w:val="6F06C942"/>
    <w:rsid w:val="6F109578"/>
    <w:rsid w:val="6F20F1DF"/>
    <w:rsid w:val="6F5A52AB"/>
    <w:rsid w:val="6F61BBA4"/>
    <w:rsid w:val="6F68B8A3"/>
    <w:rsid w:val="6F6AFC8B"/>
    <w:rsid w:val="6F7E1D39"/>
    <w:rsid w:val="6F853FD7"/>
    <w:rsid w:val="6F91D404"/>
    <w:rsid w:val="6F944B67"/>
    <w:rsid w:val="6F9BD97B"/>
    <w:rsid w:val="6FA5BB61"/>
    <w:rsid w:val="6FA819AE"/>
    <w:rsid w:val="6FB95841"/>
    <w:rsid w:val="6FB9A274"/>
    <w:rsid w:val="6FB9F00A"/>
    <w:rsid w:val="6FB9FBAC"/>
    <w:rsid w:val="6FBC8D84"/>
    <w:rsid w:val="6FBD1823"/>
    <w:rsid w:val="6FCA2C4A"/>
    <w:rsid w:val="6FCF94A9"/>
    <w:rsid w:val="6FD24FD7"/>
    <w:rsid w:val="6FD5537D"/>
    <w:rsid w:val="6FD5E620"/>
    <w:rsid w:val="6FE87830"/>
    <w:rsid w:val="6FF0A831"/>
    <w:rsid w:val="6FF19259"/>
    <w:rsid w:val="6FF57FFE"/>
    <w:rsid w:val="6FF5DD79"/>
    <w:rsid w:val="6FFF093D"/>
    <w:rsid w:val="70104B6D"/>
    <w:rsid w:val="70208DA3"/>
    <w:rsid w:val="70231515"/>
    <w:rsid w:val="7035FEBB"/>
    <w:rsid w:val="703A89CF"/>
    <w:rsid w:val="703C314C"/>
    <w:rsid w:val="70449A34"/>
    <w:rsid w:val="704B3DAB"/>
    <w:rsid w:val="70516238"/>
    <w:rsid w:val="7052A801"/>
    <w:rsid w:val="70533D21"/>
    <w:rsid w:val="7058B01E"/>
    <w:rsid w:val="706AD0D8"/>
    <w:rsid w:val="707C4FAE"/>
    <w:rsid w:val="708AF296"/>
    <w:rsid w:val="708D7AE0"/>
    <w:rsid w:val="7099EA5A"/>
    <w:rsid w:val="709A0BAC"/>
    <w:rsid w:val="709DA4C0"/>
    <w:rsid w:val="70A59E8A"/>
    <w:rsid w:val="70C03C8A"/>
    <w:rsid w:val="70C27574"/>
    <w:rsid w:val="70C77DE8"/>
    <w:rsid w:val="70CE95BE"/>
    <w:rsid w:val="70D205CF"/>
    <w:rsid w:val="70D3CA4A"/>
    <w:rsid w:val="70D3FB11"/>
    <w:rsid w:val="70DC875E"/>
    <w:rsid w:val="70DF3E26"/>
    <w:rsid w:val="70DF5318"/>
    <w:rsid w:val="70E147DE"/>
    <w:rsid w:val="70E8A572"/>
    <w:rsid w:val="70F5B1E1"/>
    <w:rsid w:val="70FF4B52"/>
    <w:rsid w:val="710174C6"/>
    <w:rsid w:val="7106E95D"/>
    <w:rsid w:val="71084A6E"/>
    <w:rsid w:val="710A48B2"/>
    <w:rsid w:val="710F9965"/>
    <w:rsid w:val="7111E12F"/>
    <w:rsid w:val="71162151"/>
    <w:rsid w:val="711EB25A"/>
    <w:rsid w:val="71234375"/>
    <w:rsid w:val="7124A590"/>
    <w:rsid w:val="712EF913"/>
    <w:rsid w:val="7137C9B8"/>
    <w:rsid w:val="71416712"/>
    <w:rsid w:val="714A153C"/>
    <w:rsid w:val="714F638C"/>
    <w:rsid w:val="71693102"/>
    <w:rsid w:val="717526AF"/>
    <w:rsid w:val="718DF539"/>
    <w:rsid w:val="718DF998"/>
    <w:rsid w:val="718E7B98"/>
    <w:rsid w:val="719101CF"/>
    <w:rsid w:val="7192BADF"/>
    <w:rsid w:val="7197365E"/>
    <w:rsid w:val="71A196B5"/>
    <w:rsid w:val="71A44394"/>
    <w:rsid w:val="71AD0D5A"/>
    <w:rsid w:val="71ADF22B"/>
    <w:rsid w:val="71B2EFEC"/>
    <w:rsid w:val="71BEE8E2"/>
    <w:rsid w:val="71C8994B"/>
    <w:rsid w:val="71D320EC"/>
    <w:rsid w:val="71D7BF98"/>
    <w:rsid w:val="71DBFF42"/>
    <w:rsid w:val="71E79F4D"/>
    <w:rsid w:val="71F05108"/>
    <w:rsid w:val="71F114C0"/>
    <w:rsid w:val="7216660D"/>
    <w:rsid w:val="721A9E2B"/>
    <w:rsid w:val="7227552B"/>
    <w:rsid w:val="722B7E33"/>
    <w:rsid w:val="7235C508"/>
    <w:rsid w:val="72380537"/>
    <w:rsid w:val="72401B4D"/>
    <w:rsid w:val="7240E9E8"/>
    <w:rsid w:val="7248319F"/>
    <w:rsid w:val="7250FF38"/>
    <w:rsid w:val="72658139"/>
    <w:rsid w:val="726BF7B0"/>
    <w:rsid w:val="727EE6C5"/>
    <w:rsid w:val="7285E585"/>
    <w:rsid w:val="72898065"/>
    <w:rsid w:val="728E547E"/>
    <w:rsid w:val="728F9BA8"/>
    <w:rsid w:val="7296EC41"/>
    <w:rsid w:val="72A43542"/>
    <w:rsid w:val="72AD73D6"/>
    <w:rsid w:val="72AF44F2"/>
    <w:rsid w:val="72B0B48E"/>
    <w:rsid w:val="72B32E59"/>
    <w:rsid w:val="72C11D4D"/>
    <w:rsid w:val="72C731EB"/>
    <w:rsid w:val="72CD48FF"/>
    <w:rsid w:val="72CE4794"/>
    <w:rsid w:val="72D019CE"/>
    <w:rsid w:val="72E567AF"/>
    <w:rsid w:val="72E82105"/>
    <w:rsid w:val="72EB3765"/>
    <w:rsid w:val="72FB9092"/>
    <w:rsid w:val="733FAF3B"/>
    <w:rsid w:val="7341D47B"/>
    <w:rsid w:val="7355A118"/>
    <w:rsid w:val="7355B86F"/>
    <w:rsid w:val="7355DEF3"/>
    <w:rsid w:val="73623E51"/>
    <w:rsid w:val="73668D48"/>
    <w:rsid w:val="7366FCFB"/>
    <w:rsid w:val="73677C3B"/>
    <w:rsid w:val="736AA081"/>
    <w:rsid w:val="73748B9F"/>
    <w:rsid w:val="73773C0D"/>
    <w:rsid w:val="737B0B04"/>
    <w:rsid w:val="7388808B"/>
    <w:rsid w:val="738F2FCE"/>
    <w:rsid w:val="739E1ABD"/>
    <w:rsid w:val="73A17E5E"/>
    <w:rsid w:val="73ACF074"/>
    <w:rsid w:val="73C479C4"/>
    <w:rsid w:val="73CA3F1B"/>
    <w:rsid w:val="73CA611C"/>
    <w:rsid w:val="73CDEA03"/>
    <w:rsid w:val="73CE45BB"/>
    <w:rsid w:val="73D2577E"/>
    <w:rsid w:val="73D2CB9D"/>
    <w:rsid w:val="73D3F644"/>
    <w:rsid w:val="73D73A0D"/>
    <w:rsid w:val="73DCE503"/>
    <w:rsid w:val="73E85E93"/>
    <w:rsid w:val="73F0DBF6"/>
    <w:rsid w:val="73FB71E3"/>
    <w:rsid w:val="74056408"/>
    <w:rsid w:val="7405C17E"/>
    <w:rsid w:val="7406EC23"/>
    <w:rsid w:val="7407D460"/>
    <w:rsid w:val="74113D54"/>
    <w:rsid w:val="7420B06D"/>
    <w:rsid w:val="74257EE2"/>
    <w:rsid w:val="742F1711"/>
    <w:rsid w:val="7432649B"/>
    <w:rsid w:val="74450885"/>
    <w:rsid w:val="744DF0E9"/>
    <w:rsid w:val="7458E951"/>
    <w:rsid w:val="7460C85A"/>
    <w:rsid w:val="7469484A"/>
    <w:rsid w:val="7471C63E"/>
    <w:rsid w:val="7473E910"/>
    <w:rsid w:val="7478EE4F"/>
    <w:rsid w:val="747F0227"/>
    <w:rsid w:val="74825372"/>
    <w:rsid w:val="748D4102"/>
    <w:rsid w:val="748D4D12"/>
    <w:rsid w:val="74A86F34"/>
    <w:rsid w:val="74AA844D"/>
    <w:rsid w:val="74B003C1"/>
    <w:rsid w:val="74B859F3"/>
    <w:rsid w:val="74C00403"/>
    <w:rsid w:val="74CA48C3"/>
    <w:rsid w:val="74D201EB"/>
    <w:rsid w:val="74D53695"/>
    <w:rsid w:val="74D7A7BF"/>
    <w:rsid w:val="74E24CBC"/>
    <w:rsid w:val="74E6BECD"/>
    <w:rsid w:val="74EF1595"/>
    <w:rsid w:val="74F1BCFD"/>
    <w:rsid w:val="750AD97F"/>
    <w:rsid w:val="75111C92"/>
    <w:rsid w:val="752E9252"/>
    <w:rsid w:val="7533D254"/>
    <w:rsid w:val="75445F6F"/>
    <w:rsid w:val="754B4D8A"/>
    <w:rsid w:val="75591BC0"/>
    <w:rsid w:val="755D0BB8"/>
    <w:rsid w:val="75666971"/>
    <w:rsid w:val="757A1D0E"/>
    <w:rsid w:val="757CA5DF"/>
    <w:rsid w:val="758353B8"/>
    <w:rsid w:val="7584B288"/>
    <w:rsid w:val="75899B89"/>
    <w:rsid w:val="75A15396"/>
    <w:rsid w:val="75A698D5"/>
    <w:rsid w:val="75C2D233"/>
    <w:rsid w:val="75D2C15B"/>
    <w:rsid w:val="75E3F407"/>
    <w:rsid w:val="7603B2AB"/>
    <w:rsid w:val="76153E89"/>
    <w:rsid w:val="762B0DF6"/>
    <w:rsid w:val="762CEB91"/>
    <w:rsid w:val="76310D92"/>
    <w:rsid w:val="76339315"/>
    <w:rsid w:val="76357139"/>
    <w:rsid w:val="76375802"/>
    <w:rsid w:val="763A0F60"/>
    <w:rsid w:val="763E0FAE"/>
    <w:rsid w:val="764C9720"/>
    <w:rsid w:val="76559DBC"/>
    <w:rsid w:val="765C63DA"/>
    <w:rsid w:val="7660419B"/>
    <w:rsid w:val="76645C5F"/>
    <w:rsid w:val="7674ADE5"/>
    <w:rsid w:val="7680D5C5"/>
    <w:rsid w:val="768D71EF"/>
    <w:rsid w:val="7690FE7B"/>
    <w:rsid w:val="769E402A"/>
    <w:rsid w:val="76A05428"/>
    <w:rsid w:val="76A23DB7"/>
    <w:rsid w:val="76A3B5B3"/>
    <w:rsid w:val="76A43D98"/>
    <w:rsid w:val="76A548AB"/>
    <w:rsid w:val="76AD4A7E"/>
    <w:rsid w:val="76AE7502"/>
    <w:rsid w:val="76B5DC7E"/>
    <w:rsid w:val="76B5DC82"/>
    <w:rsid w:val="76B5E209"/>
    <w:rsid w:val="76B8B361"/>
    <w:rsid w:val="76BA7FFA"/>
    <w:rsid w:val="76BE14F8"/>
    <w:rsid w:val="76C233D8"/>
    <w:rsid w:val="76D1A155"/>
    <w:rsid w:val="76D701AE"/>
    <w:rsid w:val="76D950D8"/>
    <w:rsid w:val="76DDE91C"/>
    <w:rsid w:val="76EF83A3"/>
    <w:rsid w:val="76F3E4A5"/>
    <w:rsid w:val="770690CB"/>
    <w:rsid w:val="77095A55"/>
    <w:rsid w:val="7709B000"/>
    <w:rsid w:val="770C6660"/>
    <w:rsid w:val="770F21A1"/>
    <w:rsid w:val="7713E5D6"/>
    <w:rsid w:val="77159CDD"/>
    <w:rsid w:val="7716B481"/>
    <w:rsid w:val="77174D30"/>
    <w:rsid w:val="77207E00"/>
    <w:rsid w:val="77226670"/>
    <w:rsid w:val="774853F3"/>
    <w:rsid w:val="774E9726"/>
    <w:rsid w:val="774EE192"/>
    <w:rsid w:val="7751D6BB"/>
    <w:rsid w:val="7754E5E3"/>
    <w:rsid w:val="7755AA50"/>
    <w:rsid w:val="7759E5E1"/>
    <w:rsid w:val="775F628A"/>
    <w:rsid w:val="77616835"/>
    <w:rsid w:val="777F608A"/>
    <w:rsid w:val="7783127B"/>
    <w:rsid w:val="778B055A"/>
    <w:rsid w:val="778CD879"/>
    <w:rsid w:val="77C51CEE"/>
    <w:rsid w:val="77C7F444"/>
    <w:rsid w:val="77CA1657"/>
    <w:rsid w:val="77CB5AC1"/>
    <w:rsid w:val="77D35FE4"/>
    <w:rsid w:val="77E0EA07"/>
    <w:rsid w:val="77E8F552"/>
    <w:rsid w:val="77EFD4E1"/>
    <w:rsid w:val="780034A0"/>
    <w:rsid w:val="78012CEF"/>
    <w:rsid w:val="7810F859"/>
    <w:rsid w:val="7817E092"/>
    <w:rsid w:val="781B91DA"/>
    <w:rsid w:val="781FE1C5"/>
    <w:rsid w:val="7820E0E4"/>
    <w:rsid w:val="783DE1FD"/>
    <w:rsid w:val="785E7D83"/>
    <w:rsid w:val="7861CE10"/>
    <w:rsid w:val="7863E7D2"/>
    <w:rsid w:val="78781143"/>
    <w:rsid w:val="788659D3"/>
    <w:rsid w:val="78903090"/>
    <w:rsid w:val="78907C76"/>
    <w:rsid w:val="789B9BE4"/>
    <w:rsid w:val="78A003B8"/>
    <w:rsid w:val="78A25B6F"/>
    <w:rsid w:val="78A40499"/>
    <w:rsid w:val="78ABBA62"/>
    <w:rsid w:val="78AD9516"/>
    <w:rsid w:val="78B7C683"/>
    <w:rsid w:val="78C25CEE"/>
    <w:rsid w:val="78D9B720"/>
    <w:rsid w:val="78DD795A"/>
    <w:rsid w:val="78E0DBD3"/>
    <w:rsid w:val="78EB95FB"/>
    <w:rsid w:val="78ED2978"/>
    <w:rsid w:val="78F5E729"/>
    <w:rsid w:val="78F696F2"/>
    <w:rsid w:val="78FB6B5B"/>
    <w:rsid w:val="78FFCBC1"/>
    <w:rsid w:val="7900ED75"/>
    <w:rsid w:val="790600DD"/>
    <w:rsid w:val="790AA46E"/>
    <w:rsid w:val="7918DF66"/>
    <w:rsid w:val="791A098F"/>
    <w:rsid w:val="791D85AD"/>
    <w:rsid w:val="79201764"/>
    <w:rsid w:val="79336DC9"/>
    <w:rsid w:val="793B1702"/>
    <w:rsid w:val="7948ECB3"/>
    <w:rsid w:val="7962E89A"/>
    <w:rsid w:val="79769FF4"/>
    <w:rsid w:val="797A67CD"/>
    <w:rsid w:val="797B059D"/>
    <w:rsid w:val="7999921C"/>
    <w:rsid w:val="79ABFCB3"/>
    <w:rsid w:val="79B82B06"/>
    <w:rsid w:val="79BF56E4"/>
    <w:rsid w:val="79C43E67"/>
    <w:rsid w:val="79C5F7AE"/>
    <w:rsid w:val="79E0D370"/>
    <w:rsid w:val="79E1A589"/>
    <w:rsid w:val="79E790F8"/>
    <w:rsid w:val="79E896A5"/>
    <w:rsid w:val="79E96940"/>
    <w:rsid w:val="79F27965"/>
    <w:rsid w:val="79F2CFC1"/>
    <w:rsid w:val="79F62337"/>
    <w:rsid w:val="7A00E99C"/>
    <w:rsid w:val="7A07B50C"/>
    <w:rsid w:val="7A0BB30E"/>
    <w:rsid w:val="7A0F00DC"/>
    <w:rsid w:val="7A10ED2D"/>
    <w:rsid w:val="7A2D4A22"/>
    <w:rsid w:val="7A395E03"/>
    <w:rsid w:val="7A40E7B6"/>
    <w:rsid w:val="7A4A6972"/>
    <w:rsid w:val="7A5B6A57"/>
    <w:rsid w:val="7A66B003"/>
    <w:rsid w:val="7A67FA39"/>
    <w:rsid w:val="7A6BB61C"/>
    <w:rsid w:val="7A72304F"/>
    <w:rsid w:val="7A74CF8A"/>
    <w:rsid w:val="7A7CAEF3"/>
    <w:rsid w:val="7A804EC4"/>
    <w:rsid w:val="7A81E7F7"/>
    <w:rsid w:val="7A821855"/>
    <w:rsid w:val="7A8424DC"/>
    <w:rsid w:val="7A97D461"/>
    <w:rsid w:val="7A9E506C"/>
    <w:rsid w:val="7AA2B987"/>
    <w:rsid w:val="7AC04992"/>
    <w:rsid w:val="7AC6FCC5"/>
    <w:rsid w:val="7AE93C0C"/>
    <w:rsid w:val="7AF8E68B"/>
    <w:rsid w:val="7AFC2BC6"/>
    <w:rsid w:val="7AFDAA22"/>
    <w:rsid w:val="7B097EED"/>
    <w:rsid w:val="7B31E317"/>
    <w:rsid w:val="7B4F9317"/>
    <w:rsid w:val="7B6CFCD9"/>
    <w:rsid w:val="7B8D8CAE"/>
    <w:rsid w:val="7B975520"/>
    <w:rsid w:val="7BA23553"/>
    <w:rsid w:val="7BA80B23"/>
    <w:rsid w:val="7BAA1F26"/>
    <w:rsid w:val="7BAC7CEB"/>
    <w:rsid w:val="7BB3ACFD"/>
    <w:rsid w:val="7BBF736A"/>
    <w:rsid w:val="7BCE774D"/>
    <w:rsid w:val="7BD33BBE"/>
    <w:rsid w:val="7BD83D5C"/>
    <w:rsid w:val="7BDA689E"/>
    <w:rsid w:val="7BE1DABF"/>
    <w:rsid w:val="7BF2C3D8"/>
    <w:rsid w:val="7BF35948"/>
    <w:rsid w:val="7C02B242"/>
    <w:rsid w:val="7C142327"/>
    <w:rsid w:val="7C25D0EB"/>
    <w:rsid w:val="7C2C145C"/>
    <w:rsid w:val="7C34C27C"/>
    <w:rsid w:val="7C4046D8"/>
    <w:rsid w:val="7C438917"/>
    <w:rsid w:val="7C45EA2C"/>
    <w:rsid w:val="7C512509"/>
    <w:rsid w:val="7C5A5576"/>
    <w:rsid w:val="7C60B876"/>
    <w:rsid w:val="7C64C22A"/>
    <w:rsid w:val="7C6E7957"/>
    <w:rsid w:val="7C7DA657"/>
    <w:rsid w:val="7C836697"/>
    <w:rsid w:val="7C88BC82"/>
    <w:rsid w:val="7C8C7E2F"/>
    <w:rsid w:val="7C9AC31D"/>
    <w:rsid w:val="7CAE33B2"/>
    <w:rsid w:val="7CAE7CC7"/>
    <w:rsid w:val="7CC04862"/>
    <w:rsid w:val="7CC68559"/>
    <w:rsid w:val="7CCFBB33"/>
    <w:rsid w:val="7CD5CEDB"/>
    <w:rsid w:val="7CDAA9F4"/>
    <w:rsid w:val="7CE36B6E"/>
    <w:rsid w:val="7CE3768E"/>
    <w:rsid w:val="7CEA0CCC"/>
    <w:rsid w:val="7CECB984"/>
    <w:rsid w:val="7D04836D"/>
    <w:rsid w:val="7D1A4BBD"/>
    <w:rsid w:val="7D1CB441"/>
    <w:rsid w:val="7D1D0BEB"/>
    <w:rsid w:val="7D228B31"/>
    <w:rsid w:val="7D2D2B9C"/>
    <w:rsid w:val="7D35C243"/>
    <w:rsid w:val="7D394C80"/>
    <w:rsid w:val="7D3D8305"/>
    <w:rsid w:val="7D4D2C0C"/>
    <w:rsid w:val="7D6448A5"/>
    <w:rsid w:val="7D6DFDC5"/>
    <w:rsid w:val="7D704965"/>
    <w:rsid w:val="7D719F2C"/>
    <w:rsid w:val="7D778C3F"/>
    <w:rsid w:val="7D794744"/>
    <w:rsid w:val="7D7E66FD"/>
    <w:rsid w:val="7D87BB6A"/>
    <w:rsid w:val="7D96DC79"/>
    <w:rsid w:val="7D9B1889"/>
    <w:rsid w:val="7D9B4217"/>
    <w:rsid w:val="7D9D978F"/>
    <w:rsid w:val="7DA6FFA0"/>
    <w:rsid w:val="7DAE2610"/>
    <w:rsid w:val="7DB07C68"/>
    <w:rsid w:val="7DB91313"/>
    <w:rsid w:val="7DBD7759"/>
    <w:rsid w:val="7DBF8665"/>
    <w:rsid w:val="7DC114B1"/>
    <w:rsid w:val="7DC8FE2A"/>
    <w:rsid w:val="7DCB7106"/>
    <w:rsid w:val="7DCD9967"/>
    <w:rsid w:val="7DD9029E"/>
    <w:rsid w:val="7DE77754"/>
    <w:rsid w:val="7DF1326A"/>
    <w:rsid w:val="7DF1DC8E"/>
    <w:rsid w:val="7DF6A011"/>
    <w:rsid w:val="7DFADA3A"/>
    <w:rsid w:val="7DFCCA04"/>
    <w:rsid w:val="7E00DBBB"/>
    <w:rsid w:val="7E03A689"/>
    <w:rsid w:val="7E08006A"/>
    <w:rsid w:val="7E1D4CA7"/>
    <w:rsid w:val="7E269810"/>
    <w:rsid w:val="7E3641B1"/>
    <w:rsid w:val="7E3E75EB"/>
    <w:rsid w:val="7E3E7691"/>
    <w:rsid w:val="7E4BBB5E"/>
    <w:rsid w:val="7E5D6E69"/>
    <w:rsid w:val="7E6173EE"/>
    <w:rsid w:val="7E6907CA"/>
    <w:rsid w:val="7E6BDF19"/>
    <w:rsid w:val="7E71A430"/>
    <w:rsid w:val="7E799EAC"/>
    <w:rsid w:val="7E7FE9F2"/>
    <w:rsid w:val="7E8809B3"/>
    <w:rsid w:val="7E8A2C94"/>
    <w:rsid w:val="7E9AC98D"/>
    <w:rsid w:val="7E9FB52B"/>
    <w:rsid w:val="7EAA8A5A"/>
    <w:rsid w:val="7EABE3B5"/>
    <w:rsid w:val="7EB6A777"/>
    <w:rsid w:val="7EB7F257"/>
    <w:rsid w:val="7EB9B3B1"/>
    <w:rsid w:val="7EDC0C21"/>
    <w:rsid w:val="7EDD72FC"/>
    <w:rsid w:val="7EE4F9B4"/>
    <w:rsid w:val="7EE5D86E"/>
    <w:rsid w:val="7EEEC111"/>
    <w:rsid w:val="7EFF7328"/>
    <w:rsid w:val="7F05821B"/>
    <w:rsid w:val="7F0D5FF0"/>
    <w:rsid w:val="7F1DFC27"/>
    <w:rsid w:val="7F1EB54F"/>
    <w:rsid w:val="7F21E801"/>
    <w:rsid w:val="7F2B28D6"/>
    <w:rsid w:val="7F434A2A"/>
    <w:rsid w:val="7F4BAAE0"/>
    <w:rsid w:val="7F4BF2C5"/>
    <w:rsid w:val="7F521F92"/>
    <w:rsid w:val="7F540DF6"/>
    <w:rsid w:val="7F5F4CC6"/>
    <w:rsid w:val="7F6047B2"/>
    <w:rsid w:val="7F64226E"/>
    <w:rsid w:val="7F65461B"/>
    <w:rsid w:val="7F6D1C9A"/>
    <w:rsid w:val="7F74876D"/>
    <w:rsid w:val="7F820612"/>
    <w:rsid w:val="7F85B808"/>
    <w:rsid w:val="7F8BAF0A"/>
    <w:rsid w:val="7F8FA95B"/>
    <w:rsid w:val="7F97F4E6"/>
    <w:rsid w:val="7F9A5760"/>
    <w:rsid w:val="7FA301AE"/>
    <w:rsid w:val="7FAFF242"/>
    <w:rsid w:val="7FB4DA9B"/>
    <w:rsid w:val="7FB71704"/>
    <w:rsid w:val="7FB71C63"/>
    <w:rsid w:val="7FB7D04D"/>
    <w:rsid w:val="7FCE5699"/>
    <w:rsid w:val="7FD2EEBC"/>
    <w:rsid w:val="7FD4617F"/>
    <w:rsid w:val="7FE02AEB"/>
    <w:rsid w:val="7FED49E6"/>
    <w:rsid w:val="7FEF1A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82E6ECC"/>
  <w15:docId w15:val="{D0FD19EB-9645-485F-A75F-4C8C769B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ro-RO"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eastAsia="en-US"/>
    </w:rPr>
  </w:style>
  <w:style w:type="paragraph" w:styleId="Heading1">
    <w:name w:val="heading 1"/>
    <w:basedOn w:val="Normal"/>
    <w:uiPriority w:val="9"/>
    <w:qFormat/>
    <w:pPr>
      <w:ind w:left="383" w:hanging="480"/>
      <w:outlineLvl w:val="0"/>
    </w:pPr>
    <w:rPr>
      <w:b/>
      <w:bCs/>
      <w:sz w:val="24"/>
      <w:szCs w:val="24"/>
    </w:rPr>
  </w:style>
  <w:style w:type="paragraph" w:styleId="Heading2">
    <w:name w:val="heading 2"/>
    <w:basedOn w:val="Normal"/>
    <w:uiPriority w:val="9"/>
    <w:unhideWhenUsed/>
    <w:qFormat/>
    <w:pPr>
      <w:spacing w:before="201"/>
      <w:ind w:left="743"/>
      <w:outlineLvl w:val="1"/>
    </w:pPr>
    <w:rPr>
      <w:b/>
      <w:bCs/>
      <w:sz w:val="24"/>
      <w:szCs w:val="24"/>
    </w:rPr>
  </w:style>
  <w:style w:type="paragraph" w:styleId="Heading3">
    <w:name w:val="heading 3"/>
    <w:basedOn w:val="Normal"/>
    <w:uiPriority w:val="9"/>
    <w:unhideWhenUsed/>
    <w:qFormat/>
    <w:pPr>
      <w:spacing w:before="79"/>
      <w:ind w:left="742" w:hanging="359"/>
      <w:outlineLvl w:val="2"/>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141"/>
    </w:pPr>
    <w:rPr>
      <w:rFonts w:ascii="Arial" w:eastAsia="Arial" w:hAnsi="Arial" w:cs="Arial"/>
      <w:b/>
      <w:bCs/>
      <w:sz w:val="48"/>
      <w:szCs w:val="48"/>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paragraph" w:styleId="FootnoteText">
    <w:name w:val="footnote text"/>
    <w:basedOn w:val="Normal"/>
    <w:uiPriority w:val="99"/>
    <w:unhideWhenUsed/>
    <w:rsid w:val="00DA3B72"/>
    <w:rPr>
      <w:sz w:val="20"/>
      <w:szCs w:val="20"/>
    </w:rPr>
  </w:style>
  <w:style w:type="character" w:customStyle="1" w:styleId="FootnoteTextChar">
    <w:name w:val="Footnote Text Char"/>
    <w:uiPriority w:val="99"/>
    <w:rsid w:val="00DA3B72"/>
    <w:rPr>
      <w:rFonts w:ascii="Times New Roman" w:eastAsia="Times New Roman" w:hAnsi="Times New Roman" w:cs="Times New Roman"/>
      <w:sz w:val="20"/>
      <w:szCs w:val="20"/>
    </w:rPr>
  </w:style>
  <w:style w:type="character" w:styleId="FootnoteReference">
    <w:name w:val="footnote reference"/>
    <w:uiPriority w:val="99"/>
    <w:semiHidden/>
    <w:unhideWhenUsed/>
    <w:rsid w:val="00DA3B72"/>
    <w:rPr>
      <w:vertAlign w:val="superscript"/>
    </w:rPr>
  </w:style>
  <w:style w:type="character" w:styleId="Hyperlink">
    <w:name w:val="Hyperlink"/>
    <w:uiPriority w:val="99"/>
    <w:unhideWhenUsed/>
    <w:rsid w:val="00DA3B72"/>
    <w:rPr>
      <w:color w:val="0000FF"/>
      <w:u w:val="single"/>
    </w:rPr>
  </w:style>
  <w:style w:type="character" w:customStyle="1" w:styleId="UnresolvedMention1">
    <w:name w:val="Unresolved Mention1"/>
    <w:uiPriority w:val="99"/>
    <w:semiHidden/>
    <w:unhideWhenUsed/>
    <w:rsid w:val="00DA3B72"/>
    <w:rPr>
      <w:color w:val="605E5C"/>
      <w:shd w:val="clear" w:color="auto" w:fill="E1DFDD"/>
    </w:rPr>
  </w:style>
  <w:style w:type="character" w:customStyle="1" w:styleId="BodyTextChar">
    <w:name w:val="Body Text Char"/>
    <w:link w:val="BodyText"/>
    <w:uiPriority w:val="1"/>
    <w:rsid w:val="00E8340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76BA"/>
    <w:pPr>
      <w:tabs>
        <w:tab w:val="center" w:pos="4680"/>
        <w:tab w:val="right" w:pos="9360"/>
      </w:tabs>
    </w:pPr>
  </w:style>
  <w:style w:type="character" w:customStyle="1" w:styleId="HeaderChar">
    <w:name w:val="Header Char"/>
    <w:link w:val="Header"/>
    <w:uiPriority w:val="99"/>
    <w:rsid w:val="001B76BA"/>
    <w:rPr>
      <w:rFonts w:ascii="Times New Roman" w:eastAsia="Times New Roman" w:hAnsi="Times New Roman" w:cs="Times New Roman"/>
    </w:rPr>
  </w:style>
  <w:style w:type="paragraph" w:styleId="Footer">
    <w:name w:val="footer"/>
    <w:basedOn w:val="Normal"/>
    <w:link w:val="FooterChar"/>
    <w:uiPriority w:val="99"/>
    <w:unhideWhenUsed/>
    <w:rsid w:val="001B76BA"/>
    <w:pPr>
      <w:tabs>
        <w:tab w:val="center" w:pos="4680"/>
        <w:tab w:val="right" w:pos="9360"/>
      </w:tabs>
    </w:pPr>
  </w:style>
  <w:style w:type="character" w:customStyle="1" w:styleId="FooterChar">
    <w:name w:val="Footer Char"/>
    <w:link w:val="Footer"/>
    <w:uiPriority w:val="99"/>
    <w:rsid w:val="001B76BA"/>
    <w:rPr>
      <w:rFonts w:ascii="Times New Roman" w:eastAsia="Times New Roman" w:hAnsi="Times New Roman" w:cs="Times New Roman"/>
    </w:rPr>
  </w:style>
  <w:style w:type="paragraph" w:styleId="CommentText">
    <w:name w:val="annotation text"/>
    <w:basedOn w:val="Normal"/>
    <w:link w:val="CommentTextChar"/>
    <w:uiPriority w:val="99"/>
    <w:unhideWhenUsed/>
    <w:rsid w:val="00D96319"/>
    <w:rPr>
      <w:sz w:val="20"/>
      <w:szCs w:val="20"/>
    </w:rPr>
  </w:style>
  <w:style w:type="character" w:customStyle="1" w:styleId="CommentTextChar">
    <w:name w:val="Comment Text Char"/>
    <w:link w:val="CommentText"/>
    <w:uiPriority w:val="99"/>
    <w:rsid w:val="00D96319"/>
    <w:rPr>
      <w:rFonts w:ascii="Times New Roman" w:eastAsia="Times New Roman" w:hAnsi="Times New Roman" w:cs="Times New Roman"/>
      <w:sz w:val="20"/>
      <w:szCs w:val="20"/>
    </w:rPr>
  </w:style>
  <w:style w:type="character" w:styleId="CommentReference">
    <w:name w:val="annotation reference"/>
    <w:uiPriority w:val="99"/>
    <w:semiHidden/>
    <w:unhideWhenUsed/>
    <w:rsid w:val="00D96319"/>
    <w:rPr>
      <w:sz w:val="16"/>
      <w:szCs w:val="16"/>
    </w:rPr>
  </w:style>
  <w:style w:type="paragraph" w:styleId="Revision">
    <w:name w:val="Revision"/>
    <w:hidden/>
    <w:uiPriority w:val="99"/>
    <w:semiHidden/>
    <w:rsid w:val="00B41D51"/>
    <w:rPr>
      <w:rFonts w:ascii="Times New Roman" w:eastAsia="Times New Roman" w:hAnsi="Times New Roman" w:cs="Times New Roman"/>
      <w:sz w:val="22"/>
      <w:szCs w:val="22"/>
      <w:lang w:eastAsia="en-US"/>
    </w:rPr>
  </w:style>
  <w:style w:type="paragraph" w:styleId="CommentSubject">
    <w:name w:val="annotation subject"/>
    <w:basedOn w:val="CommentText"/>
    <w:next w:val="CommentText"/>
    <w:link w:val="CommentSubjectChar"/>
    <w:uiPriority w:val="99"/>
    <w:semiHidden/>
    <w:unhideWhenUsed/>
    <w:rsid w:val="008A1D89"/>
    <w:rPr>
      <w:b/>
      <w:bCs/>
    </w:rPr>
  </w:style>
  <w:style w:type="character" w:customStyle="1" w:styleId="CommentSubjectChar">
    <w:name w:val="Comment Subject Char"/>
    <w:link w:val="CommentSubject"/>
    <w:uiPriority w:val="99"/>
    <w:semiHidden/>
    <w:rsid w:val="008A1D89"/>
    <w:rPr>
      <w:rFonts w:ascii="Times New Roman" w:eastAsia="Times New Roman" w:hAnsi="Times New Roman" w:cs="Times New Roman"/>
      <w:b/>
      <w:bCs/>
      <w:sz w:val="20"/>
      <w:szCs w:val="20"/>
    </w:rPr>
  </w:style>
  <w:style w:type="character" w:customStyle="1" w:styleId="Mention1">
    <w:name w:val="Mention1"/>
    <w:uiPriority w:val="99"/>
    <w:unhideWhenUsed/>
    <w:rsid w:val="00220C5B"/>
    <w:rPr>
      <w:color w:val="2B579A"/>
      <w:shd w:val="clear" w:color="auto" w:fill="E1DFDD"/>
    </w:rPr>
  </w:style>
  <w:style w:type="paragraph" w:styleId="EndnoteText">
    <w:name w:val="endnote text"/>
    <w:basedOn w:val="Normal"/>
    <w:link w:val="EndnoteTextChar"/>
    <w:uiPriority w:val="99"/>
    <w:semiHidden/>
    <w:unhideWhenUsed/>
    <w:rsid w:val="0034627C"/>
    <w:rPr>
      <w:sz w:val="20"/>
      <w:szCs w:val="20"/>
    </w:rPr>
  </w:style>
  <w:style w:type="character" w:customStyle="1" w:styleId="EndnoteTextChar">
    <w:name w:val="Endnote Text Char"/>
    <w:link w:val="EndnoteText"/>
    <w:uiPriority w:val="99"/>
    <w:semiHidden/>
    <w:rsid w:val="0034627C"/>
    <w:rPr>
      <w:rFonts w:ascii="Times New Roman" w:eastAsia="Times New Roman" w:hAnsi="Times New Roman" w:cs="Times New Roman"/>
      <w:sz w:val="20"/>
      <w:szCs w:val="20"/>
    </w:rPr>
  </w:style>
  <w:style w:type="character" w:styleId="EndnoteReference">
    <w:name w:val="endnote reference"/>
    <w:uiPriority w:val="99"/>
    <w:semiHidden/>
    <w:unhideWhenUsed/>
    <w:rsid w:val="0034627C"/>
    <w:rPr>
      <w:vertAlign w:val="superscript"/>
    </w:rPr>
  </w:style>
  <w:style w:type="character" w:customStyle="1" w:styleId="Marker">
    <w:name w:val="Marker"/>
    <w:rsid w:val="00E32103"/>
    <w:rPr>
      <w:color w:val="0000FF"/>
      <w:shd w:val="clear" w:color="auto" w:fill="auto"/>
    </w:rPr>
  </w:style>
  <w:style w:type="paragraph" w:customStyle="1" w:styleId="Pagedecouverture">
    <w:name w:val="Page de couverture"/>
    <w:basedOn w:val="Normal"/>
    <w:next w:val="Normal"/>
    <w:link w:val="PagedecouvertureChar"/>
    <w:rsid w:val="00E32103"/>
    <w:pPr>
      <w:widowControl/>
      <w:autoSpaceDE/>
      <w:autoSpaceDN/>
      <w:jc w:val="both"/>
    </w:pPr>
    <w:rPr>
      <w:rFonts w:eastAsia="Calibri"/>
      <w:sz w:val="24"/>
    </w:rPr>
  </w:style>
  <w:style w:type="paragraph" w:customStyle="1" w:styleId="Typedudocument">
    <w:name w:val="Type du document"/>
    <w:basedOn w:val="Normal"/>
    <w:next w:val="Normal"/>
    <w:rsid w:val="00E32103"/>
    <w:pPr>
      <w:widowControl/>
      <w:autoSpaceDE/>
      <w:autoSpaceDN/>
      <w:spacing w:before="360"/>
      <w:jc w:val="center"/>
    </w:pPr>
    <w:rPr>
      <w:rFonts w:eastAsia="Calibri"/>
      <w:b/>
      <w:sz w:val="24"/>
    </w:rPr>
  </w:style>
  <w:style w:type="paragraph" w:customStyle="1" w:styleId="Titreobjet">
    <w:name w:val="Titre objet"/>
    <w:basedOn w:val="Normal"/>
    <w:next w:val="Normal"/>
    <w:rsid w:val="00E32103"/>
    <w:pPr>
      <w:widowControl/>
      <w:autoSpaceDE/>
      <w:autoSpaceDN/>
      <w:spacing w:before="360" w:after="360"/>
      <w:jc w:val="center"/>
    </w:pPr>
    <w:rPr>
      <w:rFonts w:eastAsia="Calibri"/>
      <w:b/>
      <w:sz w:val="24"/>
    </w:rPr>
  </w:style>
  <w:style w:type="paragraph" w:customStyle="1" w:styleId="FooterCoverPage">
    <w:name w:val="Footer Cover Page"/>
    <w:basedOn w:val="Normal"/>
    <w:link w:val="FooterCoverPageChar"/>
    <w:rsid w:val="00E32103"/>
    <w:pPr>
      <w:tabs>
        <w:tab w:val="center" w:pos="4535"/>
        <w:tab w:val="right" w:pos="9071"/>
        <w:tab w:val="right" w:pos="9921"/>
      </w:tabs>
      <w:spacing w:before="360"/>
      <w:ind w:left="-850" w:right="-850"/>
    </w:pPr>
    <w:rPr>
      <w:sz w:val="24"/>
    </w:rPr>
  </w:style>
  <w:style w:type="character" w:customStyle="1" w:styleId="PagedecouvertureChar">
    <w:name w:val="Page de couverture Char"/>
    <w:link w:val="Pagedecouverture"/>
    <w:rsid w:val="00E32103"/>
    <w:rPr>
      <w:rFonts w:ascii="Times New Roman" w:hAnsi="Times New Roman" w:cs="Times New Roman"/>
      <w:sz w:val="24"/>
    </w:rPr>
  </w:style>
  <w:style w:type="character" w:customStyle="1" w:styleId="FooterCoverPageChar">
    <w:name w:val="Footer Cover Page Char"/>
    <w:link w:val="FooterCoverPage"/>
    <w:rsid w:val="00E32103"/>
    <w:rPr>
      <w:rFonts w:ascii="Times New Roman" w:eastAsia="Times New Roman" w:hAnsi="Times New Roman" w:cs="Times New Roman"/>
      <w:sz w:val="24"/>
      <w:szCs w:val="22"/>
      <w:lang w:eastAsia="en-US"/>
    </w:rPr>
  </w:style>
  <w:style w:type="paragraph" w:customStyle="1" w:styleId="FooterSensitivity">
    <w:name w:val="Footer Sensitivity"/>
    <w:basedOn w:val="Normal"/>
    <w:link w:val="FooterSensitivityChar"/>
    <w:rsid w:val="00E32103"/>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link w:val="FooterSensitivity"/>
    <w:rsid w:val="00E32103"/>
    <w:rPr>
      <w:rFonts w:ascii="Times New Roman" w:eastAsia="Times New Roman" w:hAnsi="Times New Roman" w:cs="Times New Roman"/>
      <w:b/>
      <w:sz w:val="32"/>
      <w:szCs w:val="22"/>
      <w:lang w:eastAsia="en-US"/>
    </w:rPr>
  </w:style>
  <w:style w:type="paragraph" w:customStyle="1" w:styleId="HeaderCoverPage">
    <w:name w:val="Header Cover Page"/>
    <w:basedOn w:val="Normal"/>
    <w:link w:val="HeaderCoverPageChar"/>
    <w:rsid w:val="00E32103"/>
    <w:pPr>
      <w:tabs>
        <w:tab w:val="center" w:pos="4535"/>
        <w:tab w:val="right" w:pos="9071"/>
      </w:tabs>
      <w:spacing w:after="120"/>
      <w:jc w:val="both"/>
    </w:pPr>
    <w:rPr>
      <w:sz w:val="24"/>
    </w:rPr>
  </w:style>
  <w:style w:type="character" w:customStyle="1" w:styleId="HeaderCoverPageChar">
    <w:name w:val="Header Cover Page Char"/>
    <w:link w:val="HeaderCoverPage"/>
    <w:rsid w:val="00E32103"/>
    <w:rPr>
      <w:rFonts w:ascii="Times New Roman" w:eastAsia="Times New Roman" w:hAnsi="Times New Roman" w:cs="Times New Roman"/>
      <w:sz w:val="24"/>
      <w:szCs w:val="22"/>
      <w:lang w:eastAsia="en-US"/>
    </w:rPr>
  </w:style>
  <w:style w:type="paragraph" w:customStyle="1" w:styleId="HeaderSensitivity">
    <w:name w:val="Header Sensitivity"/>
    <w:basedOn w:val="Normal"/>
    <w:link w:val="HeaderSensitivityChar"/>
    <w:rsid w:val="00E3210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E32103"/>
    <w:rPr>
      <w:rFonts w:ascii="Times New Roman" w:eastAsia="Times New Roman" w:hAnsi="Times New Roman" w:cs="Times New Roman"/>
      <w:b/>
      <w:sz w:val="32"/>
      <w:szCs w:val="22"/>
      <w:lang w:eastAsia="en-US"/>
    </w:rPr>
  </w:style>
  <w:style w:type="paragraph" w:customStyle="1" w:styleId="HeaderSensitivityRight">
    <w:name w:val="Header Sensitivity Right"/>
    <w:basedOn w:val="Normal"/>
    <w:link w:val="HeaderSensitivityRightChar"/>
    <w:rsid w:val="00E32103"/>
    <w:pPr>
      <w:spacing w:after="120"/>
      <w:jc w:val="right"/>
    </w:pPr>
    <w:rPr>
      <w:sz w:val="28"/>
    </w:rPr>
  </w:style>
  <w:style w:type="character" w:customStyle="1" w:styleId="HeaderSensitivityRightChar">
    <w:name w:val="Header Sensitivity Right Char"/>
    <w:link w:val="HeaderSensitivityRight"/>
    <w:rsid w:val="00E32103"/>
    <w:rPr>
      <w:rFonts w:ascii="Times New Roman" w:eastAsia="Times New Roman" w:hAnsi="Times New Roman" w:cs="Times New Roman"/>
      <w:sz w:val="28"/>
      <w:szCs w:val="22"/>
      <w:lang w:eastAsia="en-US"/>
    </w:rPr>
  </w:style>
  <w:style w:type="character" w:styleId="FollowedHyperlink">
    <w:name w:val="FollowedHyperlink"/>
    <w:uiPriority w:val="99"/>
    <w:semiHidden/>
    <w:unhideWhenUsed/>
    <w:rsid w:val="00536B3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24316">
      <w:bodyDiv w:val="1"/>
      <w:marLeft w:val="0"/>
      <w:marRight w:val="0"/>
      <w:marTop w:val="0"/>
      <w:marBottom w:val="0"/>
      <w:divBdr>
        <w:top w:val="none" w:sz="0" w:space="0" w:color="auto"/>
        <w:left w:val="none" w:sz="0" w:space="0" w:color="auto"/>
        <w:bottom w:val="none" w:sz="0" w:space="0" w:color="auto"/>
        <w:right w:val="none" w:sz="0" w:space="0" w:color="auto"/>
      </w:divBdr>
    </w:div>
    <w:div w:id="256836793">
      <w:bodyDiv w:val="1"/>
      <w:marLeft w:val="0"/>
      <w:marRight w:val="0"/>
      <w:marTop w:val="0"/>
      <w:marBottom w:val="0"/>
      <w:divBdr>
        <w:top w:val="none" w:sz="0" w:space="0" w:color="auto"/>
        <w:left w:val="none" w:sz="0" w:space="0" w:color="auto"/>
        <w:bottom w:val="none" w:sz="0" w:space="0" w:color="auto"/>
        <w:right w:val="none" w:sz="0" w:space="0" w:color="auto"/>
      </w:divBdr>
    </w:div>
    <w:div w:id="256838033">
      <w:bodyDiv w:val="1"/>
      <w:marLeft w:val="0"/>
      <w:marRight w:val="0"/>
      <w:marTop w:val="0"/>
      <w:marBottom w:val="0"/>
      <w:divBdr>
        <w:top w:val="none" w:sz="0" w:space="0" w:color="auto"/>
        <w:left w:val="none" w:sz="0" w:space="0" w:color="auto"/>
        <w:bottom w:val="none" w:sz="0" w:space="0" w:color="auto"/>
        <w:right w:val="none" w:sz="0" w:space="0" w:color="auto"/>
      </w:divBdr>
    </w:div>
    <w:div w:id="398983430">
      <w:bodyDiv w:val="1"/>
      <w:marLeft w:val="0"/>
      <w:marRight w:val="0"/>
      <w:marTop w:val="0"/>
      <w:marBottom w:val="0"/>
      <w:divBdr>
        <w:top w:val="none" w:sz="0" w:space="0" w:color="auto"/>
        <w:left w:val="none" w:sz="0" w:space="0" w:color="auto"/>
        <w:bottom w:val="none" w:sz="0" w:space="0" w:color="auto"/>
        <w:right w:val="none" w:sz="0" w:space="0" w:color="auto"/>
      </w:divBdr>
    </w:div>
    <w:div w:id="405418491">
      <w:bodyDiv w:val="1"/>
      <w:marLeft w:val="0"/>
      <w:marRight w:val="0"/>
      <w:marTop w:val="0"/>
      <w:marBottom w:val="0"/>
      <w:divBdr>
        <w:top w:val="none" w:sz="0" w:space="0" w:color="auto"/>
        <w:left w:val="none" w:sz="0" w:space="0" w:color="auto"/>
        <w:bottom w:val="none" w:sz="0" w:space="0" w:color="auto"/>
        <w:right w:val="none" w:sz="0" w:space="0" w:color="auto"/>
      </w:divBdr>
    </w:div>
    <w:div w:id="491409274">
      <w:bodyDiv w:val="1"/>
      <w:marLeft w:val="0"/>
      <w:marRight w:val="0"/>
      <w:marTop w:val="0"/>
      <w:marBottom w:val="0"/>
      <w:divBdr>
        <w:top w:val="none" w:sz="0" w:space="0" w:color="auto"/>
        <w:left w:val="none" w:sz="0" w:space="0" w:color="auto"/>
        <w:bottom w:val="none" w:sz="0" w:space="0" w:color="auto"/>
        <w:right w:val="none" w:sz="0" w:space="0" w:color="auto"/>
      </w:divBdr>
    </w:div>
    <w:div w:id="538126222">
      <w:bodyDiv w:val="1"/>
      <w:marLeft w:val="0"/>
      <w:marRight w:val="0"/>
      <w:marTop w:val="0"/>
      <w:marBottom w:val="0"/>
      <w:divBdr>
        <w:top w:val="none" w:sz="0" w:space="0" w:color="auto"/>
        <w:left w:val="none" w:sz="0" w:space="0" w:color="auto"/>
        <w:bottom w:val="none" w:sz="0" w:space="0" w:color="auto"/>
        <w:right w:val="none" w:sz="0" w:space="0" w:color="auto"/>
      </w:divBdr>
    </w:div>
    <w:div w:id="563417739">
      <w:bodyDiv w:val="1"/>
      <w:marLeft w:val="0"/>
      <w:marRight w:val="0"/>
      <w:marTop w:val="0"/>
      <w:marBottom w:val="0"/>
      <w:divBdr>
        <w:top w:val="none" w:sz="0" w:space="0" w:color="auto"/>
        <w:left w:val="none" w:sz="0" w:space="0" w:color="auto"/>
        <w:bottom w:val="none" w:sz="0" w:space="0" w:color="auto"/>
        <w:right w:val="none" w:sz="0" w:space="0" w:color="auto"/>
      </w:divBdr>
    </w:div>
    <w:div w:id="639917720">
      <w:bodyDiv w:val="1"/>
      <w:marLeft w:val="0"/>
      <w:marRight w:val="0"/>
      <w:marTop w:val="0"/>
      <w:marBottom w:val="0"/>
      <w:divBdr>
        <w:top w:val="none" w:sz="0" w:space="0" w:color="auto"/>
        <w:left w:val="none" w:sz="0" w:space="0" w:color="auto"/>
        <w:bottom w:val="none" w:sz="0" w:space="0" w:color="auto"/>
        <w:right w:val="none" w:sz="0" w:space="0" w:color="auto"/>
      </w:divBdr>
    </w:div>
    <w:div w:id="702443427">
      <w:bodyDiv w:val="1"/>
      <w:marLeft w:val="0"/>
      <w:marRight w:val="0"/>
      <w:marTop w:val="0"/>
      <w:marBottom w:val="0"/>
      <w:divBdr>
        <w:top w:val="none" w:sz="0" w:space="0" w:color="auto"/>
        <w:left w:val="none" w:sz="0" w:space="0" w:color="auto"/>
        <w:bottom w:val="none" w:sz="0" w:space="0" w:color="auto"/>
        <w:right w:val="none" w:sz="0" w:space="0" w:color="auto"/>
      </w:divBdr>
    </w:div>
    <w:div w:id="759912823">
      <w:bodyDiv w:val="1"/>
      <w:marLeft w:val="0"/>
      <w:marRight w:val="0"/>
      <w:marTop w:val="0"/>
      <w:marBottom w:val="0"/>
      <w:divBdr>
        <w:top w:val="none" w:sz="0" w:space="0" w:color="auto"/>
        <w:left w:val="none" w:sz="0" w:space="0" w:color="auto"/>
        <w:bottom w:val="none" w:sz="0" w:space="0" w:color="auto"/>
        <w:right w:val="none" w:sz="0" w:space="0" w:color="auto"/>
      </w:divBdr>
    </w:div>
    <w:div w:id="765807594">
      <w:bodyDiv w:val="1"/>
      <w:marLeft w:val="0"/>
      <w:marRight w:val="0"/>
      <w:marTop w:val="0"/>
      <w:marBottom w:val="0"/>
      <w:divBdr>
        <w:top w:val="none" w:sz="0" w:space="0" w:color="auto"/>
        <w:left w:val="none" w:sz="0" w:space="0" w:color="auto"/>
        <w:bottom w:val="none" w:sz="0" w:space="0" w:color="auto"/>
        <w:right w:val="none" w:sz="0" w:space="0" w:color="auto"/>
      </w:divBdr>
    </w:div>
    <w:div w:id="805657587">
      <w:bodyDiv w:val="1"/>
      <w:marLeft w:val="0"/>
      <w:marRight w:val="0"/>
      <w:marTop w:val="0"/>
      <w:marBottom w:val="0"/>
      <w:divBdr>
        <w:top w:val="none" w:sz="0" w:space="0" w:color="auto"/>
        <w:left w:val="none" w:sz="0" w:space="0" w:color="auto"/>
        <w:bottom w:val="none" w:sz="0" w:space="0" w:color="auto"/>
        <w:right w:val="none" w:sz="0" w:space="0" w:color="auto"/>
      </w:divBdr>
    </w:div>
    <w:div w:id="842472179">
      <w:bodyDiv w:val="1"/>
      <w:marLeft w:val="0"/>
      <w:marRight w:val="0"/>
      <w:marTop w:val="0"/>
      <w:marBottom w:val="0"/>
      <w:divBdr>
        <w:top w:val="none" w:sz="0" w:space="0" w:color="auto"/>
        <w:left w:val="none" w:sz="0" w:space="0" w:color="auto"/>
        <w:bottom w:val="none" w:sz="0" w:space="0" w:color="auto"/>
        <w:right w:val="none" w:sz="0" w:space="0" w:color="auto"/>
      </w:divBdr>
    </w:div>
    <w:div w:id="854538876">
      <w:bodyDiv w:val="1"/>
      <w:marLeft w:val="0"/>
      <w:marRight w:val="0"/>
      <w:marTop w:val="0"/>
      <w:marBottom w:val="0"/>
      <w:divBdr>
        <w:top w:val="none" w:sz="0" w:space="0" w:color="auto"/>
        <w:left w:val="none" w:sz="0" w:space="0" w:color="auto"/>
        <w:bottom w:val="none" w:sz="0" w:space="0" w:color="auto"/>
        <w:right w:val="none" w:sz="0" w:space="0" w:color="auto"/>
      </w:divBdr>
    </w:div>
    <w:div w:id="925767039">
      <w:bodyDiv w:val="1"/>
      <w:marLeft w:val="0"/>
      <w:marRight w:val="0"/>
      <w:marTop w:val="0"/>
      <w:marBottom w:val="0"/>
      <w:divBdr>
        <w:top w:val="none" w:sz="0" w:space="0" w:color="auto"/>
        <w:left w:val="none" w:sz="0" w:space="0" w:color="auto"/>
        <w:bottom w:val="none" w:sz="0" w:space="0" w:color="auto"/>
        <w:right w:val="none" w:sz="0" w:space="0" w:color="auto"/>
      </w:divBdr>
      <w:divsChild>
        <w:div w:id="1931893110">
          <w:marLeft w:val="0"/>
          <w:marRight w:val="0"/>
          <w:marTop w:val="0"/>
          <w:marBottom w:val="0"/>
          <w:divBdr>
            <w:top w:val="none" w:sz="0" w:space="0" w:color="auto"/>
            <w:left w:val="none" w:sz="0" w:space="0" w:color="auto"/>
            <w:bottom w:val="none" w:sz="0" w:space="0" w:color="auto"/>
            <w:right w:val="none" w:sz="0" w:space="0" w:color="auto"/>
          </w:divBdr>
        </w:div>
      </w:divsChild>
    </w:div>
    <w:div w:id="933822565">
      <w:bodyDiv w:val="1"/>
      <w:marLeft w:val="0"/>
      <w:marRight w:val="0"/>
      <w:marTop w:val="0"/>
      <w:marBottom w:val="0"/>
      <w:divBdr>
        <w:top w:val="none" w:sz="0" w:space="0" w:color="auto"/>
        <w:left w:val="none" w:sz="0" w:space="0" w:color="auto"/>
        <w:bottom w:val="none" w:sz="0" w:space="0" w:color="auto"/>
        <w:right w:val="none" w:sz="0" w:space="0" w:color="auto"/>
      </w:divBdr>
    </w:div>
    <w:div w:id="995500220">
      <w:bodyDiv w:val="1"/>
      <w:marLeft w:val="0"/>
      <w:marRight w:val="0"/>
      <w:marTop w:val="0"/>
      <w:marBottom w:val="0"/>
      <w:divBdr>
        <w:top w:val="none" w:sz="0" w:space="0" w:color="auto"/>
        <w:left w:val="none" w:sz="0" w:space="0" w:color="auto"/>
        <w:bottom w:val="none" w:sz="0" w:space="0" w:color="auto"/>
        <w:right w:val="none" w:sz="0" w:space="0" w:color="auto"/>
      </w:divBdr>
    </w:div>
    <w:div w:id="1061515242">
      <w:bodyDiv w:val="1"/>
      <w:marLeft w:val="0"/>
      <w:marRight w:val="0"/>
      <w:marTop w:val="0"/>
      <w:marBottom w:val="0"/>
      <w:divBdr>
        <w:top w:val="none" w:sz="0" w:space="0" w:color="auto"/>
        <w:left w:val="none" w:sz="0" w:space="0" w:color="auto"/>
        <w:bottom w:val="none" w:sz="0" w:space="0" w:color="auto"/>
        <w:right w:val="none" w:sz="0" w:space="0" w:color="auto"/>
      </w:divBdr>
    </w:div>
    <w:div w:id="1063985543">
      <w:bodyDiv w:val="1"/>
      <w:marLeft w:val="0"/>
      <w:marRight w:val="0"/>
      <w:marTop w:val="0"/>
      <w:marBottom w:val="0"/>
      <w:divBdr>
        <w:top w:val="none" w:sz="0" w:space="0" w:color="auto"/>
        <w:left w:val="none" w:sz="0" w:space="0" w:color="auto"/>
        <w:bottom w:val="none" w:sz="0" w:space="0" w:color="auto"/>
        <w:right w:val="none" w:sz="0" w:space="0" w:color="auto"/>
      </w:divBdr>
    </w:div>
    <w:div w:id="1144158084">
      <w:bodyDiv w:val="1"/>
      <w:marLeft w:val="0"/>
      <w:marRight w:val="0"/>
      <w:marTop w:val="0"/>
      <w:marBottom w:val="0"/>
      <w:divBdr>
        <w:top w:val="none" w:sz="0" w:space="0" w:color="auto"/>
        <w:left w:val="none" w:sz="0" w:space="0" w:color="auto"/>
        <w:bottom w:val="none" w:sz="0" w:space="0" w:color="auto"/>
        <w:right w:val="none" w:sz="0" w:space="0" w:color="auto"/>
      </w:divBdr>
    </w:div>
    <w:div w:id="1262378010">
      <w:bodyDiv w:val="1"/>
      <w:marLeft w:val="0"/>
      <w:marRight w:val="0"/>
      <w:marTop w:val="0"/>
      <w:marBottom w:val="0"/>
      <w:divBdr>
        <w:top w:val="none" w:sz="0" w:space="0" w:color="auto"/>
        <w:left w:val="none" w:sz="0" w:space="0" w:color="auto"/>
        <w:bottom w:val="none" w:sz="0" w:space="0" w:color="auto"/>
        <w:right w:val="none" w:sz="0" w:space="0" w:color="auto"/>
      </w:divBdr>
    </w:div>
    <w:div w:id="1328021791">
      <w:bodyDiv w:val="1"/>
      <w:marLeft w:val="0"/>
      <w:marRight w:val="0"/>
      <w:marTop w:val="0"/>
      <w:marBottom w:val="0"/>
      <w:divBdr>
        <w:top w:val="none" w:sz="0" w:space="0" w:color="auto"/>
        <w:left w:val="none" w:sz="0" w:space="0" w:color="auto"/>
        <w:bottom w:val="none" w:sz="0" w:space="0" w:color="auto"/>
        <w:right w:val="none" w:sz="0" w:space="0" w:color="auto"/>
      </w:divBdr>
    </w:div>
    <w:div w:id="1331981997">
      <w:bodyDiv w:val="1"/>
      <w:marLeft w:val="0"/>
      <w:marRight w:val="0"/>
      <w:marTop w:val="0"/>
      <w:marBottom w:val="0"/>
      <w:divBdr>
        <w:top w:val="none" w:sz="0" w:space="0" w:color="auto"/>
        <w:left w:val="none" w:sz="0" w:space="0" w:color="auto"/>
        <w:bottom w:val="none" w:sz="0" w:space="0" w:color="auto"/>
        <w:right w:val="none" w:sz="0" w:space="0" w:color="auto"/>
      </w:divBdr>
    </w:div>
    <w:div w:id="1371875159">
      <w:bodyDiv w:val="1"/>
      <w:marLeft w:val="0"/>
      <w:marRight w:val="0"/>
      <w:marTop w:val="0"/>
      <w:marBottom w:val="0"/>
      <w:divBdr>
        <w:top w:val="none" w:sz="0" w:space="0" w:color="auto"/>
        <w:left w:val="none" w:sz="0" w:space="0" w:color="auto"/>
        <w:bottom w:val="none" w:sz="0" w:space="0" w:color="auto"/>
        <w:right w:val="none" w:sz="0" w:space="0" w:color="auto"/>
      </w:divBdr>
      <w:divsChild>
        <w:div w:id="1912696657">
          <w:marLeft w:val="0"/>
          <w:marRight w:val="0"/>
          <w:marTop w:val="0"/>
          <w:marBottom w:val="0"/>
          <w:divBdr>
            <w:top w:val="none" w:sz="0" w:space="0" w:color="auto"/>
            <w:left w:val="none" w:sz="0" w:space="0" w:color="auto"/>
            <w:bottom w:val="none" w:sz="0" w:space="0" w:color="auto"/>
            <w:right w:val="none" w:sz="0" w:space="0" w:color="auto"/>
          </w:divBdr>
        </w:div>
      </w:divsChild>
    </w:div>
    <w:div w:id="1446198206">
      <w:bodyDiv w:val="1"/>
      <w:marLeft w:val="0"/>
      <w:marRight w:val="0"/>
      <w:marTop w:val="0"/>
      <w:marBottom w:val="0"/>
      <w:divBdr>
        <w:top w:val="none" w:sz="0" w:space="0" w:color="auto"/>
        <w:left w:val="none" w:sz="0" w:space="0" w:color="auto"/>
        <w:bottom w:val="none" w:sz="0" w:space="0" w:color="auto"/>
        <w:right w:val="none" w:sz="0" w:space="0" w:color="auto"/>
      </w:divBdr>
    </w:div>
    <w:div w:id="1502740869">
      <w:bodyDiv w:val="1"/>
      <w:marLeft w:val="0"/>
      <w:marRight w:val="0"/>
      <w:marTop w:val="0"/>
      <w:marBottom w:val="0"/>
      <w:divBdr>
        <w:top w:val="none" w:sz="0" w:space="0" w:color="auto"/>
        <w:left w:val="none" w:sz="0" w:space="0" w:color="auto"/>
        <w:bottom w:val="none" w:sz="0" w:space="0" w:color="auto"/>
        <w:right w:val="none" w:sz="0" w:space="0" w:color="auto"/>
      </w:divBdr>
    </w:div>
    <w:div w:id="1523319542">
      <w:bodyDiv w:val="1"/>
      <w:marLeft w:val="0"/>
      <w:marRight w:val="0"/>
      <w:marTop w:val="0"/>
      <w:marBottom w:val="0"/>
      <w:divBdr>
        <w:top w:val="none" w:sz="0" w:space="0" w:color="auto"/>
        <w:left w:val="none" w:sz="0" w:space="0" w:color="auto"/>
        <w:bottom w:val="none" w:sz="0" w:space="0" w:color="auto"/>
        <w:right w:val="none" w:sz="0" w:space="0" w:color="auto"/>
      </w:divBdr>
    </w:div>
    <w:div w:id="1551502189">
      <w:bodyDiv w:val="1"/>
      <w:marLeft w:val="0"/>
      <w:marRight w:val="0"/>
      <w:marTop w:val="0"/>
      <w:marBottom w:val="0"/>
      <w:divBdr>
        <w:top w:val="none" w:sz="0" w:space="0" w:color="auto"/>
        <w:left w:val="none" w:sz="0" w:space="0" w:color="auto"/>
        <w:bottom w:val="none" w:sz="0" w:space="0" w:color="auto"/>
        <w:right w:val="none" w:sz="0" w:space="0" w:color="auto"/>
      </w:divBdr>
    </w:div>
    <w:div w:id="1564487275">
      <w:bodyDiv w:val="1"/>
      <w:marLeft w:val="0"/>
      <w:marRight w:val="0"/>
      <w:marTop w:val="0"/>
      <w:marBottom w:val="0"/>
      <w:divBdr>
        <w:top w:val="none" w:sz="0" w:space="0" w:color="auto"/>
        <w:left w:val="none" w:sz="0" w:space="0" w:color="auto"/>
        <w:bottom w:val="none" w:sz="0" w:space="0" w:color="auto"/>
        <w:right w:val="none" w:sz="0" w:space="0" w:color="auto"/>
      </w:divBdr>
    </w:div>
    <w:div w:id="1597790715">
      <w:bodyDiv w:val="1"/>
      <w:marLeft w:val="0"/>
      <w:marRight w:val="0"/>
      <w:marTop w:val="0"/>
      <w:marBottom w:val="0"/>
      <w:divBdr>
        <w:top w:val="none" w:sz="0" w:space="0" w:color="auto"/>
        <w:left w:val="none" w:sz="0" w:space="0" w:color="auto"/>
        <w:bottom w:val="none" w:sz="0" w:space="0" w:color="auto"/>
        <w:right w:val="none" w:sz="0" w:space="0" w:color="auto"/>
      </w:divBdr>
    </w:div>
    <w:div w:id="1619067957">
      <w:bodyDiv w:val="1"/>
      <w:marLeft w:val="0"/>
      <w:marRight w:val="0"/>
      <w:marTop w:val="0"/>
      <w:marBottom w:val="0"/>
      <w:divBdr>
        <w:top w:val="none" w:sz="0" w:space="0" w:color="auto"/>
        <w:left w:val="none" w:sz="0" w:space="0" w:color="auto"/>
        <w:bottom w:val="none" w:sz="0" w:space="0" w:color="auto"/>
        <w:right w:val="none" w:sz="0" w:space="0" w:color="auto"/>
      </w:divBdr>
    </w:div>
    <w:div w:id="1649824437">
      <w:bodyDiv w:val="1"/>
      <w:marLeft w:val="0"/>
      <w:marRight w:val="0"/>
      <w:marTop w:val="0"/>
      <w:marBottom w:val="0"/>
      <w:divBdr>
        <w:top w:val="none" w:sz="0" w:space="0" w:color="auto"/>
        <w:left w:val="none" w:sz="0" w:space="0" w:color="auto"/>
        <w:bottom w:val="none" w:sz="0" w:space="0" w:color="auto"/>
        <w:right w:val="none" w:sz="0" w:space="0" w:color="auto"/>
      </w:divBdr>
    </w:div>
    <w:div w:id="1659921556">
      <w:bodyDiv w:val="1"/>
      <w:marLeft w:val="0"/>
      <w:marRight w:val="0"/>
      <w:marTop w:val="0"/>
      <w:marBottom w:val="0"/>
      <w:divBdr>
        <w:top w:val="none" w:sz="0" w:space="0" w:color="auto"/>
        <w:left w:val="none" w:sz="0" w:space="0" w:color="auto"/>
        <w:bottom w:val="none" w:sz="0" w:space="0" w:color="auto"/>
        <w:right w:val="none" w:sz="0" w:space="0" w:color="auto"/>
      </w:divBdr>
    </w:div>
    <w:div w:id="1680889897">
      <w:bodyDiv w:val="1"/>
      <w:marLeft w:val="0"/>
      <w:marRight w:val="0"/>
      <w:marTop w:val="0"/>
      <w:marBottom w:val="0"/>
      <w:divBdr>
        <w:top w:val="none" w:sz="0" w:space="0" w:color="auto"/>
        <w:left w:val="none" w:sz="0" w:space="0" w:color="auto"/>
        <w:bottom w:val="none" w:sz="0" w:space="0" w:color="auto"/>
        <w:right w:val="none" w:sz="0" w:space="0" w:color="auto"/>
      </w:divBdr>
    </w:div>
    <w:div w:id="2030329238">
      <w:bodyDiv w:val="1"/>
      <w:marLeft w:val="0"/>
      <w:marRight w:val="0"/>
      <w:marTop w:val="0"/>
      <w:marBottom w:val="0"/>
      <w:divBdr>
        <w:top w:val="none" w:sz="0" w:space="0" w:color="auto"/>
        <w:left w:val="none" w:sz="0" w:space="0" w:color="auto"/>
        <w:bottom w:val="none" w:sz="0" w:space="0" w:color="auto"/>
        <w:right w:val="none" w:sz="0" w:space="0" w:color="auto"/>
      </w:divBdr>
    </w:div>
    <w:div w:id="2041973922">
      <w:bodyDiv w:val="1"/>
      <w:marLeft w:val="0"/>
      <w:marRight w:val="0"/>
      <w:marTop w:val="0"/>
      <w:marBottom w:val="0"/>
      <w:divBdr>
        <w:top w:val="none" w:sz="0" w:space="0" w:color="auto"/>
        <w:left w:val="none" w:sz="0" w:space="0" w:color="auto"/>
        <w:bottom w:val="none" w:sz="0" w:space="0" w:color="auto"/>
        <w:right w:val="none" w:sz="0" w:space="0" w:color="auto"/>
      </w:divBdr>
    </w:div>
    <w:div w:id="2060860392">
      <w:bodyDiv w:val="1"/>
      <w:marLeft w:val="0"/>
      <w:marRight w:val="0"/>
      <w:marTop w:val="0"/>
      <w:marBottom w:val="0"/>
      <w:divBdr>
        <w:top w:val="none" w:sz="0" w:space="0" w:color="auto"/>
        <w:left w:val="none" w:sz="0" w:space="0" w:color="auto"/>
        <w:bottom w:val="none" w:sz="0" w:space="0" w:color="auto"/>
        <w:right w:val="none" w:sz="0" w:space="0" w:color="auto"/>
      </w:divBdr>
    </w:div>
    <w:div w:id="2080253213">
      <w:bodyDiv w:val="1"/>
      <w:marLeft w:val="0"/>
      <w:marRight w:val="0"/>
      <w:marTop w:val="0"/>
      <w:marBottom w:val="0"/>
      <w:divBdr>
        <w:top w:val="none" w:sz="0" w:space="0" w:color="auto"/>
        <w:left w:val="none" w:sz="0" w:space="0" w:color="auto"/>
        <w:bottom w:val="none" w:sz="0" w:space="0" w:color="auto"/>
        <w:right w:val="none" w:sz="0" w:space="0" w:color="auto"/>
      </w:divBdr>
    </w:div>
    <w:div w:id="2114324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eginfo.legislature.ca.gov" TargetMode="External"/><Relationship Id="rId13" Type="http://schemas.openxmlformats.org/officeDocument/2006/relationships/hyperlink" Target="https://research-and-innovation.ec.europa.eu/funding/funding-opportunities/funding-programmes-and-open-calls/horizon-europe/cluster-2-culture-creativity-and-inclusive-society_en" TargetMode="External"/><Relationship Id="rId18" Type="http://schemas.openxmlformats.org/officeDocument/2006/relationships/hyperlink" Target="https://stopkillinggames.wiki.gg/wiki/Dead_game_list" TargetMode="External"/><Relationship Id="rId3" Type="http://schemas.openxmlformats.org/officeDocument/2006/relationships/hyperlink" Target="https://www.oecd.org/content/dam/oecd/en/publications/reports/2016/05/oecd-recommendation-of-the-council-on-consumer-protection-in-e-commerce_g1g66e4e/9789264255258-en.pdf" TargetMode="External"/><Relationship Id="rId7" Type="http://schemas.openxmlformats.org/officeDocument/2006/relationships/hyperlink" Target="https://petition.parliament.uk/petitions/702074" TargetMode="External"/><Relationship Id="rId12" Type="http://schemas.openxmlformats.org/officeDocument/2006/relationships/hyperlink" Target="https://digital-strategy.ec.europa.eu/en/library/2025-european-media-industry-outlook-report" TargetMode="External"/><Relationship Id="rId17" Type="http://schemas.openxmlformats.org/officeDocument/2006/relationships/hyperlink" Target="https://digital-strategy.ec.europa.eu/en/library/2025-european-media-industry-outlook-report" TargetMode="External"/><Relationship Id="rId2" Type="http://schemas.openxmlformats.org/officeDocument/2006/relationships/hyperlink" Target="https://www.oecd.org/sti/consumer/ECommerce-Recommendation-2016.pdf" TargetMode="External"/><Relationship Id="rId16" Type="http://schemas.openxmlformats.org/officeDocument/2006/relationships/hyperlink" Target="https://digital-strategy.ec.europa.eu/en/policies/mediainvest" TargetMode="External"/><Relationship Id="rId20" Type="http://schemas.openxmlformats.org/officeDocument/2006/relationships/hyperlink" Target="https://ingamejob.com/en/games-industry-employment-survey/2025" TargetMode="External"/><Relationship Id="rId1" Type="http://schemas.openxmlformats.org/officeDocument/2006/relationships/hyperlink" Target="https://eur-lex.europa.eu/legal-content/RO/TXT/?uri=CELEX%3A32024D1824" TargetMode="External"/><Relationship Id="rId6" Type="http://schemas.openxmlformats.org/officeDocument/2006/relationships/hyperlink" Target="https://petition.parliament.uk/petitions/702074" TargetMode="External"/><Relationship Id="rId11" Type="http://schemas.openxmlformats.org/officeDocument/2006/relationships/hyperlink" Target="https://leginfo.legislature.ca.gov/faces/billTextClient.xhtml?bill_id=202520260AB1921" TargetMode="External"/><Relationship Id="rId5" Type="http://schemas.openxmlformats.org/officeDocument/2006/relationships/hyperlink" Target="https://data.europa.eu/doi/10.2759/332575" TargetMode="External"/><Relationship Id="rId15" Type="http://schemas.openxmlformats.org/officeDocument/2006/relationships/hyperlink" Target="https://research-and-innovation.ec.europa.eu/funding/funding-opportunities/funding-programmes-and-open-calls/horizon-europe/cluster-2-culture-creativity-and-inclusive-society_en" TargetMode="External"/><Relationship Id="rId10" Type="http://schemas.openxmlformats.org/officeDocument/2006/relationships/hyperlink" Target="https://leginfo.legislature.ca.gov/faces/billTextClient.xhtml?bill_id=202520260AB1921" TargetMode="External"/><Relationship Id="rId19" Type="http://schemas.openxmlformats.org/officeDocument/2006/relationships/hyperlink" Target="https://commission.europa.eu/document/download/8af13e88-6540-436c-b137-9853e7fe866a_en?filename=Key%20principles%20on%20in-game%20virtual%20currencies.pdf" TargetMode="External"/><Relationship Id="rId4" Type="http://schemas.openxmlformats.org/officeDocument/2006/relationships/hyperlink" Target="https://unesdoc.unesco.org/ark:/48223/pf0000380479" TargetMode="External"/><Relationship Id="rId9" Type="http://schemas.openxmlformats.org/officeDocument/2006/relationships/hyperlink" Target="https://leginfo.legislature.ca.gov/faces/billNavClient.xhtml?bill_id=202320240AB2426" TargetMode="External"/><Relationship Id="rId14" Type="http://schemas.openxmlformats.org/officeDocument/2006/relationships/hyperlink" Target="https://research-and-innovation.ec.europa.eu/funding/funding-opportunities/funding-programmes-and-open-calls/horizon-europe/cluster-2-culture-creativity-and-inclusive-society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E8177-2CFB-4D16-856E-D24D2FFA7C33}">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16</Pages>
  <Words>6611</Words>
  <Characters>37685</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2026-06-15T15:48:00Z</dcterms:created>
  <dcterms:modified xsi:type="dcterms:W3CDTF">2026-07-01T08:20:00Z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2026-06-13T17:13:57Z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4efcf7b0-145a-4e42-aea0-94a1fd158c9f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CP-001</vt:lpwstr>
  </property>
</Properties>
</file>