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EE738F" w14:textId="70AA4C36" w:rsidR="000467AF" w:rsidRPr="002719AA" w:rsidRDefault="00F10E14" w:rsidP="00F10E14">
      <w:pPr>
        <w:pStyle w:val="Pagedecouverture"/>
        <w:rPr>
          <w:noProof/>
        </w:rPr>
      </w:pPr>
      <w:r>
        <w:rPr>
          <w:noProof/>
        </w:rPr>
        <w:pict w14:anchorId="6741F6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071D13B-0555-4DDF-A22A-257882008A7B" style="width:455.25pt;height:357.75pt">
            <v:imagedata r:id="rId11" o:title=""/>
          </v:shape>
        </w:pict>
      </w:r>
    </w:p>
    <w:p w14:paraId="1DD430A9" w14:textId="77777777" w:rsidR="00E723EE" w:rsidRPr="002719AA" w:rsidRDefault="00E723EE" w:rsidP="00E723EE">
      <w:pPr>
        <w:rPr>
          <w:noProof/>
          <w:szCs w:val="24"/>
        </w:rPr>
        <w:sectPr w:rsidR="00E723EE" w:rsidRPr="002719AA" w:rsidSect="00F10E14">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705B72AC" w14:textId="4F8030CA" w:rsidR="00223517" w:rsidRPr="002719AA" w:rsidRDefault="002719AA" w:rsidP="002719AA">
      <w:pPr>
        <w:pStyle w:val="Typedudocument"/>
        <w:rPr>
          <w:noProof/>
        </w:rPr>
      </w:pPr>
      <w:bookmarkStart w:id="0" w:name="_GoBack"/>
      <w:bookmarkEnd w:id="0"/>
      <w:r w:rsidRPr="002719AA">
        <w:rPr>
          <w:noProof/>
        </w:rPr>
        <w:lastRenderedPageBreak/>
        <w:t>DECIZIA DE PUNERE ÎN APLICARE A COMISIEI</w:t>
      </w:r>
    </w:p>
    <w:p w14:paraId="7F4B21EC" w14:textId="39D38C4A" w:rsidR="00223517" w:rsidRPr="002719AA" w:rsidRDefault="002719AA" w:rsidP="002719AA">
      <w:pPr>
        <w:pStyle w:val="Datedadoption"/>
        <w:rPr>
          <w:noProof/>
        </w:rPr>
      </w:pPr>
      <w:r>
        <w:rPr>
          <w:noProof/>
        </w:rPr>
        <w:t>din 22.7.2026</w:t>
      </w:r>
    </w:p>
    <w:p w14:paraId="03D20688" w14:textId="094BCE41" w:rsidR="005A511F" w:rsidRPr="002719AA" w:rsidRDefault="002719AA" w:rsidP="002719AA">
      <w:pPr>
        <w:pStyle w:val="Titreobjet"/>
        <w:rPr>
          <w:noProof/>
        </w:rPr>
      </w:pPr>
      <w:bookmarkStart w:id="1" w:name="_Hlk137558644"/>
      <w:bookmarkStart w:id="2" w:name="_Hlk160542626"/>
      <w:bookmarkStart w:id="3" w:name="_Hlk160554821"/>
      <w:bookmarkStart w:id="4" w:name="_Hlk166656665"/>
      <w:r w:rsidRPr="002719AA">
        <w:rPr>
          <w:noProof/>
        </w:rPr>
        <w:t>privind cererea de înregistrare, în temeiul Regulamentului (UE) 2019/788 al Parlamentului European și al Consiliului, a inițiativei cetățenești europene intitulate „Save Europe Act”</w:t>
      </w:r>
    </w:p>
    <w:p w14:paraId="20D95488" w14:textId="3D3BE7A8" w:rsidR="007E7FC1" w:rsidRPr="002719AA" w:rsidRDefault="002719AA" w:rsidP="002719AA">
      <w:pPr>
        <w:pStyle w:val="Languesfaisantfoi"/>
        <w:rPr>
          <w:noProof/>
        </w:rPr>
      </w:pPr>
      <w:r w:rsidRPr="002719AA">
        <w:rPr>
          <w:noProof/>
        </w:rPr>
        <w:t>(Numai textul în limba engleză este autentic)</w:t>
      </w:r>
    </w:p>
    <w:bookmarkEnd w:id="1"/>
    <w:bookmarkEnd w:id="2"/>
    <w:bookmarkEnd w:id="3"/>
    <w:bookmarkEnd w:id="4"/>
    <w:p w14:paraId="4494AABF" w14:textId="0F73B5F1" w:rsidR="000467AF" w:rsidRPr="002719AA" w:rsidRDefault="000467AF" w:rsidP="000467AF">
      <w:pPr>
        <w:pStyle w:val="Institutionquiagit"/>
        <w:rPr>
          <w:noProof/>
          <w:szCs w:val="24"/>
        </w:rPr>
      </w:pPr>
      <w:r w:rsidRPr="002719AA">
        <w:rPr>
          <w:noProof/>
        </w:rPr>
        <w:t>COMISIA EUROPEANĂ,</w:t>
      </w:r>
    </w:p>
    <w:p w14:paraId="16673B61" w14:textId="77777777" w:rsidR="000467AF" w:rsidRPr="002719AA" w:rsidRDefault="000467AF" w:rsidP="000467AF">
      <w:pPr>
        <w:rPr>
          <w:noProof/>
          <w:szCs w:val="24"/>
        </w:rPr>
      </w:pPr>
      <w:r w:rsidRPr="002719AA">
        <w:rPr>
          <w:noProof/>
        </w:rPr>
        <w:t>având în vedere Tratatul privind funcționarea Uniunii Europene,</w:t>
      </w:r>
    </w:p>
    <w:p w14:paraId="6ABF658F" w14:textId="77777777" w:rsidR="003B6466" w:rsidRPr="002719AA" w:rsidRDefault="003B6466" w:rsidP="003B6466">
      <w:pPr>
        <w:rPr>
          <w:noProof/>
          <w:szCs w:val="24"/>
        </w:rPr>
      </w:pPr>
      <w:r w:rsidRPr="002719AA">
        <w:rPr>
          <w:noProof/>
        </w:rPr>
        <w:t>după ce a oferit grupului de organizatori posibilitatea de a-și face cunoscute punctele de vedere,</w:t>
      </w:r>
    </w:p>
    <w:p w14:paraId="115DB17D" w14:textId="1B79FD02" w:rsidR="000467AF" w:rsidRPr="002719AA" w:rsidRDefault="000467AF" w:rsidP="000467AF">
      <w:pPr>
        <w:rPr>
          <w:noProof/>
          <w:szCs w:val="24"/>
        </w:rPr>
      </w:pPr>
      <w:r w:rsidRPr="002719AA">
        <w:rPr>
          <w:noProof/>
        </w:rPr>
        <w:t>având în vedere Regulamentul (UE) 2019/788 al Parlamentului European și al Consiliului din 17 aprilie 2019 privind inițiativa cetățenească europeană</w:t>
      </w:r>
      <w:r w:rsidRPr="002719AA">
        <w:rPr>
          <w:rStyle w:val="FootnoteReference"/>
          <w:bCs/>
          <w:noProof/>
          <w:szCs w:val="24"/>
        </w:rPr>
        <w:footnoteReference w:id="2"/>
      </w:r>
      <w:r w:rsidRPr="002719AA">
        <w:rPr>
          <w:noProof/>
        </w:rPr>
        <w:t>, în special articolul 6 alineatul (3),</w:t>
      </w:r>
    </w:p>
    <w:p w14:paraId="526EB332" w14:textId="77777777" w:rsidR="000467AF" w:rsidRPr="002719AA" w:rsidRDefault="000467AF" w:rsidP="000467AF">
      <w:pPr>
        <w:rPr>
          <w:noProof/>
          <w:szCs w:val="24"/>
        </w:rPr>
      </w:pPr>
      <w:r w:rsidRPr="002719AA">
        <w:rPr>
          <w:noProof/>
        </w:rPr>
        <w:t>întrucât:</w:t>
      </w:r>
    </w:p>
    <w:p w14:paraId="79E1CE44" w14:textId="77777777" w:rsidR="00177A49" w:rsidRPr="002719AA" w:rsidRDefault="00F644E1" w:rsidP="004C7F21">
      <w:pPr>
        <w:pStyle w:val="ManualConsidrant"/>
        <w:rPr>
          <w:noProof/>
        </w:rPr>
      </w:pPr>
      <w:r>
        <w:rPr>
          <w:noProof/>
        </w:rPr>
        <w:t>(1)</w:t>
      </w:r>
      <w:r>
        <w:rPr>
          <w:noProof/>
        </w:rPr>
        <w:tab/>
      </w:r>
      <w:r w:rsidRPr="002719AA">
        <w:rPr>
          <w:noProof/>
        </w:rPr>
        <w:t>La data de 8 iunie 2026, Comisiei i-a fost prezentată o cerere de înregistrare a unei inițiative cetățenești europene intitulate „Save Europe Act”.</w:t>
      </w:r>
    </w:p>
    <w:p w14:paraId="7CA2E43F" w14:textId="6E5B29B7" w:rsidR="001E07EF" w:rsidRPr="002719AA" w:rsidRDefault="00177A49" w:rsidP="004C7F21">
      <w:pPr>
        <w:pStyle w:val="ManualConsidrant"/>
        <w:rPr>
          <w:noProof/>
        </w:rPr>
      </w:pPr>
      <w:r>
        <w:rPr>
          <w:noProof/>
        </w:rPr>
        <w:t>(2)</w:t>
      </w:r>
      <w:r>
        <w:rPr>
          <w:noProof/>
        </w:rPr>
        <w:tab/>
      </w:r>
      <w:r w:rsidRPr="002719AA">
        <w:rPr>
          <w:noProof/>
        </w:rPr>
        <w:t>La data de 24 iunie 2026, Comisia a informat grupul de organizatori cu privire la evaluarea sa preliminară și l-a invitat să prezinte observații. Grupul de organizatori și-a prezentat observațiile la data de 29 iunie 2026.</w:t>
      </w:r>
    </w:p>
    <w:p w14:paraId="4DC8A79D" w14:textId="3BA0A6D1" w:rsidR="00213BE1" w:rsidRPr="002719AA" w:rsidRDefault="00A3430E" w:rsidP="001976C4">
      <w:pPr>
        <w:pStyle w:val="ManualConsidrant"/>
        <w:rPr>
          <w:noProof/>
        </w:rPr>
      </w:pPr>
      <w:r>
        <w:rPr>
          <w:noProof/>
        </w:rPr>
        <w:t>(3)</w:t>
      </w:r>
      <w:r>
        <w:rPr>
          <w:noProof/>
        </w:rPr>
        <w:tab/>
      </w:r>
      <w:r w:rsidRPr="002719AA">
        <w:rPr>
          <w:noProof/>
        </w:rPr>
        <w:t xml:space="preserve">Scopul inițiativei, astfel cum a fost exprimat de organizatori, este de a invita Comisia să „să propună un act al Uniunii de instituire a unui moratoriu temporar privind noile canale de imigrație neoccidentală, inclusiv privind vizele de studiu și de reîntregire a familiei, reformând în același timp în mod fundamental sistemul de migrație și azil al UE. Actul ar trebui să consolideze protecția frontierelor externe, să permită proceduri rapide de screening și returnare și să asigure migrația de revenire sistematică și accelerată a migranților aflați în situație de ședere ilegală, a solicitanților de azil respinși și a altor categorii de migranți din afara Europei a căror ședere continuă să exercite o presiune importantă asupra statelor membre. De asemenea, ar trebui ca actul să asigure recunoașterea reciprocă a deciziilor de returnare pe întregul teritoriu al UE, o colaborare mai strânsă cu țările terțe în ceea ce privește readmisia, precum și eliminarea factorilor de atracție legați de prestațiile sociale care încurajează noi fluxuri de migrație către Europa. Anexa la această inițiativă oferă mai multe detalii cu privire la contextul, tema și obiectivele sale. </w:t>
      </w:r>
    </w:p>
    <w:p w14:paraId="2E05B2C8" w14:textId="22B343A6" w:rsidR="000A45CD" w:rsidRPr="002719AA" w:rsidRDefault="000A45CD" w:rsidP="000A45CD">
      <w:pPr>
        <w:pStyle w:val="ManualConsidrant"/>
        <w:rPr>
          <w:noProof/>
        </w:rPr>
      </w:pPr>
      <w:r>
        <w:rPr>
          <w:noProof/>
        </w:rPr>
        <w:t>(4)</w:t>
      </w:r>
      <w:r>
        <w:rPr>
          <w:noProof/>
        </w:rPr>
        <w:tab/>
      </w:r>
      <w:r w:rsidRPr="002719AA">
        <w:rPr>
          <w:noProof/>
        </w:rPr>
        <w:t xml:space="preserve">Grupul de organizatori a furnizat toate documentele necesare pentru a dovedi că îndeplinește cerințele prevăzute la articolul 5 alineatele (1) și (2) din Regulamentul (UE) 2019/788 și a desemnat persoanele de contact în conformitate cu articolul 5 alineatul (3) primul paragraf din regulamentul respectiv. </w:t>
      </w:r>
    </w:p>
    <w:p w14:paraId="615DCEF3" w14:textId="28352C39" w:rsidR="006B6EC5" w:rsidRPr="002719AA" w:rsidRDefault="00914917" w:rsidP="00914917">
      <w:pPr>
        <w:pStyle w:val="ManualConsidrant"/>
        <w:rPr>
          <w:noProof/>
        </w:rPr>
      </w:pPr>
      <w:r>
        <w:rPr>
          <w:noProof/>
        </w:rPr>
        <w:lastRenderedPageBreak/>
        <w:t>(5)</w:t>
      </w:r>
      <w:r>
        <w:rPr>
          <w:noProof/>
        </w:rPr>
        <w:tab/>
      </w:r>
      <w:r w:rsidRPr="002719AA">
        <w:rPr>
          <w:noProof/>
        </w:rPr>
        <w:t>Comisia observă că toate obiectivele propuse ale inițiativei au ca punct de plecare „moratoriul temporar privind noile canale de imigrație neoccidentală”. Moratoriul generalizat propus privind imigrația – definit pe baza „continuității etnice și culturale” a „populațiilor autohtone europene” în raport cu ceea ce inițiativa califică drept „înlocuire demografică” a acestora de către migranți „neoccidentali” și „neeuropeni” – nu s-ar baza pe criterii de gestionare a migrației, ci pe originea etnică, culturală sau civilizațională a persoanelor în cauză. Acest lucru înseamnă că moratoriul generalizat propus ar discrimina pe criterii de rasă și origine etnică. Prin urmare, moratoriul contravine în mod vădit articolului 21 din Carta drepturilor fundamentale a Uniunii Europene (a se vedea în acest sens Hotărârea din 6 septembrie 2017, Slovacia și Ungaria/Consiliul, C 643/15, respectiv C 647/15, EU:C 2017:631, punctul 305) și valorilor consacrate la articolul 2 din Tratatul privind Uniunea Europeană (TUE), pe care se întemeiază Uniunea.</w:t>
      </w:r>
    </w:p>
    <w:p w14:paraId="46791149" w14:textId="58945A1C" w:rsidR="00B120FC" w:rsidRPr="002719AA" w:rsidRDefault="00D300D8" w:rsidP="00914917">
      <w:pPr>
        <w:pStyle w:val="ManualConsidrant"/>
        <w:rPr>
          <w:noProof/>
        </w:rPr>
      </w:pPr>
      <w:r>
        <w:rPr>
          <w:noProof/>
        </w:rPr>
        <w:t>(6)</w:t>
      </w:r>
      <w:r>
        <w:rPr>
          <w:noProof/>
        </w:rPr>
        <w:tab/>
      </w:r>
      <w:r w:rsidRPr="002719AA">
        <w:rPr>
          <w:noProof/>
        </w:rPr>
        <w:t>Contrar observațiilor prezentate de grupul de organizatori, termenul „neoccidental” nu poate face referire „exclusiv la fluxurile de migrație externă și la resortisanții țărilor terțe”, având în vedere că inițiativa vizează doar persoanele care provin în mod specific din „țări neeuropene” sau „neoccidentale”.</w:t>
      </w:r>
    </w:p>
    <w:p w14:paraId="167F5034" w14:textId="1F523078" w:rsidR="00B92D6B" w:rsidRPr="002719AA" w:rsidRDefault="00F96BA9" w:rsidP="00914917">
      <w:pPr>
        <w:pStyle w:val="ManualConsidrant"/>
        <w:rPr>
          <w:noProof/>
        </w:rPr>
      </w:pPr>
      <w:r>
        <w:rPr>
          <w:noProof/>
        </w:rPr>
        <w:t>(7)</w:t>
      </w:r>
      <w:r>
        <w:rPr>
          <w:noProof/>
        </w:rPr>
        <w:tab/>
      </w:r>
      <w:r w:rsidRPr="002719AA">
        <w:rPr>
          <w:noProof/>
        </w:rPr>
        <w:t xml:space="preserve">Grupul de organizatori subliniază, de asemenea, că inițiativa este justificată de „continuitatea culturală și demografică a popoarelor Europei” și că articolul 4 alineatul (2) din TUE obligă Uniunea să respecte identitățile naționale ale statelor membre. Cu toate acestea, articolul 4 alineatul (2) din TUE protejează doar o concepție a identităților naționale care este conformă cu valorile consacrate la articolul 2 din TUE (Hotărârea din 21 aprilie 2026, </w:t>
      </w:r>
      <w:r w:rsidRPr="002719AA">
        <w:rPr>
          <w:i/>
          <w:noProof/>
        </w:rPr>
        <w:t>Comisia/Ungaria</w:t>
      </w:r>
      <w:r w:rsidRPr="002719AA">
        <w:rPr>
          <w:noProof/>
        </w:rPr>
        <w:t xml:space="preserve">, C-769/22, EU:C:2026:326, punctul 562). Prin urmare, respectarea identităților naționale în temeiul articolului 4 alineatul (2) din TUE nu autorizează măsuri incompatibile cu valorile fundamentale sau cu drepturile fundamentale ale Uniunii, ceea ce înseamnă că grupul de organizatori nu se poate baza pe conceptul de identitate națională pentru a justifica o excludere amplă a anumitor canale de imigrație pe baza originii etnice. </w:t>
      </w:r>
    </w:p>
    <w:p w14:paraId="4B5CC01E" w14:textId="491E23A0" w:rsidR="009229CB" w:rsidRPr="002719AA" w:rsidRDefault="001F2CE9" w:rsidP="4099DAF4">
      <w:pPr>
        <w:pStyle w:val="ManualConsidrant"/>
        <w:rPr>
          <w:noProof/>
        </w:rPr>
      </w:pPr>
      <w:r>
        <w:rPr>
          <w:noProof/>
        </w:rPr>
        <w:t>(8)</w:t>
      </w:r>
      <w:r>
        <w:rPr>
          <w:noProof/>
        </w:rPr>
        <w:tab/>
      </w:r>
      <w:r w:rsidRPr="002719AA">
        <w:rPr>
          <w:noProof/>
        </w:rPr>
        <w:t xml:space="preserve">Din aceste motive, inițiativa intitulată „Save Europe Act” contravine vădit valorilor Uniunii, astfel cum sunt prevăzute la articolul 2 din TUE, precum și drepturilor consacrate în Carta drepturilor fundamentale a Uniunii Europene în sensul articolului 6 alineatul (3) primul paragraf litera (e) din Regulamentul (UE) 2019/788. </w:t>
      </w:r>
    </w:p>
    <w:p w14:paraId="0BDD499C" w14:textId="22EE9D52" w:rsidR="00A45C07" w:rsidRPr="002719AA" w:rsidRDefault="00494463" w:rsidP="00FD7E8A">
      <w:pPr>
        <w:pStyle w:val="ManualConsidrant"/>
        <w:rPr>
          <w:noProof/>
        </w:rPr>
      </w:pPr>
      <w:r>
        <w:rPr>
          <w:noProof/>
        </w:rPr>
        <w:t>(9)</w:t>
      </w:r>
      <w:r>
        <w:rPr>
          <w:noProof/>
        </w:rPr>
        <w:tab/>
      </w:r>
      <w:r w:rsidRPr="002719AA">
        <w:rPr>
          <w:noProof/>
        </w:rPr>
        <w:t>Prin urmare, în conformitate cu articolul 6 alineatul (3) al treilea paragraf din Regulamentul (UE) 2019/788, cererea de înregistrare a inițiativei intitulate „Save Europe Act” ar trebui refuzată,</w:t>
      </w:r>
    </w:p>
    <w:p w14:paraId="28A2E923" w14:textId="77777777" w:rsidR="000467AF" w:rsidRPr="002719AA" w:rsidRDefault="000467AF" w:rsidP="000467AF">
      <w:pPr>
        <w:rPr>
          <w:noProof/>
          <w:szCs w:val="24"/>
        </w:rPr>
      </w:pPr>
    </w:p>
    <w:p w14:paraId="0CD6BCCF" w14:textId="77777777" w:rsidR="000467AF" w:rsidRPr="002719AA" w:rsidRDefault="000467AF" w:rsidP="000467AF">
      <w:pPr>
        <w:pStyle w:val="Formuledadoption"/>
        <w:rPr>
          <w:noProof/>
          <w:szCs w:val="24"/>
        </w:rPr>
      </w:pPr>
      <w:r w:rsidRPr="002719AA">
        <w:rPr>
          <w:noProof/>
        </w:rPr>
        <w:t xml:space="preserve">ADOPTĂ PREZENTA DECIZIE: </w:t>
      </w:r>
    </w:p>
    <w:p w14:paraId="2516038E" w14:textId="77777777" w:rsidR="000467AF" w:rsidRPr="002719AA" w:rsidRDefault="000467AF" w:rsidP="000467AF">
      <w:pPr>
        <w:pStyle w:val="Titrearticle"/>
        <w:rPr>
          <w:noProof/>
          <w:szCs w:val="24"/>
        </w:rPr>
      </w:pPr>
      <w:r w:rsidRPr="002719AA">
        <w:rPr>
          <w:noProof/>
        </w:rPr>
        <w:t>Articolul 1</w:t>
      </w:r>
    </w:p>
    <w:p w14:paraId="7A893641" w14:textId="54374A03" w:rsidR="00A9457F" w:rsidRPr="002719AA" w:rsidRDefault="000467AF" w:rsidP="000467AF">
      <w:pPr>
        <w:rPr>
          <w:noProof/>
          <w:szCs w:val="24"/>
        </w:rPr>
      </w:pPr>
      <w:r w:rsidRPr="002719AA">
        <w:rPr>
          <w:noProof/>
        </w:rPr>
        <w:t xml:space="preserve">Inițiativa cetățenească europeană intitulată „Save Europe Act” nu se înregistrează. </w:t>
      </w:r>
    </w:p>
    <w:p w14:paraId="7CF35A04" w14:textId="77777777" w:rsidR="000467AF" w:rsidRPr="002719AA" w:rsidRDefault="000467AF" w:rsidP="000467AF">
      <w:pPr>
        <w:pStyle w:val="Titrearticle"/>
        <w:rPr>
          <w:noProof/>
          <w:szCs w:val="24"/>
        </w:rPr>
      </w:pPr>
      <w:r w:rsidRPr="002719AA">
        <w:rPr>
          <w:noProof/>
        </w:rPr>
        <w:t>Articolul 2</w:t>
      </w:r>
    </w:p>
    <w:p w14:paraId="796C77B9" w14:textId="3E7B8DFF" w:rsidR="00F644E1" w:rsidRPr="002719AA" w:rsidRDefault="00F644E1" w:rsidP="00F644E1">
      <w:pPr>
        <w:rPr>
          <w:rFonts w:eastAsia="Calibri"/>
          <w:noProof/>
          <w:szCs w:val="24"/>
        </w:rPr>
      </w:pPr>
      <w:r w:rsidRPr="002719AA">
        <w:rPr>
          <w:noProof/>
        </w:rPr>
        <w:t>Prezenta decizie se adresează grupului de organizatori ai inițiativei cetățenești intitulate „Save Europe Act”, reprezentat de Eva VLAARDINGERBROEK și Martin SELLNER, care acționează în calitate de persoane de contact.</w:t>
      </w:r>
    </w:p>
    <w:p w14:paraId="73071640" w14:textId="01CE9792" w:rsidR="00693DF3" w:rsidRPr="002719AA" w:rsidRDefault="00A55CBD" w:rsidP="00693DF3">
      <w:pPr>
        <w:rPr>
          <w:rFonts w:eastAsia="Calibri"/>
          <w:noProof/>
          <w:szCs w:val="24"/>
        </w:rPr>
      </w:pPr>
      <w:r w:rsidRPr="002719AA">
        <w:rPr>
          <w:noProof/>
        </w:rPr>
        <w:lastRenderedPageBreak/>
        <w:t xml:space="preserve"> </w:t>
      </w:r>
    </w:p>
    <w:p w14:paraId="5B08E38A" w14:textId="634C32CF" w:rsidR="000467AF" w:rsidRPr="002719AA" w:rsidRDefault="002719AA" w:rsidP="007A34E6">
      <w:pPr>
        <w:pStyle w:val="Fait"/>
        <w:rPr>
          <w:noProof/>
        </w:rPr>
      </w:pPr>
      <w:r>
        <w:rPr>
          <w:noProof/>
        </w:rPr>
        <w:t>Adoptată la Bruxelles, 22.7.2026</w:t>
      </w:r>
    </w:p>
    <w:p w14:paraId="7F0E1393" w14:textId="7BD59EB1" w:rsidR="000467AF" w:rsidRPr="002719AA" w:rsidRDefault="000467AF" w:rsidP="007A34E6">
      <w:pPr>
        <w:pStyle w:val="Institutionquisigne"/>
        <w:rPr>
          <w:noProof/>
          <w:szCs w:val="24"/>
        </w:rPr>
      </w:pPr>
      <w:r w:rsidRPr="002719AA">
        <w:rPr>
          <w:noProof/>
        </w:rPr>
        <w:tab/>
        <w:t>Pentru Comisie</w:t>
      </w:r>
    </w:p>
    <w:p w14:paraId="5A11E490" w14:textId="3DF813F4" w:rsidR="000467AF" w:rsidRPr="002719AA" w:rsidRDefault="000467AF" w:rsidP="000467AF">
      <w:pPr>
        <w:pStyle w:val="Personnequisigne"/>
        <w:rPr>
          <w:noProof/>
          <w:szCs w:val="24"/>
        </w:rPr>
      </w:pPr>
      <w:r>
        <w:rPr>
          <w:noProof/>
        </w:rPr>
        <w:tab/>
        <w:t>Maroš ŠEFČOVIČ</w:t>
      </w:r>
      <w:r>
        <w:rPr>
          <w:noProof/>
        </w:rPr>
        <w:br/>
      </w:r>
      <w:r>
        <w:rPr>
          <w:noProof/>
        </w:rPr>
        <w:tab/>
        <w:t>Membru al Comisiei</w:t>
      </w:r>
    </w:p>
    <w:sectPr w:rsidR="000467AF" w:rsidRPr="002719AA" w:rsidSect="00F10E14">
      <w:headerReference w:type="even" r:id="rId18"/>
      <w:footerReference w:type="even" r:id="rId19"/>
      <w:footerReference w:type="default" r:id="rId20"/>
      <w:headerReference w:type="first" r:id="rId21"/>
      <w:footerReference w:type="firs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BE5AC6" w14:textId="77777777" w:rsidR="00C7167D" w:rsidRDefault="00C7167D" w:rsidP="000467AF">
      <w:pPr>
        <w:spacing w:before="0" w:after="0"/>
      </w:pPr>
      <w:r>
        <w:separator/>
      </w:r>
    </w:p>
  </w:endnote>
  <w:endnote w:type="continuationSeparator" w:id="0">
    <w:p w14:paraId="611CF8FA" w14:textId="77777777" w:rsidR="00C7167D" w:rsidRDefault="00C7167D" w:rsidP="000467AF">
      <w:pPr>
        <w:spacing w:before="0" w:after="0"/>
      </w:pPr>
      <w:r>
        <w:continuationSeparator/>
      </w:r>
    </w:p>
  </w:endnote>
  <w:endnote w:type="continuationNotice" w:id="1">
    <w:p w14:paraId="2370DB89" w14:textId="77777777" w:rsidR="00C7167D" w:rsidRDefault="00C7167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ADD8B" w14:textId="267C3619" w:rsidR="00F10E14" w:rsidRPr="00F10E14" w:rsidRDefault="00F10E14" w:rsidP="00F10E14">
    <w:pPr>
      <w:pStyle w:val="Footer"/>
      <w:rPr>
        <w:rFonts w:ascii="Arial" w:hAnsi="Arial" w:cs="Arial"/>
        <w:b/>
        <w:sz w:val="48"/>
      </w:rPr>
    </w:pPr>
    <w:r w:rsidRPr="00F10E14">
      <w:rPr>
        <w:rFonts w:ascii="Arial" w:hAnsi="Arial" w:cs="Arial"/>
        <w:b/>
        <w:sz w:val="48"/>
      </w:rPr>
      <w:t>RO</w:t>
    </w:r>
    <w:r w:rsidRPr="00F10E14">
      <w:rPr>
        <w:rFonts w:ascii="Arial" w:hAnsi="Arial" w:cs="Arial"/>
        <w:b/>
        <w:sz w:val="48"/>
      </w:rPr>
      <w:tab/>
    </w:r>
    <w:r w:rsidRPr="00F10E14">
      <w:rPr>
        <w:rFonts w:ascii="Arial" w:hAnsi="Arial" w:cs="Arial"/>
        <w:b/>
        <w:sz w:val="48"/>
      </w:rPr>
      <w:tab/>
    </w:r>
    <w:r w:rsidRPr="00F10E14">
      <w:tab/>
    </w:r>
    <w:r w:rsidRPr="00F10E1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EB45F" w14:textId="1C6FCEC1" w:rsidR="00F10E14" w:rsidRPr="00F10E14" w:rsidRDefault="00F10E14" w:rsidP="00F10E14">
    <w:pPr>
      <w:pStyle w:val="Footer"/>
      <w:rPr>
        <w:rFonts w:ascii="Arial" w:hAnsi="Arial" w:cs="Arial"/>
        <w:b/>
        <w:sz w:val="48"/>
      </w:rPr>
    </w:pPr>
    <w:r w:rsidRPr="00F10E14">
      <w:rPr>
        <w:rFonts w:ascii="Arial" w:hAnsi="Arial" w:cs="Arial"/>
        <w:b/>
        <w:sz w:val="48"/>
      </w:rPr>
      <w:t>RO</w:t>
    </w:r>
    <w:r w:rsidRPr="00F10E14">
      <w:rPr>
        <w:rFonts w:ascii="Arial" w:hAnsi="Arial" w:cs="Arial"/>
        <w:b/>
        <w:sz w:val="48"/>
      </w:rPr>
      <w:tab/>
    </w:r>
    <w:r w:rsidRPr="00F10E14">
      <w:rPr>
        <w:rFonts w:ascii="Arial" w:hAnsi="Arial" w:cs="Arial"/>
        <w:b/>
        <w:sz w:val="48"/>
      </w:rPr>
      <w:tab/>
    </w:r>
    <w:r w:rsidRPr="00F10E14">
      <w:tab/>
    </w:r>
    <w:r w:rsidRPr="00F10E1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AC2B1" w14:textId="77777777" w:rsidR="00F10E14" w:rsidRPr="00F10E14" w:rsidRDefault="00F10E14" w:rsidP="00F10E1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B2FA6" w14:textId="77777777" w:rsidR="00F10E14" w:rsidRDefault="00F10E1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9E957" w14:textId="5B4B4E2A" w:rsidR="00F10E14" w:rsidRPr="00F10E14" w:rsidRDefault="00F10E14" w:rsidP="00F10E14">
    <w:pPr>
      <w:pStyle w:val="Footer"/>
      <w:rPr>
        <w:rFonts w:ascii="Arial" w:hAnsi="Arial" w:cs="Arial"/>
        <w:b/>
        <w:sz w:val="48"/>
      </w:rPr>
    </w:pPr>
    <w:r w:rsidRPr="00F10E14">
      <w:rPr>
        <w:rFonts w:ascii="Arial" w:hAnsi="Arial" w:cs="Arial"/>
        <w:b/>
        <w:sz w:val="48"/>
      </w:rPr>
      <w:t>RO</w:t>
    </w:r>
    <w:r w:rsidRPr="00F10E14">
      <w:rPr>
        <w:rFonts w:ascii="Arial" w:hAnsi="Arial" w:cs="Arial"/>
        <w:b/>
        <w:sz w:val="48"/>
      </w:rPr>
      <w:tab/>
    </w:r>
    <w:r>
      <w:fldChar w:fldCharType="begin"/>
    </w:r>
    <w:r>
      <w:instrText xml:space="preserve"> PAGE  \* MERGEFORMAT </w:instrText>
    </w:r>
    <w:r>
      <w:fldChar w:fldCharType="separate"/>
    </w:r>
    <w:r w:rsidR="007A34E6">
      <w:rPr>
        <w:noProof/>
      </w:rPr>
      <w:t>3</w:t>
    </w:r>
    <w:r>
      <w:fldChar w:fldCharType="end"/>
    </w:r>
    <w:r>
      <w:tab/>
    </w:r>
    <w:r w:rsidRPr="00F10E14">
      <w:tab/>
    </w:r>
    <w:r w:rsidRPr="00F10E14">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97BE2" w14:textId="77777777" w:rsidR="00F10E14" w:rsidRDefault="00F10E14" w:rsidP="00F10E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024F8B" w14:textId="77777777" w:rsidR="00C7167D" w:rsidRDefault="00C7167D" w:rsidP="000467AF">
      <w:pPr>
        <w:spacing w:before="0" w:after="0"/>
      </w:pPr>
      <w:r>
        <w:separator/>
      </w:r>
    </w:p>
  </w:footnote>
  <w:footnote w:type="continuationSeparator" w:id="0">
    <w:p w14:paraId="6F4C185D" w14:textId="77777777" w:rsidR="00C7167D" w:rsidRDefault="00C7167D" w:rsidP="000467AF">
      <w:pPr>
        <w:spacing w:before="0" w:after="0"/>
      </w:pPr>
      <w:r>
        <w:continuationSeparator/>
      </w:r>
    </w:p>
  </w:footnote>
  <w:footnote w:type="continuationNotice" w:id="1">
    <w:p w14:paraId="673DBCA9" w14:textId="77777777" w:rsidR="00C7167D" w:rsidRDefault="00C7167D">
      <w:pPr>
        <w:spacing w:before="0" w:after="0"/>
      </w:pPr>
    </w:p>
  </w:footnote>
  <w:footnote w:id="2">
    <w:p w14:paraId="1ED8DED5" w14:textId="4DDEA466" w:rsidR="008F4FEA" w:rsidRPr="00F16344" w:rsidRDefault="00B17267" w:rsidP="00D91875">
      <w:pPr>
        <w:pStyle w:val="FootnoteText"/>
        <w:rPr>
          <w:iCs/>
        </w:rPr>
      </w:pPr>
      <w:r>
        <w:rPr>
          <w:rStyle w:val="FootnoteReference"/>
        </w:rPr>
        <w:footnoteRef/>
      </w:r>
      <w:r>
        <w:tab/>
        <w:t xml:space="preserve">JO L </w:t>
      </w:r>
      <w:r w:rsidRPr="002719AA">
        <w:t>130</w:t>
      </w:r>
      <w:r>
        <w:t xml:space="preserve">, </w:t>
      </w:r>
      <w:r w:rsidRPr="002719AA">
        <w:t>17</w:t>
      </w:r>
      <w:r>
        <w:t>.</w:t>
      </w:r>
      <w:r w:rsidRPr="002719AA">
        <w:t>05</w:t>
      </w:r>
      <w:r>
        <w:t>.</w:t>
      </w:r>
      <w:r w:rsidRPr="002719AA">
        <w:t>2019</w:t>
      </w:r>
      <w:r>
        <w:t xml:space="preserve">, p. </w:t>
      </w:r>
      <w:r w:rsidRPr="002719AA">
        <w:t>55</w:t>
      </w:r>
      <w:r>
        <w:t>, ELI: http://data.europa.eu/eli/reg/</w:t>
      </w:r>
      <w:r w:rsidRPr="002719AA">
        <w:t>2019</w:t>
      </w:r>
      <w:r>
        <w:t>/</w:t>
      </w:r>
      <w:r w:rsidRPr="002719AA">
        <w:t>788</w:t>
      </w:r>
      <w:r>
        <w:t>/oj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16196" w14:textId="77777777" w:rsidR="00F10E14" w:rsidRPr="00F10E14" w:rsidRDefault="00F10E14" w:rsidP="00F10E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31ECA" w14:textId="77777777" w:rsidR="00F10E14" w:rsidRPr="00F10E14" w:rsidRDefault="00F10E14" w:rsidP="00F10E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2FB78" w14:textId="77777777" w:rsidR="00F10E14" w:rsidRPr="00F10E14" w:rsidRDefault="00F10E14" w:rsidP="00F10E1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94406" w14:textId="77777777" w:rsidR="00F10E14" w:rsidRDefault="00F10E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8A99D" w14:textId="77777777" w:rsidR="00F10E14" w:rsidRDefault="00F10E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22 17:08:5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071D13B-0555-4DDF-A22A-257882008A7B"/>
    <w:docVar w:name="LW_COVERPAGE_TYPE" w:val="1"/>
    <w:docVar w:name="LW_CROSSREFERENCE" w:val="&lt;UNUSED&gt;"/>
    <w:docVar w:name="LW_DATE.ADOPT.CP" w:val="din 22.7.2026"/>
    <w:docVar w:name="LW_DATE.ADOPT.CP_DATEFORMAT" w:val="din %DATE%"/>
    <w:docVar w:name="LW_DATE.ADOPT.CP_ISODATE" w:val="2026-07-22"/>
    <w:docVar w:name="LW_DocType" w:val="COM"/>
    <w:docVar w:name="LW_EMISSION" w:val="22.7.2026"/>
    <w:docVar w:name="LW_EMISSION_ISODATE" w:val="2026-07-22"/>
    <w:docVar w:name="LW_EMISSION_LOCATION" w:val="BRX"/>
    <w:docVar w:name="LW_EMISSION_PREFIX" w:val="Bruxelles, "/>
    <w:docVar w:name="LW_EMISSION_SUFFIX" w:val=" "/>
    <w:docVar w:name="LW_ID_DOCMODEL" w:val="SJ-009"/>
    <w:docVar w:name="LW_ID_DOCSIGNATURE" w:val="SJ-009"/>
    <w:docVar w:name="LW_ID_DOCSTRUCTURE" w:val="COM/AA"/>
    <w:docVar w:name="LW_ID_DOCTYPE" w:val="SJ-009"/>
    <w:docVar w:name="LW_INTERETEEE.CP" w:val="&lt;UNUSED&gt;"/>
    <w:docVar w:name="LW_LANGUE" w:val="RO"/>
    <w:docVar w:name="LW_LANGUESFAISANTFOI.CP" w:val="(Numai textul în limba englez\u259? este autentic)"/>
    <w:docVar w:name="LW_LEVEL_OF_SENSITIVITY" w:val="Standard treatment"/>
    <w:docVar w:name="LW_NOM.INST" w:val="COMISIA EUROPEAN\u258?"/>
    <w:docVar w:name="LW_NOM.INST_JOINTDOC" w:val="&lt;EMPTY&gt;"/>
    <w:docVar w:name="LW_PART_NBR" w:val="1"/>
    <w:docVar w:name="LW_PART_NBR_TOTAL" w:val="1"/>
    <w:docVar w:name="LW_REF.INST.NEW" w:val="C"/>
    <w:docVar w:name="LW_REF.INST.NEW_ADOPTED" w:val="final"/>
    <w:docVar w:name="LW_REF.INST.NEW_TEXT" w:val="(2026) 511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cererea de înregistrare, în temeiul Regulamentului (UE) 2019/788 al Parlamentului European \u537?i al Consiliului, a ini\u539?iativei cet\u259?\u539?ene\u537?ti europene intitulate \u8222?Save Europe Act\u8221?"/>
    <w:docVar w:name="LW_TYPE.DOC.CP" w:val="DECIZIA DE PUNERE ÎN APLICARE A COMISIEI"/>
    <w:docVar w:name="LwApiVersions" w:val="LW4CoDe 1.24.5.0; LW 9.2, Build 20251112"/>
  </w:docVars>
  <w:rsids>
    <w:rsidRoot w:val="000467AF"/>
    <w:rsid w:val="000016ED"/>
    <w:rsid w:val="000034C8"/>
    <w:rsid w:val="00003970"/>
    <w:rsid w:val="00005912"/>
    <w:rsid w:val="00006AFB"/>
    <w:rsid w:val="0000791A"/>
    <w:rsid w:val="00010A9E"/>
    <w:rsid w:val="00012B81"/>
    <w:rsid w:val="00013E11"/>
    <w:rsid w:val="000150D9"/>
    <w:rsid w:val="00015CAE"/>
    <w:rsid w:val="00017BA5"/>
    <w:rsid w:val="000200CA"/>
    <w:rsid w:val="0002244A"/>
    <w:rsid w:val="00023565"/>
    <w:rsid w:val="00025F79"/>
    <w:rsid w:val="00025F96"/>
    <w:rsid w:val="00026D87"/>
    <w:rsid w:val="0003048B"/>
    <w:rsid w:val="0003169D"/>
    <w:rsid w:val="0003293D"/>
    <w:rsid w:val="0003360B"/>
    <w:rsid w:val="00034BE2"/>
    <w:rsid w:val="0003517F"/>
    <w:rsid w:val="00036A18"/>
    <w:rsid w:val="000370B1"/>
    <w:rsid w:val="00037903"/>
    <w:rsid w:val="00040773"/>
    <w:rsid w:val="00040A84"/>
    <w:rsid w:val="000414DA"/>
    <w:rsid w:val="0004222D"/>
    <w:rsid w:val="0004413A"/>
    <w:rsid w:val="000467AF"/>
    <w:rsid w:val="00046A2F"/>
    <w:rsid w:val="00046DF6"/>
    <w:rsid w:val="0004772B"/>
    <w:rsid w:val="00051545"/>
    <w:rsid w:val="00051D04"/>
    <w:rsid w:val="00052030"/>
    <w:rsid w:val="00053865"/>
    <w:rsid w:val="000541DB"/>
    <w:rsid w:val="00054C54"/>
    <w:rsid w:val="000559AD"/>
    <w:rsid w:val="00056095"/>
    <w:rsid w:val="000608EA"/>
    <w:rsid w:val="00061C7F"/>
    <w:rsid w:val="000643E0"/>
    <w:rsid w:val="00065F32"/>
    <w:rsid w:val="00070A35"/>
    <w:rsid w:val="000732A8"/>
    <w:rsid w:val="0007393B"/>
    <w:rsid w:val="00074398"/>
    <w:rsid w:val="00074527"/>
    <w:rsid w:val="00075853"/>
    <w:rsid w:val="00075854"/>
    <w:rsid w:val="000763CD"/>
    <w:rsid w:val="00076DCA"/>
    <w:rsid w:val="0007793C"/>
    <w:rsid w:val="00077C76"/>
    <w:rsid w:val="000803BB"/>
    <w:rsid w:val="00080EDB"/>
    <w:rsid w:val="000828FA"/>
    <w:rsid w:val="00083C1B"/>
    <w:rsid w:val="000845F8"/>
    <w:rsid w:val="00085078"/>
    <w:rsid w:val="0008529B"/>
    <w:rsid w:val="0008559E"/>
    <w:rsid w:val="000855AE"/>
    <w:rsid w:val="00087122"/>
    <w:rsid w:val="000901A6"/>
    <w:rsid w:val="00092453"/>
    <w:rsid w:val="0009297E"/>
    <w:rsid w:val="00095170"/>
    <w:rsid w:val="000954BC"/>
    <w:rsid w:val="00095FCB"/>
    <w:rsid w:val="0009710F"/>
    <w:rsid w:val="000973AC"/>
    <w:rsid w:val="000977BE"/>
    <w:rsid w:val="000A3BB9"/>
    <w:rsid w:val="000A45CD"/>
    <w:rsid w:val="000A7517"/>
    <w:rsid w:val="000A792E"/>
    <w:rsid w:val="000A7975"/>
    <w:rsid w:val="000A7988"/>
    <w:rsid w:val="000B055D"/>
    <w:rsid w:val="000B0898"/>
    <w:rsid w:val="000B099E"/>
    <w:rsid w:val="000B0BA0"/>
    <w:rsid w:val="000B4C06"/>
    <w:rsid w:val="000B4FCF"/>
    <w:rsid w:val="000B52E8"/>
    <w:rsid w:val="000B63D5"/>
    <w:rsid w:val="000B6EBA"/>
    <w:rsid w:val="000B723B"/>
    <w:rsid w:val="000C0341"/>
    <w:rsid w:val="000C03FB"/>
    <w:rsid w:val="000C1DE8"/>
    <w:rsid w:val="000C2112"/>
    <w:rsid w:val="000C27ED"/>
    <w:rsid w:val="000C33D0"/>
    <w:rsid w:val="000C35A4"/>
    <w:rsid w:val="000C5426"/>
    <w:rsid w:val="000D0DF4"/>
    <w:rsid w:val="000D1377"/>
    <w:rsid w:val="000D2554"/>
    <w:rsid w:val="000D2C9A"/>
    <w:rsid w:val="000D47E0"/>
    <w:rsid w:val="000D4D72"/>
    <w:rsid w:val="000D565E"/>
    <w:rsid w:val="000D56D9"/>
    <w:rsid w:val="000D5785"/>
    <w:rsid w:val="000D65E4"/>
    <w:rsid w:val="000D6F50"/>
    <w:rsid w:val="000E198E"/>
    <w:rsid w:val="000E27D5"/>
    <w:rsid w:val="000E2A70"/>
    <w:rsid w:val="000E2CE7"/>
    <w:rsid w:val="000E3CE5"/>
    <w:rsid w:val="000E4098"/>
    <w:rsid w:val="000F290B"/>
    <w:rsid w:val="000F2C37"/>
    <w:rsid w:val="000F36DF"/>
    <w:rsid w:val="000F58F7"/>
    <w:rsid w:val="000F5D0B"/>
    <w:rsid w:val="000F60BE"/>
    <w:rsid w:val="000F7BCA"/>
    <w:rsid w:val="00101311"/>
    <w:rsid w:val="00101A9D"/>
    <w:rsid w:val="00102025"/>
    <w:rsid w:val="00103CEA"/>
    <w:rsid w:val="00105F0D"/>
    <w:rsid w:val="001062E9"/>
    <w:rsid w:val="00107255"/>
    <w:rsid w:val="00107769"/>
    <w:rsid w:val="0011301E"/>
    <w:rsid w:val="00115612"/>
    <w:rsid w:val="00115694"/>
    <w:rsid w:val="001159E9"/>
    <w:rsid w:val="001160DB"/>
    <w:rsid w:val="001162E6"/>
    <w:rsid w:val="00116F1C"/>
    <w:rsid w:val="00116F30"/>
    <w:rsid w:val="00117164"/>
    <w:rsid w:val="0011722B"/>
    <w:rsid w:val="0011758D"/>
    <w:rsid w:val="0011783B"/>
    <w:rsid w:val="00123804"/>
    <w:rsid w:val="00124733"/>
    <w:rsid w:val="00124737"/>
    <w:rsid w:val="00125EBC"/>
    <w:rsid w:val="001265E3"/>
    <w:rsid w:val="0012745D"/>
    <w:rsid w:val="00131036"/>
    <w:rsid w:val="00132384"/>
    <w:rsid w:val="001324A3"/>
    <w:rsid w:val="001324D6"/>
    <w:rsid w:val="0013302E"/>
    <w:rsid w:val="00136F7F"/>
    <w:rsid w:val="001372CF"/>
    <w:rsid w:val="00141174"/>
    <w:rsid w:val="00145C96"/>
    <w:rsid w:val="00145F49"/>
    <w:rsid w:val="00147117"/>
    <w:rsid w:val="00147D44"/>
    <w:rsid w:val="00151439"/>
    <w:rsid w:val="00151EB1"/>
    <w:rsid w:val="00151F99"/>
    <w:rsid w:val="00152D2E"/>
    <w:rsid w:val="00154317"/>
    <w:rsid w:val="001553A9"/>
    <w:rsid w:val="00155B31"/>
    <w:rsid w:val="00155DFD"/>
    <w:rsid w:val="0015620E"/>
    <w:rsid w:val="0015660A"/>
    <w:rsid w:val="00161191"/>
    <w:rsid w:val="00161418"/>
    <w:rsid w:val="00162801"/>
    <w:rsid w:val="001631C8"/>
    <w:rsid w:val="001631D8"/>
    <w:rsid w:val="00163CA7"/>
    <w:rsid w:val="00164A70"/>
    <w:rsid w:val="0016501B"/>
    <w:rsid w:val="00166D1F"/>
    <w:rsid w:val="00167313"/>
    <w:rsid w:val="0017126F"/>
    <w:rsid w:val="00171EE1"/>
    <w:rsid w:val="001749E0"/>
    <w:rsid w:val="001753F8"/>
    <w:rsid w:val="001754EE"/>
    <w:rsid w:val="00177A49"/>
    <w:rsid w:val="00180A3E"/>
    <w:rsid w:val="00181228"/>
    <w:rsid w:val="00181DCD"/>
    <w:rsid w:val="00184ADD"/>
    <w:rsid w:val="00186E2F"/>
    <w:rsid w:val="001873B0"/>
    <w:rsid w:val="00187AB4"/>
    <w:rsid w:val="00190702"/>
    <w:rsid w:val="00190D84"/>
    <w:rsid w:val="001919F2"/>
    <w:rsid w:val="00192719"/>
    <w:rsid w:val="001936A9"/>
    <w:rsid w:val="001939C3"/>
    <w:rsid w:val="001976C4"/>
    <w:rsid w:val="001A0817"/>
    <w:rsid w:val="001A1695"/>
    <w:rsid w:val="001A2F83"/>
    <w:rsid w:val="001A31CE"/>
    <w:rsid w:val="001A4120"/>
    <w:rsid w:val="001A439D"/>
    <w:rsid w:val="001A6376"/>
    <w:rsid w:val="001A77FB"/>
    <w:rsid w:val="001B00D7"/>
    <w:rsid w:val="001B177A"/>
    <w:rsid w:val="001B637E"/>
    <w:rsid w:val="001B71E4"/>
    <w:rsid w:val="001B7D2E"/>
    <w:rsid w:val="001B7F13"/>
    <w:rsid w:val="001C1A1F"/>
    <w:rsid w:val="001C1F9C"/>
    <w:rsid w:val="001C2616"/>
    <w:rsid w:val="001C2816"/>
    <w:rsid w:val="001C3387"/>
    <w:rsid w:val="001C4B36"/>
    <w:rsid w:val="001C4F53"/>
    <w:rsid w:val="001C5B0F"/>
    <w:rsid w:val="001C65AC"/>
    <w:rsid w:val="001C71BE"/>
    <w:rsid w:val="001C724B"/>
    <w:rsid w:val="001D008A"/>
    <w:rsid w:val="001D1562"/>
    <w:rsid w:val="001D16AE"/>
    <w:rsid w:val="001D2818"/>
    <w:rsid w:val="001D5C65"/>
    <w:rsid w:val="001D6C6E"/>
    <w:rsid w:val="001E07EF"/>
    <w:rsid w:val="001E31D3"/>
    <w:rsid w:val="001E421D"/>
    <w:rsid w:val="001E4E2A"/>
    <w:rsid w:val="001E5E95"/>
    <w:rsid w:val="001E5FC0"/>
    <w:rsid w:val="001E64ED"/>
    <w:rsid w:val="001E6F84"/>
    <w:rsid w:val="001E73DD"/>
    <w:rsid w:val="001E7847"/>
    <w:rsid w:val="001E7D18"/>
    <w:rsid w:val="001F1388"/>
    <w:rsid w:val="001F201F"/>
    <w:rsid w:val="001F2664"/>
    <w:rsid w:val="001F2826"/>
    <w:rsid w:val="001F299F"/>
    <w:rsid w:val="001F2CE9"/>
    <w:rsid w:val="001F2E85"/>
    <w:rsid w:val="002008CE"/>
    <w:rsid w:val="00201DDD"/>
    <w:rsid w:val="00202465"/>
    <w:rsid w:val="00204F8B"/>
    <w:rsid w:val="00205864"/>
    <w:rsid w:val="00206556"/>
    <w:rsid w:val="0021199E"/>
    <w:rsid w:val="00213A8C"/>
    <w:rsid w:val="00213BE1"/>
    <w:rsid w:val="002160FF"/>
    <w:rsid w:val="002169F8"/>
    <w:rsid w:val="00216A3D"/>
    <w:rsid w:val="00216BEA"/>
    <w:rsid w:val="0021778E"/>
    <w:rsid w:val="00217A73"/>
    <w:rsid w:val="002206D9"/>
    <w:rsid w:val="00222DC9"/>
    <w:rsid w:val="00222F0F"/>
    <w:rsid w:val="00223517"/>
    <w:rsid w:val="00225FE2"/>
    <w:rsid w:val="002266C3"/>
    <w:rsid w:val="00226716"/>
    <w:rsid w:val="00230056"/>
    <w:rsid w:val="00232A1D"/>
    <w:rsid w:val="00232D30"/>
    <w:rsid w:val="002343BD"/>
    <w:rsid w:val="00234DF3"/>
    <w:rsid w:val="00236507"/>
    <w:rsid w:val="002369D7"/>
    <w:rsid w:val="0024068B"/>
    <w:rsid w:val="00240DF4"/>
    <w:rsid w:val="0024111C"/>
    <w:rsid w:val="0024121B"/>
    <w:rsid w:val="002412AE"/>
    <w:rsid w:val="00241C38"/>
    <w:rsid w:val="00242A06"/>
    <w:rsid w:val="0024353E"/>
    <w:rsid w:val="00246774"/>
    <w:rsid w:val="0025266F"/>
    <w:rsid w:val="00252901"/>
    <w:rsid w:val="00252E6A"/>
    <w:rsid w:val="0025353B"/>
    <w:rsid w:val="0025433B"/>
    <w:rsid w:val="00257933"/>
    <w:rsid w:val="00262188"/>
    <w:rsid w:val="002641F5"/>
    <w:rsid w:val="00264766"/>
    <w:rsid w:val="002654BD"/>
    <w:rsid w:val="00265AEB"/>
    <w:rsid w:val="002714D6"/>
    <w:rsid w:val="002719AA"/>
    <w:rsid w:val="00272BF0"/>
    <w:rsid w:val="002730AB"/>
    <w:rsid w:val="002740DA"/>
    <w:rsid w:val="002749A9"/>
    <w:rsid w:val="0027555C"/>
    <w:rsid w:val="002771E7"/>
    <w:rsid w:val="0027751D"/>
    <w:rsid w:val="002779C8"/>
    <w:rsid w:val="00281B3D"/>
    <w:rsid w:val="00281C5D"/>
    <w:rsid w:val="002821D4"/>
    <w:rsid w:val="002827FD"/>
    <w:rsid w:val="00283941"/>
    <w:rsid w:val="0028446A"/>
    <w:rsid w:val="00287A6E"/>
    <w:rsid w:val="00290471"/>
    <w:rsid w:val="0029612E"/>
    <w:rsid w:val="0029697F"/>
    <w:rsid w:val="002A14B6"/>
    <w:rsid w:val="002A15C3"/>
    <w:rsid w:val="002A2951"/>
    <w:rsid w:val="002A4306"/>
    <w:rsid w:val="002A468D"/>
    <w:rsid w:val="002A4C09"/>
    <w:rsid w:val="002A558F"/>
    <w:rsid w:val="002A6001"/>
    <w:rsid w:val="002A76DC"/>
    <w:rsid w:val="002B3CAE"/>
    <w:rsid w:val="002B3CEC"/>
    <w:rsid w:val="002B3D27"/>
    <w:rsid w:val="002B4A85"/>
    <w:rsid w:val="002B506F"/>
    <w:rsid w:val="002B7CC1"/>
    <w:rsid w:val="002C1072"/>
    <w:rsid w:val="002C2F6C"/>
    <w:rsid w:val="002C3EE3"/>
    <w:rsid w:val="002C4F6B"/>
    <w:rsid w:val="002C5C19"/>
    <w:rsid w:val="002C5F57"/>
    <w:rsid w:val="002C6449"/>
    <w:rsid w:val="002C7A1F"/>
    <w:rsid w:val="002D0B48"/>
    <w:rsid w:val="002D0D61"/>
    <w:rsid w:val="002D105B"/>
    <w:rsid w:val="002D18A2"/>
    <w:rsid w:val="002D42C8"/>
    <w:rsid w:val="002D491D"/>
    <w:rsid w:val="002D629D"/>
    <w:rsid w:val="002D6D23"/>
    <w:rsid w:val="002D6F67"/>
    <w:rsid w:val="002D7DBE"/>
    <w:rsid w:val="002E2AB0"/>
    <w:rsid w:val="002E2BC4"/>
    <w:rsid w:val="002E36D7"/>
    <w:rsid w:val="002E3E20"/>
    <w:rsid w:val="002E3E5E"/>
    <w:rsid w:val="002E3EAA"/>
    <w:rsid w:val="002E7A3D"/>
    <w:rsid w:val="002E7A61"/>
    <w:rsid w:val="002F0076"/>
    <w:rsid w:val="002F1477"/>
    <w:rsid w:val="002F15EA"/>
    <w:rsid w:val="002F1D6F"/>
    <w:rsid w:val="002F2065"/>
    <w:rsid w:val="002F239A"/>
    <w:rsid w:val="002F2F19"/>
    <w:rsid w:val="002F3893"/>
    <w:rsid w:val="002F416C"/>
    <w:rsid w:val="002F593C"/>
    <w:rsid w:val="002F6935"/>
    <w:rsid w:val="002F7126"/>
    <w:rsid w:val="002F79DE"/>
    <w:rsid w:val="00301A80"/>
    <w:rsid w:val="003021C0"/>
    <w:rsid w:val="003024B2"/>
    <w:rsid w:val="00302BF4"/>
    <w:rsid w:val="00304CC6"/>
    <w:rsid w:val="00305672"/>
    <w:rsid w:val="0030775F"/>
    <w:rsid w:val="00307980"/>
    <w:rsid w:val="0030799C"/>
    <w:rsid w:val="003117B6"/>
    <w:rsid w:val="003148A6"/>
    <w:rsid w:val="0031616A"/>
    <w:rsid w:val="00320423"/>
    <w:rsid w:val="00321663"/>
    <w:rsid w:val="00321C5D"/>
    <w:rsid w:val="0032595D"/>
    <w:rsid w:val="00326005"/>
    <w:rsid w:val="0032668E"/>
    <w:rsid w:val="00326BB6"/>
    <w:rsid w:val="00326DFB"/>
    <w:rsid w:val="00327AA5"/>
    <w:rsid w:val="003302BC"/>
    <w:rsid w:val="00330DB9"/>
    <w:rsid w:val="00331166"/>
    <w:rsid w:val="00331C51"/>
    <w:rsid w:val="00333645"/>
    <w:rsid w:val="00334077"/>
    <w:rsid w:val="00336564"/>
    <w:rsid w:val="0034443A"/>
    <w:rsid w:val="00345BDE"/>
    <w:rsid w:val="00350CDC"/>
    <w:rsid w:val="00351DE7"/>
    <w:rsid w:val="00352273"/>
    <w:rsid w:val="00352A2E"/>
    <w:rsid w:val="00353094"/>
    <w:rsid w:val="003532FD"/>
    <w:rsid w:val="00354F0E"/>
    <w:rsid w:val="00356361"/>
    <w:rsid w:val="003570C0"/>
    <w:rsid w:val="00361691"/>
    <w:rsid w:val="00361B3C"/>
    <w:rsid w:val="003632CB"/>
    <w:rsid w:val="003637E8"/>
    <w:rsid w:val="00363BE5"/>
    <w:rsid w:val="003677FD"/>
    <w:rsid w:val="00367A80"/>
    <w:rsid w:val="00371FCB"/>
    <w:rsid w:val="0037232F"/>
    <w:rsid w:val="00373DE6"/>
    <w:rsid w:val="00374756"/>
    <w:rsid w:val="00375182"/>
    <w:rsid w:val="003753A7"/>
    <w:rsid w:val="00376DF9"/>
    <w:rsid w:val="00380A0D"/>
    <w:rsid w:val="00381B07"/>
    <w:rsid w:val="003821E6"/>
    <w:rsid w:val="00382C5E"/>
    <w:rsid w:val="00383368"/>
    <w:rsid w:val="00383417"/>
    <w:rsid w:val="003876D3"/>
    <w:rsid w:val="00391640"/>
    <w:rsid w:val="00391FAA"/>
    <w:rsid w:val="0039335B"/>
    <w:rsid w:val="00394821"/>
    <w:rsid w:val="003958BB"/>
    <w:rsid w:val="003971DC"/>
    <w:rsid w:val="0039746D"/>
    <w:rsid w:val="003976C4"/>
    <w:rsid w:val="00397DC6"/>
    <w:rsid w:val="003A059C"/>
    <w:rsid w:val="003A0DD7"/>
    <w:rsid w:val="003A1842"/>
    <w:rsid w:val="003A1CAB"/>
    <w:rsid w:val="003A241E"/>
    <w:rsid w:val="003A364C"/>
    <w:rsid w:val="003A3916"/>
    <w:rsid w:val="003A44BB"/>
    <w:rsid w:val="003A4D54"/>
    <w:rsid w:val="003B34C3"/>
    <w:rsid w:val="003B493C"/>
    <w:rsid w:val="003B52B7"/>
    <w:rsid w:val="003B6466"/>
    <w:rsid w:val="003B6525"/>
    <w:rsid w:val="003C028A"/>
    <w:rsid w:val="003C105A"/>
    <w:rsid w:val="003C1EC9"/>
    <w:rsid w:val="003C1F5A"/>
    <w:rsid w:val="003C3754"/>
    <w:rsid w:val="003C390E"/>
    <w:rsid w:val="003C4331"/>
    <w:rsid w:val="003C51A6"/>
    <w:rsid w:val="003C7DC6"/>
    <w:rsid w:val="003D1A97"/>
    <w:rsid w:val="003D2062"/>
    <w:rsid w:val="003D2592"/>
    <w:rsid w:val="003D2D16"/>
    <w:rsid w:val="003D53F5"/>
    <w:rsid w:val="003D58FC"/>
    <w:rsid w:val="003D5F0C"/>
    <w:rsid w:val="003D67BB"/>
    <w:rsid w:val="003D6F75"/>
    <w:rsid w:val="003E34B8"/>
    <w:rsid w:val="003E4C4C"/>
    <w:rsid w:val="003E4D10"/>
    <w:rsid w:val="003E4FB8"/>
    <w:rsid w:val="003E51E0"/>
    <w:rsid w:val="003E5ACE"/>
    <w:rsid w:val="003E7792"/>
    <w:rsid w:val="003E7A17"/>
    <w:rsid w:val="003F0B2C"/>
    <w:rsid w:val="003F2A53"/>
    <w:rsid w:val="003F2CD3"/>
    <w:rsid w:val="003F362B"/>
    <w:rsid w:val="003F3B41"/>
    <w:rsid w:val="003F3E8D"/>
    <w:rsid w:val="003F59F8"/>
    <w:rsid w:val="003F71A5"/>
    <w:rsid w:val="003F7732"/>
    <w:rsid w:val="004053EF"/>
    <w:rsid w:val="00406C96"/>
    <w:rsid w:val="004100D1"/>
    <w:rsid w:val="004118CE"/>
    <w:rsid w:val="00412696"/>
    <w:rsid w:val="00415DA8"/>
    <w:rsid w:val="00415E25"/>
    <w:rsid w:val="00416EA6"/>
    <w:rsid w:val="004207A4"/>
    <w:rsid w:val="00421CF5"/>
    <w:rsid w:val="0042450B"/>
    <w:rsid w:val="00426962"/>
    <w:rsid w:val="00426F3C"/>
    <w:rsid w:val="00430F75"/>
    <w:rsid w:val="00433ABB"/>
    <w:rsid w:val="00435478"/>
    <w:rsid w:val="004360DE"/>
    <w:rsid w:val="0044251D"/>
    <w:rsid w:val="004460DF"/>
    <w:rsid w:val="00446A84"/>
    <w:rsid w:val="00446C9D"/>
    <w:rsid w:val="004473D6"/>
    <w:rsid w:val="00447CC0"/>
    <w:rsid w:val="00451FA8"/>
    <w:rsid w:val="00451FAD"/>
    <w:rsid w:val="004520D2"/>
    <w:rsid w:val="00453E0B"/>
    <w:rsid w:val="00454072"/>
    <w:rsid w:val="00456141"/>
    <w:rsid w:val="004562A5"/>
    <w:rsid w:val="00457861"/>
    <w:rsid w:val="00457B8F"/>
    <w:rsid w:val="00460FFC"/>
    <w:rsid w:val="00461BCD"/>
    <w:rsid w:val="00462CDF"/>
    <w:rsid w:val="00463BBC"/>
    <w:rsid w:val="00463C69"/>
    <w:rsid w:val="00464646"/>
    <w:rsid w:val="004649E1"/>
    <w:rsid w:val="00465CB7"/>
    <w:rsid w:val="00465E1B"/>
    <w:rsid w:val="0047034C"/>
    <w:rsid w:val="0047047B"/>
    <w:rsid w:val="00470676"/>
    <w:rsid w:val="0047386C"/>
    <w:rsid w:val="00473965"/>
    <w:rsid w:val="00475647"/>
    <w:rsid w:val="00476BC6"/>
    <w:rsid w:val="00476F95"/>
    <w:rsid w:val="00480E33"/>
    <w:rsid w:val="00480E78"/>
    <w:rsid w:val="00483E16"/>
    <w:rsid w:val="00486B76"/>
    <w:rsid w:val="00490864"/>
    <w:rsid w:val="00494463"/>
    <w:rsid w:val="00494933"/>
    <w:rsid w:val="00495A27"/>
    <w:rsid w:val="004966D3"/>
    <w:rsid w:val="0049796C"/>
    <w:rsid w:val="004A0BA6"/>
    <w:rsid w:val="004A102A"/>
    <w:rsid w:val="004A103F"/>
    <w:rsid w:val="004A3C92"/>
    <w:rsid w:val="004A4291"/>
    <w:rsid w:val="004A4868"/>
    <w:rsid w:val="004A6CEA"/>
    <w:rsid w:val="004A7133"/>
    <w:rsid w:val="004B065D"/>
    <w:rsid w:val="004B6332"/>
    <w:rsid w:val="004C0F46"/>
    <w:rsid w:val="004C10DE"/>
    <w:rsid w:val="004C1EC0"/>
    <w:rsid w:val="004C1F26"/>
    <w:rsid w:val="004C2237"/>
    <w:rsid w:val="004C281D"/>
    <w:rsid w:val="004C2B67"/>
    <w:rsid w:val="004C30A0"/>
    <w:rsid w:val="004C3E56"/>
    <w:rsid w:val="004C5DF8"/>
    <w:rsid w:val="004C704C"/>
    <w:rsid w:val="004C7125"/>
    <w:rsid w:val="004C7C33"/>
    <w:rsid w:val="004C7F21"/>
    <w:rsid w:val="004D0B8D"/>
    <w:rsid w:val="004D3EA6"/>
    <w:rsid w:val="004D7012"/>
    <w:rsid w:val="004D7225"/>
    <w:rsid w:val="004E04C4"/>
    <w:rsid w:val="004E1816"/>
    <w:rsid w:val="004E2ADC"/>
    <w:rsid w:val="004E31B8"/>
    <w:rsid w:val="004E47B4"/>
    <w:rsid w:val="004E6BFB"/>
    <w:rsid w:val="004F36F5"/>
    <w:rsid w:val="004F5B66"/>
    <w:rsid w:val="004F6D9C"/>
    <w:rsid w:val="00500F6C"/>
    <w:rsid w:val="005068BE"/>
    <w:rsid w:val="00507586"/>
    <w:rsid w:val="00510720"/>
    <w:rsid w:val="00510DAF"/>
    <w:rsid w:val="00511E3B"/>
    <w:rsid w:val="00512CC1"/>
    <w:rsid w:val="00514227"/>
    <w:rsid w:val="00514685"/>
    <w:rsid w:val="00514C70"/>
    <w:rsid w:val="00515D00"/>
    <w:rsid w:val="005176D0"/>
    <w:rsid w:val="005177DE"/>
    <w:rsid w:val="00521CD1"/>
    <w:rsid w:val="00522FA5"/>
    <w:rsid w:val="005249ED"/>
    <w:rsid w:val="00524A2E"/>
    <w:rsid w:val="0052513B"/>
    <w:rsid w:val="00525B6D"/>
    <w:rsid w:val="005263FF"/>
    <w:rsid w:val="00527732"/>
    <w:rsid w:val="00530C94"/>
    <w:rsid w:val="00531333"/>
    <w:rsid w:val="00533DF1"/>
    <w:rsid w:val="00534196"/>
    <w:rsid w:val="00536A53"/>
    <w:rsid w:val="00537B37"/>
    <w:rsid w:val="00541668"/>
    <w:rsid w:val="005422FB"/>
    <w:rsid w:val="00542335"/>
    <w:rsid w:val="00542D09"/>
    <w:rsid w:val="00551DD2"/>
    <w:rsid w:val="005542DD"/>
    <w:rsid w:val="005550EF"/>
    <w:rsid w:val="00555C44"/>
    <w:rsid w:val="00555F7D"/>
    <w:rsid w:val="00556D5B"/>
    <w:rsid w:val="00556E0B"/>
    <w:rsid w:val="00557241"/>
    <w:rsid w:val="00560FC8"/>
    <w:rsid w:val="0056114C"/>
    <w:rsid w:val="00561291"/>
    <w:rsid w:val="0056238B"/>
    <w:rsid w:val="005623F4"/>
    <w:rsid w:val="0056356D"/>
    <w:rsid w:val="0056502C"/>
    <w:rsid w:val="005652E6"/>
    <w:rsid w:val="00566016"/>
    <w:rsid w:val="0056798B"/>
    <w:rsid w:val="00570BF8"/>
    <w:rsid w:val="00570DEF"/>
    <w:rsid w:val="00570E1A"/>
    <w:rsid w:val="00570E1D"/>
    <w:rsid w:val="005739EE"/>
    <w:rsid w:val="00574133"/>
    <w:rsid w:val="00574BE5"/>
    <w:rsid w:val="0057579A"/>
    <w:rsid w:val="00576768"/>
    <w:rsid w:val="00576B2A"/>
    <w:rsid w:val="00576D95"/>
    <w:rsid w:val="00580192"/>
    <w:rsid w:val="00580C4D"/>
    <w:rsid w:val="005842B0"/>
    <w:rsid w:val="00585EF8"/>
    <w:rsid w:val="0059016F"/>
    <w:rsid w:val="00590533"/>
    <w:rsid w:val="00590543"/>
    <w:rsid w:val="005910CF"/>
    <w:rsid w:val="005910FC"/>
    <w:rsid w:val="00591D2C"/>
    <w:rsid w:val="00592968"/>
    <w:rsid w:val="00593AC1"/>
    <w:rsid w:val="005940EA"/>
    <w:rsid w:val="00594325"/>
    <w:rsid w:val="0059444D"/>
    <w:rsid w:val="00594FF9"/>
    <w:rsid w:val="005978C2"/>
    <w:rsid w:val="00597B4B"/>
    <w:rsid w:val="00597E59"/>
    <w:rsid w:val="005A0F6B"/>
    <w:rsid w:val="005A172F"/>
    <w:rsid w:val="005A511F"/>
    <w:rsid w:val="005A5549"/>
    <w:rsid w:val="005A6067"/>
    <w:rsid w:val="005A65BA"/>
    <w:rsid w:val="005B1532"/>
    <w:rsid w:val="005B1921"/>
    <w:rsid w:val="005B1CD3"/>
    <w:rsid w:val="005B21A5"/>
    <w:rsid w:val="005B2A7E"/>
    <w:rsid w:val="005B33B9"/>
    <w:rsid w:val="005B3904"/>
    <w:rsid w:val="005B4E76"/>
    <w:rsid w:val="005B612B"/>
    <w:rsid w:val="005B7557"/>
    <w:rsid w:val="005C1109"/>
    <w:rsid w:val="005C22C0"/>
    <w:rsid w:val="005C474D"/>
    <w:rsid w:val="005D0CB0"/>
    <w:rsid w:val="005D444B"/>
    <w:rsid w:val="005D4C51"/>
    <w:rsid w:val="005D4EEB"/>
    <w:rsid w:val="005D50FF"/>
    <w:rsid w:val="005D510E"/>
    <w:rsid w:val="005D5FF9"/>
    <w:rsid w:val="005E1E12"/>
    <w:rsid w:val="005E22B1"/>
    <w:rsid w:val="005E400A"/>
    <w:rsid w:val="005E43B8"/>
    <w:rsid w:val="005E5018"/>
    <w:rsid w:val="005E562A"/>
    <w:rsid w:val="005F05AE"/>
    <w:rsid w:val="005F06BB"/>
    <w:rsid w:val="005F1B67"/>
    <w:rsid w:val="005F1C5A"/>
    <w:rsid w:val="005F25ED"/>
    <w:rsid w:val="005F2BA2"/>
    <w:rsid w:val="005F38D3"/>
    <w:rsid w:val="005F5198"/>
    <w:rsid w:val="005F63DA"/>
    <w:rsid w:val="005F6D3B"/>
    <w:rsid w:val="005F72C6"/>
    <w:rsid w:val="006010DE"/>
    <w:rsid w:val="006018F8"/>
    <w:rsid w:val="00601E2E"/>
    <w:rsid w:val="006049FD"/>
    <w:rsid w:val="00606A83"/>
    <w:rsid w:val="0061019E"/>
    <w:rsid w:val="00611402"/>
    <w:rsid w:val="00613D78"/>
    <w:rsid w:val="00615231"/>
    <w:rsid w:val="006153C6"/>
    <w:rsid w:val="00617027"/>
    <w:rsid w:val="00617314"/>
    <w:rsid w:val="006175E4"/>
    <w:rsid w:val="00620428"/>
    <w:rsid w:val="00622EF1"/>
    <w:rsid w:val="00623C73"/>
    <w:rsid w:val="00623CEB"/>
    <w:rsid w:val="00625D56"/>
    <w:rsid w:val="00627205"/>
    <w:rsid w:val="00627B8C"/>
    <w:rsid w:val="00630272"/>
    <w:rsid w:val="0063051E"/>
    <w:rsid w:val="00630CF7"/>
    <w:rsid w:val="00630D6A"/>
    <w:rsid w:val="00631018"/>
    <w:rsid w:val="0063166D"/>
    <w:rsid w:val="00633CE0"/>
    <w:rsid w:val="0063502C"/>
    <w:rsid w:val="006355A9"/>
    <w:rsid w:val="00636094"/>
    <w:rsid w:val="006365B4"/>
    <w:rsid w:val="0064163B"/>
    <w:rsid w:val="00643CBA"/>
    <w:rsid w:val="006440EB"/>
    <w:rsid w:val="00645067"/>
    <w:rsid w:val="00647177"/>
    <w:rsid w:val="0065185F"/>
    <w:rsid w:val="00651F63"/>
    <w:rsid w:val="00654132"/>
    <w:rsid w:val="00656E78"/>
    <w:rsid w:val="006602E0"/>
    <w:rsid w:val="00662C60"/>
    <w:rsid w:val="00665C84"/>
    <w:rsid w:val="00666E2B"/>
    <w:rsid w:val="00667679"/>
    <w:rsid w:val="00667973"/>
    <w:rsid w:val="00670EC9"/>
    <w:rsid w:val="00671712"/>
    <w:rsid w:val="00671EE8"/>
    <w:rsid w:val="006741C1"/>
    <w:rsid w:val="0067455E"/>
    <w:rsid w:val="00674734"/>
    <w:rsid w:val="00675D71"/>
    <w:rsid w:val="00676651"/>
    <w:rsid w:val="00677A1B"/>
    <w:rsid w:val="00680800"/>
    <w:rsid w:val="006818FB"/>
    <w:rsid w:val="00681F32"/>
    <w:rsid w:val="006827C2"/>
    <w:rsid w:val="0068369D"/>
    <w:rsid w:val="006836FA"/>
    <w:rsid w:val="0068514B"/>
    <w:rsid w:val="006866C6"/>
    <w:rsid w:val="0068717E"/>
    <w:rsid w:val="0068730F"/>
    <w:rsid w:val="00693DF3"/>
    <w:rsid w:val="006941F4"/>
    <w:rsid w:val="00694A10"/>
    <w:rsid w:val="006952DF"/>
    <w:rsid w:val="0069683D"/>
    <w:rsid w:val="00697451"/>
    <w:rsid w:val="006A05CB"/>
    <w:rsid w:val="006A1563"/>
    <w:rsid w:val="006A1ED2"/>
    <w:rsid w:val="006A568A"/>
    <w:rsid w:val="006A6A41"/>
    <w:rsid w:val="006A6A4D"/>
    <w:rsid w:val="006B1E98"/>
    <w:rsid w:val="006B23FB"/>
    <w:rsid w:val="006B2AF2"/>
    <w:rsid w:val="006B3C37"/>
    <w:rsid w:val="006B3CF0"/>
    <w:rsid w:val="006B4AD9"/>
    <w:rsid w:val="006B58F4"/>
    <w:rsid w:val="006B6EC5"/>
    <w:rsid w:val="006C1431"/>
    <w:rsid w:val="006C1D3D"/>
    <w:rsid w:val="006C2A56"/>
    <w:rsid w:val="006C2C9B"/>
    <w:rsid w:val="006C63D8"/>
    <w:rsid w:val="006D1850"/>
    <w:rsid w:val="006D2AB6"/>
    <w:rsid w:val="006D342E"/>
    <w:rsid w:val="006D4249"/>
    <w:rsid w:val="006D7043"/>
    <w:rsid w:val="006D7098"/>
    <w:rsid w:val="006D7942"/>
    <w:rsid w:val="006D7C5F"/>
    <w:rsid w:val="006E054F"/>
    <w:rsid w:val="006E098F"/>
    <w:rsid w:val="006E1166"/>
    <w:rsid w:val="006E1EAF"/>
    <w:rsid w:val="006E3A9B"/>
    <w:rsid w:val="006E462E"/>
    <w:rsid w:val="006E4848"/>
    <w:rsid w:val="006E4EF1"/>
    <w:rsid w:val="006E586F"/>
    <w:rsid w:val="006E5D7F"/>
    <w:rsid w:val="006E6032"/>
    <w:rsid w:val="006E7119"/>
    <w:rsid w:val="006F0C12"/>
    <w:rsid w:val="006F2640"/>
    <w:rsid w:val="006F2F2B"/>
    <w:rsid w:val="006F3621"/>
    <w:rsid w:val="006F3638"/>
    <w:rsid w:val="006F3850"/>
    <w:rsid w:val="006F4117"/>
    <w:rsid w:val="006F45B6"/>
    <w:rsid w:val="006F5BAC"/>
    <w:rsid w:val="006F7AA2"/>
    <w:rsid w:val="0070128F"/>
    <w:rsid w:val="007042D3"/>
    <w:rsid w:val="0070597A"/>
    <w:rsid w:val="00705C10"/>
    <w:rsid w:val="007061D9"/>
    <w:rsid w:val="00713830"/>
    <w:rsid w:val="007142A3"/>
    <w:rsid w:val="007150A7"/>
    <w:rsid w:val="00717A82"/>
    <w:rsid w:val="00721C2D"/>
    <w:rsid w:val="00723739"/>
    <w:rsid w:val="00723F29"/>
    <w:rsid w:val="007248F0"/>
    <w:rsid w:val="00724EF2"/>
    <w:rsid w:val="0072586D"/>
    <w:rsid w:val="007258F4"/>
    <w:rsid w:val="00725BEA"/>
    <w:rsid w:val="007330D1"/>
    <w:rsid w:val="00733CD6"/>
    <w:rsid w:val="007349AE"/>
    <w:rsid w:val="007363E0"/>
    <w:rsid w:val="00740640"/>
    <w:rsid w:val="00741986"/>
    <w:rsid w:val="007428A9"/>
    <w:rsid w:val="00742F25"/>
    <w:rsid w:val="00743A24"/>
    <w:rsid w:val="00745A9A"/>
    <w:rsid w:val="0075157C"/>
    <w:rsid w:val="00751B9F"/>
    <w:rsid w:val="007524C3"/>
    <w:rsid w:val="00752EBA"/>
    <w:rsid w:val="00753869"/>
    <w:rsid w:val="007545E6"/>
    <w:rsid w:val="007566C3"/>
    <w:rsid w:val="007566F7"/>
    <w:rsid w:val="007567A0"/>
    <w:rsid w:val="00756AE7"/>
    <w:rsid w:val="007573C6"/>
    <w:rsid w:val="00760790"/>
    <w:rsid w:val="00763059"/>
    <w:rsid w:val="00763375"/>
    <w:rsid w:val="007640BE"/>
    <w:rsid w:val="0076603D"/>
    <w:rsid w:val="00766403"/>
    <w:rsid w:val="00770915"/>
    <w:rsid w:val="00773018"/>
    <w:rsid w:val="0077457D"/>
    <w:rsid w:val="007779D5"/>
    <w:rsid w:val="00780DDA"/>
    <w:rsid w:val="00781C47"/>
    <w:rsid w:val="00784E1E"/>
    <w:rsid w:val="00784EC7"/>
    <w:rsid w:val="00785898"/>
    <w:rsid w:val="00790355"/>
    <w:rsid w:val="00791635"/>
    <w:rsid w:val="00791FA5"/>
    <w:rsid w:val="0079406C"/>
    <w:rsid w:val="00794C56"/>
    <w:rsid w:val="007954BF"/>
    <w:rsid w:val="0079628E"/>
    <w:rsid w:val="007A07A1"/>
    <w:rsid w:val="007A34E6"/>
    <w:rsid w:val="007A5BA6"/>
    <w:rsid w:val="007B12AF"/>
    <w:rsid w:val="007B2C9A"/>
    <w:rsid w:val="007B2CF1"/>
    <w:rsid w:val="007B5E26"/>
    <w:rsid w:val="007B64BE"/>
    <w:rsid w:val="007C06F6"/>
    <w:rsid w:val="007C36BC"/>
    <w:rsid w:val="007C55AD"/>
    <w:rsid w:val="007C587A"/>
    <w:rsid w:val="007C60EC"/>
    <w:rsid w:val="007C67AD"/>
    <w:rsid w:val="007C6B4B"/>
    <w:rsid w:val="007C7093"/>
    <w:rsid w:val="007C7FEA"/>
    <w:rsid w:val="007D025E"/>
    <w:rsid w:val="007D043D"/>
    <w:rsid w:val="007D33C1"/>
    <w:rsid w:val="007D39D5"/>
    <w:rsid w:val="007D437B"/>
    <w:rsid w:val="007D4A74"/>
    <w:rsid w:val="007E063E"/>
    <w:rsid w:val="007E0738"/>
    <w:rsid w:val="007E1C61"/>
    <w:rsid w:val="007E2341"/>
    <w:rsid w:val="007E2F23"/>
    <w:rsid w:val="007E3067"/>
    <w:rsid w:val="007E5814"/>
    <w:rsid w:val="007E5FB9"/>
    <w:rsid w:val="007E71C4"/>
    <w:rsid w:val="007E7FC1"/>
    <w:rsid w:val="007F085A"/>
    <w:rsid w:val="007F0F56"/>
    <w:rsid w:val="007F37F6"/>
    <w:rsid w:val="007F43A9"/>
    <w:rsid w:val="007F44C8"/>
    <w:rsid w:val="007F520D"/>
    <w:rsid w:val="007F5C81"/>
    <w:rsid w:val="007F701E"/>
    <w:rsid w:val="008003CF"/>
    <w:rsid w:val="00800C7E"/>
    <w:rsid w:val="008013B1"/>
    <w:rsid w:val="00802056"/>
    <w:rsid w:val="00802C7B"/>
    <w:rsid w:val="00802D12"/>
    <w:rsid w:val="00802F9A"/>
    <w:rsid w:val="00803B5D"/>
    <w:rsid w:val="00803DD3"/>
    <w:rsid w:val="00804752"/>
    <w:rsid w:val="0080598A"/>
    <w:rsid w:val="00807AD1"/>
    <w:rsid w:val="00812D34"/>
    <w:rsid w:val="00814091"/>
    <w:rsid w:val="00814CE8"/>
    <w:rsid w:val="00814E06"/>
    <w:rsid w:val="00816893"/>
    <w:rsid w:val="008200CE"/>
    <w:rsid w:val="00822BF3"/>
    <w:rsid w:val="00827309"/>
    <w:rsid w:val="0083022D"/>
    <w:rsid w:val="00831C73"/>
    <w:rsid w:val="00832227"/>
    <w:rsid w:val="008323D9"/>
    <w:rsid w:val="00832987"/>
    <w:rsid w:val="008338E8"/>
    <w:rsid w:val="008340EB"/>
    <w:rsid w:val="008348DC"/>
    <w:rsid w:val="00834B90"/>
    <w:rsid w:val="00837213"/>
    <w:rsid w:val="0083737D"/>
    <w:rsid w:val="00840E61"/>
    <w:rsid w:val="00840F05"/>
    <w:rsid w:val="008423B9"/>
    <w:rsid w:val="00842F65"/>
    <w:rsid w:val="008433A7"/>
    <w:rsid w:val="008434E8"/>
    <w:rsid w:val="008439A0"/>
    <w:rsid w:val="00844AD0"/>
    <w:rsid w:val="00845975"/>
    <w:rsid w:val="008470D1"/>
    <w:rsid w:val="00847414"/>
    <w:rsid w:val="00851776"/>
    <w:rsid w:val="008536B1"/>
    <w:rsid w:val="00853BD3"/>
    <w:rsid w:val="00855452"/>
    <w:rsid w:val="008554E2"/>
    <w:rsid w:val="0085739C"/>
    <w:rsid w:val="00860025"/>
    <w:rsid w:val="008621D3"/>
    <w:rsid w:val="008638D4"/>
    <w:rsid w:val="00866AAD"/>
    <w:rsid w:val="00866CA1"/>
    <w:rsid w:val="008678BD"/>
    <w:rsid w:val="00867F3E"/>
    <w:rsid w:val="00871D87"/>
    <w:rsid w:val="0087320E"/>
    <w:rsid w:val="00875454"/>
    <w:rsid w:val="00876200"/>
    <w:rsid w:val="00880D0E"/>
    <w:rsid w:val="00883448"/>
    <w:rsid w:val="00883655"/>
    <w:rsid w:val="00883E3F"/>
    <w:rsid w:val="00884E5A"/>
    <w:rsid w:val="00884FB1"/>
    <w:rsid w:val="00886108"/>
    <w:rsid w:val="0088621C"/>
    <w:rsid w:val="00886F19"/>
    <w:rsid w:val="008870E3"/>
    <w:rsid w:val="008902AA"/>
    <w:rsid w:val="0089137C"/>
    <w:rsid w:val="008914B8"/>
    <w:rsid w:val="00891D32"/>
    <w:rsid w:val="008928B7"/>
    <w:rsid w:val="0089396A"/>
    <w:rsid w:val="00895024"/>
    <w:rsid w:val="00895125"/>
    <w:rsid w:val="008976D9"/>
    <w:rsid w:val="008A0C12"/>
    <w:rsid w:val="008A2AD6"/>
    <w:rsid w:val="008A2B80"/>
    <w:rsid w:val="008A4E0B"/>
    <w:rsid w:val="008A55AA"/>
    <w:rsid w:val="008A5C06"/>
    <w:rsid w:val="008A633D"/>
    <w:rsid w:val="008A657E"/>
    <w:rsid w:val="008B3DB8"/>
    <w:rsid w:val="008B5895"/>
    <w:rsid w:val="008B5C67"/>
    <w:rsid w:val="008B7261"/>
    <w:rsid w:val="008C0F67"/>
    <w:rsid w:val="008C107D"/>
    <w:rsid w:val="008C19BA"/>
    <w:rsid w:val="008C1F0E"/>
    <w:rsid w:val="008C23AD"/>
    <w:rsid w:val="008C2E5E"/>
    <w:rsid w:val="008C3A2F"/>
    <w:rsid w:val="008C479B"/>
    <w:rsid w:val="008C4D24"/>
    <w:rsid w:val="008C5461"/>
    <w:rsid w:val="008C66A5"/>
    <w:rsid w:val="008C6E57"/>
    <w:rsid w:val="008C7585"/>
    <w:rsid w:val="008D1B7A"/>
    <w:rsid w:val="008D6DD8"/>
    <w:rsid w:val="008D7FD9"/>
    <w:rsid w:val="008E010E"/>
    <w:rsid w:val="008E08ED"/>
    <w:rsid w:val="008E0F6D"/>
    <w:rsid w:val="008E1277"/>
    <w:rsid w:val="008E1750"/>
    <w:rsid w:val="008E2B0D"/>
    <w:rsid w:val="008E38F4"/>
    <w:rsid w:val="008E676B"/>
    <w:rsid w:val="008F126F"/>
    <w:rsid w:val="008F14F4"/>
    <w:rsid w:val="008F2740"/>
    <w:rsid w:val="008F44B0"/>
    <w:rsid w:val="008F4FEA"/>
    <w:rsid w:val="009001EC"/>
    <w:rsid w:val="0090172A"/>
    <w:rsid w:val="00902D72"/>
    <w:rsid w:val="009031D2"/>
    <w:rsid w:val="009054EB"/>
    <w:rsid w:val="00905608"/>
    <w:rsid w:val="0090644F"/>
    <w:rsid w:val="00906A54"/>
    <w:rsid w:val="0090739C"/>
    <w:rsid w:val="009074F9"/>
    <w:rsid w:val="00907B35"/>
    <w:rsid w:val="009101E2"/>
    <w:rsid w:val="009112D9"/>
    <w:rsid w:val="00911E68"/>
    <w:rsid w:val="00912B52"/>
    <w:rsid w:val="00912BC7"/>
    <w:rsid w:val="00913019"/>
    <w:rsid w:val="009131FF"/>
    <w:rsid w:val="00913217"/>
    <w:rsid w:val="00914917"/>
    <w:rsid w:val="00917344"/>
    <w:rsid w:val="00917EB9"/>
    <w:rsid w:val="00917FFA"/>
    <w:rsid w:val="009200CB"/>
    <w:rsid w:val="00920442"/>
    <w:rsid w:val="00921CA5"/>
    <w:rsid w:val="0092281A"/>
    <w:rsid w:val="009229CB"/>
    <w:rsid w:val="009238E1"/>
    <w:rsid w:val="00923F31"/>
    <w:rsid w:val="00926588"/>
    <w:rsid w:val="00926635"/>
    <w:rsid w:val="00927BAF"/>
    <w:rsid w:val="009316FA"/>
    <w:rsid w:val="009319EE"/>
    <w:rsid w:val="00932CBE"/>
    <w:rsid w:val="00933396"/>
    <w:rsid w:val="00933695"/>
    <w:rsid w:val="00934E75"/>
    <w:rsid w:val="00934FA8"/>
    <w:rsid w:val="0093660D"/>
    <w:rsid w:val="00937D86"/>
    <w:rsid w:val="00937E9A"/>
    <w:rsid w:val="00940E09"/>
    <w:rsid w:val="00943057"/>
    <w:rsid w:val="00943201"/>
    <w:rsid w:val="00946EF0"/>
    <w:rsid w:val="0094727B"/>
    <w:rsid w:val="00947FCC"/>
    <w:rsid w:val="00950425"/>
    <w:rsid w:val="00952B4E"/>
    <w:rsid w:val="00954357"/>
    <w:rsid w:val="00955184"/>
    <w:rsid w:val="009569DD"/>
    <w:rsid w:val="0095704E"/>
    <w:rsid w:val="00960A23"/>
    <w:rsid w:val="009615F4"/>
    <w:rsid w:val="00961EDF"/>
    <w:rsid w:val="00962D41"/>
    <w:rsid w:val="00963B01"/>
    <w:rsid w:val="00964C02"/>
    <w:rsid w:val="00965F2F"/>
    <w:rsid w:val="00966171"/>
    <w:rsid w:val="00966754"/>
    <w:rsid w:val="00966907"/>
    <w:rsid w:val="009673EB"/>
    <w:rsid w:val="009701D6"/>
    <w:rsid w:val="009705D3"/>
    <w:rsid w:val="0097062F"/>
    <w:rsid w:val="00971F79"/>
    <w:rsid w:val="009736CE"/>
    <w:rsid w:val="009745FA"/>
    <w:rsid w:val="00974606"/>
    <w:rsid w:val="00976721"/>
    <w:rsid w:val="0098011F"/>
    <w:rsid w:val="0098057D"/>
    <w:rsid w:val="0098182A"/>
    <w:rsid w:val="00981984"/>
    <w:rsid w:val="00984BD5"/>
    <w:rsid w:val="009857BF"/>
    <w:rsid w:val="00986B33"/>
    <w:rsid w:val="00987AD5"/>
    <w:rsid w:val="00990ADD"/>
    <w:rsid w:val="00991260"/>
    <w:rsid w:val="00992F50"/>
    <w:rsid w:val="00995C44"/>
    <w:rsid w:val="00996D5D"/>
    <w:rsid w:val="009A0562"/>
    <w:rsid w:val="009A163C"/>
    <w:rsid w:val="009A167A"/>
    <w:rsid w:val="009A3695"/>
    <w:rsid w:val="009A48FD"/>
    <w:rsid w:val="009A535B"/>
    <w:rsid w:val="009A7B5C"/>
    <w:rsid w:val="009B0D19"/>
    <w:rsid w:val="009B2F7B"/>
    <w:rsid w:val="009B314F"/>
    <w:rsid w:val="009B4A77"/>
    <w:rsid w:val="009B5096"/>
    <w:rsid w:val="009B7138"/>
    <w:rsid w:val="009B7922"/>
    <w:rsid w:val="009C1FE8"/>
    <w:rsid w:val="009C255A"/>
    <w:rsid w:val="009C25A9"/>
    <w:rsid w:val="009C27AD"/>
    <w:rsid w:val="009C3550"/>
    <w:rsid w:val="009C43C0"/>
    <w:rsid w:val="009C791D"/>
    <w:rsid w:val="009C7CD3"/>
    <w:rsid w:val="009C7D42"/>
    <w:rsid w:val="009D0E05"/>
    <w:rsid w:val="009D16CA"/>
    <w:rsid w:val="009D2BEF"/>
    <w:rsid w:val="009D4DFA"/>
    <w:rsid w:val="009D6DE1"/>
    <w:rsid w:val="009D71F7"/>
    <w:rsid w:val="009E012D"/>
    <w:rsid w:val="009E132A"/>
    <w:rsid w:val="009E1A0E"/>
    <w:rsid w:val="009E2992"/>
    <w:rsid w:val="009E3386"/>
    <w:rsid w:val="009E3394"/>
    <w:rsid w:val="009E5983"/>
    <w:rsid w:val="009E63C1"/>
    <w:rsid w:val="009E7141"/>
    <w:rsid w:val="009E7388"/>
    <w:rsid w:val="009E7573"/>
    <w:rsid w:val="009F1426"/>
    <w:rsid w:val="009F2FA4"/>
    <w:rsid w:val="009F3A6A"/>
    <w:rsid w:val="009F4D7E"/>
    <w:rsid w:val="009F5ECF"/>
    <w:rsid w:val="00A00EC8"/>
    <w:rsid w:val="00A01B35"/>
    <w:rsid w:val="00A04A2A"/>
    <w:rsid w:val="00A0506E"/>
    <w:rsid w:val="00A05AE2"/>
    <w:rsid w:val="00A060CF"/>
    <w:rsid w:val="00A06552"/>
    <w:rsid w:val="00A07964"/>
    <w:rsid w:val="00A07A3E"/>
    <w:rsid w:val="00A1023C"/>
    <w:rsid w:val="00A110DB"/>
    <w:rsid w:val="00A1238E"/>
    <w:rsid w:val="00A12EA5"/>
    <w:rsid w:val="00A13328"/>
    <w:rsid w:val="00A140B6"/>
    <w:rsid w:val="00A1421E"/>
    <w:rsid w:val="00A20B76"/>
    <w:rsid w:val="00A2104F"/>
    <w:rsid w:val="00A21081"/>
    <w:rsid w:val="00A223BB"/>
    <w:rsid w:val="00A248F4"/>
    <w:rsid w:val="00A24A2C"/>
    <w:rsid w:val="00A27727"/>
    <w:rsid w:val="00A3005A"/>
    <w:rsid w:val="00A30B6B"/>
    <w:rsid w:val="00A3169E"/>
    <w:rsid w:val="00A324E1"/>
    <w:rsid w:val="00A32EA9"/>
    <w:rsid w:val="00A336F7"/>
    <w:rsid w:val="00A3430E"/>
    <w:rsid w:val="00A34D63"/>
    <w:rsid w:val="00A351AE"/>
    <w:rsid w:val="00A379FE"/>
    <w:rsid w:val="00A4008E"/>
    <w:rsid w:val="00A415CA"/>
    <w:rsid w:val="00A418A0"/>
    <w:rsid w:val="00A41F84"/>
    <w:rsid w:val="00A42793"/>
    <w:rsid w:val="00A42829"/>
    <w:rsid w:val="00A44537"/>
    <w:rsid w:val="00A4559D"/>
    <w:rsid w:val="00A45C07"/>
    <w:rsid w:val="00A46717"/>
    <w:rsid w:val="00A50A86"/>
    <w:rsid w:val="00A5114A"/>
    <w:rsid w:val="00A51EF4"/>
    <w:rsid w:val="00A52050"/>
    <w:rsid w:val="00A525B4"/>
    <w:rsid w:val="00A528B5"/>
    <w:rsid w:val="00A53D2D"/>
    <w:rsid w:val="00A53F46"/>
    <w:rsid w:val="00A55CBD"/>
    <w:rsid w:val="00A561FA"/>
    <w:rsid w:val="00A6001C"/>
    <w:rsid w:val="00A60DB7"/>
    <w:rsid w:val="00A619A2"/>
    <w:rsid w:val="00A61CDE"/>
    <w:rsid w:val="00A625B1"/>
    <w:rsid w:val="00A626AA"/>
    <w:rsid w:val="00A62940"/>
    <w:rsid w:val="00A643F7"/>
    <w:rsid w:val="00A67905"/>
    <w:rsid w:val="00A71177"/>
    <w:rsid w:val="00A7372F"/>
    <w:rsid w:val="00A76FBA"/>
    <w:rsid w:val="00A77D60"/>
    <w:rsid w:val="00A802C2"/>
    <w:rsid w:val="00A81361"/>
    <w:rsid w:val="00A85C88"/>
    <w:rsid w:val="00A8710D"/>
    <w:rsid w:val="00A90AF4"/>
    <w:rsid w:val="00A92A69"/>
    <w:rsid w:val="00A93979"/>
    <w:rsid w:val="00A9457F"/>
    <w:rsid w:val="00A97CCA"/>
    <w:rsid w:val="00AA06B4"/>
    <w:rsid w:val="00AA0AE8"/>
    <w:rsid w:val="00AA15BC"/>
    <w:rsid w:val="00AA303D"/>
    <w:rsid w:val="00AA4B4F"/>
    <w:rsid w:val="00AA635C"/>
    <w:rsid w:val="00AA6A9C"/>
    <w:rsid w:val="00AA6EC4"/>
    <w:rsid w:val="00AA7857"/>
    <w:rsid w:val="00AB1BE5"/>
    <w:rsid w:val="00AB4994"/>
    <w:rsid w:val="00AB5C69"/>
    <w:rsid w:val="00AB68A2"/>
    <w:rsid w:val="00AB6CA4"/>
    <w:rsid w:val="00AB6D6C"/>
    <w:rsid w:val="00AC0F79"/>
    <w:rsid w:val="00AC28A8"/>
    <w:rsid w:val="00AC46C1"/>
    <w:rsid w:val="00AC6C23"/>
    <w:rsid w:val="00AC7037"/>
    <w:rsid w:val="00AD0179"/>
    <w:rsid w:val="00AD0D7C"/>
    <w:rsid w:val="00AD2794"/>
    <w:rsid w:val="00AD4786"/>
    <w:rsid w:val="00AD50A6"/>
    <w:rsid w:val="00AD5307"/>
    <w:rsid w:val="00AD5FF8"/>
    <w:rsid w:val="00AD7CA8"/>
    <w:rsid w:val="00AE002E"/>
    <w:rsid w:val="00AE03B2"/>
    <w:rsid w:val="00AE1601"/>
    <w:rsid w:val="00AE1DDA"/>
    <w:rsid w:val="00AE2969"/>
    <w:rsid w:val="00AE35F9"/>
    <w:rsid w:val="00AE4853"/>
    <w:rsid w:val="00AE4878"/>
    <w:rsid w:val="00AE539F"/>
    <w:rsid w:val="00AE53FF"/>
    <w:rsid w:val="00AE6714"/>
    <w:rsid w:val="00AF21CE"/>
    <w:rsid w:val="00AF313E"/>
    <w:rsid w:val="00AF4C32"/>
    <w:rsid w:val="00AF5B5D"/>
    <w:rsid w:val="00AF62BE"/>
    <w:rsid w:val="00B01A09"/>
    <w:rsid w:val="00B051D0"/>
    <w:rsid w:val="00B06400"/>
    <w:rsid w:val="00B108C9"/>
    <w:rsid w:val="00B120FC"/>
    <w:rsid w:val="00B12692"/>
    <w:rsid w:val="00B126CC"/>
    <w:rsid w:val="00B1492E"/>
    <w:rsid w:val="00B149A7"/>
    <w:rsid w:val="00B1519F"/>
    <w:rsid w:val="00B15527"/>
    <w:rsid w:val="00B15A02"/>
    <w:rsid w:val="00B17267"/>
    <w:rsid w:val="00B211DD"/>
    <w:rsid w:val="00B21341"/>
    <w:rsid w:val="00B2186E"/>
    <w:rsid w:val="00B239CE"/>
    <w:rsid w:val="00B23BBB"/>
    <w:rsid w:val="00B24769"/>
    <w:rsid w:val="00B26591"/>
    <w:rsid w:val="00B26BFF"/>
    <w:rsid w:val="00B26E39"/>
    <w:rsid w:val="00B300C6"/>
    <w:rsid w:val="00B31019"/>
    <w:rsid w:val="00B32048"/>
    <w:rsid w:val="00B32457"/>
    <w:rsid w:val="00B36DB2"/>
    <w:rsid w:val="00B371F7"/>
    <w:rsid w:val="00B374DC"/>
    <w:rsid w:val="00B4034C"/>
    <w:rsid w:val="00B41A84"/>
    <w:rsid w:val="00B426DF"/>
    <w:rsid w:val="00B429E9"/>
    <w:rsid w:val="00B43CC7"/>
    <w:rsid w:val="00B44CBD"/>
    <w:rsid w:val="00B464A9"/>
    <w:rsid w:val="00B47F43"/>
    <w:rsid w:val="00B50165"/>
    <w:rsid w:val="00B50E6C"/>
    <w:rsid w:val="00B50EC0"/>
    <w:rsid w:val="00B523AC"/>
    <w:rsid w:val="00B53B9E"/>
    <w:rsid w:val="00B547A7"/>
    <w:rsid w:val="00B559DD"/>
    <w:rsid w:val="00B56634"/>
    <w:rsid w:val="00B57AD3"/>
    <w:rsid w:val="00B61ACB"/>
    <w:rsid w:val="00B64D65"/>
    <w:rsid w:val="00B6505D"/>
    <w:rsid w:val="00B65222"/>
    <w:rsid w:val="00B65B7F"/>
    <w:rsid w:val="00B663BD"/>
    <w:rsid w:val="00B669AA"/>
    <w:rsid w:val="00B67FA5"/>
    <w:rsid w:val="00B70B7D"/>
    <w:rsid w:val="00B71D0C"/>
    <w:rsid w:val="00B74665"/>
    <w:rsid w:val="00B746E7"/>
    <w:rsid w:val="00B74765"/>
    <w:rsid w:val="00B754B2"/>
    <w:rsid w:val="00B77708"/>
    <w:rsid w:val="00B77865"/>
    <w:rsid w:val="00B77A85"/>
    <w:rsid w:val="00B82AF7"/>
    <w:rsid w:val="00B82DDB"/>
    <w:rsid w:val="00B83095"/>
    <w:rsid w:val="00B839C3"/>
    <w:rsid w:val="00B8525D"/>
    <w:rsid w:val="00B85D70"/>
    <w:rsid w:val="00B85E22"/>
    <w:rsid w:val="00B860C8"/>
    <w:rsid w:val="00B87240"/>
    <w:rsid w:val="00B90091"/>
    <w:rsid w:val="00B90917"/>
    <w:rsid w:val="00B92B7C"/>
    <w:rsid w:val="00B92D6B"/>
    <w:rsid w:val="00B93E49"/>
    <w:rsid w:val="00B9425A"/>
    <w:rsid w:val="00B945A7"/>
    <w:rsid w:val="00B94E89"/>
    <w:rsid w:val="00B95485"/>
    <w:rsid w:val="00B962A4"/>
    <w:rsid w:val="00B9636A"/>
    <w:rsid w:val="00BA2752"/>
    <w:rsid w:val="00BA3C1E"/>
    <w:rsid w:val="00BA3E68"/>
    <w:rsid w:val="00BA3F46"/>
    <w:rsid w:val="00BA5B87"/>
    <w:rsid w:val="00BA6530"/>
    <w:rsid w:val="00BB2FA9"/>
    <w:rsid w:val="00BB3B6A"/>
    <w:rsid w:val="00BB512E"/>
    <w:rsid w:val="00BB6811"/>
    <w:rsid w:val="00BB7620"/>
    <w:rsid w:val="00BC0860"/>
    <w:rsid w:val="00BC62B5"/>
    <w:rsid w:val="00BC6D70"/>
    <w:rsid w:val="00BC7E7F"/>
    <w:rsid w:val="00BD1453"/>
    <w:rsid w:val="00BD1D5E"/>
    <w:rsid w:val="00BD246B"/>
    <w:rsid w:val="00BD2A80"/>
    <w:rsid w:val="00BD3148"/>
    <w:rsid w:val="00BD3A62"/>
    <w:rsid w:val="00BD4275"/>
    <w:rsid w:val="00BD4613"/>
    <w:rsid w:val="00BD47D9"/>
    <w:rsid w:val="00BD57CD"/>
    <w:rsid w:val="00BD6190"/>
    <w:rsid w:val="00BD71BD"/>
    <w:rsid w:val="00BD759A"/>
    <w:rsid w:val="00BE246D"/>
    <w:rsid w:val="00BE5CA9"/>
    <w:rsid w:val="00BE757B"/>
    <w:rsid w:val="00BE7E76"/>
    <w:rsid w:val="00BF0DCC"/>
    <w:rsid w:val="00BF17AA"/>
    <w:rsid w:val="00BF33FE"/>
    <w:rsid w:val="00BF405D"/>
    <w:rsid w:val="00BF46EE"/>
    <w:rsid w:val="00BF63E2"/>
    <w:rsid w:val="00BF74D6"/>
    <w:rsid w:val="00BF785A"/>
    <w:rsid w:val="00BF7A92"/>
    <w:rsid w:val="00BF7EA0"/>
    <w:rsid w:val="00C00AC4"/>
    <w:rsid w:val="00C00EDA"/>
    <w:rsid w:val="00C01454"/>
    <w:rsid w:val="00C0297D"/>
    <w:rsid w:val="00C03432"/>
    <w:rsid w:val="00C0387B"/>
    <w:rsid w:val="00C04BAB"/>
    <w:rsid w:val="00C05545"/>
    <w:rsid w:val="00C05A73"/>
    <w:rsid w:val="00C05AE5"/>
    <w:rsid w:val="00C11A20"/>
    <w:rsid w:val="00C11E5D"/>
    <w:rsid w:val="00C12692"/>
    <w:rsid w:val="00C13050"/>
    <w:rsid w:val="00C20461"/>
    <w:rsid w:val="00C21B08"/>
    <w:rsid w:val="00C222CE"/>
    <w:rsid w:val="00C2240D"/>
    <w:rsid w:val="00C22FC2"/>
    <w:rsid w:val="00C24556"/>
    <w:rsid w:val="00C2561A"/>
    <w:rsid w:val="00C3246A"/>
    <w:rsid w:val="00C36E04"/>
    <w:rsid w:val="00C37733"/>
    <w:rsid w:val="00C37760"/>
    <w:rsid w:val="00C408F0"/>
    <w:rsid w:val="00C40CB8"/>
    <w:rsid w:val="00C41DAC"/>
    <w:rsid w:val="00C4338D"/>
    <w:rsid w:val="00C43F49"/>
    <w:rsid w:val="00C45516"/>
    <w:rsid w:val="00C46DEA"/>
    <w:rsid w:val="00C47E12"/>
    <w:rsid w:val="00C50137"/>
    <w:rsid w:val="00C50D36"/>
    <w:rsid w:val="00C51060"/>
    <w:rsid w:val="00C52105"/>
    <w:rsid w:val="00C523F7"/>
    <w:rsid w:val="00C53A02"/>
    <w:rsid w:val="00C54103"/>
    <w:rsid w:val="00C54474"/>
    <w:rsid w:val="00C57542"/>
    <w:rsid w:val="00C578E8"/>
    <w:rsid w:val="00C57959"/>
    <w:rsid w:val="00C6032D"/>
    <w:rsid w:val="00C60ED4"/>
    <w:rsid w:val="00C64419"/>
    <w:rsid w:val="00C65F79"/>
    <w:rsid w:val="00C66129"/>
    <w:rsid w:val="00C66C58"/>
    <w:rsid w:val="00C673EB"/>
    <w:rsid w:val="00C67ADA"/>
    <w:rsid w:val="00C7167D"/>
    <w:rsid w:val="00C718E5"/>
    <w:rsid w:val="00C73BE7"/>
    <w:rsid w:val="00C74258"/>
    <w:rsid w:val="00C74B98"/>
    <w:rsid w:val="00C7502B"/>
    <w:rsid w:val="00C75173"/>
    <w:rsid w:val="00C753D7"/>
    <w:rsid w:val="00C75D6A"/>
    <w:rsid w:val="00C77798"/>
    <w:rsid w:val="00C77BDF"/>
    <w:rsid w:val="00C80557"/>
    <w:rsid w:val="00C81CAA"/>
    <w:rsid w:val="00C82D04"/>
    <w:rsid w:val="00C842C3"/>
    <w:rsid w:val="00C856C6"/>
    <w:rsid w:val="00C860A5"/>
    <w:rsid w:val="00C86EA4"/>
    <w:rsid w:val="00C87DE5"/>
    <w:rsid w:val="00C9285C"/>
    <w:rsid w:val="00C94556"/>
    <w:rsid w:val="00C9679C"/>
    <w:rsid w:val="00C96886"/>
    <w:rsid w:val="00C9771D"/>
    <w:rsid w:val="00CA02CF"/>
    <w:rsid w:val="00CA0A4E"/>
    <w:rsid w:val="00CA1116"/>
    <w:rsid w:val="00CA1612"/>
    <w:rsid w:val="00CA1E5E"/>
    <w:rsid w:val="00CA21B3"/>
    <w:rsid w:val="00CA2363"/>
    <w:rsid w:val="00CA33D7"/>
    <w:rsid w:val="00CA4F14"/>
    <w:rsid w:val="00CA6C2E"/>
    <w:rsid w:val="00CA7D05"/>
    <w:rsid w:val="00CB193F"/>
    <w:rsid w:val="00CB1DCD"/>
    <w:rsid w:val="00CB381A"/>
    <w:rsid w:val="00CB7446"/>
    <w:rsid w:val="00CB7573"/>
    <w:rsid w:val="00CB7D79"/>
    <w:rsid w:val="00CB7DA7"/>
    <w:rsid w:val="00CC0E03"/>
    <w:rsid w:val="00CC11BC"/>
    <w:rsid w:val="00CC1DAC"/>
    <w:rsid w:val="00CC4466"/>
    <w:rsid w:val="00CC4F26"/>
    <w:rsid w:val="00CC648C"/>
    <w:rsid w:val="00CC67A1"/>
    <w:rsid w:val="00CC6B03"/>
    <w:rsid w:val="00CD06A0"/>
    <w:rsid w:val="00CD7140"/>
    <w:rsid w:val="00CD72F5"/>
    <w:rsid w:val="00CD7D65"/>
    <w:rsid w:val="00CE5482"/>
    <w:rsid w:val="00CE6146"/>
    <w:rsid w:val="00CE6A90"/>
    <w:rsid w:val="00CE6D88"/>
    <w:rsid w:val="00CE6E53"/>
    <w:rsid w:val="00CE715E"/>
    <w:rsid w:val="00CE73B0"/>
    <w:rsid w:val="00CF06AD"/>
    <w:rsid w:val="00CF0B51"/>
    <w:rsid w:val="00CF1811"/>
    <w:rsid w:val="00CF2293"/>
    <w:rsid w:val="00CF231C"/>
    <w:rsid w:val="00CF3186"/>
    <w:rsid w:val="00CF3378"/>
    <w:rsid w:val="00CF3BCD"/>
    <w:rsid w:val="00CF3E09"/>
    <w:rsid w:val="00CF55E8"/>
    <w:rsid w:val="00CF78DA"/>
    <w:rsid w:val="00CF7CD5"/>
    <w:rsid w:val="00D00F1B"/>
    <w:rsid w:val="00D026B4"/>
    <w:rsid w:val="00D02F04"/>
    <w:rsid w:val="00D038E2"/>
    <w:rsid w:val="00D04EE9"/>
    <w:rsid w:val="00D055DF"/>
    <w:rsid w:val="00D05C87"/>
    <w:rsid w:val="00D06F0E"/>
    <w:rsid w:val="00D1154D"/>
    <w:rsid w:val="00D11557"/>
    <w:rsid w:val="00D11C4E"/>
    <w:rsid w:val="00D12AA8"/>
    <w:rsid w:val="00D137FD"/>
    <w:rsid w:val="00D17661"/>
    <w:rsid w:val="00D21620"/>
    <w:rsid w:val="00D2198D"/>
    <w:rsid w:val="00D21DF7"/>
    <w:rsid w:val="00D23F02"/>
    <w:rsid w:val="00D24478"/>
    <w:rsid w:val="00D25959"/>
    <w:rsid w:val="00D25970"/>
    <w:rsid w:val="00D27221"/>
    <w:rsid w:val="00D300D8"/>
    <w:rsid w:val="00D31421"/>
    <w:rsid w:val="00D31B8E"/>
    <w:rsid w:val="00D32227"/>
    <w:rsid w:val="00D32A39"/>
    <w:rsid w:val="00D32CE9"/>
    <w:rsid w:val="00D34A8C"/>
    <w:rsid w:val="00D37739"/>
    <w:rsid w:val="00D40A6D"/>
    <w:rsid w:val="00D4189A"/>
    <w:rsid w:val="00D41C32"/>
    <w:rsid w:val="00D4484D"/>
    <w:rsid w:val="00D44E93"/>
    <w:rsid w:val="00D45405"/>
    <w:rsid w:val="00D45F2C"/>
    <w:rsid w:val="00D469DC"/>
    <w:rsid w:val="00D46E0F"/>
    <w:rsid w:val="00D508A4"/>
    <w:rsid w:val="00D514AA"/>
    <w:rsid w:val="00D52936"/>
    <w:rsid w:val="00D5351B"/>
    <w:rsid w:val="00D53D80"/>
    <w:rsid w:val="00D53F32"/>
    <w:rsid w:val="00D54404"/>
    <w:rsid w:val="00D5532E"/>
    <w:rsid w:val="00D55A80"/>
    <w:rsid w:val="00D56042"/>
    <w:rsid w:val="00D562E6"/>
    <w:rsid w:val="00D564F8"/>
    <w:rsid w:val="00D63361"/>
    <w:rsid w:val="00D65612"/>
    <w:rsid w:val="00D65D59"/>
    <w:rsid w:val="00D6661A"/>
    <w:rsid w:val="00D70E9F"/>
    <w:rsid w:val="00D72269"/>
    <w:rsid w:val="00D75241"/>
    <w:rsid w:val="00D762E7"/>
    <w:rsid w:val="00D77159"/>
    <w:rsid w:val="00D80E29"/>
    <w:rsid w:val="00D81A1E"/>
    <w:rsid w:val="00D82E8B"/>
    <w:rsid w:val="00D8564A"/>
    <w:rsid w:val="00D85E53"/>
    <w:rsid w:val="00D867DF"/>
    <w:rsid w:val="00D870F6"/>
    <w:rsid w:val="00D91875"/>
    <w:rsid w:val="00D91F23"/>
    <w:rsid w:val="00D92A98"/>
    <w:rsid w:val="00D94B5B"/>
    <w:rsid w:val="00D94EBE"/>
    <w:rsid w:val="00D955FC"/>
    <w:rsid w:val="00D97CCE"/>
    <w:rsid w:val="00DA3C72"/>
    <w:rsid w:val="00DA464A"/>
    <w:rsid w:val="00DA4979"/>
    <w:rsid w:val="00DA4EB2"/>
    <w:rsid w:val="00DA6096"/>
    <w:rsid w:val="00DA620C"/>
    <w:rsid w:val="00DB03DA"/>
    <w:rsid w:val="00DB0A8A"/>
    <w:rsid w:val="00DB262A"/>
    <w:rsid w:val="00DB495A"/>
    <w:rsid w:val="00DB516A"/>
    <w:rsid w:val="00DB647E"/>
    <w:rsid w:val="00DB78C3"/>
    <w:rsid w:val="00DC09E4"/>
    <w:rsid w:val="00DC1900"/>
    <w:rsid w:val="00DC232D"/>
    <w:rsid w:val="00DC2B35"/>
    <w:rsid w:val="00DC31E3"/>
    <w:rsid w:val="00DC3BF7"/>
    <w:rsid w:val="00DC46D3"/>
    <w:rsid w:val="00DC6226"/>
    <w:rsid w:val="00DD00A4"/>
    <w:rsid w:val="00DD0A23"/>
    <w:rsid w:val="00DD2B75"/>
    <w:rsid w:val="00DD3909"/>
    <w:rsid w:val="00DD3B79"/>
    <w:rsid w:val="00DD61BD"/>
    <w:rsid w:val="00DD67B4"/>
    <w:rsid w:val="00DD6FCE"/>
    <w:rsid w:val="00DD7999"/>
    <w:rsid w:val="00DE12CB"/>
    <w:rsid w:val="00DE1390"/>
    <w:rsid w:val="00DE2FF6"/>
    <w:rsid w:val="00DE365D"/>
    <w:rsid w:val="00DE3F50"/>
    <w:rsid w:val="00DE447D"/>
    <w:rsid w:val="00DE4F19"/>
    <w:rsid w:val="00DE6EE3"/>
    <w:rsid w:val="00DF4789"/>
    <w:rsid w:val="00DF5656"/>
    <w:rsid w:val="00DF56A1"/>
    <w:rsid w:val="00DF734D"/>
    <w:rsid w:val="00DF7DC3"/>
    <w:rsid w:val="00DF7FF8"/>
    <w:rsid w:val="00E00168"/>
    <w:rsid w:val="00E00F4D"/>
    <w:rsid w:val="00E01728"/>
    <w:rsid w:val="00E02D21"/>
    <w:rsid w:val="00E02EB4"/>
    <w:rsid w:val="00E03F1D"/>
    <w:rsid w:val="00E0451E"/>
    <w:rsid w:val="00E050F3"/>
    <w:rsid w:val="00E05D7F"/>
    <w:rsid w:val="00E06BCA"/>
    <w:rsid w:val="00E071FE"/>
    <w:rsid w:val="00E10FCB"/>
    <w:rsid w:val="00E12175"/>
    <w:rsid w:val="00E128FC"/>
    <w:rsid w:val="00E12BEE"/>
    <w:rsid w:val="00E13381"/>
    <w:rsid w:val="00E141C3"/>
    <w:rsid w:val="00E144AD"/>
    <w:rsid w:val="00E14B05"/>
    <w:rsid w:val="00E15C89"/>
    <w:rsid w:val="00E16C2C"/>
    <w:rsid w:val="00E16DC9"/>
    <w:rsid w:val="00E1743E"/>
    <w:rsid w:val="00E17519"/>
    <w:rsid w:val="00E2129F"/>
    <w:rsid w:val="00E225D1"/>
    <w:rsid w:val="00E2407D"/>
    <w:rsid w:val="00E260D2"/>
    <w:rsid w:val="00E26E0C"/>
    <w:rsid w:val="00E279FC"/>
    <w:rsid w:val="00E30E0A"/>
    <w:rsid w:val="00E311A4"/>
    <w:rsid w:val="00E32447"/>
    <w:rsid w:val="00E32ED0"/>
    <w:rsid w:val="00E35854"/>
    <w:rsid w:val="00E37633"/>
    <w:rsid w:val="00E4076C"/>
    <w:rsid w:val="00E40EC5"/>
    <w:rsid w:val="00E44663"/>
    <w:rsid w:val="00E46A78"/>
    <w:rsid w:val="00E47824"/>
    <w:rsid w:val="00E50389"/>
    <w:rsid w:val="00E50C43"/>
    <w:rsid w:val="00E5130C"/>
    <w:rsid w:val="00E5182A"/>
    <w:rsid w:val="00E51B1B"/>
    <w:rsid w:val="00E52DF1"/>
    <w:rsid w:val="00E53750"/>
    <w:rsid w:val="00E54DAC"/>
    <w:rsid w:val="00E556EB"/>
    <w:rsid w:val="00E61A10"/>
    <w:rsid w:val="00E61C28"/>
    <w:rsid w:val="00E6251D"/>
    <w:rsid w:val="00E6388D"/>
    <w:rsid w:val="00E6424B"/>
    <w:rsid w:val="00E65012"/>
    <w:rsid w:val="00E65B8C"/>
    <w:rsid w:val="00E665FA"/>
    <w:rsid w:val="00E667F2"/>
    <w:rsid w:val="00E66B75"/>
    <w:rsid w:val="00E66F22"/>
    <w:rsid w:val="00E70E42"/>
    <w:rsid w:val="00E723EE"/>
    <w:rsid w:val="00E723EF"/>
    <w:rsid w:val="00E73867"/>
    <w:rsid w:val="00E739FA"/>
    <w:rsid w:val="00E750A5"/>
    <w:rsid w:val="00E76053"/>
    <w:rsid w:val="00E77A5C"/>
    <w:rsid w:val="00E803DA"/>
    <w:rsid w:val="00E80B8D"/>
    <w:rsid w:val="00E84694"/>
    <w:rsid w:val="00E84739"/>
    <w:rsid w:val="00E84AE6"/>
    <w:rsid w:val="00E84F13"/>
    <w:rsid w:val="00E853AC"/>
    <w:rsid w:val="00E864F9"/>
    <w:rsid w:val="00E9147A"/>
    <w:rsid w:val="00E9406A"/>
    <w:rsid w:val="00E940E7"/>
    <w:rsid w:val="00E95198"/>
    <w:rsid w:val="00E957B9"/>
    <w:rsid w:val="00EA0256"/>
    <w:rsid w:val="00EA0665"/>
    <w:rsid w:val="00EA17E2"/>
    <w:rsid w:val="00EA3128"/>
    <w:rsid w:val="00EA40C2"/>
    <w:rsid w:val="00EA474D"/>
    <w:rsid w:val="00EA494F"/>
    <w:rsid w:val="00EA6ED6"/>
    <w:rsid w:val="00EB05D6"/>
    <w:rsid w:val="00EB1A50"/>
    <w:rsid w:val="00EB1EDD"/>
    <w:rsid w:val="00EB270D"/>
    <w:rsid w:val="00EB2FF2"/>
    <w:rsid w:val="00EB45AE"/>
    <w:rsid w:val="00EB591D"/>
    <w:rsid w:val="00EB5BB5"/>
    <w:rsid w:val="00EB6BAF"/>
    <w:rsid w:val="00EB6CF6"/>
    <w:rsid w:val="00EB7A2B"/>
    <w:rsid w:val="00EB7EB8"/>
    <w:rsid w:val="00EC2FF7"/>
    <w:rsid w:val="00EC36B2"/>
    <w:rsid w:val="00EC4868"/>
    <w:rsid w:val="00EC5184"/>
    <w:rsid w:val="00EC587F"/>
    <w:rsid w:val="00EC7075"/>
    <w:rsid w:val="00EC7218"/>
    <w:rsid w:val="00EC7E30"/>
    <w:rsid w:val="00ED1155"/>
    <w:rsid w:val="00ED26C3"/>
    <w:rsid w:val="00ED324B"/>
    <w:rsid w:val="00ED44A5"/>
    <w:rsid w:val="00ED504C"/>
    <w:rsid w:val="00ED5C5F"/>
    <w:rsid w:val="00EE1C74"/>
    <w:rsid w:val="00EE2ADF"/>
    <w:rsid w:val="00EE3D89"/>
    <w:rsid w:val="00EE4B7B"/>
    <w:rsid w:val="00EE4E0C"/>
    <w:rsid w:val="00EE5C6F"/>
    <w:rsid w:val="00EF0750"/>
    <w:rsid w:val="00EF0A6D"/>
    <w:rsid w:val="00EF0ED2"/>
    <w:rsid w:val="00EF276D"/>
    <w:rsid w:val="00EF2D3E"/>
    <w:rsid w:val="00EF5DD0"/>
    <w:rsid w:val="00EF604A"/>
    <w:rsid w:val="00EF6A59"/>
    <w:rsid w:val="00EF7D6C"/>
    <w:rsid w:val="00F0032C"/>
    <w:rsid w:val="00F014A7"/>
    <w:rsid w:val="00F01BFE"/>
    <w:rsid w:val="00F027CE"/>
    <w:rsid w:val="00F03BB6"/>
    <w:rsid w:val="00F03D35"/>
    <w:rsid w:val="00F05E4F"/>
    <w:rsid w:val="00F1033F"/>
    <w:rsid w:val="00F10E14"/>
    <w:rsid w:val="00F124E1"/>
    <w:rsid w:val="00F12DF7"/>
    <w:rsid w:val="00F1335C"/>
    <w:rsid w:val="00F136B4"/>
    <w:rsid w:val="00F13BF7"/>
    <w:rsid w:val="00F15A46"/>
    <w:rsid w:val="00F16344"/>
    <w:rsid w:val="00F20062"/>
    <w:rsid w:val="00F215C5"/>
    <w:rsid w:val="00F21C08"/>
    <w:rsid w:val="00F2313E"/>
    <w:rsid w:val="00F231E1"/>
    <w:rsid w:val="00F25A9B"/>
    <w:rsid w:val="00F33B46"/>
    <w:rsid w:val="00F347D7"/>
    <w:rsid w:val="00F34A8C"/>
    <w:rsid w:val="00F35A76"/>
    <w:rsid w:val="00F36460"/>
    <w:rsid w:val="00F3687C"/>
    <w:rsid w:val="00F36976"/>
    <w:rsid w:val="00F40D64"/>
    <w:rsid w:val="00F41874"/>
    <w:rsid w:val="00F42380"/>
    <w:rsid w:val="00F44C32"/>
    <w:rsid w:val="00F4614B"/>
    <w:rsid w:val="00F4660E"/>
    <w:rsid w:val="00F47506"/>
    <w:rsid w:val="00F50356"/>
    <w:rsid w:val="00F50EE8"/>
    <w:rsid w:val="00F55AF3"/>
    <w:rsid w:val="00F57940"/>
    <w:rsid w:val="00F60555"/>
    <w:rsid w:val="00F612FA"/>
    <w:rsid w:val="00F61F6C"/>
    <w:rsid w:val="00F629E2"/>
    <w:rsid w:val="00F636EB"/>
    <w:rsid w:val="00F644E1"/>
    <w:rsid w:val="00F65180"/>
    <w:rsid w:val="00F666DA"/>
    <w:rsid w:val="00F707BD"/>
    <w:rsid w:val="00F71616"/>
    <w:rsid w:val="00F71D45"/>
    <w:rsid w:val="00F71DB1"/>
    <w:rsid w:val="00F74F6E"/>
    <w:rsid w:val="00F750F1"/>
    <w:rsid w:val="00F7584E"/>
    <w:rsid w:val="00F75B5E"/>
    <w:rsid w:val="00F801B6"/>
    <w:rsid w:val="00F823E8"/>
    <w:rsid w:val="00F82D0E"/>
    <w:rsid w:val="00F832D4"/>
    <w:rsid w:val="00F83770"/>
    <w:rsid w:val="00F845A4"/>
    <w:rsid w:val="00F8656C"/>
    <w:rsid w:val="00F903B9"/>
    <w:rsid w:val="00F90D4E"/>
    <w:rsid w:val="00F9425B"/>
    <w:rsid w:val="00F9439D"/>
    <w:rsid w:val="00F95A64"/>
    <w:rsid w:val="00F95B93"/>
    <w:rsid w:val="00F9652D"/>
    <w:rsid w:val="00F96BA9"/>
    <w:rsid w:val="00FA058D"/>
    <w:rsid w:val="00FA0A5D"/>
    <w:rsid w:val="00FA21F0"/>
    <w:rsid w:val="00FA2D2A"/>
    <w:rsid w:val="00FA32CF"/>
    <w:rsid w:val="00FA4FC3"/>
    <w:rsid w:val="00FA6C9B"/>
    <w:rsid w:val="00FA7B0C"/>
    <w:rsid w:val="00FB10FF"/>
    <w:rsid w:val="00FB1BA2"/>
    <w:rsid w:val="00FB6DC9"/>
    <w:rsid w:val="00FB792E"/>
    <w:rsid w:val="00FB7AD0"/>
    <w:rsid w:val="00FC1712"/>
    <w:rsid w:val="00FC24C9"/>
    <w:rsid w:val="00FC3A39"/>
    <w:rsid w:val="00FC3A63"/>
    <w:rsid w:val="00FC3BCC"/>
    <w:rsid w:val="00FC6F6D"/>
    <w:rsid w:val="00FC7DBA"/>
    <w:rsid w:val="00FD014C"/>
    <w:rsid w:val="00FD17BF"/>
    <w:rsid w:val="00FD4DB8"/>
    <w:rsid w:val="00FD5609"/>
    <w:rsid w:val="00FD5EC4"/>
    <w:rsid w:val="00FD6CEC"/>
    <w:rsid w:val="00FD7730"/>
    <w:rsid w:val="00FD7E8A"/>
    <w:rsid w:val="00FE03A0"/>
    <w:rsid w:val="00FE06DC"/>
    <w:rsid w:val="00FE1368"/>
    <w:rsid w:val="00FE186E"/>
    <w:rsid w:val="00FE1950"/>
    <w:rsid w:val="00FE1E09"/>
    <w:rsid w:val="00FE23B3"/>
    <w:rsid w:val="00FE3620"/>
    <w:rsid w:val="00FE446A"/>
    <w:rsid w:val="00FE4724"/>
    <w:rsid w:val="00FE478B"/>
    <w:rsid w:val="00FE4C6D"/>
    <w:rsid w:val="00FE5064"/>
    <w:rsid w:val="00FE58FE"/>
    <w:rsid w:val="00FE6AE5"/>
    <w:rsid w:val="00FF128E"/>
    <w:rsid w:val="00FF141A"/>
    <w:rsid w:val="00FF3746"/>
    <w:rsid w:val="00FF3B77"/>
    <w:rsid w:val="00FF3F14"/>
    <w:rsid w:val="00FF42F2"/>
    <w:rsid w:val="00FF4A57"/>
    <w:rsid w:val="00FF4E76"/>
    <w:rsid w:val="00FF5BF6"/>
    <w:rsid w:val="00FF601C"/>
    <w:rsid w:val="0F8103AB"/>
    <w:rsid w:val="4099DAF4"/>
    <w:rsid w:val="4D404D27"/>
    <w:rsid w:val="7E3FF2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C221AF9"/>
  <w15:docId w15:val="{8FC3495E-B942-4744-BD81-F3C5A2AE9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ro-RO"/>
    </w:rPr>
  </w:style>
  <w:style w:type="paragraph" w:styleId="Revision">
    <w:name w:val="Revision"/>
    <w:hidden/>
    <w:uiPriority w:val="99"/>
    <w:semiHidden/>
    <w:rsid w:val="0003360B"/>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character" w:customStyle="1" w:styleId="UnresolvedMention1">
    <w:name w:val="Unresolved Mention1"/>
    <w:basedOn w:val="DefaultParagraphFont"/>
    <w:uiPriority w:val="99"/>
    <w:semiHidden/>
    <w:unhideWhenUsed/>
    <w:rsid w:val="00F347D7"/>
    <w:rPr>
      <w:color w:val="605E5C"/>
      <w:shd w:val="clear" w:color="auto" w:fill="E1DFDD"/>
    </w:rPr>
  </w:style>
  <w:style w:type="character" w:customStyle="1" w:styleId="UnresolvedMention">
    <w:name w:val="Unresolved Mention"/>
    <w:basedOn w:val="DefaultParagraphFont"/>
    <w:uiPriority w:val="99"/>
    <w:semiHidden/>
    <w:unhideWhenUsed/>
    <w:rsid w:val="001A0817"/>
    <w:rPr>
      <w:color w:val="605E5C"/>
      <w:shd w:val="clear" w:color="auto" w:fill="E1DFDD"/>
    </w:rPr>
  </w:style>
  <w:style w:type="character" w:styleId="FollowedHyperlink">
    <w:name w:val="FollowedHyperlink"/>
    <w:basedOn w:val="DefaultParagraphFont"/>
    <w:uiPriority w:val="99"/>
    <w:semiHidden/>
    <w:unhideWhenUsed/>
    <w:rsid w:val="00E141C3"/>
    <w:rPr>
      <w:color w:val="800080" w:themeColor="followedHyperlink"/>
      <w:u w:val="single"/>
    </w:rPr>
  </w:style>
  <w:style w:type="character" w:customStyle="1" w:styleId="HeaderChar">
    <w:name w:val="Header Char"/>
    <w:basedOn w:val="DefaultParagraphFont"/>
    <w:link w:val="Header"/>
    <w:uiPriority w:val="99"/>
    <w:rsid w:val="00F10E14"/>
    <w:rPr>
      <w:rFonts w:ascii="Times New Roman" w:hAnsi="Times New Roman" w:cs="Times New Roman"/>
      <w:sz w:val="24"/>
      <w:lang w:val="ro-RO"/>
    </w:rPr>
  </w:style>
  <w:style w:type="character" w:customStyle="1" w:styleId="FooterChar">
    <w:name w:val="Footer Char"/>
    <w:basedOn w:val="DefaultParagraphFont"/>
    <w:link w:val="Footer"/>
    <w:uiPriority w:val="99"/>
    <w:rsid w:val="00F10E14"/>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10E1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10E14"/>
    <w:pPr>
      <w:spacing w:before="0"/>
      <w:jc w:val="right"/>
    </w:pPr>
    <w:rPr>
      <w:sz w:val="28"/>
    </w:rPr>
  </w:style>
  <w:style w:type="paragraph" w:customStyle="1" w:styleId="FooterSensitivity">
    <w:name w:val="Footer Sensitivity"/>
    <w:basedOn w:val="Normal"/>
    <w:rsid w:val="00F10E1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10E14"/>
    <w:pPr>
      <w:tabs>
        <w:tab w:val="center" w:pos="4535"/>
        <w:tab w:val="right" w:pos="9071"/>
      </w:tabs>
      <w:spacing w:before="0"/>
    </w:pPr>
  </w:style>
  <w:style w:type="paragraph" w:customStyle="1" w:styleId="HeaderLandscape">
    <w:name w:val="HeaderLandscape"/>
    <w:basedOn w:val="Normal"/>
    <w:rsid w:val="00F10E14"/>
    <w:pPr>
      <w:tabs>
        <w:tab w:val="center" w:pos="7285"/>
        <w:tab w:val="right" w:pos="14003"/>
      </w:tabs>
      <w:spacing w:before="0"/>
    </w:pPr>
  </w:style>
  <w:style w:type="paragraph" w:styleId="Footer">
    <w:name w:val="footer"/>
    <w:basedOn w:val="Normal"/>
    <w:link w:val="FooterChar"/>
    <w:uiPriority w:val="99"/>
    <w:unhideWhenUsed/>
    <w:rsid w:val="00F10E1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10E1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27007">
      <w:bodyDiv w:val="1"/>
      <w:marLeft w:val="0"/>
      <w:marRight w:val="0"/>
      <w:marTop w:val="0"/>
      <w:marBottom w:val="0"/>
      <w:divBdr>
        <w:top w:val="none" w:sz="0" w:space="0" w:color="auto"/>
        <w:left w:val="none" w:sz="0" w:space="0" w:color="auto"/>
        <w:bottom w:val="none" w:sz="0" w:space="0" w:color="auto"/>
        <w:right w:val="none" w:sz="0" w:space="0" w:color="auto"/>
      </w:divBdr>
    </w:div>
    <w:div w:id="21904765">
      <w:bodyDiv w:val="1"/>
      <w:marLeft w:val="0"/>
      <w:marRight w:val="0"/>
      <w:marTop w:val="0"/>
      <w:marBottom w:val="0"/>
      <w:divBdr>
        <w:top w:val="none" w:sz="0" w:space="0" w:color="auto"/>
        <w:left w:val="none" w:sz="0" w:space="0" w:color="auto"/>
        <w:bottom w:val="none" w:sz="0" w:space="0" w:color="auto"/>
        <w:right w:val="none" w:sz="0" w:space="0" w:color="auto"/>
      </w:divBdr>
    </w:div>
    <w:div w:id="39399322">
      <w:bodyDiv w:val="1"/>
      <w:marLeft w:val="0"/>
      <w:marRight w:val="0"/>
      <w:marTop w:val="0"/>
      <w:marBottom w:val="0"/>
      <w:divBdr>
        <w:top w:val="none" w:sz="0" w:space="0" w:color="auto"/>
        <w:left w:val="none" w:sz="0" w:space="0" w:color="auto"/>
        <w:bottom w:val="none" w:sz="0" w:space="0" w:color="auto"/>
        <w:right w:val="none" w:sz="0" w:space="0" w:color="auto"/>
      </w:divBdr>
    </w:div>
    <w:div w:id="106434858">
      <w:bodyDiv w:val="1"/>
      <w:marLeft w:val="0"/>
      <w:marRight w:val="0"/>
      <w:marTop w:val="0"/>
      <w:marBottom w:val="0"/>
      <w:divBdr>
        <w:top w:val="none" w:sz="0" w:space="0" w:color="auto"/>
        <w:left w:val="none" w:sz="0" w:space="0" w:color="auto"/>
        <w:bottom w:val="none" w:sz="0" w:space="0" w:color="auto"/>
        <w:right w:val="none" w:sz="0" w:space="0" w:color="auto"/>
      </w:divBdr>
    </w:div>
    <w:div w:id="114955674">
      <w:bodyDiv w:val="1"/>
      <w:marLeft w:val="0"/>
      <w:marRight w:val="0"/>
      <w:marTop w:val="0"/>
      <w:marBottom w:val="0"/>
      <w:divBdr>
        <w:top w:val="none" w:sz="0" w:space="0" w:color="auto"/>
        <w:left w:val="none" w:sz="0" w:space="0" w:color="auto"/>
        <w:bottom w:val="none" w:sz="0" w:space="0" w:color="auto"/>
        <w:right w:val="none" w:sz="0" w:space="0" w:color="auto"/>
      </w:divBdr>
    </w:div>
    <w:div w:id="164054951">
      <w:bodyDiv w:val="1"/>
      <w:marLeft w:val="0"/>
      <w:marRight w:val="0"/>
      <w:marTop w:val="0"/>
      <w:marBottom w:val="0"/>
      <w:divBdr>
        <w:top w:val="none" w:sz="0" w:space="0" w:color="auto"/>
        <w:left w:val="none" w:sz="0" w:space="0" w:color="auto"/>
        <w:bottom w:val="none" w:sz="0" w:space="0" w:color="auto"/>
        <w:right w:val="none" w:sz="0" w:space="0" w:color="auto"/>
      </w:divBdr>
    </w:div>
    <w:div w:id="172573760">
      <w:bodyDiv w:val="1"/>
      <w:marLeft w:val="0"/>
      <w:marRight w:val="0"/>
      <w:marTop w:val="0"/>
      <w:marBottom w:val="0"/>
      <w:divBdr>
        <w:top w:val="none" w:sz="0" w:space="0" w:color="auto"/>
        <w:left w:val="none" w:sz="0" w:space="0" w:color="auto"/>
        <w:bottom w:val="none" w:sz="0" w:space="0" w:color="auto"/>
        <w:right w:val="none" w:sz="0" w:space="0" w:color="auto"/>
      </w:divBdr>
    </w:div>
    <w:div w:id="181281077">
      <w:bodyDiv w:val="1"/>
      <w:marLeft w:val="0"/>
      <w:marRight w:val="0"/>
      <w:marTop w:val="0"/>
      <w:marBottom w:val="0"/>
      <w:divBdr>
        <w:top w:val="none" w:sz="0" w:space="0" w:color="auto"/>
        <w:left w:val="none" w:sz="0" w:space="0" w:color="auto"/>
        <w:bottom w:val="none" w:sz="0" w:space="0" w:color="auto"/>
        <w:right w:val="none" w:sz="0" w:space="0" w:color="auto"/>
      </w:divBdr>
    </w:div>
    <w:div w:id="203635799">
      <w:bodyDiv w:val="1"/>
      <w:marLeft w:val="0"/>
      <w:marRight w:val="0"/>
      <w:marTop w:val="0"/>
      <w:marBottom w:val="0"/>
      <w:divBdr>
        <w:top w:val="none" w:sz="0" w:space="0" w:color="auto"/>
        <w:left w:val="none" w:sz="0" w:space="0" w:color="auto"/>
        <w:bottom w:val="none" w:sz="0" w:space="0" w:color="auto"/>
        <w:right w:val="none" w:sz="0" w:space="0" w:color="auto"/>
      </w:divBdr>
    </w:div>
    <w:div w:id="272171031">
      <w:bodyDiv w:val="1"/>
      <w:marLeft w:val="0"/>
      <w:marRight w:val="0"/>
      <w:marTop w:val="0"/>
      <w:marBottom w:val="0"/>
      <w:divBdr>
        <w:top w:val="none" w:sz="0" w:space="0" w:color="auto"/>
        <w:left w:val="none" w:sz="0" w:space="0" w:color="auto"/>
        <w:bottom w:val="none" w:sz="0" w:space="0" w:color="auto"/>
        <w:right w:val="none" w:sz="0" w:space="0" w:color="auto"/>
      </w:divBdr>
    </w:div>
    <w:div w:id="273757796">
      <w:bodyDiv w:val="1"/>
      <w:marLeft w:val="0"/>
      <w:marRight w:val="0"/>
      <w:marTop w:val="0"/>
      <w:marBottom w:val="0"/>
      <w:divBdr>
        <w:top w:val="none" w:sz="0" w:space="0" w:color="auto"/>
        <w:left w:val="none" w:sz="0" w:space="0" w:color="auto"/>
        <w:bottom w:val="none" w:sz="0" w:space="0" w:color="auto"/>
        <w:right w:val="none" w:sz="0" w:space="0" w:color="auto"/>
      </w:divBdr>
    </w:div>
    <w:div w:id="378021137">
      <w:bodyDiv w:val="1"/>
      <w:marLeft w:val="0"/>
      <w:marRight w:val="0"/>
      <w:marTop w:val="0"/>
      <w:marBottom w:val="0"/>
      <w:divBdr>
        <w:top w:val="none" w:sz="0" w:space="0" w:color="auto"/>
        <w:left w:val="none" w:sz="0" w:space="0" w:color="auto"/>
        <w:bottom w:val="none" w:sz="0" w:space="0" w:color="auto"/>
        <w:right w:val="none" w:sz="0" w:space="0" w:color="auto"/>
      </w:divBdr>
    </w:div>
    <w:div w:id="389035264">
      <w:bodyDiv w:val="1"/>
      <w:marLeft w:val="0"/>
      <w:marRight w:val="0"/>
      <w:marTop w:val="0"/>
      <w:marBottom w:val="0"/>
      <w:divBdr>
        <w:top w:val="none" w:sz="0" w:space="0" w:color="auto"/>
        <w:left w:val="none" w:sz="0" w:space="0" w:color="auto"/>
        <w:bottom w:val="none" w:sz="0" w:space="0" w:color="auto"/>
        <w:right w:val="none" w:sz="0" w:space="0" w:color="auto"/>
      </w:divBdr>
    </w:div>
    <w:div w:id="414596841">
      <w:bodyDiv w:val="1"/>
      <w:marLeft w:val="0"/>
      <w:marRight w:val="0"/>
      <w:marTop w:val="0"/>
      <w:marBottom w:val="0"/>
      <w:divBdr>
        <w:top w:val="none" w:sz="0" w:space="0" w:color="auto"/>
        <w:left w:val="none" w:sz="0" w:space="0" w:color="auto"/>
        <w:bottom w:val="none" w:sz="0" w:space="0" w:color="auto"/>
        <w:right w:val="none" w:sz="0" w:space="0" w:color="auto"/>
      </w:divBdr>
    </w:div>
    <w:div w:id="491994918">
      <w:bodyDiv w:val="1"/>
      <w:marLeft w:val="0"/>
      <w:marRight w:val="0"/>
      <w:marTop w:val="0"/>
      <w:marBottom w:val="0"/>
      <w:divBdr>
        <w:top w:val="none" w:sz="0" w:space="0" w:color="auto"/>
        <w:left w:val="none" w:sz="0" w:space="0" w:color="auto"/>
        <w:bottom w:val="none" w:sz="0" w:space="0" w:color="auto"/>
        <w:right w:val="none" w:sz="0" w:space="0" w:color="auto"/>
      </w:divBdr>
    </w:div>
    <w:div w:id="553006544">
      <w:bodyDiv w:val="1"/>
      <w:marLeft w:val="0"/>
      <w:marRight w:val="0"/>
      <w:marTop w:val="0"/>
      <w:marBottom w:val="0"/>
      <w:divBdr>
        <w:top w:val="none" w:sz="0" w:space="0" w:color="auto"/>
        <w:left w:val="none" w:sz="0" w:space="0" w:color="auto"/>
        <w:bottom w:val="none" w:sz="0" w:space="0" w:color="auto"/>
        <w:right w:val="none" w:sz="0" w:space="0" w:color="auto"/>
      </w:divBdr>
    </w:div>
    <w:div w:id="576984178">
      <w:bodyDiv w:val="1"/>
      <w:marLeft w:val="0"/>
      <w:marRight w:val="0"/>
      <w:marTop w:val="0"/>
      <w:marBottom w:val="0"/>
      <w:divBdr>
        <w:top w:val="none" w:sz="0" w:space="0" w:color="auto"/>
        <w:left w:val="none" w:sz="0" w:space="0" w:color="auto"/>
        <w:bottom w:val="none" w:sz="0" w:space="0" w:color="auto"/>
        <w:right w:val="none" w:sz="0" w:space="0" w:color="auto"/>
      </w:divBdr>
    </w:div>
    <w:div w:id="629018332">
      <w:bodyDiv w:val="1"/>
      <w:marLeft w:val="0"/>
      <w:marRight w:val="0"/>
      <w:marTop w:val="0"/>
      <w:marBottom w:val="0"/>
      <w:divBdr>
        <w:top w:val="none" w:sz="0" w:space="0" w:color="auto"/>
        <w:left w:val="none" w:sz="0" w:space="0" w:color="auto"/>
        <w:bottom w:val="none" w:sz="0" w:space="0" w:color="auto"/>
        <w:right w:val="none" w:sz="0" w:space="0" w:color="auto"/>
      </w:divBdr>
    </w:div>
    <w:div w:id="637344513">
      <w:bodyDiv w:val="1"/>
      <w:marLeft w:val="0"/>
      <w:marRight w:val="0"/>
      <w:marTop w:val="0"/>
      <w:marBottom w:val="0"/>
      <w:divBdr>
        <w:top w:val="none" w:sz="0" w:space="0" w:color="auto"/>
        <w:left w:val="none" w:sz="0" w:space="0" w:color="auto"/>
        <w:bottom w:val="none" w:sz="0" w:space="0" w:color="auto"/>
        <w:right w:val="none" w:sz="0" w:space="0" w:color="auto"/>
      </w:divBdr>
    </w:div>
    <w:div w:id="648442171">
      <w:bodyDiv w:val="1"/>
      <w:marLeft w:val="0"/>
      <w:marRight w:val="0"/>
      <w:marTop w:val="0"/>
      <w:marBottom w:val="0"/>
      <w:divBdr>
        <w:top w:val="none" w:sz="0" w:space="0" w:color="auto"/>
        <w:left w:val="none" w:sz="0" w:space="0" w:color="auto"/>
        <w:bottom w:val="none" w:sz="0" w:space="0" w:color="auto"/>
        <w:right w:val="none" w:sz="0" w:space="0" w:color="auto"/>
      </w:divBdr>
    </w:div>
    <w:div w:id="727218282">
      <w:bodyDiv w:val="1"/>
      <w:marLeft w:val="0"/>
      <w:marRight w:val="0"/>
      <w:marTop w:val="0"/>
      <w:marBottom w:val="0"/>
      <w:divBdr>
        <w:top w:val="none" w:sz="0" w:space="0" w:color="auto"/>
        <w:left w:val="none" w:sz="0" w:space="0" w:color="auto"/>
        <w:bottom w:val="none" w:sz="0" w:space="0" w:color="auto"/>
        <w:right w:val="none" w:sz="0" w:space="0" w:color="auto"/>
      </w:divBdr>
    </w:div>
    <w:div w:id="855928637">
      <w:bodyDiv w:val="1"/>
      <w:marLeft w:val="0"/>
      <w:marRight w:val="0"/>
      <w:marTop w:val="0"/>
      <w:marBottom w:val="0"/>
      <w:divBdr>
        <w:top w:val="none" w:sz="0" w:space="0" w:color="auto"/>
        <w:left w:val="none" w:sz="0" w:space="0" w:color="auto"/>
        <w:bottom w:val="none" w:sz="0" w:space="0" w:color="auto"/>
        <w:right w:val="none" w:sz="0" w:space="0" w:color="auto"/>
      </w:divBdr>
    </w:div>
    <w:div w:id="929201187">
      <w:bodyDiv w:val="1"/>
      <w:marLeft w:val="0"/>
      <w:marRight w:val="0"/>
      <w:marTop w:val="0"/>
      <w:marBottom w:val="0"/>
      <w:divBdr>
        <w:top w:val="none" w:sz="0" w:space="0" w:color="auto"/>
        <w:left w:val="none" w:sz="0" w:space="0" w:color="auto"/>
        <w:bottom w:val="none" w:sz="0" w:space="0" w:color="auto"/>
        <w:right w:val="none" w:sz="0" w:space="0" w:color="auto"/>
      </w:divBdr>
    </w:div>
    <w:div w:id="989023074">
      <w:bodyDiv w:val="1"/>
      <w:marLeft w:val="0"/>
      <w:marRight w:val="0"/>
      <w:marTop w:val="0"/>
      <w:marBottom w:val="0"/>
      <w:divBdr>
        <w:top w:val="none" w:sz="0" w:space="0" w:color="auto"/>
        <w:left w:val="none" w:sz="0" w:space="0" w:color="auto"/>
        <w:bottom w:val="none" w:sz="0" w:space="0" w:color="auto"/>
        <w:right w:val="none" w:sz="0" w:space="0" w:color="auto"/>
      </w:divBdr>
    </w:div>
    <w:div w:id="1025133788">
      <w:bodyDiv w:val="1"/>
      <w:marLeft w:val="0"/>
      <w:marRight w:val="0"/>
      <w:marTop w:val="0"/>
      <w:marBottom w:val="0"/>
      <w:divBdr>
        <w:top w:val="none" w:sz="0" w:space="0" w:color="auto"/>
        <w:left w:val="none" w:sz="0" w:space="0" w:color="auto"/>
        <w:bottom w:val="none" w:sz="0" w:space="0" w:color="auto"/>
        <w:right w:val="none" w:sz="0" w:space="0" w:color="auto"/>
      </w:divBdr>
    </w:div>
    <w:div w:id="1054742722">
      <w:bodyDiv w:val="1"/>
      <w:marLeft w:val="0"/>
      <w:marRight w:val="0"/>
      <w:marTop w:val="0"/>
      <w:marBottom w:val="0"/>
      <w:divBdr>
        <w:top w:val="none" w:sz="0" w:space="0" w:color="auto"/>
        <w:left w:val="none" w:sz="0" w:space="0" w:color="auto"/>
        <w:bottom w:val="none" w:sz="0" w:space="0" w:color="auto"/>
        <w:right w:val="none" w:sz="0" w:space="0" w:color="auto"/>
      </w:divBdr>
    </w:div>
    <w:div w:id="1066345531">
      <w:bodyDiv w:val="1"/>
      <w:marLeft w:val="0"/>
      <w:marRight w:val="0"/>
      <w:marTop w:val="0"/>
      <w:marBottom w:val="0"/>
      <w:divBdr>
        <w:top w:val="none" w:sz="0" w:space="0" w:color="auto"/>
        <w:left w:val="none" w:sz="0" w:space="0" w:color="auto"/>
        <w:bottom w:val="none" w:sz="0" w:space="0" w:color="auto"/>
        <w:right w:val="none" w:sz="0" w:space="0" w:color="auto"/>
      </w:divBdr>
    </w:div>
    <w:div w:id="1082877894">
      <w:bodyDiv w:val="1"/>
      <w:marLeft w:val="0"/>
      <w:marRight w:val="0"/>
      <w:marTop w:val="0"/>
      <w:marBottom w:val="0"/>
      <w:divBdr>
        <w:top w:val="none" w:sz="0" w:space="0" w:color="auto"/>
        <w:left w:val="none" w:sz="0" w:space="0" w:color="auto"/>
        <w:bottom w:val="none" w:sz="0" w:space="0" w:color="auto"/>
        <w:right w:val="none" w:sz="0" w:space="0" w:color="auto"/>
      </w:divBdr>
    </w:div>
    <w:div w:id="1103264829">
      <w:bodyDiv w:val="1"/>
      <w:marLeft w:val="0"/>
      <w:marRight w:val="0"/>
      <w:marTop w:val="0"/>
      <w:marBottom w:val="0"/>
      <w:divBdr>
        <w:top w:val="none" w:sz="0" w:space="0" w:color="auto"/>
        <w:left w:val="none" w:sz="0" w:space="0" w:color="auto"/>
        <w:bottom w:val="none" w:sz="0" w:space="0" w:color="auto"/>
        <w:right w:val="none" w:sz="0" w:space="0" w:color="auto"/>
      </w:divBdr>
    </w:div>
    <w:div w:id="1159662064">
      <w:bodyDiv w:val="1"/>
      <w:marLeft w:val="0"/>
      <w:marRight w:val="0"/>
      <w:marTop w:val="0"/>
      <w:marBottom w:val="0"/>
      <w:divBdr>
        <w:top w:val="none" w:sz="0" w:space="0" w:color="auto"/>
        <w:left w:val="none" w:sz="0" w:space="0" w:color="auto"/>
        <w:bottom w:val="none" w:sz="0" w:space="0" w:color="auto"/>
        <w:right w:val="none" w:sz="0" w:space="0" w:color="auto"/>
      </w:divBdr>
    </w:div>
    <w:div w:id="1167137301">
      <w:bodyDiv w:val="1"/>
      <w:marLeft w:val="0"/>
      <w:marRight w:val="0"/>
      <w:marTop w:val="0"/>
      <w:marBottom w:val="0"/>
      <w:divBdr>
        <w:top w:val="none" w:sz="0" w:space="0" w:color="auto"/>
        <w:left w:val="none" w:sz="0" w:space="0" w:color="auto"/>
        <w:bottom w:val="none" w:sz="0" w:space="0" w:color="auto"/>
        <w:right w:val="none" w:sz="0" w:space="0" w:color="auto"/>
      </w:divBdr>
    </w:div>
    <w:div w:id="1181312718">
      <w:bodyDiv w:val="1"/>
      <w:marLeft w:val="0"/>
      <w:marRight w:val="0"/>
      <w:marTop w:val="0"/>
      <w:marBottom w:val="0"/>
      <w:divBdr>
        <w:top w:val="none" w:sz="0" w:space="0" w:color="auto"/>
        <w:left w:val="none" w:sz="0" w:space="0" w:color="auto"/>
        <w:bottom w:val="none" w:sz="0" w:space="0" w:color="auto"/>
        <w:right w:val="none" w:sz="0" w:space="0" w:color="auto"/>
      </w:divBdr>
    </w:div>
    <w:div w:id="1200363844">
      <w:bodyDiv w:val="1"/>
      <w:marLeft w:val="0"/>
      <w:marRight w:val="0"/>
      <w:marTop w:val="0"/>
      <w:marBottom w:val="0"/>
      <w:divBdr>
        <w:top w:val="none" w:sz="0" w:space="0" w:color="auto"/>
        <w:left w:val="none" w:sz="0" w:space="0" w:color="auto"/>
        <w:bottom w:val="none" w:sz="0" w:space="0" w:color="auto"/>
        <w:right w:val="none" w:sz="0" w:space="0" w:color="auto"/>
      </w:divBdr>
    </w:div>
    <w:div w:id="1216505516">
      <w:bodyDiv w:val="1"/>
      <w:marLeft w:val="0"/>
      <w:marRight w:val="0"/>
      <w:marTop w:val="0"/>
      <w:marBottom w:val="0"/>
      <w:divBdr>
        <w:top w:val="none" w:sz="0" w:space="0" w:color="auto"/>
        <w:left w:val="none" w:sz="0" w:space="0" w:color="auto"/>
        <w:bottom w:val="none" w:sz="0" w:space="0" w:color="auto"/>
        <w:right w:val="none" w:sz="0" w:space="0" w:color="auto"/>
      </w:divBdr>
    </w:div>
    <w:div w:id="1252617784">
      <w:bodyDiv w:val="1"/>
      <w:marLeft w:val="0"/>
      <w:marRight w:val="0"/>
      <w:marTop w:val="0"/>
      <w:marBottom w:val="0"/>
      <w:divBdr>
        <w:top w:val="none" w:sz="0" w:space="0" w:color="auto"/>
        <w:left w:val="none" w:sz="0" w:space="0" w:color="auto"/>
        <w:bottom w:val="none" w:sz="0" w:space="0" w:color="auto"/>
        <w:right w:val="none" w:sz="0" w:space="0" w:color="auto"/>
      </w:divBdr>
    </w:div>
    <w:div w:id="1446340726">
      <w:bodyDiv w:val="1"/>
      <w:marLeft w:val="0"/>
      <w:marRight w:val="0"/>
      <w:marTop w:val="0"/>
      <w:marBottom w:val="0"/>
      <w:divBdr>
        <w:top w:val="none" w:sz="0" w:space="0" w:color="auto"/>
        <w:left w:val="none" w:sz="0" w:space="0" w:color="auto"/>
        <w:bottom w:val="none" w:sz="0" w:space="0" w:color="auto"/>
        <w:right w:val="none" w:sz="0" w:space="0" w:color="auto"/>
      </w:divBdr>
    </w:div>
    <w:div w:id="1523325437">
      <w:bodyDiv w:val="1"/>
      <w:marLeft w:val="0"/>
      <w:marRight w:val="0"/>
      <w:marTop w:val="0"/>
      <w:marBottom w:val="0"/>
      <w:divBdr>
        <w:top w:val="none" w:sz="0" w:space="0" w:color="auto"/>
        <w:left w:val="none" w:sz="0" w:space="0" w:color="auto"/>
        <w:bottom w:val="none" w:sz="0" w:space="0" w:color="auto"/>
        <w:right w:val="none" w:sz="0" w:space="0" w:color="auto"/>
      </w:divBdr>
    </w:div>
    <w:div w:id="1525248066">
      <w:bodyDiv w:val="1"/>
      <w:marLeft w:val="0"/>
      <w:marRight w:val="0"/>
      <w:marTop w:val="0"/>
      <w:marBottom w:val="0"/>
      <w:divBdr>
        <w:top w:val="none" w:sz="0" w:space="0" w:color="auto"/>
        <w:left w:val="none" w:sz="0" w:space="0" w:color="auto"/>
        <w:bottom w:val="none" w:sz="0" w:space="0" w:color="auto"/>
        <w:right w:val="none" w:sz="0" w:space="0" w:color="auto"/>
      </w:divBdr>
    </w:div>
    <w:div w:id="1534078191">
      <w:bodyDiv w:val="1"/>
      <w:marLeft w:val="0"/>
      <w:marRight w:val="0"/>
      <w:marTop w:val="0"/>
      <w:marBottom w:val="0"/>
      <w:divBdr>
        <w:top w:val="none" w:sz="0" w:space="0" w:color="auto"/>
        <w:left w:val="none" w:sz="0" w:space="0" w:color="auto"/>
        <w:bottom w:val="none" w:sz="0" w:space="0" w:color="auto"/>
        <w:right w:val="none" w:sz="0" w:space="0" w:color="auto"/>
      </w:divBdr>
    </w:div>
    <w:div w:id="1586456488">
      <w:bodyDiv w:val="1"/>
      <w:marLeft w:val="0"/>
      <w:marRight w:val="0"/>
      <w:marTop w:val="0"/>
      <w:marBottom w:val="0"/>
      <w:divBdr>
        <w:top w:val="none" w:sz="0" w:space="0" w:color="auto"/>
        <w:left w:val="none" w:sz="0" w:space="0" w:color="auto"/>
        <w:bottom w:val="none" w:sz="0" w:space="0" w:color="auto"/>
        <w:right w:val="none" w:sz="0" w:space="0" w:color="auto"/>
      </w:divBdr>
    </w:div>
    <w:div w:id="1592278722">
      <w:bodyDiv w:val="1"/>
      <w:marLeft w:val="0"/>
      <w:marRight w:val="0"/>
      <w:marTop w:val="0"/>
      <w:marBottom w:val="0"/>
      <w:divBdr>
        <w:top w:val="none" w:sz="0" w:space="0" w:color="auto"/>
        <w:left w:val="none" w:sz="0" w:space="0" w:color="auto"/>
        <w:bottom w:val="none" w:sz="0" w:space="0" w:color="auto"/>
        <w:right w:val="none" w:sz="0" w:space="0" w:color="auto"/>
      </w:divBdr>
    </w:div>
    <w:div w:id="1613437841">
      <w:bodyDiv w:val="1"/>
      <w:marLeft w:val="0"/>
      <w:marRight w:val="0"/>
      <w:marTop w:val="0"/>
      <w:marBottom w:val="0"/>
      <w:divBdr>
        <w:top w:val="none" w:sz="0" w:space="0" w:color="auto"/>
        <w:left w:val="none" w:sz="0" w:space="0" w:color="auto"/>
        <w:bottom w:val="none" w:sz="0" w:space="0" w:color="auto"/>
        <w:right w:val="none" w:sz="0" w:space="0" w:color="auto"/>
      </w:divBdr>
    </w:div>
    <w:div w:id="1731033952">
      <w:bodyDiv w:val="1"/>
      <w:marLeft w:val="0"/>
      <w:marRight w:val="0"/>
      <w:marTop w:val="0"/>
      <w:marBottom w:val="0"/>
      <w:divBdr>
        <w:top w:val="none" w:sz="0" w:space="0" w:color="auto"/>
        <w:left w:val="none" w:sz="0" w:space="0" w:color="auto"/>
        <w:bottom w:val="none" w:sz="0" w:space="0" w:color="auto"/>
        <w:right w:val="none" w:sz="0" w:space="0" w:color="auto"/>
      </w:divBdr>
    </w:div>
    <w:div w:id="1804887263">
      <w:bodyDiv w:val="1"/>
      <w:marLeft w:val="0"/>
      <w:marRight w:val="0"/>
      <w:marTop w:val="0"/>
      <w:marBottom w:val="0"/>
      <w:divBdr>
        <w:top w:val="none" w:sz="0" w:space="0" w:color="auto"/>
        <w:left w:val="none" w:sz="0" w:space="0" w:color="auto"/>
        <w:bottom w:val="none" w:sz="0" w:space="0" w:color="auto"/>
        <w:right w:val="none" w:sz="0" w:space="0" w:color="auto"/>
      </w:divBdr>
    </w:div>
    <w:div w:id="1814905060">
      <w:bodyDiv w:val="1"/>
      <w:marLeft w:val="0"/>
      <w:marRight w:val="0"/>
      <w:marTop w:val="0"/>
      <w:marBottom w:val="0"/>
      <w:divBdr>
        <w:top w:val="none" w:sz="0" w:space="0" w:color="auto"/>
        <w:left w:val="none" w:sz="0" w:space="0" w:color="auto"/>
        <w:bottom w:val="none" w:sz="0" w:space="0" w:color="auto"/>
        <w:right w:val="none" w:sz="0" w:space="0" w:color="auto"/>
      </w:divBdr>
    </w:div>
    <w:div w:id="1897543627">
      <w:bodyDiv w:val="1"/>
      <w:marLeft w:val="0"/>
      <w:marRight w:val="0"/>
      <w:marTop w:val="0"/>
      <w:marBottom w:val="0"/>
      <w:divBdr>
        <w:top w:val="none" w:sz="0" w:space="0" w:color="auto"/>
        <w:left w:val="none" w:sz="0" w:space="0" w:color="auto"/>
        <w:bottom w:val="none" w:sz="0" w:space="0" w:color="auto"/>
        <w:right w:val="none" w:sz="0" w:space="0" w:color="auto"/>
      </w:divBdr>
    </w:div>
    <w:div w:id="1907110444">
      <w:bodyDiv w:val="1"/>
      <w:marLeft w:val="0"/>
      <w:marRight w:val="0"/>
      <w:marTop w:val="0"/>
      <w:marBottom w:val="0"/>
      <w:divBdr>
        <w:top w:val="none" w:sz="0" w:space="0" w:color="auto"/>
        <w:left w:val="none" w:sz="0" w:space="0" w:color="auto"/>
        <w:bottom w:val="none" w:sz="0" w:space="0" w:color="auto"/>
        <w:right w:val="none" w:sz="0" w:space="0" w:color="auto"/>
      </w:divBdr>
    </w:div>
    <w:div w:id="1932814049">
      <w:bodyDiv w:val="1"/>
      <w:marLeft w:val="0"/>
      <w:marRight w:val="0"/>
      <w:marTop w:val="0"/>
      <w:marBottom w:val="0"/>
      <w:divBdr>
        <w:top w:val="none" w:sz="0" w:space="0" w:color="auto"/>
        <w:left w:val="none" w:sz="0" w:space="0" w:color="auto"/>
        <w:bottom w:val="none" w:sz="0" w:space="0" w:color="auto"/>
        <w:right w:val="none" w:sz="0" w:space="0" w:color="auto"/>
      </w:divBdr>
    </w:div>
    <w:div w:id="1939018427">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 w:id="1974869169">
      <w:bodyDiv w:val="1"/>
      <w:marLeft w:val="0"/>
      <w:marRight w:val="0"/>
      <w:marTop w:val="0"/>
      <w:marBottom w:val="0"/>
      <w:divBdr>
        <w:top w:val="none" w:sz="0" w:space="0" w:color="auto"/>
        <w:left w:val="none" w:sz="0" w:space="0" w:color="auto"/>
        <w:bottom w:val="none" w:sz="0" w:space="0" w:color="auto"/>
        <w:right w:val="none" w:sz="0" w:space="0" w:color="auto"/>
      </w:divBdr>
    </w:div>
    <w:div w:id="1988581845">
      <w:bodyDiv w:val="1"/>
      <w:marLeft w:val="0"/>
      <w:marRight w:val="0"/>
      <w:marTop w:val="0"/>
      <w:marBottom w:val="0"/>
      <w:divBdr>
        <w:top w:val="none" w:sz="0" w:space="0" w:color="auto"/>
        <w:left w:val="none" w:sz="0" w:space="0" w:color="auto"/>
        <w:bottom w:val="none" w:sz="0" w:space="0" w:color="auto"/>
        <w:right w:val="none" w:sz="0" w:space="0" w:color="auto"/>
      </w:divBdr>
    </w:div>
    <w:div w:id="2054428809">
      <w:bodyDiv w:val="1"/>
      <w:marLeft w:val="0"/>
      <w:marRight w:val="0"/>
      <w:marTop w:val="0"/>
      <w:marBottom w:val="0"/>
      <w:divBdr>
        <w:top w:val="none" w:sz="0" w:space="0" w:color="auto"/>
        <w:left w:val="none" w:sz="0" w:space="0" w:color="auto"/>
        <w:bottom w:val="none" w:sz="0" w:space="0" w:color="auto"/>
        <w:right w:val="none" w:sz="0" w:space="0" w:color="auto"/>
      </w:divBdr>
    </w:div>
    <w:div w:id="2077317436">
      <w:bodyDiv w:val="1"/>
      <w:marLeft w:val="0"/>
      <w:marRight w:val="0"/>
      <w:marTop w:val="0"/>
      <w:marBottom w:val="0"/>
      <w:divBdr>
        <w:top w:val="none" w:sz="0" w:space="0" w:color="auto"/>
        <w:left w:val="none" w:sz="0" w:space="0" w:color="auto"/>
        <w:bottom w:val="none" w:sz="0" w:space="0" w:color="auto"/>
        <w:right w:val="none" w:sz="0" w:space="0" w:color="auto"/>
      </w:divBdr>
    </w:div>
    <w:div w:id="2078355012">
      <w:bodyDiv w:val="1"/>
      <w:marLeft w:val="0"/>
      <w:marRight w:val="0"/>
      <w:marTop w:val="0"/>
      <w:marBottom w:val="0"/>
      <w:divBdr>
        <w:top w:val="none" w:sz="0" w:space="0" w:color="auto"/>
        <w:left w:val="none" w:sz="0" w:space="0" w:color="auto"/>
        <w:bottom w:val="none" w:sz="0" w:space="0" w:color="auto"/>
        <w:right w:val="none" w:sz="0" w:space="0" w:color="auto"/>
      </w:divBdr>
    </w:div>
    <w:div w:id="2145076118">
      <w:bodyDiv w:val="1"/>
      <w:marLeft w:val="0"/>
      <w:marRight w:val="0"/>
      <w:marTop w:val="0"/>
      <w:marBottom w:val="0"/>
      <w:divBdr>
        <w:top w:val="none" w:sz="0" w:space="0" w:color="auto"/>
        <w:left w:val="none" w:sz="0" w:space="0" w:color="auto"/>
        <w:bottom w:val="none" w:sz="0" w:space="0" w:color="auto"/>
        <w:right w:val="none" w:sz="0" w:space="0" w:color="auto"/>
      </w:divBdr>
      <w:divsChild>
        <w:div w:id="267002972">
          <w:marLeft w:val="0"/>
          <w:marRight w:val="0"/>
          <w:marTop w:val="0"/>
          <w:marBottom w:val="0"/>
          <w:divBdr>
            <w:top w:val="none" w:sz="0" w:space="0" w:color="auto"/>
            <w:left w:val="none" w:sz="0" w:space="0" w:color="auto"/>
            <w:bottom w:val="none" w:sz="0" w:space="0" w:color="auto"/>
            <w:right w:val="none" w:sz="0" w:space="0" w:color="auto"/>
          </w:divBdr>
          <w:divsChild>
            <w:div w:id="93744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fedb0f8-cf0f-473b-9526-760672cc8f4c" xsi:nil="true"/>
    <lcf76f155ced4ddcb4097134ff3c332f xmlns="75ed78fb-96d8-4b1d-99fa-e8452fbf650f">
      <Terms xmlns="http://schemas.microsoft.com/office/infopath/2007/PartnerControls"/>
    </lcf76f155ced4ddcb4097134ff3c332f>
    <Stage xmlns="75ed78fb-96d8-4b1d-99fa-e8452fbf650f" xsi:nil="true"/>
    <EC_ARES_DATE_TRANSFERRED xmlns="efedb0f8-cf0f-473b-9526-760672cc8f4c" xsi:nil="true"/>
    <EC_ARES_NUMBER xmlns="efedb0f8-cf0f-473b-9526-760672cc8f4c">
      <Url xsi:nil="true"/>
      <Description xsi:nil="true"/>
    </EC_ARES_NUMBER>
    <Notes xmlns="75ed78fb-96d8-4b1d-99fa-e8452fbf650f" xsi:nil="true"/>
    <EC_ARES_TRANSFERRED_BY xmlns="efedb0f8-cf0f-473b-9526-760672cc8f4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a2a651fd70a3ecb967a92775dab68d6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3fcbe3a712aa06b7b9212428eff4d5f9"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08900FD-6070-4A4D-B3C9-4942696DEE82}">
  <ds:schemaRefs>
    <ds:schemaRef ds:uri="http://schemas.microsoft.com/sharepoint/v3/contenttype/forms"/>
  </ds:schemaRefs>
</ds:datastoreItem>
</file>

<file path=customXml/itemProps2.xml><?xml version="1.0" encoding="utf-8"?>
<ds:datastoreItem xmlns:ds="http://schemas.openxmlformats.org/officeDocument/2006/customXml" ds:itemID="{8E80A53A-6509-4D1D-B594-53F81497D210}">
  <ds:schemaRefs>
    <ds:schemaRef ds:uri="http://schemas.microsoft.com/sharepoint/v3"/>
    <ds:schemaRef ds:uri="http://schemas.microsoft.com/office/infopath/2007/PartnerControls"/>
    <ds:schemaRef ds:uri="http://schemas.openxmlformats.org/package/2006/metadata/core-properties"/>
    <ds:schemaRef ds:uri="http://schemas.microsoft.com/office/2006/documentManagement/types"/>
    <ds:schemaRef ds:uri="efedb0f8-cf0f-473b-9526-760672cc8f4c"/>
    <ds:schemaRef ds:uri="http://www.w3.org/XML/1998/namespace"/>
    <ds:schemaRef ds:uri="http://purl.org/dc/elements/1.1/"/>
    <ds:schemaRef ds:uri="75ed78fb-96d8-4b1d-99fa-e8452fbf650f"/>
    <ds:schemaRef ds:uri="http://schemas.microsoft.com/office/2006/metadata/properties"/>
    <ds:schemaRef ds:uri="http://purl.org/dc/dcmitype/"/>
    <ds:schemaRef ds:uri="http://purl.org/dc/terms/"/>
  </ds:schemaRefs>
</ds:datastoreItem>
</file>

<file path=customXml/itemProps3.xml><?xml version="1.0" encoding="utf-8"?>
<ds:datastoreItem xmlns:ds="http://schemas.openxmlformats.org/officeDocument/2006/customXml" ds:itemID="{3F4DBBCC-D761-4D72-A691-27FA9592C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7F67C0-C648-417D-9A96-DB0E8EF47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7</TotalTime>
  <Pages>4</Pages>
  <Words>864</Words>
  <Characters>4926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17</cp:revision>
  <cp:lastPrinted>2021-06-25T02:49:00Z</cp:lastPrinted>
  <dcterms:created xsi:type="dcterms:W3CDTF">2026-07-16T08:53:00Z</dcterms:created>
  <dcterms:modified xsi:type="dcterms:W3CDTF">2026-07-22T15:08:00Z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2023-06-12T15:01:21Z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6e12e89b-63ce-4d29-9567-23f5bab707d3</vt:lpwstr>
  </property>
  <property fmtid="{D5CDD505-2E9C-101B-9397-08002B2CF9AE}" pid="16" name="MSIP_Label_6bd9ddd1-4d20-43f6-abfa-fc3c07406f94_ContentBits">
    <vt:lpwstr>0</vt:lpwstr>
  </property>
  <property fmtid="{D5CDD505-2E9C-101B-9397-08002B2CF9AE}" pid="17" name="ContentTypeId">
    <vt:lpwstr>0x01010047F51C1398A13249994E693AC7B8C9E4</vt:lpwstr>
  </property>
  <property fmtid="{D5CDD505-2E9C-101B-9397-08002B2CF9AE}" pid="18" name="MediaServiceImageTags">
    <vt:lpwstr/>
  </property>
  <property fmtid="{D5CDD505-2E9C-101B-9397-08002B2CF9AE}" pid="19" name="DQCStatus">
    <vt:lpwstr>Green (DQC version 03)</vt:lpwstr>
  </property>
</Properties>
</file>