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5359F" w14:textId="1E60B549" w:rsidR="00DD744C" w:rsidRPr="003805E3" w:rsidRDefault="00BC4221" w:rsidP="00BC4221">
      <w:pPr>
        <w:pStyle w:val="Pagedecouverture"/>
        <w:rPr>
          <w:noProof/>
        </w:rPr>
      </w:pPr>
      <w:bookmarkStart w:id="0" w:name="LW_BM_COVERPAGE"/>
      <w:r>
        <w:rPr>
          <w:noProof/>
        </w:rPr>
        <w:pict w14:anchorId="729CC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FB658FB-FDDC-4014-8BD7-6B6E4127C9B0" style="width:455.25pt;height:286.5pt">
            <v:imagedata r:id="rId15" o:title=""/>
          </v:shape>
        </w:pict>
      </w:r>
    </w:p>
    <w:bookmarkEnd w:id="0"/>
    <w:p w14:paraId="119C0396" w14:textId="77777777" w:rsidR="00DD744C" w:rsidRPr="003805E3" w:rsidRDefault="00DD744C" w:rsidP="00DD744C">
      <w:pPr>
        <w:rPr>
          <w:noProof/>
        </w:rPr>
        <w:sectPr w:rsidR="00DD744C" w:rsidRPr="003805E3" w:rsidSect="00BC4221">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22275B14" w14:textId="194F59B4" w:rsidR="00667664" w:rsidRPr="003805E3" w:rsidRDefault="007845CC" w:rsidP="00D5438F">
      <w:pPr>
        <w:pStyle w:val="Heading1"/>
        <w:rPr>
          <w:noProof/>
        </w:rPr>
      </w:pPr>
      <w:bookmarkStart w:id="1" w:name="_GoBack"/>
      <w:bookmarkEnd w:id="1"/>
      <w:r>
        <w:rPr>
          <w:noProof/>
        </w:rPr>
        <w:lastRenderedPageBreak/>
        <w:t>Introduction</w:t>
      </w:r>
    </w:p>
    <w:p w14:paraId="52149BE0" w14:textId="46C95AAB" w:rsidR="0003277A" w:rsidRPr="003805E3" w:rsidRDefault="0003277A" w:rsidP="00757858">
      <w:pPr>
        <w:pStyle w:val="LegalNumPar"/>
        <w:numPr>
          <w:ilvl w:val="0"/>
          <w:numId w:val="0"/>
        </w:numPr>
        <w:ind w:left="476"/>
        <w:rPr>
          <w:noProof/>
        </w:rPr>
      </w:pPr>
      <w:r>
        <w:rPr>
          <w:noProof/>
        </w:rPr>
        <w:t>La communication conjointe sur l’approche stratégique de l’Union européenne à l’égard de la région de la mer Noire</w:t>
      </w:r>
      <w:r>
        <w:rPr>
          <w:rStyle w:val="FootnoteReference"/>
          <w:noProof/>
        </w:rPr>
        <w:footnoteReference w:id="1"/>
      </w:r>
      <w:r>
        <w:rPr>
          <w:noProof/>
        </w:rPr>
        <w:t xml:space="preserve"> (ci-après la «stratégie de la mer Noire» ou la «stratégie») invite la Commission européenne et la haute représentante/vice-présidente (HR/VP) à présenter un rapport d’avancement un an après la mise en</w:t>
      </w:r>
      <w:r>
        <w:rPr>
          <w:i/>
          <w:noProof/>
        </w:rPr>
        <w:t xml:space="preserve"> </w:t>
      </w:r>
      <w:r>
        <w:rPr>
          <w:noProof/>
        </w:rPr>
        <w:t>œuvre de ladite stratégie.</w:t>
      </w:r>
      <w:r>
        <w:rPr>
          <w:i/>
          <w:noProof/>
        </w:rPr>
        <w:t xml:space="preserve"> </w:t>
      </w:r>
      <w:r>
        <w:rPr>
          <w:noProof/>
        </w:rPr>
        <w:t xml:space="preserve">En conséquence, le présent rapport conjoint décrit les progrès accomplis depuis l’adoption de la stratégie en mai 2025. </w:t>
      </w:r>
    </w:p>
    <w:p w14:paraId="2CACFEF0" w14:textId="7AD02A95" w:rsidR="0003277A" w:rsidRPr="003805E3" w:rsidRDefault="0093126B" w:rsidP="00757858">
      <w:pPr>
        <w:pStyle w:val="LegalNumPar"/>
        <w:numPr>
          <w:ilvl w:val="0"/>
          <w:numId w:val="0"/>
        </w:numPr>
        <w:ind w:left="476"/>
        <w:rPr>
          <w:noProof/>
        </w:rPr>
      </w:pPr>
      <w:r>
        <w:rPr>
          <w:noProof/>
        </w:rPr>
        <w:t>En juin 2025, le Conseil européen s’est félicité de la communication conjointe</w:t>
      </w:r>
      <w:r>
        <w:rPr>
          <w:rStyle w:val="FootnoteReference"/>
          <w:noProof/>
        </w:rPr>
        <w:footnoteReference w:id="2"/>
      </w:r>
      <w:r>
        <w:rPr>
          <w:noProof/>
        </w:rPr>
        <w:t xml:space="preserve">, qui réaffirme le rôle géostratégique de la mer Noire et expose une vision pour une région plus sûre, interconnectée, prospère et résiliente, ancrée dans des valeurs communes, l’état de droit, la durabilité et une coopération efficace. L’UE est déterminée à faire progresser cette ambition conjointement avec l’Arménie, l’Azerbaïdjan, la Géorgie, la République de Moldavie (ci-après la «Moldavie»), la Turquie et l’Ukraine, au moyen d’une coopération fondée sur le renforcement mutuel. </w:t>
      </w:r>
    </w:p>
    <w:p w14:paraId="03BD0CD7" w14:textId="391CA6B6" w:rsidR="0003277A" w:rsidRPr="003805E3" w:rsidRDefault="0003277A" w:rsidP="00757858">
      <w:pPr>
        <w:pStyle w:val="LegalNumPar"/>
        <w:numPr>
          <w:ilvl w:val="0"/>
          <w:numId w:val="0"/>
        </w:numPr>
        <w:ind w:left="476"/>
        <w:rPr>
          <w:noProof/>
        </w:rPr>
      </w:pPr>
      <w:r>
        <w:rPr>
          <w:noProof/>
        </w:rPr>
        <w:t>La première année de mise en œuvre de la stratégie a été marquée par une intensification des attaques hybrides et de la guerre des drones et des missiles russes contre les infrastructures militaires, civiles et critiques, y compris les ports, en particulier dans la région d’Odessa. La guerre d’agression menée par la Russie contre l’Ukraine, qui dure depuis 2022, continue de porter gravement atteinte à la sécurité et à la stabilité dans la région de la mer Noire, avec des conséquences négatives qui s’amplifient considérablement pour la région et au-delà.</w:t>
      </w:r>
    </w:p>
    <w:p w14:paraId="06A24ACF" w14:textId="4563D213" w:rsidR="0003277A" w:rsidRPr="003805E3" w:rsidRDefault="0003277A" w:rsidP="00757858">
      <w:pPr>
        <w:pStyle w:val="LegalNumPar"/>
        <w:numPr>
          <w:ilvl w:val="0"/>
          <w:numId w:val="0"/>
        </w:numPr>
        <w:ind w:left="476"/>
        <w:rPr>
          <w:noProof/>
        </w:rPr>
      </w:pPr>
      <w:r>
        <w:rPr>
          <w:noProof/>
        </w:rPr>
        <w:t>Malgré les répercussions de la guerre, la plupart des pays de la région maintiennent une stabilité macroéconomique et mettent des réformes structurelles en application</w:t>
      </w:r>
      <w:r>
        <w:rPr>
          <w:rStyle w:val="FootnoteReference"/>
          <w:noProof/>
        </w:rPr>
        <w:footnoteReference w:id="3"/>
      </w:r>
      <w:r>
        <w:rPr>
          <w:noProof/>
        </w:rPr>
        <w:t xml:space="preserve">. Certains d’entre eux sont engagés sur la voie de l’adhésion à l’UE et leur intégration progressive dans les initiatives de l’UE a renforcé la coopération, la cohésion et l’action coordonnée avec cette dernière. Le processus de paix en cours entre l’Arménie et l’Azerbaïdjan offre une occasion historique de consolider la coopération et la connectivité transfrontières dans le Caucase du Sud et de faciliter les liens avec l’Asie centrale. Les complémentarités avec la stratégie de l’UE pour l’Asie centrale, en particulier en ce qui concerne les efforts de connectivité transrégionale, se sont poursuivies. </w:t>
      </w:r>
    </w:p>
    <w:p w14:paraId="1B1C8B3E" w14:textId="73CCAF1D" w:rsidR="0003277A" w:rsidRPr="003805E3" w:rsidRDefault="0003277A" w:rsidP="00757858">
      <w:pPr>
        <w:pStyle w:val="LegalNumPar"/>
        <w:numPr>
          <w:ilvl w:val="0"/>
          <w:numId w:val="0"/>
        </w:numPr>
        <w:ind w:left="476"/>
        <w:rPr>
          <w:rFonts w:eastAsia="Aptos"/>
          <w:noProof/>
        </w:rPr>
      </w:pPr>
      <w:r>
        <w:rPr>
          <w:noProof/>
        </w:rPr>
        <w:t xml:space="preserve">Conformément aux objectifs de la stratégie de la mer Noire, le présent rapport met en évidence l’engagement stratégique accru de l’UE et les actions coordonnées visant à: i) renforcer la sécurité, la stabilité et la résilience dans l’ensemble de la région de la mer Noire (pilier 1); ii) favoriser la croissance économique et renforcer les transports, l’énergie et la connectivité numérique (pilier 2); et iii) garantir la résilience environnementale et climatique et la préparation face au changement climatique, ainsi que la protection civile (pilier 3). Le soutien apporté par l’UE à l’Ukraine a été au cœur de ces efforts. </w:t>
      </w:r>
    </w:p>
    <w:p w14:paraId="4167F543" w14:textId="1D2A73AE" w:rsidR="00F52C4A" w:rsidRPr="003805E3" w:rsidRDefault="00182936" w:rsidP="00F52C4A">
      <w:pPr>
        <w:pStyle w:val="Heading1"/>
        <w:rPr>
          <w:noProof/>
        </w:rPr>
      </w:pPr>
      <w:r>
        <w:rPr>
          <w:noProof/>
        </w:rPr>
        <w:t xml:space="preserve">Faire progresser l’engagement et la coopération de l’UE dans la région de la mer Noire </w:t>
      </w:r>
    </w:p>
    <w:p w14:paraId="2ADA73B2" w14:textId="51E6D233" w:rsidR="0006135B" w:rsidRPr="00F535BC" w:rsidRDefault="00AD6B62" w:rsidP="00F535BC">
      <w:pPr>
        <w:pStyle w:val="LegalNumPar"/>
        <w:numPr>
          <w:ilvl w:val="0"/>
          <w:numId w:val="0"/>
        </w:numPr>
        <w:ind w:left="482"/>
        <w:rPr>
          <w:noProof/>
        </w:rPr>
      </w:pPr>
      <w:r>
        <w:rPr>
          <w:noProof/>
        </w:rPr>
        <w:t>L’engagement de l’UE dans la région de la mer Noire et avec ses pays partenaires témoigne du nouveau niveau d’ambition et des mesures importantes prises pour approfondir la coopération politique, économique et sectorielle avec les pays partenaires. La réunion ministérielle sur la sécurité et la connectivité transrégionales qui s’est tenue à Luxembourg le 20 octobre 2025 a marqué une étape majeure dans la promotion de partenariats plus étroits et mutuellement bénéfiques et dans l’approfondissement de la coopération transrégionale en matière de sécurité et de connectivité. Cette réunion a rassemblé des États membres de l’UE et des pays partenaires de la région de la mer Noire, du Caucase du Sud et d’Asie centrale</w:t>
      </w:r>
      <w:r>
        <w:rPr>
          <w:rStyle w:val="FootnoteReference"/>
          <w:noProof/>
        </w:rPr>
        <w:footnoteReference w:id="4"/>
      </w:r>
      <w:r>
        <w:rPr>
          <w:noProof/>
        </w:rPr>
        <w:t xml:space="preserve">. Les discussions ont permis d’approfondir le dialogue politique sur la sécurité, la stabilité et la résilience dans la région. La réunion a également fait progresser le programme de connectivité transrégional, qui vise à renforcer le commerce et la croissance économique en reliant mieux l’UE, l’Ukraine et la Moldavie au Caucase du Sud et à l’Asie centrale via la mer Noire et la Turquie. Les participants ont réaffirmé leur détermination à intensifier la coopération dans des domaines d’intérêt commun, à renforcer la résilience et à promouvoir des régions plus connectées, plus sûres et plus prospères. </w:t>
      </w:r>
    </w:p>
    <w:p w14:paraId="31E561D1" w14:textId="29B0A90F" w:rsidR="00CF7380" w:rsidRPr="003805E3" w:rsidRDefault="4A804FE5" w:rsidP="00757858">
      <w:pPr>
        <w:pStyle w:val="LegalNumPar"/>
        <w:numPr>
          <w:ilvl w:val="0"/>
          <w:numId w:val="0"/>
        </w:numPr>
        <w:ind w:left="476"/>
        <w:rPr>
          <w:rFonts w:cs="Arial"/>
          <w:noProof/>
        </w:rPr>
      </w:pPr>
      <w:r>
        <w:rPr>
          <w:noProof/>
        </w:rPr>
        <w:t>L’Ukraine a fait preuve d’une ferme volonté de réforme afin de satisfaire aux exigences de l’adhésion à l’UE</w:t>
      </w:r>
      <w:r>
        <w:rPr>
          <w:rStyle w:val="FootnoteReference"/>
          <w:noProof/>
        </w:rPr>
        <w:footnoteReference w:id="5"/>
      </w:r>
      <w:r>
        <w:rPr>
          <w:noProof/>
        </w:rPr>
        <w:t xml:space="preserve"> et de se préparer à la reconstruction future, malgré l’escalade continue des attaques russes contre les villes et les infrastructures civiles et énergétiques. La mise en œuvre des réformes convenues dans le plan pour l’Ukraine a été vigoureuse, 77 étapes de réforme et d’investissement ayant été achevées jusqu’à présent dans des secteurs clés, tels que l’état de droit, la lutte contre la corruption, les marchés de l’énergie, l’administration publique et la gouvernance des entreprises publiques. L’Ukraine a également saisi les occasions d’intégration précoce dans le marché de l’UE offertes par la zone de libre-échange approfondi et complet (ALEAC) et d’autres accords avec l’UE: l’Ukraine a rejoint la zone d’itinérance aux tarifs nationaux de l’UE, a adopté la législation visant à entamer le couplage des marchés de l’électricité et a mis à jour son partenariat avec l’UE sur les matières premières critiques.</w:t>
      </w:r>
    </w:p>
    <w:p w14:paraId="0E8025BD" w14:textId="44339A85" w:rsidR="00E62214" w:rsidRPr="003805E3" w:rsidRDefault="6F963481" w:rsidP="00757858">
      <w:pPr>
        <w:pStyle w:val="LegalNumPar"/>
        <w:numPr>
          <w:ilvl w:val="0"/>
          <w:numId w:val="0"/>
        </w:numPr>
        <w:ind w:left="476"/>
        <w:rPr>
          <w:noProof/>
        </w:rPr>
      </w:pPr>
      <w:r>
        <w:rPr>
          <w:noProof/>
        </w:rPr>
        <w:t>La Moldavie a accompli des progrès notables dans la mise en œuvre de son ambitieux programme de réformes</w:t>
      </w:r>
      <w:r>
        <w:rPr>
          <w:rStyle w:val="FootnoteReference"/>
          <w:noProof/>
        </w:rPr>
        <w:footnoteReference w:id="6"/>
      </w:r>
      <w:r>
        <w:rPr>
          <w:noProof/>
        </w:rPr>
        <w:t xml:space="preserve"> et sur la voie de son adhésion à l’UE. Malgré l’ingérence massive de la Russie, les élections législatives de septembre 2025 ont réaffirmé le parcours d’adhésion du pays. En plus de faciliter une intégration plus poussée dans l’UE, la coopération de l’UE avec la Moldavie s’est traduite notamment par un soutien dans le domaine de l’énergie, visant en particulier à réduire la dépendance du pays à l’égard des approvisionnements russes et à poursuivre son intégration aux systèmes énergétiques de l’UE, ainsi que dans le domaine de la cybersécurité et du renforcement de la résilience face aux ingérences électorales.</w:t>
      </w:r>
    </w:p>
    <w:p w14:paraId="1995415E" w14:textId="07E1AD24" w:rsidR="0006135B" w:rsidRPr="003805E3" w:rsidRDefault="3E81BBAD" w:rsidP="00757858">
      <w:pPr>
        <w:pStyle w:val="LegalNumPar"/>
        <w:numPr>
          <w:ilvl w:val="0"/>
          <w:numId w:val="0"/>
        </w:numPr>
        <w:ind w:left="476"/>
        <w:rPr>
          <w:noProof/>
        </w:rPr>
      </w:pPr>
      <w:r>
        <w:rPr>
          <w:noProof/>
        </w:rPr>
        <w:t xml:space="preserve">Le 15 juin 2026, les négociations sur le groupe de chapitres 1 relatif aux fondamentaux ont été officiellement ouvertes à l’Ukraine et à la Moldavie, ce qui constitue une avancée importante sur la voie de l’adhésion de ces pays à l’UE. </w:t>
      </w:r>
    </w:p>
    <w:p w14:paraId="779FBB68" w14:textId="0134A252" w:rsidR="00F54F56" w:rsidRPr="003805E3" w:rsidRDefault="00CC18BA" w:rsidP="00E9690E">
      <w:pPr>
        <w:pStyle w:val="LegalNumPar"/>
        <w:numPr>
          <w:ilvl w:val="0"/>
          <w:numId w:val="0"/>
        </w:numPr>
        <w:ind w:left="476"/>
        <w:rPr>
          <w:noProof/>
        </w:rPr>
      </w:pPr>
      <w:r>
        <w:rPr>
          <w:noProof/>
        </w:rPr>
        <w:t>Les récentes évolutions régionales positives, notamment l’élan historique en faveur du processus de paix entre l’Arménie et l’Azerbaïdjan, ouvrent des possibilités pour la nouvelle voie de transformation de la région. Les connexions entre les industries stratégiques, les marchés, les corridors de transport, les réseaux numériques et les interconnexions énergétiques contribuent à instaurer la confiance et à resserrer les liens entre les pays voisins. Les progrès accomplis dans la normalisation des relations entre l’Arménie et l’Azerbaïdjan, notamment par le paraphe d’un traité de paix bilatéral, la déclaration politique de Washington de 2025 et le projet de connectivité TRIPP</w:t>
      </w:r>
      <w:r>
        <w:rPr>
          <w:rStyle w:val="FootnoteReference"/>
          <w:noProof/>
        </w:rPr>
        <w:footnoteReference w:id="7"/>
      </w:r>
      <w:r>
        <w:rPr>
          <w:noProof/>
        </w:rPr>
        <w:t>, l’illustrent. De même, l’Arménie et la Turquie ont accompli des progrès dans la normalisation de leurs relations, notamment grâce aux efforts déployés pour faciliter les échanges bilatéraux et aux discussions visant à rétablir les liaisons ferroviaires.</w:t>
      </w:r>
    </w:p>
    <w:p w14:paraId="1322E1A1" w14:textId="60B02D61" w:rsidR="00012503" w:rsidRPr="003805E3" w:rsidRDefault="00012503" w:rsidP="00757858">
      <w:pPr>
        <w:pStyle w:val="LegalNumPar"/>
        <w:numPr>
          <w:ilvl w:val="0"/>
          <w:numId w:val="0"/>
        </w:numPr>
        <w:ind w:left="476"/>
        <w:rPr>
          <w:noProof/>
        </w:rPr>
      </w:pPr>
      <w:r>
        <w:rPr>
          <w:noProof/>
        </w:rPr>
        <w:t>Les relations de l’UE avec l’Arménie ont de nouveau confirmé une forte dynamique positive, se traduisant par le programme stratégique adopté en décembre 2025</w:t>
      </w:r>
      <w:r>
        <w:rPr>
          <w:rStyle w:val="FootnoteReference"/>
          <w:noProof/>
        </w:rPr>
        <w:footnoteReference w:id="8"/>
      </w:r>
      <w:r>
        <w:rPr>
          <w:noProof/>
        </w:rPr>
        <w:t>, qui a relevé le niveau d’ambition avec des priorités à court et moyen terme dans tous les secteurs de coopération. Le premier sommet UE-Arménie</w:t>
      </w:r>
      <w:r>
        <w:rPr>
          <w:rStyle w:val="FootnoteReference"/>
          <w:noProof/>
        </w:rPr>
        <w:footnoteReference w:id="9"/>
      </w:r>
      <w:r>
        <w:rPr>
          <w:noProof/>
        </w:rPr>
        <w:t>, qui s’est tenu à Erevan les 4 et 5 mai 2026, a constitué une étape importante dans les relations entre les deux parties. Avec l’annonce du partenariat UE-Arménie en matière de connectivité</w:t>
      </w:r>
      <w:r>
        <w:rPr>
          <w:rStyle w:val="FootnoteReference"/>
          <w:noProof/>
        </w:rPr>
        <w:footnoteReference w:id="10"/>
      </w:r>
      <w:r>
        <w:rPr>
          <w:noProof/>
        </w:rPr>
        <w:t xml:space="preserve">, leur engagement bilatéral a été renforcé dans l’énergie, les transports et le numérique, domaines qui seront au cœur de leur coopération future. Le </w:t>
      </w:r>
      <w:r>
        <w:rPr>
          <w:noProof/>
        </w:rPr>
        <w:br/>
        <w:t>dialogue sur la libéralisation du régime des visas entre l’Union européenne et l’Arménie progresse de manière satisfaisante, l’Arménie ayant engagé les réformes nécessaires pour évoluer vers un régime d’exemption de visa avec l’UE. Les récentes élections ont réaffirmé l’engagement du pays sur la voie de la paix, de la gouvernance démocratique et de la normalisation régionale. Parallèlement, face aux mesures économiques coercitives prises par la Russie, l’UE a mobilisé un ensemble complet de mesures de soutien visant à renforcer la résilience de l’Arménie et à atténuer les conséquences économiques des pressions extérieures.</w:t>
      </w:r>
    </w:p>
    <w:p w14:paraId="44B065F6" w14:textId="61C9D6AD" w:rsidR="00012503" w:rsidRPr="003805E3" w:rsidRDefault="174AA6B7" w:rsidP="00757858">
      <w:pPr>
        <w:pStyle w:val="LegalNumPar"/>
        <w:numPr>
          <w:ilvl w:val="0"/>
          <w:numId w:val="0"/>
        </w:numPr>
        <w:ind w:left="476"/>
        <w:rPr>
          <w:noProof/>
        </w:rPr>
      </w:pPr>
      <w:r>
        <w:rPr>
          <w:noProof/>
        </w:rPr>
        <w:t>L’importance stratégique du partenariat entre l’UE et l’Azerbaïdjan a été réaffirmée au plus haut niveau en mars 2026</w:t>
      </w:r>
      <w:r>
        <w:rPr>
          <w:rStyle w:val="FootnoteReference"/>
          <w:noProof/>
          <w:lang w:eastAsia="en-GB"/>
        </w:rPr>
        <w:footnoteReference w:id="11"/>
      </w:r>
      <w:r>
        <w:rPr>
          <w:noProof/>
        </w:rPr>
        <w:t>, avec l’engagement d’approfondir encore le dialogue politique et la coopération pratique, y compris dans les domaines de l’énergie, des transports et du</w:t>
      </w:r>
      <w:r>
        <w:rPr>
          <w:b/>
          <w:noProof/>
        </w:rPr>
        <w:t xml:space="preserve"> </w:t>
      </w:r>
      <w:r>
        <w:rPr>
          <w:noProof/>
        </w:rPr>
        <w:t>numérique. Dans le prolongement de cette dynamique positive, l’UE et l’Azerbaïdjan font avancer les discussions sur les nouvelles priorités de partenariat et ont récemment repris les négociations sur un accord bilatéral global, ce qui témoigne d’un intérêt commun pour la modernisation des relations bilatérales. L’Azerbaïdjan</w:t>
      </w:r>
      <w:r>
        <w:rPr>
          <w:b/>
          <w:noProof/>
        </w:rPr>
        <w:t xml:space="preserve"> </w:t>
      </w:r>
      <w:r>
        <w:rPr>
          <w:noProof/>
        </w:rPr>
        <w:t xml:space="preserve">continue de jouer un rôle clé dans la connectivité régionale et reste un partenaire fiable dans la diversification des approvisionnements énergétiques de l’Europe et dans le développement du potentiel des </w:t>
      </w:r>
      <w:r>
        <w:rPr>
          <w:noProof/>
          <w:color w:val="000000" w:themeColor="text1"/>
        </w:rPr>
        <w:t>liaisons</w:t>
      </w:r>
      <w:r>
        <w:rPr>
          <w:noProof/>
        </w:rPr>
        <w:t xml:space="preserve"> de transport régionales. La coopération entre l’UE et l’Azerbaïdjan témoigne des intérêts communs des deux parties et contribue à la promotion de la paix, de la stabilité, de la connectivité et du développement durable dans l’ensemble des régions de la mer Noire, du Caucase du Sud et de l’Asie centrale. </w:t>
      </w:r>
    </w:p>
    <w:p w14:paraId="51ACC645" w14:textId="173D8F08" w:rsidR="0006135B" w:rsidRPr="003805E3" w:rsidRDefault="03B1B33E" w:rsidP="00665E2F">
      <w:pPr>
        <w:pStyle w:val="LegalNumPar"/>
        <w:numPr>
          <w:ilvl w:val="0"/>
          <w:numId w:val="0"/>
        </w:numPr>
        <w:ind w:left="476"/>
        <w:rPr>
          <w:noProof/>
        </w:rPr>
      </w:pPr>
      <w:r>
        <w:rPr>
          <w:noProof/>
        </w:rPr>
        <w:t>La position géographique de la Géorgie en fait un corridor de transit naturel reliant l’Asie centrale à l’Europe. La coopération de l’UE avec la Géorgie</w:t>
      </w:r>
      <w:r>
        <w:rPr>
          <w:rStyle w:val="FootnoteReference"/>
          <w:noProof/>
        </w:rPr>
        <w:footnoteReference w:id="12"/>
      </w:r>
      <w:r>
        <w:rPr>
          <w:noProof/>
        </w:rPr>
        <w:t xml:space="preserve"> a continué d’être fortement affectée par le recul démocratique du pays,</w:t>
      </w:r>
      <w:r>
        <w:rPr>
          <w:i/>
          <w:noProof/>
        </w:rPr>
        <w:t xml:space="preserve"> </w:t>
      </w:r>
      <w:r>
        <w:rPr>
          <w:noProof/>
        </w:rPr>
        <w:t xml:space="preserve">qui a entraîné de fait une interruption de son processus d’adhésion à l’UE et la suspension par cette dernière, en mars 2026, du régime d’exemption de visa pour les titulaires d’un passeport diplomatique ou de service/officiel géorgien. Le rôle de la Géorgie dans le cadre de la présente stratégie dépendra largement de la volonté de ses pouvoirs publics à prendre des mesures concrètes pour améliorer la situation. </w:t>
      </w:r>
    </w:p>
    <w:p w14:paraId="1D469887" w14:textId="2FA4D3C4" w:rsidR="004D2AE2" w:rsidRPr="003805E3" w:rsidRDefault="008E6EF4" w:rsidP="00665E2F">
      <w:pPr>
        <w:pStyle w:val="LegalNumPar"/>
        <w:numPr>
          <w:ilvl w:val="0"/>
          <w:numId w:val="0"/>
        </w:numPr>
        <w:ind w:left="476"/>
        <w:rPr>
          <w:noProof/>
        </w:rPr>
      </w:pPr>
      <w:bookmarkStart w:id="2" w:name="_Hlk226476906"/>
      <w:r>
        <w:rPr>
          <w:noProof/>
        </w:rPr>
        <w:t xml:space="preserve">L’UE et la Turquie, qui est un partenaire clé, un pays membre de l’OTAN et un candidat à l’adhésion à l’UE, ont échangé leurs points de vue sur la stratégie de la mer Noire et ont discuté de sa mise en œuvre à plusieurs reprises au cours de l’année écoulée, y compris lors de consultations régulières sur la politique étrangère et de sécurité. La stratégie de l’Union pour la mer Noire a été examinée récemment lors des consultations menées en 2026 entre l’UE et la Turquie au sujet de la politique de sécurité et de défense commune (PSDC). La coopération bilatérale et régionale en matière de connectivité, dans laquelle la Turquie joue un rôle central, présente un intérêt mutuel et constitue un pilier des relations entre l’UE et la Turquie. </w:t>
      </w:r>
      <w:bookmarkEnd w:id="2"/>
      <w:r>
        <w:rPr>
          <w:noProof/>
        </w:rPr>
        <w:t>En particulier, les deux parties ont convenu de renforcer la coordination dans l’élaboration du programme de connectivité régionale dans les secteurs de l’énergie, des transports, de la numérisation et du commerce afin de contribuer à la stabilité, à la résilience et à la croissance durable dans l’ensemble de la mer Noire, du Caucase du Sud et de l’Asie centrale. La Turquie a entamé des travaux sur un plan d’investissement pour la connectivité en vue de constituer une réserve de projets. Parallèlement, elle a pris des mesures positives en vue de normaliser ses relations avec l’Arménie, notamment par la levée de restrictions en préparation des échanges bilatéraux directs et le lancement de travaux préparatoires visant à réhabiliter la ligne ferroviaire Kars-Gyumri. Ce processus de normalisation peut jouer un rôle important dans la promotion de la sécurité, de la stabilité et de la résilience dans la région, tout en ouvrant des perspectives économiques et de connectivité.</w:t>
      </w:r>
    </w:p>
    <w:p w14:paraId="2743D0D3" w14:textId="0FB39920" w:rsidR="0006135B" w:rsidRPr="003805E3" w:rsidRDefault="007F738B" w:rsidP="00665E2F">
      <w:pPr>
        <w:pStyle w:val="LegalNumPar"/>
        <w:numPr>
          <w:ilvl w:val="0"/>
          <w:numId w:val="0"/>
        </w:numPr>
        <w:ind w:left="476"/>
        <w:rPr>
          <w:noProof/>
        </w:rPr>
      </w:pPr>
      <w:r>
        <w:rPr>
          <w:noProof/>
        </w:rPr>
        <w:t>La pertinence de la stratégie a été soulignée dans plusieurs enceintes, notamment l’Assemblée parlementaire Euronest à Erevan (octobre 2025) et la réunion des hauts fonctionnaires sur le partenariat oriental à Bruxelles (mars 2026). Dans son avis adopté en décembre 2025</w:t>
      </w:r>
      <w:r>
        <w:rPr>
          <w:rStyle w:val="FootnoteReference"/>
          <w:noProof/>
        </w:rPr>
        <w:footnoteReference w:id="13"/>
      </w:r>
      <w:r>
        <w:rPr>
          <w:noProof/>
        </w:rPr>
        <w:t>, le Comité économique et social européen a demandé que des ressources suffisantes soient mobilisées pour mettre en œuvre la stratégie de manière rapide et décisive. Le Comité des régions a fait de même en mars 2026 en adoptant un avis appelant à une mise en œuvre structurée et dotée de ressources suffisantes</w:t>
      </w:r>
      <w:r>
        <w:rPr>
          <w:rStyle w:val="FootnoteReference"/>
          <w:noProof/>
        </w:rPr>
        <w:footnoteReference w:id="14"/>
      </w:r>
      <w:r>
        <w:rPr>
          <w:noProof/>
        </w:rPr>
        <w:t>.</w:t>
      </w:r>
    </w:p>
    <w:p w14:paraId="32D1553C" w14:textId="4723E5F5" w:rsidR="00667664" w:rsidRPr="003805E3" w:rsidRDefault="00EE34DA" w:rsidP="00A851F0">
      <w:pPr>
        <w:pStyle w:val="Heading1"/>
        <w:rPr>
          <w:noProof/>
        </w:rPr>
      </w:pPr>
      <w:r>
        <w:rPr>
          <w:noProof/>
        </w:rPr>
        <w:t>Pilier 1: sécurité, stabilité et résilience</w:t>
      </w:r>
    </w:p>
    <w:p w14:paraId="64B28220" w14:textId="3E756C7F" w:rsidR="00821D91" w:rsidRPr="003805E3" w:rsidRDefault="00821D91" w:rsidP="006C65D8">
      <w:pPr>
        <w:pStyle w:val="LegalNumPar"/>
        <w:numPr>
          <w:ilvl w:val="0"/>
          <w:numId w:val="0"/>
        </w:numPr>
        <w:ind w:left="476"/>
        <w:rPr>
          <w:rFonts w:eastAsia="Aptos"/>
          <w:smallCaps/>
          <w:noProof/>
        </w:rPr>
      </w:pPr>
      <w:r>
        <w:rPr>
          <w:noProof/>
        </w:rPr>
        <w:t xml:space="preserve">Au cours de l’année écoulée, le paysage sécuritaire de la région de la mer Noire a continué d’être affecté par les multiples actions de la Russie visant à la déstabiliser. La Russie a systématiquement utilisé des frappes de drones et de missiles contre les ports ukrainiens et leurs infrastructures d’accès. Ces frappes ont perturbé les exportations de céréales et exacerbé les risques pour le transport maritime commercial, en particulier à Odessa, à Tchornomorsk et le long du corridor du Danube. Elles ont également touché des États côtiers voisins tels que la Roumanie, qui a été confrontée à de multiples violations de son espace aérien et à la chute de débris sur son territoire. Fin mai 2026, une incursion de drones russes a frappé une zone densément peuplée à Galați, le plus grand port fluvial et maritime de Roumanie sur le Danube et son deuxième plus grand port, blessant des civils. La sécurité maritime en mer Noire continue de pâtir des tactiques hybrides de la Russie, notamment de la guerre électronique, ainsi que des interférences affectant les systèmes de navigation (falsification et brouillage de signaux). Ces attaques continues augmentent les coûts du commerce et du transport maritime, mettent en danger les gens de mer et causent d’importants dommages environnementaux. En outre, la flotte fantôme russe a poursuivi ses tentatives de contourner les sanctions, en recourant à des pratiques de dissimulation, telles que la navigation sous un faux pavillon. Cela entraîne des risques supplémentaires de sabotage et de dégradation de l’environnement, compromettant encore davantage la protection des infrastructures maritimes critiques, y compris sous-marines, et des corridors énergétiques. </w:t>
      </w:r>
    </w:p>
    <w:p w14:paraId="6977CF42" w14:textId="65560DD0" w:rsidR="00821D91" w:rsidRPr="003805E3" w:rsidRDefault="00821D91" w:rsidP="006C65D8">
      <w:pPr>
        <w:pStyle w:val="LegalNumPar"/>
        <w:numPr>
          <w:ilvl w:val="0"/>
          <w:numId w:val="0"/>
        </w:numPr>
        <w:ind w:left="476"/>
        <w:rPr>
          <w:rFonts w:eastAsia="Aptos"/>
          <w:smallCaps/>
          <w:noProof/>
        </w:rPr>
      </w:pPr>
      <w:r>
        <w:rPr>
          <w:noProof/>
        </w:rPr>
        <w:t>Face à cette situation, l’UE reste déterminée à soutenir la stabilité et la sécurité régionales de manière proactive. Elle a adopté de nouveaux trains de sanctions ciblant les chaînes d’approvisionnement militaro-industrielles de la Russie, ainsi que ses recettes énergétiques et les navires liés à des activités illicites. Ces mesures, combinées à un soutien accru à la défense et à la résilience de l’Ukraine, notamment au moyen du prêt de soutien à l’Ukraine de 90 milliards d’EUR pour la période 2026-27</w:t>
      </w:r>
      <w:r>
        <w:rPr>
          <w:rStyle w:val="FootnoteReference"/>
          <w:rFonts w:eastAsia="Aptos"/>
          <w:noProof/>
        </w:rPr>
        <w:footnoteReference w:id="15"/>
      </w:r>
      <w:r>
        <w:rPr>
          <w:noProof/>
        </w:rPr>
        <w:t xml:space="preserve">, contribuent à la mise en œuvre du pilier de la stratégie consacré à la sécurité. </w:t>
      </w:r>
    </w:p>
    <w:p w14:paraId="6B13408F" w14:textId="7EF28CA7" w:rsidR="003E21B1" w:rsidRPr="00332E46" w:rsidRDefault="003E21B1" w:rsidP="00332E46">
      <w:pPr>
        <w:pStyle w:val="LegalNumPar"/>
        <w:numPr>
          <w:ilvl w:val="0"/>
          <w:numId w:val="0"/>
        </w:numPr>
        <w:ind w:left="476"/>
        <w:rPr>
          <w:rFonts w:eastAsiaTheme="minorEastAsia"/>
          <w:noProof/>
        </w:rPr>
      </w:pPr>
      <w:r>
        <w:rPr>
          <w:noProof/>
        </w:rPr>
        <w:t>L’UE a évoqué les défis en matière de sécurité en mer Noire et les solutions apportées par la stratégie lors de la 3</w:t>
      </w:r>
      <w:r>
        <w:rPr>
          <w:noProof/>
          <w:vertAlign w:val="superscript"/>
        </w:rPr>
        <w:t>e</w:t>
      </w:r>
      <w:r>
        <w:rPr>
          <w:noProof/>
        </w:rPr>
        <w:t> conférence sur la sécurité de la mer Noire dans le cadre de la plateforme internationale sur la Crimée, organisée à Chișinău le 23 avril 2026</w:t>
      </w:r>
      <w:r>
        <w:rPr>
          <w:rStyle w:val="FootnoteReference"/>
          <w:rFonts w:eastAsiaTheme="minorEastAsia"/>
          <w:noProof/>
          <w:lang w:val="en-IE"/>
        </w:rPr>
        <w:footnoteReference w:id="16"/>
      </w:r>
      <w:r>
        <w:rPr>
          <w:noProof/>
        </w:rPr>
        <w:t>, et lors du 3</w:t>
      </w:r>
      <w:r>
        <w:rPr>
          <w:noProof/>
          <w:vertAlign w:val="superscript"/>
        </w:rPr>
        <w:t>e</w:t>
      </w:r>
      <w:r>
        <w:rPr>
          <w:noProof/>
        </w:rPr>
        <w:t> Forum sur la sécurité de la mer Noire, qui s’est tenu à Odessa du 29 au 31 mai 2026</w:t>
      </w:r>
      <w:r>
        <w:rPr>
          <w:rStyle w:val="FootnoteReference"/>
          <w:rFonts w:eastAsiaTheme="minorEastAsia"/>
          <w:noProof/>
          <w:lang w:val="en-IE"/>
        </w:rPr>
        <w:footnoteReference w:id="17"/>
      </w:r>
      <w:r>
        <w:rPr>
          <w:noProof/>
        </w:rPr>
        <w:t>. Des échanges d’expériences ont été organisés afin de mettre en évidence la cohérence de l’approche entre les bassins maritimes européens pour relever les défis en matière de sécurité auxquels sont confrontées la mer Baltique et la mer Noire, notamment les atteintes à la sécurité de la navigation, les menaces pesant sur la sûreté maritime, les tactiques hybrides, y compris la guerre électronique, et les interférences affectant les systèmes de navigation (falsification et brouillage de signaux). Davantage d’échanges entre experts permettront le partage d’expériences entre les bassins de la mer Baltique et de la mer Noire, en mettant l’accent sur la préparation et la résilience civiles</w:t>
      </w:r>
      <w:r>
        <w:rPr>
          <w:rStyle w:val="FootnoteReference"/>
          <w:noProof/>
        </w:rPr>
        <w:footnoteReference w:id="18"/>
      </w:r>
      <w:r>
        <w:rPr>
          <w:noProof/>
        </w:rPr>
        <w:t xml:space="preserve"> et sur la lutte contre </w:t>
      </w:r>
      <w:r>
        <w:rPr>
          <w:noProof/>
          <w:color w:val="000000" w:themeColor="text1"/>
        </w:rPr>
        <w:t>la flotte fantôme et les activités hybrides russes</w:t>
      </w:r>
      <w:r>
        <w:rPr>
          <w:noProof/>
        </w:rPr>
        <w:t>.</w:t>
      </w:r>
    </w:p>
    <w:p w14:paraId="6658E999" w14:textId="67B4A409" w:rsidR="00332E46" w:rsidRDefault="00332E46" w:rsidP="00332E46">
      <w:pPr>
        <w:pStyle w:val="TextboxHeading"/>
        <w:keepNext/>
        <w:keepLines/>
        <w:spacing w:after="0"/>
        <w:jc w:val="center"/>
        <w:rPr>
          <w:noProof/>
        </w:rPr>
      </w:pPr>
      <w:r>
        <w:rPr>
          <w:noProof/>
        </w:rPr>
        <w:t>INITIATIVE PHARE 1: sûreté maritime de la mer Noire</w:t>
      </w:r>
    </w:p>
    <w:p w14:paraId="5E59D476" w14:textId="77777777" w:rsidR="00332E46" w:rsidRDefault="00332E46" w:rsidP="00332E46">
      <w:pPr>
        <w:pStyle w:val="TextboxHeading"/>
        <w:keepNext/>
        <w:keepLines/>
        <w:spacing w:after="0"/>
        <w:jc w:val="center"/>
        <w:rPr>
          <w:noProof/>
        </w:rPr>
      </w:pPr>
    </w:p>
    <w:p w14:paraId="5BD740AC" w14:textId="3F5BA821" w:rsidR="00361E68" w:rsidRPr="00332E46" w:rsidRDefault="00821D91" w:rsidP="00332E46">
      <w:pPr>
        <w:pBdr>
          <w:top w:val="single" w:sz="4" w:space="1" w:color="auto"/>
          <w:left w:val="single" w:sz="4" w:space="4" w:color="auto"/>
          <w:bottom w:val="single" w:sz="4" w:space="1" w:color="auto"/>
          <w:right w:val="single" w:sz="4" w:space="4" w:color="auto"/>
        </w:pBdr>
        <w:spacing w:after="0"/>
        <w:rPr>
          <w:noProof/>
          <w:shd w:val="clear" w:color="auto" w:fill="F2F2F2" w:themeFill="background1" w:themeFillShade="F2"/>
        </w:rPr>
      </w:pPr>
      <w:r>
        <w:rPr>
          <w:noProof/>
          <w:shd w:val="clear" w:color="auto" w:fill="F2F2F2" w:themeFill="background1" w:themeFillShade="F2"/>
        </w:rPr>
        <w:t>Depuis l’adoption de l’approche stratégique de l’Union européenne à l’égard de la région de la mer Noire en mai 2025, la Bulgarie et la Roumanie ont élaboré conjointement un concept pour la mise en place d’une plateforme régionale pour la sûreté maritime de la mer Noire (également appelée la «plateforme»). La plateforme est conçue comme une structure de réseau collaboratif interinstitutionnelle, dirigée par des civils et détenue au niveau régional, co-initiée et coordonnée conjointement par les deux pays et soutenue par l’UE. Elle vise à améliorer l’appréciation de la situation maritime et la résilience régionale, à faciliter la coopération et le renforcement des capacités en matière de sûreté maritime, à protéger les infrastructures critiques et à lutter contre les menaces hybrides complexes, à renforcer la sûreté environnementale et à élaborer une évaluation commune des menaces à l’appui des scénarios de crise civile. La plateforme exploitera et analysera de multiples sources de données afin de soutenir une prise de décision éclairée et en temps utile par les États membres littoraux et l’UE, tout en recherchant un engagement accru des autres États membres de l’UE et la participation des principaux partenaires régionaux (dans un premier temps, la Turquie, l’Ukraine et la Moldavie). Une attention particulière sera accordée à l’intégration des capacités de surveillance et de suivi des États participants, ainsi qu’à la garantie de l’interopérabilité et des liens avec les réseaux de l’UE, tels que l’environnement commun de partage de l’information (CISE) mis en œuvre par l’Agence européenne pour la sécurité maritime (AESM). La plateforme contribuera également à protéger les infrastructures maritimes critiques dans la région de la mer Noire de manière cohérente et coordonnée et offrira une meilleure visibilité et une plus grande prévisibilité dans un contexte de sécurité en mutation. Par la suite, une liaison et une coordination étroites seront recherchées avec d’autres plateformes régionales, des groupes de lutte contre les mines et des structures exploitées par les partenaires de la mer Noire, par exemple le centre national conjoint de sécurité maritime (JMSC) à Odessa (Ukraine). L'initiative de lutte contre les mines dans la mer Noire, mise en place par la Turquie, la Roumanie et la Bulgarie, constitue la principale garantie contre les mines dérivantes et joue donc un rôle essentiel pour maintenir ouvertes et sécuriser les lignes maritimes de communication, notamment pour les flux de transport de céréales à destination et en provenance d’Ukraine.</w:t>
      </w:r>
    </w:p>
    <w:p w14:paraId="3B7010E6" w14:textId="77777777" w:rsidR="00821D91" w:rsidRPr="003805E3" w:rsidRDefault="00821D91" w:rsidP="00821D91">
      <w:pPr>
        <w:pStyle w:val="Heading2"/>
        <w:rPr>
          <w:noProof/>
        </w:rPr>
      </w:pPr>
      <w:r>
        <w:rPr>
          <w:noProof/>
        </w:rPr>
        <w:t>Coopération en matière de déminage et de sûreté, de défense et de sécurité maritimes</w:t>
      </w:r>
    </w:p>
    <w:p w14:paraId="55452AAF" w14:textId="0C0B6E37" w:rsidR="00821D91" w:rsidRPr="003805E3" w:rsidRDefault="00B133A3" w:rsidP="00757858">
      <w:pPr>
        <w:pStyle w:val="LegalNumPar"/>
        <w:numPr>
          <w:ilvl w:val="0"/>
          <w:numId w:val="0"/>
        </w:numPr>
        <w:ind w:left="476"/>
        <w:rPr>
          <w:noProof/>
        </w:rPr>
      </w:pPr>
      <w:r>
        <w:rPr>
          <w:noProof/>
        </w:rPr>
        <w:t xml:space="preserve">Pour soutenir la sûreté et la sécurité maritimes en mer Noire, la mission de conseil de l’UE (EUAM) en Ukraine a contribué à la mise en place du </w:t>
      </w:r>
      <w:r>
        <w:rPr>
          <w:b/>
          <w:noProof/>
        </w:rPr>
        <w:t>centre national conjoint de sûreté maritime (JMSC) à Odessa</w:t>
      </w:r>
      <w:r>
        <w:rPr>
          <w:noProof/>
        </w:rPr>
        <w:t>.</w:t>
      </w:r>
      <w:r>
        <w:rPr>
          <w:b/>
          <w:noProof/>
        </w:rPr>
        <w:t xml:space="preserve"> </w:t>
      </w:r>
      <w:r>
        <w:rPr>
          <w:noProof/>
        </w:rPr>
        <w:t>Le JMSC vise à améliorer la coordination interadministrations et à renforcer les capacités opérationnelles de l’Ukraine en matière d’opérations de sûreté maritime en mer Noire. La première réunion du comité directeur au niveau ministériel concernant la mise en place du JMSC a eu lieu le 26 février 2026. Elle a été suivie d’une deuxième réunion le 6 mai 2026, au cours de laquelle le comité directeur a approuvé le concept d’opération. Organisées par l’EUAM, ces réunions ont rassemblé les ministères et agences ukrainiens chargés de la sûreté maritime, l’International Maritime Capability Coalition (coalition internationale des capacités maritimes) et la représentation de l’OTAN auprès de l’Ukraine. Le JMSC permettra à l’Ukraine de s’intégrer dans les cadres de coopération européens.</w:t>
      </w:r>
    </w:p>
    <w:p w14:paraId="59836153" w14:textId="620C9CEA" w:rsidR="00821D91" w:rsidRPr="003805E3" w:rsidRDefault="00821D91" w:rsidP="00757858">
      <w:pPr>
        <w:pStyle w:val="LegalNumPar"/>
        <w:numPr>
          <w:ilvl w:val="0"/>
          <w:numId w:val="0"/>
        </w:numPr>
        <w:ind w:left="476"/>
        <w:rPr>
          <w:noProof/>
        </w:rPr>
      </w:pPr>
      <w:bookmarkStart w:id="3" w:name="_Hlk230698943"/>
      <w:r>
        <w:rPr>
          <w:noProof/>
        </w:rPr>
        <w:t xml:space="preserve">En février 2026, l’UE a adopté le </w:t>
      </w:r>
      <w:r>
        <w:rPr>
          <w:b/>
          <w:noProof/>
        </w:rPr>
        <w:t>plan d’action relatif à la sûreté des drones et des systèmes antidrones</w:t>
      </w:r>
      <w:r>
        <w:rPr>
          <w:rStyle w:val="FootnoteReference"/>
          <w:noProof/>
        </w:rPr>
        <w:footnoteReference w:id="19"/>
      </w:r>
      <w:r>
        <w:rPr>
          <w:noProof/>
        </w:rPr>
        <w:t xml:space="preserve">, qui comprend des actions pilotes visant à améliorer l’appréciation de la situation maritime et le déploiement de capacités de détection sous-marines afin de mieux protéger les infrastructures maritimes critiques en mer Noire et en mer Baltique. </w:t>
      </w:r>
    </w:p>
    <w:bookmarkEnd w:id="3"/>
    <w:p w14:paraId="7293CE34" w14:textId="50D8B01A" w:rsidR="00932F42" w:rsidRPr="003805E3" w:rsidRDefault="00932F42" w:rsidP="00E9690E">
      <w:pPr>
        <w:pStyle w:val="LegalNumPar"/>
        <w:numPr>
          <w:ilvl w:val="0"/>
          <w:numId w:val="0"/>
        </w:numPr>
        <w:ind w:left="476"/>
        <w:rPr>
          <w:noProof/>
        </w:rPr>
      </w:pPr>
      <w:r>
        <w:rPr>
          <w:noProof/>
        </w:rPr>
        <w:t>À la suite de l’approbation par le Conseil, en février 2026, de l’assistance financière à la Roumanie et à la Bulgarie au titre de l’instrument SAFE et de la signature des accords de prêt, environ 20 milliards d’EUR seront mis à la disposition de ces États membres pour combler les lacunes critiques en matière de capacités, soutenant ainsi la sécurité dans la région de la mer Noire.</w:t>
      </w:r>
    </w:p>
    <w:p w14:paraId="2B5A9F39" w14:textId="31B56DA8" w:rsidR="00932F42" w:rsidRPr="003805E3" w:rsidRDefault="00932F42" w:rsidP="001D622D">
      <w:pPr>
        <w:pStyle w:val="LegalNumPar"/>
        <w:numPr>
          <w:ilvl w:val="0"/>
          <w:numId w:val="0"/>
        </w:numPr>
        <w:ind w:left="476"/>
        <w:rPr>
          <w:noProof/>
        </w:rPr>
      </w:pPr>
      <w:r>
        <w:rPr>
          <w:noProof/>
        </w:rPr>
        <w:t>Le prêt de soutien à l’Ukraine, doté d’une enveloppe de 90 milliards d’EUR, dont 60 milliards d’EUR prévus pour couvrir les besoins les plus urgents du pays en matière de capacités industrielles dans le domaine de la défense en 2026 et 2027, constitue un pilier important pour la sécurité en mer Noire. En mars 2026, l’UE a approuvé une allocation d’environ 6 milliards d’EUR pour des drones fabriqués en Ukraine et destinés à l’Ukraine.</w:t>
      </w:r>
    </w:p>
    <w:p w14:paraId="19A49910" w14:textId="054457D5" w:rsidR="00C77F67" w:rsidRPr="003805E3" w:rsidRDefault="00A25261" w:rsidP="00757858">
      <w:pPr>
        <w:pStyle w:val="LegalNumPar"/>
        <w:numPr>
          <w:ilvl w:val="0"/>
          <w:numId w:val="0"/>
        </w:numPr>
        <w:ind w:left="476"/>
        <w:rPr>
          <w:noProof/>
        </w:rPr>
      </w:pPr>
      <w:r>
        <w:rPr>
          <w:noProof/>
        </w:rPr>
        <w:t xml:space="preserve">Dans le cadre du soutien de l’UE à l’Ukraine dans le domaine de la </w:t>
      </w:r>
      <w:r>
        <w:rPr>
          <w:b/>
          <w:noProof/>
        </w:rPr>
        <w:t>protection des infrastructures critiques</w:t>
      </w:r>
      <w:r>
        <w:rPr>
          <w:noProof/>
        </w:rPr>
        <w:t>, un atelier sur la sécurité des infrastructures critiques a été organisé en février 2026. À l’aide de l’instrument TAIEX, l’Ukraine travaille à la transposition de la directive sur la résilience des entités critiques. Un appel à propositions, lancé au titre du Fonds pour la sécurité intérieure et portant sur la résilience des infrastructures critiques avec un budget de 15 millions d’EUR, a été ouvert aux participants ukrainiens. </w:t>
      </w:r>
    </w:p>
    <w:p w14:paraId="2039A09E" w14:textId="679A6D85" w:rsidR="00821D91" w:rsidRPr="003805E3" w:rsidRDefault="11F1BE19" w:rsidP="00757858">
      <w:pPr>
        <w:pStyle w:val="LegalNumPar"/>
        <w:numPr>
          <w:ilvl w:val="0"/>
          <w:numId w:val="0"/>
        </w:numPr>
        <w:ind w:left="476"/>
        <w:rPr>
          <w:noProof/>
        </w:rPr>
      </w:pPr>
      <w:r>
        <w:rPr>
          <w:noProof/>
        </w:rPr>
        <w:t xml:space="preserve">À la suite de l’adoption du </w:t>
      </w:r>
      <w:r>
        <w:rPr>
          <w:b/>
          <w:noProof/>
        </w:rPr>
        <w:t>plan d’action sur la sécurité des câbles</w:t>
      </w:r>
      <w:r>
        <w:rPr>
          <w:rStyle w:val="FootnoteReference"/>
          <w:noProof/>
        </w:rPr>
        <w:footnoteReference w:id="20"/>
      </w:r>
      <w:r>
        <w:rPr>
          <w:b/>
          <w:noProof/>
        </w:rPr>
        <w:t xml:space="preserve"> </w:t>
      </w:r>
      <w:r>
        <w:rPr>
          <w:noProof/>
        </w:rPr>
        <w:t>en février 2025 et de la publication du «Report on Security and Resilience of EU Submarine Cable Infrastructures» (rapport sur la sécurité et la résilience des infrastructures de câbles sous-marins de l’UE), une cartographie et une évaluation coordonnée à l’échelle de l’UE des risques liés aux infrastructures de câbles sous-marins</w:t>
      </w:r>
      <w:r>
        <w:rPr>
          <w:rStyle w:val="FootnoteReference"/>
          <w:noProof/>
        </w:rPr>
        <w:footnoteReference w:id="21"/>
      </w:r>
      <w:r>
        <w:rPr>
          <w:noProof/>
        </w:rPr>
        <w:t xml:space="preserve"> ont été approuvées en octobre 2025 par le groupe informel d’experts sur des infrastructures de câbles sous-marins sûres et résilientes. Le rapport souligne l’importance d’élaborer une approche coordonnée avec la Turquie pour favoriser et préserver la sécurité, la stabilité et la connectivité dans la région de la mer Noire. </w:t>
      </w:r>
    </w:p>
    <w:p w14:paraId="5DD3A3B7" w14:textId="3A2999F3" w:rsidR="00821D91" w:rsidRPr="003805E3" w:rsidRDefault="0BFFAAD8" w:rsidP="00757858">
      <w:pPr>
        <w:pStyle w:val="LegalNumPar"/>
        <w:numPr>
          <w:ilvl w:val="0"/>
          <w:numId w:val="0"/>
        </w:numPr>
        <w:ind w:left="476"/>
        <w:rPr>
          <w:noProof/>
        </w:rPr>
      </w:pPr>
      <w:r>
        <w:rPr>
          <w:noProof/>
        </w:rPr>
        <w:t xml:space="preserve">En février 2026, l’UE a publié la </w:t>
      </w:r>
      <w:r>
        <w:rPr>
          <w:b/>
          <w:noProof/>
        </w:rPr>
        <w:t>boîte à outils pour la sécurité des câbles</w:t>
      </w:r>
      <w:r>
        <w:rPr>
          <w:rStyle w:val="FootnoteReference"/>
          <w:noProof/>
        </w:rPr>
        <w:footnoteReference w:id="22"/>
      </w:r>
      <w:r>
        <w:rPr>
          <w:noProof/>
        </w:rPr>
        <w:t>, qui recommande des mesures d’atténuation pour faire face aux scénarios de risque recensés dans le rapport susmentionné et propose de faire de la mer Noire un domaine prioritaire pour les projets de câbles d’intérêt européen (PCIE). La Commission européenne a lancé un premier appel à hauteur de 10 millions d’EUR pour financer des pôles régionaux de câbles bénéficiant à tous les bassins maritimes autour de l’UE, y compris la mer Noire. Les zones PCIE seront prioritaires dans les prochains appels à propositions du volet numérique du mécanisme pour l’interconnexion en Europe (MIE)</w:t>
      </w:r>
      <w:r>
        <w:rPr>
          <w:rStyle w:val="FootnoteReference"/>
          <w:noProof/>
        </w:rPr>
        <w:footnoteReference w:id="23"/>
      </w:r>
      <w:r>
        <w:rPr>
          <w:noProof/>
        </w:rPr>
        <w:t xml:space="preserve">. </w:t>
      </w:r>
    </w:p>
    <w:p w14:paraId="52315354" w14:textId="417D00C1" w:rsidR="00920911" w:rsidRPr="003805E3" w:rsidRDefault="1A302C0F" w:rsidP="00933F09">
      <w:pPr>
        <w:pStyle w:val="LegalNumPar"/>
        <w:numPr>
          <w:ilvl w:val="0"/>
          <w:numId w:val="0"/>
        </w:numPr>
        <w:ind w:left="476"/>
        <w:rPr>
          <w:noProof/>
        </w:rPr>
      </w:pPr>
      <w:r>
        <w:rPr>
          <w:noProof/>
        </w:rPr>
        <w:t xml:space="preserve">Dans le cadre du Fonds européen de la défense 2026, l’UE a l’intention de soutenir les systèmes maritimes semi-autonomes ainsi que la protection à plusieurs niveaux des infrastructures critiques des fonds marins. Une fois disponibles, les capacités développées pourraient être mises à profit pour soutenir la sécurité régionale. </w:t>
      </w:r>
    </w:p>
    <w:p w14:paraId="1B3C86EA" w14:textId="7EDB9C57" w:rsidR="00821D91" w:rsidRPr="003805E3" w:rsidRDefault="0BFFAAD8" w:rsidP="00757858">
      <w:pPr>
        <w:pStyle w:val="LegalNumPar"/>
        <w:numPr>
          <w:ilvl w:val="0"/>
          <w:numId w:val="0"/>
        </w:numPr>
        <w:ind w:left="476"/>
        <w:rPr>
          <w:noProof/>
        </w:rPr>
      </w:pPr>
      <w:bookmarkStart w:id="4" w:name="_Hlk226466678"/>
      <w:r>
        <w:rPr>
          <w:noProof/>
        </w:rPr>
        <w:t xml:space="preserve">Afin de limiter les menaces et les risques posés par la </w:t>
      </w:r>
      <w:r>
        <w:rPr>
          <w:b/>
          <w:noProof/>
        </w:rPr>
        <w:t>flotte fantôme russe</w:t>
      </w:r>
      <w:r>
        <w:rPr>
          <w:noProof/>
        </w:rPr>
        <w:t xml:space="preserve">, y compris en mer Noire, l’UE a imposé des </w:t>
      </w:r>
      <w:r>
        <w:rPr>
          <w:b/>
          <w:noProof/>
        </w:rPr>
        <w:t>sanctions</w:t>
      </w:r>
      <w:r>
        <w:rPr>
          <w:noProof/>
        </w:rPr>
        <w:t xml:space="preserve"> à l’encontre de 632 navires et de plus de 60 acteurs facilitant ces activités</w:t>
      </w:r>
      <w:r>
        <w:rPr>
          <w:rStyle w:val="FootnoteReference"/>
          <w:noProof/>
        </w:rPr>
        <w:footnoteReference w:id="24"/>
      </w:r>
      <w:r>
        <w:rPr>
          <w:noProof/>
        </w:rPr>
        <w:t xml:space="preserve"> à ce jour. </w:t>
      </w:r>
      <w:bookmarkEnd w:id="4"/>
      <w:r>
        <w:rPr>
          <w:noProof/>
        </w:rPr>
        <w:t xml:space="preserve">Elle poursuit son dialogue avec d’autres pays pour les encourager à radier ces navires de leur registre et les sensibiliser aux risques environnementaux et aux coûts associés à d’éventuelles répercussions. Au sein de l’Organisation maritime internationale (OMI), l’UE s’emploie également à faire avancer les travaux sur les cadres réglementaires, en </w:t>
      </w:r>
      <w:r>
        <w:rPr>
          <w:b/>
          <w:noProof/>
        </w:rPr>
        <w:t>prenant des mesures par rapport au transport maritime non conforme aux normes</w:t>
      </w:r>
      <w:r>
        <w:rPr>
          <w:noProof/>
        </w:rPr>
        <w:t xml:space="preserve"> et en instaurant une obligation de déclaration des navires ainsi que des certificats de responsabilité civile. </w:t>
      </w:r>
    </w:p>
    <w:p w14:paraId="776CDAE2" w14:textId="39242DA9" w:rsidR="00904E93" w:rsidRPr="003805E3" w:rsidRDefault="00C52C9F" w:rsidP="00757858">
      <w:pPr>
        <w:pStyle w:val="LegalNumPar"/>
        <w:numPr>
          <w:ilvl w:val="0"/>
          <w:numId w:val="0"/>
        </w:numPr>
        <w:ind w:left="476"/>
        <w:rPr>
          <w:noProof/>
        </w:rPr>
      </w:pPr>
      <w:r>
        <w:rPr>
          <w:noProof/>
        </w:rPr>
        <w:t xml:space="preserve">L’UE a </w:t>
      </w:r>
      <w:r>
        <w:rPr>
          <w:b/>
          <w:noProof/>
        </w:rPr>
        <w:t>renforcé la capacité de l’Europe en matière de déminage maritime</w:t>
      </w:r>
      <w:r>
        <w:rPr>
          <w:noProof/>
        </w:rPr>
        <w:t>, d’atténuation des risques environnementaux et de protection des infrastructures maritimes critiques, tout en soutenant la future coopération régionale en matière de remise en état du milieu marin après un conflit. Le pacte européen pour l’Océan de 2025 comprend une action phare en faveur d’une stratégie globale d’élimination des munitions non explosées (MNE),</w:t>
      </w:r>
      <w:r>
        <w:rPr>
          <w:b/>
          <w:noProof/>
        </w:rPr>
        <w:t xml:space="preserve"> </w:t>
      </w:r>
      <w:r>
        <w:rPr>
          <w:noProof/>
        </w:rPr>
        <w:t xml:space="preserve">débutant en mer Baltique et en mer du Nord et s’étendant à la mer Noire, en utilisant des technologies avancées de détection et d’élimination. Les Pays-Bas et la Belgique ont fait don de sept navires de lutte contre les mines à la Bulgarie en 2025 dans le but de renforcer la sûreté maritime en mer Noire. </w:t>
      </w:r>
    </w:p>
    <w:p w14:paraId="3B3860CD" w14:textId="07EC38BB" w:rsidR="008A3CAA" w:rsidRPr="003805E3" w:rsidRDefault="00821D91" w:rsidP="00060F73">
      <w:pPr>
        <w:pStyle w:val="LegalNumPar"/>
        <w:numPr>
          <w:ilvl w:val="0"/>
          <w:numId w:val="0"/>
        </w:numPr>
        <w:ind w:left="476"/>
        <w:rPr>
          <w:noProof/>
        </w:rPr>
      </w:pPr>
      <w:r>
        <w:rPr>
          <w:noProof/>
        </w:rPr>
        <w:t xml:space="preserve">L’UE renforce actuellement le déploiement de </w:t>
      </w:r>
      <w:r>
        <w:rPr>
          <w:b/>
          <w:noProof/>
        </w:rPr>
        <w:t>technologies et de méthodes pour le nettoyage à grande échelle des MNE déversées en mer</w:t>
      </w:r>
      <w:r>
        <w:rPr>
          <w:noProof/>
        </w:rPr>
        <w:t xml:space="preserve">. Alors que les efforts actuels portent sur la mer Baltique, une approche similaire en matière de nettoyage à grande échelle des MNE peut être appliquée à la mer Noire, dès que les conditions de sécurité le permettront. Grâce à des initiatives qu’elle finance, notamment </w:t>
      </w:r>
      <w:bookmarkStart w:id="5" w:name="_Hlk225421603"/>
      <w:r>
        <w:rPr>
          <w:noProof/>
        </w:rPr>
        <w:t xml:space="preserve">le projet CAMMera soutenu par le Parlement européen, l’UE met au point et teste des technologies innovantes pour la détection et la réparation en toute sécurité des munitions immergées. Lors d’un atelier organisé en janvier 2026 à Sofia, </w:t>
      </w:r>
      <w:bookmarkEnd w:id="5"/>
      <w:r>
        <w:rPr>
          <w:noProof/>
        </w:rPr>
        <w:t>des experts des États membres de l’UE, des organisations régionales et des instituts de recherche ont évalué la possibilité de transférer vers la mer Noire et d’autres bassins maritimes des solutions technologiques et les enseignements tirés de l’expérience opérationnelle. L’UE a continué de soutenir l’Ukraine dans ses efforts de déminage avec la remise aux autorités ukrainiennes, en février 2026, du cinquième lot de chiens détecteurs de mines formés par l’UE.</w:t>
      </w:r>
    </w:p>
    <w:p w14:paraId="6901D83B" w14:textId="77777777" w:rsidR="00821D91" w:rsidRPr="003805E3" w:rsidRDefault="00821D91" w:rsidP="00821D91">
      <w:pPr>
        <w:pStyle w:val="Heading2"/>
        <w:rPr>
          <w:noProof/>
        </w:rPr>
      </w:pPr>
      <w:r>
        <w:rPr>
          <w:noProof/>
        </w:rPr>
        <w:t>Améliorer la mobilité militaire et les infrastructures à double usage</w:t>
      </w:r>
    </w:p>
    <w:p w14:paraId="21880FD6" w14:textId="729B55B1" w:rsidR="00821D91" w:rsidRPr="003805E3" w:rsidRDefault="0BFFAAD8" w:rsidP="00757858">
      <w:pPr>
        <w:pStyle w:val="LegalNumPar"/>
        <w:numPr>
          <w:ilvl w:val="0"/>
          <w:numId w:val="0"/>
        </w:numPr>
        <w:ind w:left="476"/>
        <w:rPr>
          <w:noProof/>
        </w:rPr>
      </w:pPr>
      <w:r>
        <w:rPr>
          <w:noProof/>
        </w:rPr>
        <w:t xml:space="preserve">En novembre 2025, la Commission et la haute représentante ont présenté le </w:t>
      </w:r>
      <w:r>
        <w:rPr>
          <w:b/>
          <w:noProof/>
        </w:rPr>
        <w:t>train de mesures sur la mobilité militaire</w:t>
      </w:r>
      <w:r>
        <w:rPr>
          <w:rStyle w:val="FootnoteReference"/>
          <w:noProof/>
        </w:rPr>
        <w:footnoteReference w:id="25"/>
      </w:r>
      <w:r>
        <w:rPr>
          <w:noProof/>
        </w:rPr>
        <w:t>,</w:t>
      </w:r>
      <w:r>
        <w:rPr>
          <w:b/>
          <w:noProof/>
        </w:rPr>
        <w:t xml:space="preserve"> </w:t>
      </w:r>
      <w:r>
        <w:rPr>
          <w:noProof/>
        </w:rPr>
        <w:t>qui consiste en une communication conjointe et une proposition de règlement visant à assurer le déplacement fluide des troupes, des équipements et des moyens militaires dans l’ensemble de l’UE. En collaboration avec les États membres et avec le soutien de l’état-major de l’Union européenne, la Commission a recensé 500 projets de «points névralgiques» nécessitant des investissements urgents afin d’adapter les quatre corridors de mobilité militaire prioritaires</w:t>
      </w:r>
      <w:r>
        <w:rPr>
          <w:rStyle w:val="FootnoteReference"/>
          <w:noProof/>
        </w:rPr>
        <w:footnoteReference w:id="26"/>
      </w:r>
      <w:r>
        <w:rPr>
          <w:noProof/>
        </w:rPr>
        <w:t xml:space="preserve"> aux besoins militaires et de rendre le réseau plus résilient. Ces projets portent notamment sur le renforcement des ponts, l’élargissement des tunnels et l’augmentation de la capacité des ports et des aéroports. La Commission se coordonne avec les États membres pour veiller à ce que les investissements soient mis en œuvre rapidement et de manière cohérente sur l’ensemble des corridors. Ces efforts sont également cohérents avec un nouvel axe de travail de l’UE consistant à soutenir les industries à double usage en Ukraine.</w:t>
      </w:r>
    </w:p>
    <w:p w14:paraId="7BD44939" w14:textId="7ED179A6" w:rsidR="00821D91" w:rsidRPr="003805E3" w:rsidRDefault="0BFFAAD8" w:rsidP="00757858">
      <w:pPr>
        <w:pStyle w:val="LegalNumPar"/>
        <w:numPr>
          <w:ilvl w:val="0"/>
          <w:numId w:val="0"/>
        </w:numPr>
        <w:ind w:left="476"/>
        <w:rPr>
          <w:noProof/>
        </w:rPr>
      </w:pPr>
      <w:r>
        <w:rPr>
          <w:noProof/>
        </w:rPr>
        <w:t>Quatre des neuf corridors de transport européens du RTE-T s’étendent déjà à l’Ukraine et l’un d’entre eux à la Moldavie, et une première série d’</w:t>
      </w:r>
      <w:r>
        <w:rPr>
          <w:b/>
          <w:noProof/>
        </w:rPr>
        <w:t>investissements importants dans les infrastructures à double usage</w:t>
      </w:r>
      <w:r>
        <w:rPr>
          <w:noProof/>
        </w:rPr>
        <w:t xml:space="preserve"> est en cours. Parallèlement, des travaux préparatoires sont en cours pour déployer l’écartement nominal de voie standard européen sur les corridors de transport européens reliant la Moldavie et l’Ukraine aux États membres de l’UE.</w:t>
      </w:r>
    </w:p>
    <w:p w14:paraId="1A0A10A9" w14:textId="77777777" w:rsidR="00821D91" w:rsidRPr="003805E3" w:rsidRDefault="00821D91" w:rsidP="00821D91">
      <w:pPr>
        <w:pStyle w:val="Heading2"/>
        <w:spacing w:before="120" w:after="120"/>
        <w:rPr>
          <w:noProof/>
        </w:rPr>
      </w:pPr>
      <w:bookmarkStart w:id="6" w:name="_Hlk225860164"/>
      <w:r>
        <w:rPr>
          <w:noProof/>
        </w:rPr>
        <w:t>Lutter contre les menaces hybrides</w:t>
      </w:r>
    </w:p>
    <w:p w14:paraId="0F2DEE1A" w14:textId="0C4913E3" w:rsidR="00821D91" w:rsidRPr="003805E3" w:rsidRDefault="00821D91" w:rsidP="0063146B">
      <w:pPr>
        <w:pStyle w:val="LegalNumPar"/>
        <w:numPr>
          <w:ilvl w:val="0"/>
          <w:numId w:val="0"/>
        </w:numPr>
        <w:ind w:left="476"/>
        <w:rPr>
          <w:noProof/>
        </w:rPr>
      </w:pPr>
      <w:r>
        <w:rPr>
          <w:noProof/>
        </w:rPr>
        <w:t xml:space="preserve">Le paysage sécuritaire de la région de la mer Noire est également marqué par une augmentation sans précédent des menaces hybrides. La Russie a continué de déployer des moyens très divers destinés à déstabiliser les processus démocratiques, à éroder la confiance du public, à dégrader les infrastructures critiques, à sonder les vulnérabilités et à évaluer les capacités de réaction. </w:t>
      </w:r>
    </w:p>
    <w:p w14:paraId="70141297" w14:textId="62A721F7" w:rsidR="00821D91" w:rsidRPr="003805E3" w:rsidRDefault="0BFFAAD8" w:rsidP="0063146B">
      <w:pPr>
        <w:pStyle w:val="LegalNumPar"/>
        <w:numPr>
          <w:ilvl w:val="0"/>
          <w:numId w:val="0"/>
        </w:numPr>
        <w:ind w:left="476"/>
        <w:rPr>
          <w:noProof/>
        </w:rPr>
      </w:pPr>
      <w:r>
        <w:rPr>
          <w:noProof/>
        </w:rPr>
        <w:t>L’UE reste déterminée à imposer des coûts aux acteurs malveillants en recourant au régime de sanctions</w:t>
      </w:r>
      <w:r>
        <w:rPr>
          <w:rStyle w:val="FootnoteReference"/>
          <w:noProof/>
        </w:rPr>
        <w:footnoteReference w:id="27"/>
      </w:r>
      <w:r>
        <w:rPr>
          <w:noProof/>
        </w:rPr>
        <w:t xml:space="preserve"> contre les activités déstabilisatrices de la Russie. À partir d’avril 2026, le Conseil a étendu les mesures restrictives à 69 personnes et 19 entités identifiées pour leur rôle dans la manipulation de l’information à grande échelle. En outre, le </w:t>
      </w:r>
      <w:r>
        <w:rPr>
          <w:b/>
          <w:noProof/>
        </w:rPr>
        <w:t>régime de sanctions de l’UE applicable aux cyberattaques</w:t>
      </w:r>
      <w:r>
        <w:rPr>
          <w:rStyle w:val="FootnoteReference"/>
          <w:noProof/>
        </w:rPr>
        <w:footnoteReference w:id="28"/>
      </w:r>
      <w:r>
        <w:rPr>
          <w:noProof/>
        </w:rPr>
        <w:t xml:space="preserve"> est rigoureusement mis en œuvre, des mesures restrictives étant actuellement appliquées à 19 personnes et 74 entités. </w:t>
      </w:r>
    </w:p>
    <w:p w14:paraId="7DCC96E1" w14:textId="1ACE762B" w:rsidR="00821D91" w:rsidRPr="003805E3" w:rsidRDefault="57E03096" w:rsidP="0063146B">
      <w:pPr>
        <w:pStyle w:val="LegalNumPar"/>
        <w:numPr>
          <w:ilvl w:val="0"/>
          <w:numId w:val="0"/>
        </w:numPr>
        <w:spacing w:before="120" w:after="120"/>
        <w:ind w:left="476"/>
        <w:rPr>
          <w:noProof/>
        </w:rPr>
      </w:pPr>
      <w:r>
        <w:rPr>
          <w:noProof/>
        </w:rPr>
        <w:t xml:space="preserve">En outre, l’UE a adapté ses mécanismes de réaction à l’évolution du panorama de la menace et à la </w:t>
      </w:r>
      <w:r>
        <w:rPr>
          <w:b/>
          <w:noProof/>
        </w:rPr>
        <w:t>lutte contre les opérations hostiles visant à compromettre l’intégrité électorale</w:t>
      </w:r>
      <w:r>
        <w:rPr>
          <w:noProof/>
        </w:rPr>
        <w:t xml:space="preserve"> et les processus démocratiques. En Moldavie, elle soutient les efforts nationaux visant à protéger les processus démocratiques du pays contre l’ingérence de la Russie. Elle a également renforcé activement son soutien à la résilience démocratique et institutionnelle en Arménie dans la perspective des élections de juin. Dans ces deux pays, l’une des principales réalisations de l’UE a été le déploiement de ses équipes d’intervention rapide en cas de menaces hybrides, qui ont fourni aux autorités nationales un soutien consultatif technique et stratégique sur mesure et à court terme en matière de renforcement de l’intégrité électorale.</w:t>
      </w:r>
    </w:p>
    <w:p w14:paraId="0D0EF92E" w14:textId="1AD34C7C" w:rsidR="000875E1" w:rsidRPr="003805E3" w:rsidRDefault="00821D91" w:rsidP="00E9690E">
      <w:pPr>
        <w:pStyle w:val="LegalNumPar"/>
        <w:numPr>
          <w:ilvl w:val="0"/>
          <w:numId w:val="0"/>
        </w:numPr>
        <w:spacing w:before="120" w:after="120"/>
        <w:ind w:left="476"/>
        <w:rPr>
          <w:noProof/>
        </w:rPr>
      </w:pPr>
      <w:r>
        <w:rPr>
          <w:noProof/>
        </w:rPr>
        <w:t xml:space="preserve">Le soutien direct aux pays partenaires de la mer Noire par l’intermédiaire des </w:t>
      </w:r>
      <w:r>
        <w:rPr>
          <w:b/>
          <w:noProof/>
        </w:rPr>
        <w:t>missions relevant de la politique de sécurité et de défense commune (PSDC)</w:t>
      </w:r>
      <w:r>
        <w:rPr>
          <w:noProof/>
        </w:rPr>
        <w:t xml:space="preserve"> reste un vecteur essentiel du renforcement de la résilience, tout en contribuant à la sécurité régionale. La mission de partenariat de l’Union en Moldavie a soutenu les efforts déployés par les autorités moldaves pour garantir l’intégrité démocratique lors des élections de 2025 et continue de mettre l’accent sur le renforcement des capacités institutionnelles à long terme en vue de renforcer la résilience du pays. De même, en Ukraine, l’EUAM étend son soutien aux autorités ukrainiennes afin de lutter contre les menaces hybrides en fonction de l’évolution des besoins, y compris dans le domaine maritime, en soutenant le développement du centre national conjoint de sûreté maritime (JMSC). L’EUAM Ukraine a fourni une expertise spécifique en matière de </w:t>
      </w:r>
      <w:r>
        <w:rPr>
          <w:b/>
          <w:noProof/>
        </w:rPr>
        <w:t xml:space="preserve">cybersécurité maritime </w:t>
      </w:r>
      <w:r>
        <w:rPr>
          <w:noProof/>
        </w:rPr>
        <w:t>en mer Noire et dans le corridor du Danube</w:t>
      </w:r>
      <w:r>
        <w:rPr>
          <w:b/>
          <w:noProof/>
        </w:rPr>
        <w:t xml:space="preserve"> </w:t>
      </w:r>
      <w:r>
        <w:rPr>
          <w:noProof/>
        </w:rPr>
        <w:t xml:space="preserve">lors du deuxième forum </w:t>
      </w:r>
      <w:r>
        <w:rPr>
          <w:i/>
          <w:noProof/>
        </w:rPr>
        <w:t>Rebuilding Ukraine</w:t>
      </w:r>
      <w:r>
        <w:rPr>
          <w:noProof/>
        </w:rPr>
        <w:t xml:space="preserve">, qui s’est tenu en décembre 2025. </w:t>
      </w:r>
    </w:p>
    <w:p w14:paraId="4D1A1F12" w14:textId="0CCA3313" w:rsidR="00821D91" w:rsidRPr="003805E3" w:rsidRDefault="11ABF841" w:rsidP="00757858">
      <w:pPr>
        <w:pStyle w:val="LegalNumPar"/>
        <w:numPr>
          <w:ilvl w:val="0"/>
          <w:numId w:val="0"/>
        </w:numPr>
        <w:spacing w:before="120" w:after="120"/>
        <w:ind w:left="476"/>
        <w:rPr>
          <w:noProof/>
        </w:rPr>
      </w:pPr>
      <w:r>
        <w:rPr>
          <w:noProof/>
        </w:rPr>
        <w:t xml:space="preserve">La </w:t>
      </w:r>
      <w:r>
        <w:rPr>
          <w:b/>
          <w:noProof/>
        </w:rPr>
        <w:t>mission de partenariat de l’Union en Arménie</w:t>
      </w:r>
      <w:r>
        <w:rPr>
          <w:noProof/>
        </w:rPr>
        <w:t xml:space="preserve"> est la plus récente mission PSDC civile de l’UE</w:t>
      </w:r>
      <w:r>
        <w:rPr>
          <w:rStyle w:val="FootnoteReference"/>
          <w:noProof/>
        </w:rPr>
        <w:footnoteReference w:id="29"/>
      </w:r>
      <w:r>
        <w:rPr>
          <w:noProof/>
        </w:rPr>
        <w:t xml:space="preserve">. Elle a été instaurée le 21 avril 2026 dans le but de renforcer la résilience démocratique du pays et sa capacité à gérer des crises à long terme. Cette mission aidera l’Arménie à faire face à des menaces à plusieurs niveaux telles que les activités de manipulation de l’information et d’ingérence menées depuis l’étranger, les cyberattaques et les flux financiers illicites. </w:t>
      </w:r>
      <w:r>
        <w:rPr>
          <w:rStyle w:val="FootnoteReference"/>
          <w:noProof/>
          <w:szCs w:val="24"/>
        </w:rPr>
        <w:footnoteReference w:id="30"/>
      </w:r>
      <w:r>
        <w:rPr>
          <w:noProof/>
        </w:rPr>
        <w:t> </w:t>
      </w:r>
    </w:p>
    <w:p w14:paraId="305C2004" w14:textId="5C49B32E" w:rsidR="00821D91" w:rsidRPr="003805E3" w:rsidRDefault="0BFFAAD8" w:rsidP="00757858">
      <w:pPr>
        <w:pStyle w:val="LegalNumPar"/>
        <w:numPr>
          <w:ilvl w:val="0"/>
          <w:numId w:val="0"/>
        </w:numPr>
        <w:spacing w:before="120" w:after="120"/>
        <w:ind w:left="476"/>
        <w:rPr>
          <w:noProof/>
        </w:rPr>
      </w:pPr>
      <w:r>
        <w:rPr>
          <w:noProof/>
        </w:rPr>
        <w:t>L’initiative régionale</w:t>
      </w:r>
      <w:r>
        <w:rPr>
          <w:b/>
          <w:noProof/>
        </w:rPr>
        <w:t xml:space="preserve"> CyberEast+</w:t>
      </w:r>
      <w:r>
        <w:rPr>
          <w:noProof/>
        </w:rPr>
        <w:t xml:space="preserve"> a continué de renforcer la cyberrésilience dans les pays de la mer Noire et du partenariat oriental, en soutenant l’alignement sur la directive SRI 2</w:t>
      </w:r>
      <w:r>
        <w:rPr>
          <w:rStyle w:val="FootnoteReference"/>
          <w:noProof/>
        </w:rPr>
        <w:footnoteReference w:id="31"/>
      </w:r>
      <w:r>
        <w:rPr>
          <w:noProof/>
        </w:rPr>
        <w:t>, en dispensant des formations sur mesure et en renforçant les capacités, ainsi qu’en organisant des exercices de simulation et des ateliers pour lutter contre les cybermenaces, la désinformation et les activités de manipulation de l’information et d’ingérence menées depuis l’étranger, y compris dans des contextes électoraux.</w:t>
      </w:r>
    </w:p>
    <w:p w14:paraId="7B076EAB" w14:textId="40F4147F" w:rsidR="00821D91" w:rsidRPr="003805E3" w:rsidRDefault="0BFFAAD8" w:rsidP="00757858">
      <w:pPr>
        <w:pStyle w:val="LegalNumPar"/>
        <w:numPr>
          <w:ilvl w:val="0"/>
          <w:numId w:val="0"/>
        </w:numPr>
        <w:ind w:left="476"/>
        <w:rPr>
          <w:noProof/>
        </w:rPr>
      </w:pPr>
      <w:r>
        <w:rPr>
          <w:noProof/>
        </w:rPr>
        <w:t xml:space="preserve">En </w:t>
      </w:r>
      <w:r>
        <w:rPr>
          <w:b/>
          <w:noProof/>
        </w:rPr>
        <w:t>Arménie</w:t>
      </w:r>
      <w:r>
        <w:rPr>
          <w:noProof/>
        </w:rPr>
        <w:t xml:space="preserve">, l’UE a organisé une série d’ateliers et d’événements TAIEX à l’intention des représentants des institutions publiques et a renforcé son soutien à la société civile locale et aux médias indépendants dans leurs efforts de lutte contre les activités de manipulation de l’information et d’ingérence menées depuis l’étranger.  </w:t>
      </w:r>
    </w:p>
    <w:p w14:paraId="2A5CA3CD" w14:textId="6EC3212E" w:rsidR="00A973B8" w:rsidRPr="003805E3" w:rsidRDefault="0BFFAAD8" w:rsidP="00913946">
      <w:pPr>
        <w:pStyle w:val="LegalNumPar"/>
        <w:numPr>
          <w:ilvl w:val="0"/>
          <w:numId w:val="0"/>
        </w:numPr>
        <w:ind w:left="476"/>
        <w:rPr>
          <w:noProof/>
        </w:rPr>
      </w:pPr>
      <w:r>
        <w:rPr>
          <w:noProof/>
        </w:rPr>
        <w:t>Lors du Conseil de partenariat UE-Arménie de décembre</w:t>
      </w:r>
      <w:r>
        <w:rPr>
          <w:rStyle w:val="FootnoteReference"/>
          <w:noProof/>
        </w:rPr>
        <w:footnoteReference w:id="32"/>
      </w:r>
      <w:r>
        <w:rPr>
          <w:noProof/>
        </w:rPr>
        <w:t xml:space="preserve">, une </w:t>
      </w:r>
      <w:r>
        <w:rPr>
          <w:b/>
          <w:noProof/>
        </w:rPr>
        <w:t>nouvelle initiative régionale</w:t>
      </w:r>
      <w:r>
        <w:rPr>
          <w:noProof/>
        </w:rPr>
        <w:t xml:space="preserve"> a été lancée pour lutter contre les activités de manipulation de l’information et d’ingérence menées depuis l’étranger et la désinformation dans le voisinage oriental en renforçant les capacités de la société civile et des médias indépendants à s’engager dans la communication stratégique et à promouvoir l’éducation aux médias parmi les citoyens. </w:t>
      </w:r>
    </w:p>
    <w:p w14:paraId="2B2F3750" w14:textId="0A2144AC" w:rsidR="00821D91" w:rsidRPr="003805E3" w:rsidRDefault="5216BBF9" w:rsidP="00550FF2">
      <w:pPr>
        <w:pStyle w:val="LegalNumPar"/>
        <w:numPr>
          <w:ilvl w:val="0"/>
          <w:numId w:val="0"/>
        </w:numPr>
        <w:ind w:left="476"/>
        <w:rPr>
          <w:noProof/>
        </w:rPr>
      </w:pPr>
      <w:r>
        <w:rPr>
          <w:noProof/>
        </w:rPr>
        <w:t xml:space="preserve">Une </w:t>
      </w:r>
      <w:r>
        <w:rPr>
          <w:b/>
          <w:noProof/>
        </w:rPr>
        <w:t>mesure régionale d’aide exceptionnelle pour les interventions rapides de l’UE</w:t>
      </w:r>
      <w:r>
        <w:rPr>
          <w:noProof/>
        </w:rPr>
        <w:t xml:space="preserve"> a été instituée au début de l’année 2026 pour soutenir les pays partenaires exposés à des menaces hybrides, en particulier en Europe et en Asie centrale, en s’appuyant sur des modèles d’aide efficaces mis au point pour l’Ukraine, tout en continuant à la soutenir. Une aide est déjà apportée à la Moldavie au titre du nouveau cadre. Au moyen de ces initiatives et d’autres actions, l’UE continue de développer une approche englobant l’ensemble de la société en encourageant les partenariats entre les institutions publiques, la société civile, le monde universitaire et les médias, tant au sein des pays que dans l’ensemble de la région, afin de contribuer à garantir une résilience durable face aux menaces hybrides.</w:t>
      </w:r>
      <w:bookmarkEnd w:id="6"/>
    </w:p>
    <w:p w14:paraId="7A5D06D1" w14:textId="3AC8BBAA" w:rsidR="005A5349" w:rsidRPr="003805E3" w:rsidRDefault="00423AFE" w:rsidP="00042192">
      <w:pPr>
        <w:pStyle w:val="LegalNumPar"/>
        <w:numPr>
          <w:ilvl w:val="0"/>
          <w:numId w:val="0"/>
        </w:numPr>
        <w:ind w:left="476"/>
        <w:rPr>
          <w:noProof/>
        </w:rPr>
      </w:pPr>
      <w:r>
        <w:rPr>
          <w:noProof/>
        </w:rPr>
        <w:t xml:space="preserve">En Moldavie, l’UE a apporté une capacité d’intervention rapide en matière de cybersécurité et de sécurité intérieure (y compris par la fourniture d’équipements appropriés). Au cours des récents </w:t>
      </w:r>
      <w:r>
        <w:rPr>
          <w:b/>
          <w:noProof/>
        </w:rPr>
        <w:t>cycles électoraux</w:t>
      </w:r>
      <w:r>
        <w:rPr>
          <w:noProof/>
        </w:rPr>
        <w:t>, cette capacité d’intervention rapide a joué un rôle déterminant dans la protection des processus démocratiques du pays contre les ingérences hybrides. En outre, l’UE a mobilisé des moyens d’intervention rapide pour soutenir les médias indépendants et continue d’œuvrer au renforcement des capacités de communication stratégique de la Moldavie.</w:t>
      </w:r>
    </w:p>
    <w:p w14:paraId="0760CCC6" w14:textId="0BC95AE3" w:rsidR="008974C4" w:rsidRPr="003805E3" w:rsidRDefault="7F392090" w:rsidP="00042192">
      <w:pPr>
        <w:pStyle w:val="LegalNumPar"/>
        <w:numPr>
          <w:ilvl w:val="0"/>
          <w:numId w:val="0"/>
        </w:numPr>
        <w:ind w:left="476"/>
        <w:rPr>
          <w:noProof/>
        </w:rPr>
      </w:pPr>
      <w:r>
        <w:rPr>
          <w:noProof/>
        </w:rPr>
        <w:t>Toujours en Moldavie, l’UE soutient les efforts nationaux visant à protéger les processus démocratiques du pays contre l’ingérence russe, notamment par l’activité d’une nouvelle plateforme régionale de l’Observatoire européen des médias numériques (EDMO), qui aide la Moldavie et d’autres pays à détecter et à analyser les campagnes de manipulation et de désinformation, en particulier la désinformation russe.</w:t>
      </w:r>
    </w:p>
    <w:p w14:paraId="5ACE596E" w14:textId="740EA798" w:rsidR="00A973B8" w:rsidRPr="003805E3" w:rsidRDefault="00A973B8" w:rsidP="00042192">
      <w:pPr>
        <w:pStyle w:val="LegalNumPar"/>
        <w:numPr>
          <w:ilvl w:val="0"/>
          <w:numId w:val="0"/>
        </w:numPr>
        <w:ind w:left="476"/>
        <w:rPr>
          <w:noProof/>
        </w:rPr>
      </w:pPr>
      <w:r>
        <w:rPr>
          <w:noProof/>
        </w:rPr>
        <w:t>Grâce à des mesures d’intervention rapide, l’UE soutient la résilience de l’Ukraine face à la guerre d’agression menée par la Russie et aux menaces hybrides, en renforçant notamment la sécurité et la sûreté intérieures et civiles ainsi que les capacités de communication stratégique du pays.</w:t>
      </w:r>
    </w:p>
    <w:p w14:paraId="6AD813F0" w14:textId="77777777" w:rsidR="00821D91" w:rsidRPr="003805E3" w:rsidRDefault="00821D91" w:rsidP="00821D91">
      <w:pPr>
        <w:pStyle w:val="Heading2"/>
        <w:rPr>
          <w:noProof/>
        </w:rPr>
      </w:pPr>
      <w:r>
        <w:rPr>
          <w:noProof/>
        </w:rPr>
        <w:t>Lutter contre la criminalité organisée et les trafics</w:t>
      </w:r>
    </w:p>
    <w:p w14:paraId="2AA76B4E" w14:textId="0B6592CC" w:rsidR="00821D91" w:rsidRPr="003805E3" w:rsidRDefault="0BFFAAD8" w:rsidP="00757858">
      <w:pPr>
        <w:pStyle w:val="LegalNumPar"/>
        <w:numPr>
          <w:ilvl w:val="0"/>
          <w:numId w:val="0"/>
        </w:numPr>
        <w:ind w:left="476"/>
        <w:rPr>
          <w:noProof/>
        </w:rPr>
      </w:pPr>
      <w:r>
        <w:rPr>
          <w:noProof/>
        </w:rPr>
        <w:t>La Commission, en coopération avec l’Institut interrégional de recherche des Nations unies sur la criminalité et la justice (UNICRI), a fourni un soutien juridique et stratégique en matière de dépistage, de saisie et de confiscation des avoirs d’origine criminelle. Elle a contribué aux réformes législatives (notamment en Ukraine et en Moldavie), encouragé la réutilisation, au bénéfice de la société, des avoirs d’origine criminelle confisqués et renforcé les compétences des praticiens grâce à la formation et au mentorat fondé sur des cas concrets. Dans le cadre du projet régional «Formation et partenariat opérationnel contre la criminalité organisée» (TOPCOP II), le CEPOL</w:t>
      </w:r>
      <w:r>
        <w:rPr>
          <w:rStyle w:val="FootnoteReference"/>
          <w:noProof/>
        </w:rPr>
        <w:footnoteReference w:id="33"/>
      </w:r>
      <w:r>
        <w:rPr>
          <w:noProof/>
        </w:rPr>
        <w:t xml:space="preserve"> a soutenu la coopération structurée et les capacités répressives au moyen d’ateliers et de formations sur la gestion opérationnelle, le renseignement de source ouverte, le trafic de migrants et la contrefaçon. Le réseau de soutien de l’</w:t>
      </w:r>
      <w:r>
        <w:rPr>
          <w:b/>
          <w:noProof/>
        </w:rPr>
        <w:t>EMPACT</w:t>
      </w:r>
      <w:r>
        <w:rPr>
          <w:rStyle w:val="FootnoteReference"/>
          <w:noProof/>
        </w:rPr>
        <w:footnoteReference w:id="34"/>
      </w:r>
      <w:r>
        <w:rPr>
          <w:noProof/>
        </w:rPr>
        <w:t>,</w:t>
      </w:r>
      <w:r>
        <w:rPr>
          <w:b/>
          <w:noProof/>
        </w:rPr>
        <w:t xml:space="preserve"> </w:t>
      </w:r>
      <w:r>
        <w:rPr>
          <w:noProof/>
        </w:rPr>
        <w:t>composé d’experts d’Europol et de l’Agence européenne de garde-frontières et de garde-côtes (Frontex), a soutenu le développement du renseignement stratégique, en introduisant des approches analytiques avancées et de nouvelles sources de données telles que les renseignements sur les déplacements. En partenariat avec Europol, dans le cadre du projet financé par l’UE consacré à la lutte contre la criminalité organisée dans les pays du Partenariat oriental, la Commission a continué d’intégrer davantage les partenaires orientaux dans l’EMPACT, en renforçant les capacités opérationnelles, en répondant aux principales priorités en matière de criminalité, y compris la cybercriminalité, et en soutenant les enquêtes sur les crimes de guerre en Ukraine.</w:t>
      </w:r>
    </w:p>
    <w:p w14:paraId="463D7DCF" w14:textId="18459685" w:rsidR="00EB7717" w:rsidRPr="003805E3" w:rsidRDefault="000875E1" w:rsidP="00933F09">
      <w:pPr>
        <w:pStyle w:val="LegalNumPar"/>
        <w:numPr>
          <w:ilvl w:val="0"/>
          <w:numId w:val="0"/>
        </w:numPr>
        <w:ind w:left="476"/>
        <w:rPr>
          <w:noProof/>
        </w:rPr>
      </w:pPr>
      <w:r>
        <w:rPr>
          <w:noProof/>
        </w:rPr>
        <w:t xml:space="preserve">Par l’intermédiaire de l’EUAM Ukraine, l’UE a continué d’aider les autorités ukrainiennes à renforcer la coopération interadministrations et les capacités d’analyse afin de </w:t>
      </w:r>
      <w:r>
        <w:rPr>
          <w:b/>
          <w:noProof/>
        </w:rPr>
        <w:t>lutter contre la grande criminalité organisée, d’améliorer la gestion intégrée des frontières</w:t>
      </w:r>
      <w:r>
        <w:rPr>
          <w:noProof/>
        </w:rPr>
        <w:t xml:space="preserve"> conformément aux normes de l’UE, d’optimiser la coordination transfrontière avec les pays voisins et de s’attaquer au trafic illicite d’armes à feu au moyen d’un renforcement ciblé des capacités et de conseils stratégiques. L’EUAM Ukraine a soutenu la coordination opérationnelle transfrontière au moyen de réunions trilatérales trimestrielles entre les autorités frontalières et douanières ukrainiennes, roumaines et moldaves, contribuant ainsi à renforcer la coopération contre la criminalité organisée transfrontière.</w:t>
      </w:r>
    </w:p>
    <w:p w14:paraId="180C5279" w14:textId="411BC4DC" w:rsidR="008603CD" w:rsidRPr="003805E3" w:rsidRDefault="3C2BCEF3" w:rsidP="00757858">
      <w:pPr>
        <w:pStyle w:val="LegalNumPar"/>
        <w:numPr>
          <w:ilvl w:val="0"/>
          <w:numId w:val="0"/>
        </w:numPr>
        <w:ind w:left="476"/>
        <w:rPr>
          <w:noProof/>
        </w:rPr>
      </w:pPr>
      <w:r>
        <w:rPr>
          <w:noProof/>
        </w:rPr>
        <w:t>Dans le cadre de la mise en œuvre de la stratégie de l’Union en matière de drogue</w:t>
      </w:r>
      <w:r>
        <w:rPr>
          <w:rStyle w:val="FootnoteReference"/>
          <w:noProof/>
        </w:rPr>
        <w:footnoteReference w:id="35"/>
      </w:r>
      <w:r>
        <w:rPr>
          <w:noProof/>
        </w:rPr>
        <w:t>, qui énonce que la Commission étudiera les possibilités de coopération avec les pays candidats en matière de sûreté portuaire, la Commission a invité, entre autres pays tiers, l’Ukraine et la Moldavie en qualité d’observateurs à son atelier d’experts sur la sûreté portuaire dans les petits ports maritimes et les ports intérieurs organisé en février 2026 dans le cadre du partenariat public-privé (PPP) de l’alliance des ports européens. En outre, la Commission a partagé ses points de vue sur la sûreté portuaire issus du PPP de l’alliance des ports européens lors d’une réunion d’experts de la Commission du Danube en avril 2026.</w:t>
      </w:r>
    </w:p>
    <w:p w14:paraId="127E7111" w14:textId="51254E37" w:rsidR="00EE34DA" w:rsidRPr="003805E3" w:rsidRDefault="00EE34DA" w:rsidP="00550FF2">
      <w:pPr>
        <w:pStyle w:val="Heading1"/>
        <w:ind w:firstLine="0"/>
        <w:rPr>
          <w:noProof/>
        </w:rPr>
      </w:pPr>
      <w:r>
        <w:rPr>
          <w:noProof/>
        </w:rPr>
        <w:t>Pilier 2: croissance et prospérité grâce à une meilleure connectivité</w:t>
      </w:r>
    </w:p>
    <w:p w14:paraId="3F31B0A2" w14:textId="1512DDF5" w:rsidR="003709A2" w:rsidRPr="003805E3" w:rsidRDefault="6C9D6EFD" w:rsidP="00EC56D5">
      <w:pPr>
        <w:pStyle w:val="LegalNumPar"/>
        <w:numPr>
          <w:ilvl w:val="0"/>
          <w:numId w:val="0"/>
        </w:numPr>
        <w:ind w:left="476"/>
        <w:rPr>
          <w:noProof/>
        </w:rPr>
      </w:pPr>
      <w:r>
        <w:rPr>
          <w:noProof/>
        </w:rPr>
        <w:t xml:space="preserve">La stratégie de la mer Noire a adopté le programme de connectivité transrégional en tant qu’initiative stratégique à long terme visant à faciliter la diversification des routes commerciales pour s’éloigner des dépendances à haut risque, en rendant la connectivité plus intégrée, plus rentable et plus rapide. Conformément à la stratégie, la Commission a fait progresser les efforts visant à renforcer le commerce, les investissements et la connectivité. Le programme phare de connectivité transrégionale est essentiel pour stimuler la compétitivité des économies des pays de la mer Noire et approfondir l’intégration régionale. </w:t>
      </w:r>
    </w:p>
    <w:p w14:paraId="1AB07664" w14:textId="77777777" w:rsidR="008453EA" w:rsidRPr="003805E3" w:rsidRDefault="008453EA" w:rsidP="006327D3">
      <w:pPr>
        <w:pStyle w:val="Heading2"/>
        <w:rPr>
          <w:noProof/>
        </w:rPr>
      </w:pPr>
      <w:bookmarkStart w:id="7" w:name="_Toc203139511"/>
      <w:r>
        <w:rPr>
          <w:noProof/>
        </w:rPr>
        <w:t>Renforcer la connectivité et la sécurité énergétique</w:t>
      </w:r>
      <w:bookmarkEnd w:id="7"/>
    </w:p>
    <w:p w14:paraId="3B7BEBCA" w14:textId="3B74E87F" w:rsidR="003B3343" w:rsidRPr="003805E3" w:rsidRDefault="00101CE3" w:rsidP="00D14C53">
      <w:pPr>
        <w:pStyle w:val="LegalNumPar"/>
        <w:numPr>
          <w:ilvl w:val="0"/>
          <w:numId w:val="0"/>
        </w:numPr>
        <w:ind w:left="476"/>
        <w:rPr>
          <w:noProof/>
        </w:rPr>
      </w:pPr>
      <w:r>
        <w:rPr>
          <w:noProof/>
        </w:rPr>
        <w:t xml:space="preserve">Le dialogue politique soutenu a débouché sur un soutien politique fort en faveur du programme de connectivité transrégionale entre les pays partenaires et les États membres de l’UE, mobilisant les parties prenantes autour de la nécessité de coordonner et d’accélérer la mise en œuvre d’actions concrètes. Grâce à des efforts conjoints, cette initiative phare a bien progressé dans la formalisation d’une coopération régionale structurée assortie de priorités claires. </w:t>
      </w:r>
    </w:p>
    <w:p w14:paraId="1C118472" w14:textId="46FED26E" w:rsidR="003B3343" w:rsidRPr="003805E3" w:rsidRDefault="003B3343" w:rsidP="00F62A15">
      <w:pPr>
        <w:pStyle w:val="TextboxHeading"/>
        <w:keepNext/>
        <w:keepLines/>
        <w:jc w:val="center"/>
        <w:rPr>
          <w:noProof/>
        </w:rPr>
      </w:pPr>
      <w:r>
        <w:rPr>
          <w:noProof/>
        </w:rPr>
        <w:t>INITIATIVE PHARE 2: programme de connectivité</w:t>
      </w:r>
    </w:p>
    <w:p w14:paraId="19F4DFFA" w14:textId="22022D81" w:rsidR="00354ACC" w:rsidRPr="003805E3" w:rsidRDefault="3725AC78" w:rsidP="00E8224C">
      <w:pPr>
        <w:pStyle w:val="Textboxbodytext"/>
        <w:keepLines/>
        <w:rPr>
          <w:noProof/>
        </w:rPr>
      </w:pPr>
      <w:r>
        <w:rPr>
          <w:noProof/>
        </w:rPr>
        <w:t xml:space="preserve">En tant que point de passage essentiel reliant l’Europe à la Turquie, au Caucase du Sud, à l’Asie centrale et au-delà, la région de la mer Noire joue un rôle clé dans la sécurité européenne et mondiale, le commerce international, l’énergie, les matières premières critiques et la sécurité alimentaire. La région dispose d’un important potentiel inexploité pour le développement économique et est traversée par des voies de transit stratégiques. Le renforcement de la coopération régionale et la consolidation des liens économiques devraient contribuer à la compétitivité de la région et de l’UE. À cette fin, le programme de connectivité vise à exploiter pleinement le potentiel du corridor de transport transcaspien dans le domaine des transports, y compris la facilitation des échanges, et à améliorer les liaisons énergétiques et numériques. Depuis l’adoption de la stratégie, la Commission s’est employée à déployer cette initiative phare. Des progrès significatifs ont été accomplis en ce qui concerne l’amélioration et la coordination de la planification des investissements à l’appui du programme de connectivité: </w:t>
      </w:r>
    </w:p>
    <w:p w14:paraId="760D55CB" w14:textId="0B2B672B" w:rsidR="00354ACC" w:rsidRPr="003805E3" w:rsidRDefault="23DAB362" w:rsidP="00757858">
      <w:pPr>
        <w:pStyle w:val="Textboxbodytext"/>
        <w:numPr>
          <w:ilvl w:val="0"/>
          <w:numId w:val="46"/>
        </w:numPr>
        <w:ind w:left="357" w:hanging="357"/>
        <w:rPr>
          <w:rFonts w:eastAsia="Arial"/>
          <w:noProof/>
        </w:rPr>
      </w:pPr>
      <w:r>
        <w:rPr>
          <w:noProof/>
        </w:rPr>
        <w:t xml:space="preserve">La Commission a publié une </w:t>
      </w:r>
      <w:r>
        <w:rPr>
          <w:b/>
          <w:noProof/>
        </w:rPr>
        <w:t>méta-étude en février 2026</w:t>
      </w:r>
      <w:r>
        <w:rPr>
          <w:noProof/>
        </w:rPr>
        <w:t xml:space="preserve"> afin de consolider les recommandations sur les investissements prioritaires et les réformes réglementaires</w:t>
      </w:r>
      <w:r>
        <w:rPr>
          <w:i/>
          <w:noProof/>
        </w:rPr>
        <w:t xml:space="preserve"> </w:t>
      </w:r>
      <w:r>
        <w:rPr>
          <w:noProof/>
        </w:rPr>
        <w:t>nécessaires à la mise en œuvre opérationnelle du programme de connectivité. Cette analyse complète, réalisée dans le cadre du programme EU4Digital</w:t>
      </w:r>
      <w:r>
        <w:rPr>
          <w:rStyle w:val="FootnoteReference"/>
          <w:noProof/>
        </w:rPr>
        <w:footnoteReference w:id="36"/>
      </w:r>
      <w:r>
        <w:rPr>
          <w:noProof/>
        </w:rPr>
        <w:t>, a passé en revue de multiples études et plus de 200 projets d’investissement en cours ou prévus, et a recensé les domaines dans lesquels des investissements sont nécessaires pour renforcer les transports, le commerce, l’énergie et les connexions numériques le long du corridor de transport transcaspien. L’analyse met en évidence les principaux tronçons du corridor où les infrastructures des pays voisins font défaut, sont obsolètes ou ne sont pas adaptées aux volumes actuels, fournissant ainsi une base de référence stratégique pour définir, en collaboration avec les pays partenaires et les institutions financières internationales (IFI), les priorités d’investissement. Des orientations pratiques sur les investissements et les mesures réglementaires nécessaires («connectivité douce») donneront aux gouvernements et au secteur privé une vision claire des domaines dans lesquels leurs capitaux peuvent faire la plus grande différence dans la construction d’infrastructures modernes et fiables.</w:t>
      </w:r>
    </w:p>
    <w:p w14:paraId="4D8DBCF4" w14:textId="1BFFD3BD" w:rsidR="008F36C3" w:rsidRPr="003805E3" w:rsidRDefault="3EEBB945" w:rsidP="00425D46">
      <w:pPr>
        <w:pStyle w:val="Textboxbodytext"/>
        <w:keepLines/>
        <w:numPr>
          <w:ilvl w:val="0"/>
          <w:numId w:val="46"/>
        </w:numPr>
        <w:ind w:left="357" w:hanging="357"/>
        <w:rPr>
          <w:rFonts w:eastAsia="Arial"/>
          <w:noProof/>
        </w:rPr>
      </w:pPr>
      <w:r>
        <w:rPr>
          <w:noProof/>
        </w:rPr>
        <w:t>S’appuyant sur les conclusions de la réunion ministérielle sur la sécurité et la connectivité transrégionales qui s’est tenue en octobre 2025</w:t>
      </w:r>
      <w:r>
        <w:rPr>
          <w:rStyle w:val="FootnoteReference"/>
          <w:noProof/>
        </w:rPr>
        <w:footnoteReference w:id="37"/>
      </w:r>
      <w:r>
        <w:rPr>
          <w:noProof/>
        </w:rPr>
        <w:t xml:space="preserve">, la Commission a intensifié son engagement bilatéral au moyen d’une série de </w:t>
      </w:r>
      <w:r>
        <w:rPr>
          <w:b/>
          <w:noProof/>
        </w:rPr>
        <w:t>missions techniques de haut niveau dans des pays partenaires</w:t>
      </w:r>
      <w:r>
        <w:rPr>
          <w:noProof/>
        </w:rPr>
        <w:t>, dont la Turquie, l’Arménie et l’Azerbaïdjan. Ces échanges visent à renforcer la coopération en matière de stabilité et de connectivité régionales, y compris les investissements prioritaires.</w:t>
      </w:r>
    </w:p>
    <w:p w14:paraId="28D97034" w14:textId="5B87C614" w:rsidR="00354ACC" w:rsidRPr="003805E3" w:rsidRDefault="1E33C105" w:rsidP="00F62A15">
      <w:pPr>
        <w:pStyle w:val="Textboxbodytext"/>
        <w:numPr>
          <w:ilvl w:val="0"/>
          <w:numId w:val="2"/>
        </w:numPr>
        <w:rPr>
          <w:noProof/>
        </w:rPr>
      </w:pPr>
      <w:r>
        <w:rPr>
          <w:noProof/>
        </w:rPr>
        <w:t xml:space="preserve">En consultation avec les pays partenaires, la Commission a conçu une </w:t>
      </w:r>
      <w:r>
        <w:rPr>
          <w:b/>
          <w:noProof/>
        </w:rPr>
        <w:t>plateforme de coordination</w:t>
      </w:r>
      <w:r>
        <w:rPr>
          <w:noProof/>
        </w:rPr>
        <w:t>, qui se concentrera sur les pays partenaires de la mer Noire et du Caucase du Sud et fonctionnera en synergie avec le cadre de coopération existant englobant l’Asie centrale. Tant les acteurs du secteur public que ceux du secteur privé ont confirmé la nécessité d’un tel mécanisme de coordination lors du forum des investisseurs consacré au corridor de transport transcaspien et à la connectivité qui s’est tenu à Tachkent en novembre 2025</w:t>
      </w:r>
      <w:r>
        <w:rPr>
          <w:rStyle w:val="FootnoteReference"/>
          <w:noProof/>
        </w:rPr>
        <w:footnoteReference w:id="38"/>
      </w:r>
      <w:r>
        <w:rPr>
          <w:noProof/>
        </w:rPr>
        <w:t xml:space="preserve">. La plateforme du programme de connectivité, lancée le 23 juin 2026, orientera les efforts collectifs, optimisera les réserves de projets et garantira l’efficacité des initiatives de connectivité matérielle et immatérielle. </w:t>
      </w:r>
    </w:p>
    <w:p w14:paraId="183EC0C3" w14:textId="61CAE677" w:rsidR="00D51F34" w:rsidRPr="003805E3" w:rsidRDefault="37996B24" w:rsidP="00757858">
      <w:pPr>
        <w:pStyle w:val="LegalNumPar"/>
        <w:keepLines/>
        <w:numPr>
          <w:ilvl w:val="0"/>
          <w:numId w:val="0"/>
        </w:numPr>
        <w:shd w:val="clear" w:color="auto" w:fill="FFFFFF" w:themeFill="background1"/>
        <w:ind w:left="476"/>
        <w:rPr>
          <w:noProof/>
        </w:rPr>
      </w:pPr>
      <w:r>
        <w:rPr>
          <w:noProof/>
        </w:rPr>
        <w:t xml:space="preserve">Les récents accords multilatéraux ont renforcé la connectivité et la sûreté maritime. En </w:t>
      </w:r>
      <w:r>
        <w:rPr>
          <w:noProof/>
          <w:shd w:val="clear" w:color="auto" w:fill="FFFFFF" w:themeFill="background1"/>
        </w:rPr>
        <w:t xml:space="preserve">décembre, la Grèce, la Bulgarie et la Roumanie </w:t>
      </w:r>
      <w:r>
        <w:rPr>
          <w:noProof/>
        </w:rPr>
        <w:t xml:space="preserve">ont mis en place </w:t>
      </w:r>
      <w:r>
        <w:rPr>
          <w:noProof/>
          <w:shd w:val="clear" w:color="auto" w:fill="FFFFFF" w:themeFill="background1"/>
        </w:rPr>
        <w:t>la plateforme du corridor mer Noire – mer Égée</w:t>
      </w:r>
      <w:r>
        <w:rPr>
          <w:rStyle w:val="FootnoteReference"/>
          <w:noProof/>
        </w:rPr>
        <w:footnoteReference w:id="39"/>
      </w:r>
      <w:r>
        <w:rPr>
          <w:noProof/>
          <w:shd w:val="clear" w:color="auto" w:fill="FFFFFF" w:themeFill="background1"/>
        </w:rPr>
        <w:t xml:space="preserve">. </w:t>
      </w:r>
      <w:r>
        <w:rPr>
          <w:noProof/>
        </w:rPr>
        <w:t xml:space="preserve">En mars 2026, la Roumanie, la Moldavie et l’Ukraine ont accepté de continuer à collaborer sur le plan d’action pour le Danube 2.0, créé dans le cadre de </w:t>
      </w:r>
      <w:r>
        <w:rPr>
          <w:b/>
          <w:noProof/>
        </w:rPr>
        <w:t>l’initiative de la Commission européenne relative aux corridors de solidarité</w:t>
      </w:r>
      <w:r>
        <w:rPr>
          <w:rStyle w:val="FootnoteReference"/>
          <w:noProof/>
        </w:rPr>
        <w:footnoteReference w:id="40"/>
      </w:r>
      <w:r>
        <w:rPr>
          <w:noProof/>
        </w:rPr>
        <w:t>.</w:t>
      </w:r>
      <w:r>
        <w:rPr>
          <w:b/>
          <w:i/>
          <w:noProof/>
        </w:rPr>
        <w:t xml:space="preserve"> </w:t>
      </w:r>
      <w:r>
        <w:rPr>
          <w:noProof/>
        </w:rPr>
        <w:t>Cette initiative optimise la sécurité de la navigation, la communication portuaire et l’échange d’informations et atténue les perturbations du trafic mer Noire – Danube. Afin de soutenir le fonctionnement des corridors de solidarité, le MIE a fourni un financement supplémentaire en 2025</w:t>
      </w:r>
      <w:r>
        <w:rPr>
          <w:rStyle w:val="FootnoteReference"/>
          <w:noProof/>
        </w:rPr>
        <w:footnoteReference w:id="41"/>
      </w:r>
      <w:r>
        <w:rPr>
          <w:noProof/>
        </w:rPr>
        <w:t>. La réhabilitation des chemins de fer et des routes est facilitée en Moldavie dans le cadre des projets «Global Gateway»</w:t>
      </w:r>
      <w:r>
        <w:rPr>
          <w:rStyle w:val="FootnoteReference"/>
          <w:noProof/>
        </w:rPr>
        <w:footnoteReference w:id="42"/>
      </w:r>
      <w:r>
        <w:rPr>
          <w:noProof/>
        </w:rPr>
        <w:t>. La mise en œuvre de projets d’infrastructure dans le cadre du RTE-T élargi</w:t>
      </w:r>
      <w:r>
        <w:rPr>
          <w:rStyle w:val="FootnoteReference"/>
          <w:noProof/>
        </w:rPr>
        <w:footnoteReference w:id="43"/>
      </w:r>
      <w:r>
        <w:rPr>
          <w:noProof/>
        </w:rPr>
        <w:t xml:space="preserve"> devrait également contribuer à libérer tout le potentiel économique du corridor de transport transcaspien. Le plan d’action indicatif d’investissements dans le RTE-T a été mis à jour en décembre 2025 pour la Moldavie et l’Ukraine. </w:t>
      </w:r>
    </w:p>
    <w:p w14:paraId="24AE01BD" w14:textId="297C02A3" w:rsidR="005755C9" w:rsidRPr="003805E3" w:rsidRDefault="228B8FF5" w:rsidP="00757858">
      <w:pPr>
        <w:pStyle w:val="LegalNumPar"/>
        <w:numPr>
          <w:ilvl w:val="0"/>
          <w:numId w:val="0"/>
        </w:numPr>
        <w:ind w:left="476"/>
        <w:rPr>
          <w:noProof/>
        </w:rPr>
      </w:pPr>
      <w:r>
        <w:rPr>
          <w:noProof/>
        </w:rPr>
        <w:t>Plusieurs projets d’interconnexion électrique entre l’UE et l’Ukraine et la Géorgie ont été inclus dans la deuxième liste de projets d’intérêt commun et de projets d’intérêt mutuel</w:t>
      </w:r>
      <w:r>
        <w:rPr>
          <w:rStyle w:val="FootnoteReference"/>
          <w:noProof/>
        </w:rPr>
        <w:footnoteReference w:id="44"/>
      </w:r>
      <w:r>
        <w:rPr>
          <w:noProof/>
        </w:rPr>
        <w:t xml:space="preserve"> (PIC/PIM) au titre du règlement sur les réseaux transeuropéens d’énergie (RTE-E)</w:t>
      </w:r>
      <w:r>
        <w:rPr>
          <w:rStyle w:val="FootnoteReference"/>
          <w:noProof/>
        </w:rPr>
        <w:footnoteReference w:id="45"/>
      </w:r>
      <w:r>
        <w:rPr>
          <w:noProof/>
        </w:rPr>
        <w:t>. Par l’intermédiaire du groupe à haut niveau sur la connexion énergétique pour l’Europe centrale et du Sud-Est</w:t>
      </w:r>
      <w:r>
        <w:rPr>
          <w:rStyle w:val="FootnoteReference"/>
          <w:noProof/>
        </w:rPr>
        <w:footnoteReference w:id="46"/>
      </w:r>
      <w:r>
        <w:rPr>
          <w:noProof/>
        </w:rPr>
        <w:t xml:space="preserve">, la Commission continue de promouvoir l’intégration énergétique régionale, en maintenant la surveillance des projets prioritaires en Ukraine, en Moldavie, en Roumanie et en Bulgarie. </w:t>
      </w:r>
    </w:p>
    <w:p w14:paraId="5989385F" w14:textId="6262CABE" w:rsidR="00DF2B0F" w:rsidRPr="003805E3" w:rsidRDefault="476A4252" w:rsidP="00757858">
      <w:pPr>
        <w:pStyle w:val="LegalNumPar"/>
        <w:numPr>
          <w:ilvl w:val="0"/>
          <w:numId w:val="0"/>
        </w:numPr>
        <w:ind w:left="476"/>
        <w:rPr>
          <w:noProof/>
        </w:rPr>
      </w:pPr>
      <w:r>
        <w:rPr>
          <w:noProof/>
        </w:rPr>
        <w:t>En mars, la 12</w:t>
      </w:r>
      <w:r>
        <w:rPr>
          <w:noProof/>
          <w:vertAlign w:val="superscript"/>
        </w:rPr>
        <w:t>e</w:t>
      </w:r>
      <w:r>
        <w:rPr>
          <w:noProof/>
        </w:rPr>
        <w:t> réunion ministérielle du conseil consultatif sur le corridor gazier sud-européen</w:t>
      </w:r>
      <w:r>
        <w:rPr>
          <w:rStyle w:val="FootnoteReference"/>
          <w:noProof/>
        </w:rPr>
        <w:footnoteReference w:id="47"/>
      </w:r>
      <w:r>
        <w:rPr>
          <w:noProof/>
        </w:rPr>
        <w:t xml:space="preserve"> et la 4</w:t>
      </w:r>
      <w:r>
        <w:rPr>
          <w:noProof/>
          <w:vertAlign w:val="superscript"/>
        </w:rPr>
        <w:t>e</w:t>
      </w:r>
      <w:r>
        <w:rPr>
          <w:noProof/>
        </w:rPr>
        <w:t> réunion ministérielle du conseil consultatif sur l’énergie verte, qui se sont tenues à Bakou, en Azerbaïdjan, ont mis en évidence de nouvelles possibilités de coopération en matière d’énergie propre et de connectivité énergétique régionale dans le Caucase du Sud. Des représentants des gouvernements partenaires, de grandes entreprises du secteur de l’énergie, des organismes de réglementation et des IFI ont souligné le rôle crucial du corridor gazier sud-européen dans les efforts déployés par l’UE pour diversifier ses sources d’approvisionnement et réduire sa dépendance à l’égard des importations de gaz russe. En marge de la réunion ministérielle, la table ronde de haut niveau UE-Azerbaïdjan sur les investissements dans la connectivité verte a contribué à traduire la politique en possibilités d’investissement dans les trois corridors d’énergie verte, ainsi que dans les infrastructures de réseau et de transport d’électricité, les énergies renouvelables, l’efficacité énergétique et l’énergie éolienne en mer.</w:t>
      </w:r>
    </w:p>
    <w:p w14:paraId="4285666F" w14:textId="17C41A97" w:rsidR="005755C9" w:rsidRPr="003805E3" w:rsidRDefault="6209BFBB" w:rsidP="00757858">
      <w:pPr>
        <w:pStyle w:val="LegalNumPar"/>
        <w:numPr>
          <w:ilvl w:val="0"/>
          <w:numId w:val="0"/>
        </w:numPr>
        <w:ind w:left="476"/>
        <w:rPr>
          <w:noProof/>
        </w:rPr>
      </w:pPr>
      <w:r>
        <w:rPr>
          <w:noProof/>
        </w:rPr>
        <w:t>La Commission a lancé la troisième phase du programme régional EU4Energy</w:t>
      </w:r>
      <w:r>
        <w:rPr>
          <w:rStyle w:val="FootnoteReference"/>
          <w:noProof/>
        </w:rPr>
        <w:footnoteReference w:id="48"/>
      </w:r>
      <w:r>
        <w:rPr>
          <w:noProof/>
        </w:rPr>
        <w:t xml:space="preserve"> en janvier 2026, en mettant davantage l’accent sur l’amélioration de la connectivité énergétique régionale et de la coordination des cadres réglementaires. Ces travaux soutiennent directement les mesures de la stratégie de la mer Noire visant à </w:t>
      </w:r>
      <w:r>
        <w:rPr>
          <w:b/>
          <w:noProof/>
        </w:rPr>
        <w:t>combler les lacunes des cadres réglementaires</w:t>
      </w:r>
      <w:r>
        <w:rPr>
          <w:noProof/>
        </w:rPr>
        <w:t xml:space="preserve"> et à améliorer la convergence des cadres réglementaires et des codes de réseau. </w:t>
      </w:r>
    </w:p>
    <w:p w14:paraId="2CD6C1F3" w14:textId="0B7A7D97" w:rsidR="0018220C" w:rsidRPr="003805E3" w:rsidRDefault="03A76CC1" w:rsidP="00757858">
      <w:pPr>
        <w:pStyle w:val="LegalNumPar"/>
        <w:numPr>
          <w:ilvl w:val="0"/>
          <w:numId w:val="0"/>
        </w:numPr>
        <w:ind w:left="476"/>
        <w:rPr>
          <w:noProof/>
        </w:rPr>
      </w:pPr>
      <w:r>
        <w:rPr>
          <w:noProof/>
        </w:rPr>
        <w:t xml:space="preserve">Avec l’adoption </w:t>
      </w:r>
      <w:r>
        <w:rPr>
          <w:b/>
          <w:noProof/>
        </w:rPr>
        <w:t>de la stratégie portuaire européenne et de la stratégie maritime industrielle de l’UE</w:t>
      </w:r>
      <w:r>
        <w:rPr>
          <w:rStyle w:val="FootnoteReference"/>
          <w:noProof/>
        </w:rPr>
        <w:footnoteReference w:id="49"/>
      </w:r>
      <w:r>
        <w:rPr>
          <w:noProof/>
        </w:rPr>
        <w:t>, la Commission a fourni les outils dont ont besoin les secteurs européens du transport maritime et de la construction navale pour mener la transition vers une énergie propre, sécuriser le commerce et la défense et rester compétitifs à l’échelle mondiale. Pour atteindre ces objectifs, la Commission soutient des projets d’efficacité énergétique à grande échelle, par exemple dans le port de Constanta.</w:t>
      </w:r>
    </w:p>
    <w:p w14:paraId="7F68DACF" w14:textId="316A7550" w:rsidR="00D336D0" w:rsidRPr="003805E3" w:rsidRDefault="472F471F" w:rsidP="00757858">
      <w:pPr>
        <w:pStyle w:val="LegalNumPar"/>
        <w:numPr>
          <w:ilvl w:val="0"/>
          <w:numId w:val="0"/>
        </w:numPr>
        <w:ind w:left="476"/>
        <w:rPr>
          <w:noProof/>
        </w:rPr>
      </w:pPr>
      <w:r>
        <w:rPr>
          <w:noProof/>
        </w:rPr>
        <w:t>Avec le soutien du programme Interreg NEXT «Bassin de la mer Noire»</w:t>
      </w:r>
      <w:r>
        <w:rPr>
          <w:rStyle w:val="FootnoteReference"/>
          <w:noProof/>
        </w:rPr>
        <w:footnoteReference w:id="50"/>
      </w:r>
      <w:r>
        <w:rPr>
          <w:noProof/>
        </w:rPr>
        <w:t xml:space="preserve">, la Bulgarie, la Turquie et la Géorgie coopèrent pour </w:t>
      </w:r>
      <w:r>
        <w:rPr>
          <w:b/>
          <w:noProof/>
        </w:rPr>
        <w:t>améliorer les performances dans le secteur de la logistique</w:t>
      </w:r>
      <w:r>
        <w:rPr>
          <w:noProof/>
        </w:rPr>
        <w:t>. À la fin de l’année 2027, le projet BSB-LOGINET</w:t>
      </w:r>
      <w:r>
        <w:rPr>
          <w:rStyle w:val="FootnoteReference"/>
          <w:noProof/>
        </w:rPr>
        <w:footnoteReference w:id="51"/>
      </w:r>
      <w:r>
        <w:rPr>
          <w:noProof/>
        </w:rPr>
        <w:t>, lancé récemment, vise à mettre en place un portail transfrontière d’échange d’informations logistiques.</w:t>
      </w:r>
    </w:p>
    <w:p w14:paraId="267218DF" w14:textId="421D3CF0" w:rsidR="00C73CEE" w:rsidRPr="003805E3" w:rsidRDefault="3F981D42" w:rsidP="00757858">
      <w:pPr>
        <w:pStyle w:val="LegalNumPar"/>
        <w:numPr>
          <w:ilvl w:val="0"/>
          <w:numId w:val="0"/>
        </w:numPr>
        <w:ind w:left="476"/>
        <w:rPr>
          <w:noProof/>
        </w:rPr>
      </w:pPr>
      <w:r>
        <w:rPr>
          <w:noProof/>
        </w:rPr>
        <w:t>Dans le prolongement du sommet UE-Asie centrale (avril 2025)</w:t>
      </w:r>
      <w:r>
        <w:rPr>
          <w:rStyle w:val="FootnoteReference"/>
          <w:noProof/>
        </w:rPr>
        <w:footnoteReference w:id="52"/>
      </w:r>
      <w:r>
        <w:rPr>
          <w:noProof/>
        </w:rPr>
        <w:t xml:space="preserve">, l’UE apporte un soutien pour remédier aux goulets d’étranglement dans les ports de la mer Noire et de la mer Caspienne et réduire les coûts de transit, contribuant ainsi à accroître les volumes d’échanges conformément à l’objectif de la stratégie de la mer Noire consistant à </w:t>
      </w:r>
      <w:r>
        <w:rPr>
          <w:b/>
          <w:noProof/>
        </w:rPr>
        <w:t>approfondir la coopération dans le domaine des matières premières critiques</w:t>
      </w:r>
      <w:r>
        <w:rPr>
          <w:noProof/>
        </w:rPr>
        <w:t xml:space="preserve"> et à sécuriser les chaînes d’approvisionnement. L’Arménie bénéficie actuellement d’un soutien au titre de la facilité pour les matières premières critiques (MPC)</w:t>
      </w:r>
      <w:r>
        <w:rPr>
          <w:rStyle w:val="FootnoteReference"/>
          <w:noProof/>
          <w:lang w:val="en-IE"/>
        </w:rPr>
        <w:footnoteReference w:id="53"/>
      </w:r>
      <w:r>
        <w:rPr>
          <w:noProof/>
        </w:rPr>
        <w:t xml:space="preserve"> cofinancée par l’UE. Ce dispositif vise à renforcer les partenariats mondiaux et à promouvoir les projets internationaux visant à mettre en place des chaînes de valeur durables et résilientes pour les MPC. L’Ukraine et les pays d’Asie centrale ont signé des partenariats avec l’UE dans le domaine des MPC et ont accès à cette facilité. Il restera essentiel de diversifier les voies d’importation et de sécuriser les chaînes d’approvisionnement dans l’ensemble de la mer Noire. Parallèlement, l’UE soutient les initiatives d’économie circulaire afin de gérer la demande.</w:t>
      </w:r>
    </w:p>
    <w:p w14:paraId="046DC76F" w14:textId="3203B066" w:rsidR="002346E3" w:rsidRPr="003805E3" w:rsidRDefault="005A17BD" w:rsidP="00757858">
      <w:pPr>
        <w:pStyle w:val="LegalNumPar"/>
        <w:numPr>
          <w:ilvl w:val="0"/>
          <w:numId w:val="0"/>
        </w:numPr>
        <w:ind w:left="476"/>
        <w:rPr>
          <w:noProof/>
        </w:rPr>
      </w:pPr>
      <w:r>
        <w:rPr>
          <w:noProof/>
        </w:rPr>
        <w:t xml:space="preserve">Conformément aux efforts déployés pour </w:t>
      </w:r>
      <w:r>
        <w:rPr>
          <w:b/>
          <w:noProof/>
        </w:rPr>
        <w:t>faire progresser les liaisons numériques et créer un environnement numérique fiable</w:t>
      </w:r>
      <w:r>
        <w:rPr>
          <w:noProof/>
        </w:rPr>
        <w:t xml:space="preserve">, la Commission organisera un sommet numérique sur le programme de connectivité au cours du second semestre de 2026. Le sommet inaugural devrait réunir des ministres, des dirigeants d’entreprises numériques et les principaux investisseurs du secteur privé provenant de l’ensemble de l’UE et des pays partenaires en vue d’un échange de haut niveau sur l’avenir de la connectivité numérique régionale. Il servira de plateforme pour favoriser la coopération sur les technologies émergentes, la cybersécurité et les infrastructures numériques fiables. </w:t>
      </w:r>
    </w:p>
    <w:p w14:paraId="5D419EC8" w14:textId="77777777" w:rsidR="008453EA" w:rsidRPr="003805E3" w:rsidRDefault="008453EA" w:rsidP="008453EA">
      <w:pPr>
        <w:pStyle w:val="Heading2"/>
        <w:rPr>
          <w:noProof/>
        </w:rPr>
      </w:pPr>
      <w:bookmarkStart w:id="8" w:name="_Toc203139512"/>
      <w:r>
        <w:rPr>
          <w:noProof/>
        </w:rPr>
        <w:t>Un développement intégré pour une région de la mer Noire compétitive</w:t>
      </w:r>
      <w:bookmarkEnd w:id="8"/>
    </w:p>
    <w:p w14:paraId="4B25EE56" w14:textId="1D8A68DC" w:rsidR="000D53D7" w:rsidRPr="003805E3" w:rsidRDefault="398F1C16" w:rsidP="005F1D4A">
      <w:pPr>
        <w:pStyle w:val="LegalNumPar"/>
        <w:numPr>
          <w:ilvl w:val="0"/>
          <w:numId w:val="0"/>
        </w:numPr>
        <w:ind w:left="476"/>
        <w:rPr>
          <w:noProof/>
        </w:rPr>
      </w:pPr>
      <w:r>
        <w:rPr>
          <w:noProof/>
        </w:rPr>
        <w:t>Des avancées importantes ont été réalisées en 2025 en ce qui concerne la mise en œuvre du programme maritime commun pour la mer Noire</w:t>
      </w:r>
      <w:r>
        <w:rPr>
          <w:rStyle w:val="FootnoteReference"/>
          <w:noProof/>
        </w:rPr>
        <w:footnoteReference w:id="54"/>
      </w:r>
      <w:r>
        <w:rPr>
          <w:noProof/>
        </w:rPr>
        <w:t xml:space="preserve">, renforçant ainsi </w:t>
      </w:r>
      <w:r>
        <w:rPr>
          <w:b/>
          <w:noProof/>
        </w:rPr>
        <w:t>l’action conjointe en faveur du développement durable de l’économie bleue</w:t>
      </w:r>
      <w:r>
        <w:rPr>
          <w:noProof/>
        </w:rPr>
        <w:t xml:space="preserve"> sous la coordination de l’Ukraine. Parmi les principales réalisations figurent les travaux opérationnels du mécanisme d’assistance de la mer Noire et des pôles nationaux visant à offrir un soutien pratique pour atteindre les objectifs de l’économie bleue, tels que le rassemblement de la communauté régionale de l’économie bleue lors de la conférence des parties prenantes du programme maritime commun à Constanta, l’amélioration de l’accès au financement, l’échange de bonnes pratiques et le soutien au développement de projets. Des événements nationaux, consacrés notamment à la connectivité maritime (Bulgarie) et à l’aquaculture durable (Turquie), ont sensibilisé les acteurs locaux. Le groupe technique sur l’aquaculture a proposé un programme commun de suivi de l’activité aquacole. Le groupe technique sur le tourisme durable a achevé sa première année complète de fonctionnement, posant les bases d’une vision régionale à long terme pour un tourisme durable qui relierait le patrimoine culturel, l’innovation et le développement local. Dans l’ensemble de ses activités, le programme maritime commun a encouragé l’alignement des actions menées dans la région de la mer Noire sur les priorités plus larges de l’UE, notamment la mission «Restaurer notre océan et notre milieu aquatique» de l’UE et le pacte européen pour l’Océan. </w:t>
      </w:r>
    </w:p>
    <w:p w14:paraId="7DB85192" w14:textId="3589FEFC" w:rsidR="00476FC6" w:rsidRPr="003805E3" w:rsidRDefault="4805BA1F" w:rsidP="005F1D4A">
      <w:pPr>
        <w:pStyle w:val="LegalNumPar"/>
        <w:numPr>
          <w:ilvl w:val="0"/>
          <w:numId w:val="0"/>
        </w:numPr>
        <w:ind w:left="476"/>
        <w:rPr>
          <w:noProof/>
        </w:rPr>
      </w:pPr>
      <w:r>
        <w:rPr>
          <w:noProof/>
        </w:rPr>
        <w:t xml:space="preserve">Afin de faciliter la </w:t>
      </w:r>
      <w:r>
        <w:rPr>
          <w:b/>
          <w:noProof/>
        </w:rPr>
        <w:t>coopération au niveau des bassins maritimes</w:t>
      </w:r>
      <w:r>
        <w:rPr>
          <w:noProof/>
        </w:rPr>
        <w:t xml:space="preserve"> en matière de planification de l’espace maritime, la Commission a lancé un appel à propositions en janvier</w:t>
      </w:r>
      <w:r>
        <w:rPr>
          <w:b/>
          <w:i/>
          <w:noProof/>
        </w:rPr>
        <w:t xml:space="preserve"> </w:t>
      </w:r>
      <w:r>
        <w:rPr>
          <w:noProof/>
        </w:rPr>
        <w:t>2026, financé au titre du Fonds européen pour les affaires maritimes, la pêche et l’aquaculture</w:t>
      </w:r>
      <w:r>
        <w:rPr>
          <w:rStyle w:val="FootnoteReference"/>
          <w:noProof/>
        </w:rPr>
        <w:footnoteReference w:id="55"/>
      </w:r>
      <w:r>
        <w:rPr>
          <w:noProof/>
        </w:rPr>
        <w:t xml:space="preserve">. L’objectif de cet appel est de mettre au point des solutions innovantes pour les États membres de l’UE dans l’Atlantique et la mer Noire afin de relever les défis liés à la mise en œuvre, au suivi et à la révision de leurs plans issus de la planification de l’espace maritime. </w:t>
      </w:r>
    </w:p>
    <w:p w14:paraId="2CC3F2A0" w14:textId="6804E8AA" w:rsidR="00310D02" w:rsidRPr="003805E3" w:rsidRDefault="5ED955A5" w:rsidP="005F1D4A">
      <w:pPr>
        <w:pStyle w:val="LegalNumPar"/>
        <w:numPr>
          <w:ilvl w:val="0"/>
          <w:numId w:val="0"/>
        </w:numPr>
        <w:ind w:left="476"/>
        <w:rPr>
          <w:noProof/>
        </w:rPr>
      </w:pPr>
      <w:r>
        <w:rPr>
          <w:noProof/>
        </w:rPr>
        <w:t xml:space="preserve">Afin de </w:t>
      </w:r>
      <w:r>
        <w:rPr>
          <w:b/>
          <w:noProof/>
        </w:rPr>
        <w:t>garantir une utilisation durable des ressources marines</w:t>
      </w:r>
      <w:r>
        <w:rPr>
          <w:noProof/>
        </w:rPr>
        <w:t>, la Commission continue de travailler en étroite collaboration avec la Commission générale des pêches pour la Méditerranée</w:t>
      </w:r>
      <w:r>
        <w:rPr>
          <w:rStyle w:val="FootnoteReference"/>
          <w:noProof/>
        </w:rPr>
        <w:footnoteReference w:id="56"/>
      </w:r>
      <w:r>
        <w:rPr>
          <w:noProof/>
        </w:rPr>
        <w:t xml:space="preserve"> (CGPM), en mettant l’accent sur la durabilité au moyen de limites de capture et de plans de gestion pour des espèces clés telles que le turbot et le sprat. L’UE joue un rôle essentiel dans le contrôle du respect des règles, en luttant contre la pêche illicite dans le cadre de la stratégie 2030 de la CGPM. Une étape clé a été franchie lors de la session annuelle de la CGPM de 2025, lorsque le groupe de travail sur la mer Noire a été élevé au rang d’organe statutaire au sein de la CGPM, reconnaissant ainsi son rôle central de conseil sur la gestion et la conservation régionales des pêches. Pour la première fois, la CGPM a accepté de mettre en place un mécanisme visant à contrôler et à garantir le respect des mesures régionales en matière de pêche</w:t>
      </w:r>
      <w:r>
        <w:rPr>
          <w:rStyle w:val="FootnoteReference"/>
          <w:noProof/>
        </w:rPr>
        <w:footnoteReference w:id="57"/>
      </w:r>
      <w:r>
        <w:rPr>
          <w:noProof/>
        </w:rPr>
        <w:t>. En cas de non-respect des mesures régionales, la CGPM exigera des pays de la mer Méditerranée et de la mer Noire qu’ils remédient aux manquements constatés.</w:t>
      </w:r>
    </w:p>
    <w:p w14:paraId="75369E31" w14:textId="10B132A3" w:rsidR="002F7C32" w:rsidRPr="003805E3" w:rsidRDefault="6D6251E4" w:rsidP="005F1D4A">
      <w:pPr>
        <w:pStyle w:val="LegalNumPar"/>
        <w:numPr>
          <w:ilvl w:val="0"/>
          <w:numId w:val="0"/>
        </w:numPr>
        <w:ind w:left="476"/>
        <w:rPr>
          <w:noProof/>
        </w:rPr>
      </w:pPr>
      <w:r>
        <w:rPr>
          <w:noProof/>
        </w:rPr>
        <w:t xml:space="preserve">L’UE fournit une aide financière importante aux initiatives de la CGPM. Le projet de longue date BlackSea4Fish continue de </w:t>
      </w:r>
      <w:r>
        <w:rPr>
          <w:b/>
          <w:noProof/>
        </w:rPr>
        <w:t>favoriser une collaboration scientifique efficace dans le domaine de la pêche</w:t>
      </w:r>
      <w:r>
        <w:rPr>
          <w:noProof/>
        </w:rPr>
        <w:t>. En soutenant une plateforme opérationnelle multinationale inclusive rassemblant les parties prenantes du secteur de la pêche, ce projet a renforcé l’expertise et les capacités scientifiques nationales et contribue à garantir des conditions de concurrence équitables pour la gestion de la pêche. Ces efforts produisent des résultats mesurables: selon la publication de la CGPM de 2025 intitulée</w:t>
      </w:r>
      <w:r>
        <w:rPr>
          <w:i/>
          <w:iCs/>
          <w:noProof/>
        </w:rPr>
        <w:t xml:space="preserve"> The State of Mediterranean and Black Sea Fisheries</w:t>
      </w:r>
      <w:r>
        <w:rPr>
          <w:rStyle w:val="FootnoteReference"/>
          <w:noProof/>
        </w:rPr>
        <w:footnoteReference w:id="58"/>
      </w:r>
      <w:r>
        <w:rPr>
          <w:noProof/>
        </w:rPr>
        <w:t xml:space="preserve"> (L’état des pêches en Méditerranée et en mer Noire), le pourcentage de stocks surexploités est tombé à 52 %, soit le niveau le plus bas enregistré dans la série chronologique. </w:t>
      </w:r>
    </w:p>
    <w:p w14:paraId="7CDF2DEC" w14:textId="2D03F66A" w:rsidR="0088266A" w:rsidRPr="003805E3" w:rsidRDefault="0088266A" w:rsidP="005F1D4A">
      <w:pPr>
        <w:pStyle w:val="LegalNumPar"/>
        <w:numPr>
          <w:ilvl w:val="0"/>
          <w:numId w:val="0"/>
        </w:numPr>
        <w:ind w:left="476"/>
        <w:rPr>
          <w:noProof/>
        </w:rPr>
      </w:pPr>
      <w:r>
        <w:rPr>
          <w:noProof/>
        </w:rPr>
        <w:t xml:space="preserve">Le </w:t>
      </w:r>
      <w:r>
        <w:rPr>
          <w:b/>
          <w:noProof/>
        </w:rPr>
        <w:t>programme Interreg NEXT «Bassin de la mer Noire»</w:t>
      </w:r>
      <w:r>
        <w:rPr>
          <w:noProof/>
        </w:rPr>
        <w:t xml:space="preserve"> a également contribué </w:t>
      </w:r>
      <w:r>
        <w:rPr>
          <w:b/>
          <w:noProof/>
        </w:rPr>
        <w:t>au développement et à la cohésion dans la région</w:t>
      </w:r>
      <w:r>
        <w:rPr>
          <w:noProof/>
        </w:rPr>
        <w:t xml:space="preserve"> au moyen de projets de coopération plurinationaux auxquels participent des organisations d’Arménie, de Bulgarie, de Géorgie, de Grèce, de Moldavie, de Roumanie, de Turquie et d’Ukraine. Depuis l’adoption de la stratégie, dix projets ont été mis en œuvre pour stimuler l’aquaculture durable et le tourisme côtier et maritime durable, améliorer la planification de l’espace maritime et renforcer la coopération avec d’autres bassins maritimes (voir les projets à l’annexe I). Par exemple, le projet INTERSMARTS est en train de remodeler le tourisme dans le bassin de la mer Noire. En collaboration avec des partenaires de Bulgarie, de Grèce, de Moldavie et de Turquie, ce projet a permis de créer un réseau transfrontière et a remporté en 2025 de multiples prix internationaux pour sa plateforme d’innovation en faveur du tourisme intelligent et de la croissance bleue. Le projet BlueDial a mis en place la plateforme multinationale BlackBlueNET, qui vise à renforcer la gouvernance maritime dans l’ensemble de la région de la mer Noire. </w:t>
      </w:r>
    </w:p>
    <w:p w14:paraId="3D480F86" w14:textId="5F1C9FF9" w:rsidR="00A404B1" w:rsidRPr="003805E3" w:rsidRDefault="5848D2F2" w:rsidP="00757858">
      <w:pPr>
        <w:pStyle w:val="LegalNumPar"/>
        <w:numPr>
          <w:ilvl w:val="0"/>
          <w:numId w:val="0"/>
        </w:numPr>
        <w:ind w:left="476"/>
        <w:rPr>
          <w:noProof/>
        </w:rPr>
      </w:pPr>
      <w:r>
        <w:rPr>
          <w:noProof/>
        </w:rPr>
        <w:t xml:space="preserve">En outre, sous l’effet de la </w:t>
      </w:r>
      <w:r>
        <w:rPr>
          <w:b/>
          <w:noProof/>
        </w:rPr>
        <w:t>communication sur les régions orientales de l’UE limitrophes de la Russie, de la Biélorussie et de l’Ukraine</w:t>
      </w:r>
      <w:r>
        <w:rPr>
          <w:rStyle w:val="FootnoteReference"/>
          <w:noProof/>
        </w:rPr>
        <w:footnoteReference w:id="59"/>
      </w:r>
      <w:r>
        <w:rPr>
          <w:noProof/>
        </w:rPr>
        <w:t xml:space="preserve"> adoptée en février 2026, l’UE a renforcé son soutien à la stabilité, à la prospérité et à la résilience de ses régions</w:t>
      </w:r>
      <w:r>
        <w:rPr>
          <w:b/>
          <w:noProof/>
        </w:rPr>
        <w:t xml:space="preserve"> </w:t>
      </w:r>
      <w:r>
        <w:rPr>
          <w:noProof/>
        </w:rPr>
        <w:t xml:space="preserve">frontalières orientales, y compris le long de la frontière maritime de la Roumanie et de la Bulgarie en mer Noire, en mettant l’accent sur cinq domaines prioritaires. Cette communication s’est accompagnée du premier dialogue politique annuel de haut niveau et du lancement de la </w:t>
      </w:r>
      <w:r>
        <w:rPr>
          <w:b/>
          <w:noProof/>
        </w:rPr>
        <w:t>«facilité EastInvest»</w:t>
      </w:r>
      <w:r>
        <w:rPr>
          <w:noProof/>
        </w:rPr>
        <w:t xml:space="preserve">, une plateforme de financement spécifique qui devrait fournir au moins 28 milliards d’EUR d’investissements privés et publics dans ces régions. </w:t>
      </w:r>
    </w:p>
    <w:p w14:paraId="1E3C2DB8" w14:textId="6FABFD08" w:rsidR="002470A8" w:rsidRPr="003805E3" w:rsidRDefault="00FA5DC6" w:rsidP="00757858">
      <w:pPr>
        <w:pStyle w:val="LegalNumPar"/>
        <w:numPr>
          <w:ilvl w:val="0"/>
          <w:numId w:val="0"/>
        </w:numPr>
        <w:ind w:left="476"/>
        <w:rPr>
          <w:noProof/>
        </w:rPr>
      </w:pPr>
      <w:r>
        <w:rPr>
          <w:noProof/>
        </w:rPr>
        <w:t>Au titre d’</w:t>
      </w:r>
      <w:r>
        <w:rPr>
          <w:b/>
          <w:noProof/>
        </w:rPr>
        <w:t>Horizon Europe</w:t>
      </w:r>
      <w:r>
        <w:rPr>
          <w:noProof/>
        </w:rPr>
        <w:t>, le programme-cadre européen pour la recherche et l’innovation, 205 millions d’EUR ont été alloués à 481 subventions dans la région de la mer Noire au cours de la période de référence. La participation des pays de la mer Noire</w:t>
      </w:r>
      <w:r>
        <w:rPr>
          <w:b/>
          <w:noProof/>
        </w:rPr>
        <w:t xml:space="preserve"> </w:t>
      </w:r>
      <w:r>
        <w:rPr>
          <w:noProof/>
        </w:rPr>
        <w:t xml:space="preserve">témoigne de leur importance pour la recherche et l’innovation européennes. Le réseau opérationnel des bailleurs de fonds (y compris la Bulgarie, la Roumanie, la Géorgie, la Moldavie, la Turquie et l’Ukraine) oriente la coopération régionale dans ce domaine et veille à la mise en œuvre effective du </w:t>
      </w:r>
      <w:r>
        <w:rPr>
          <w:b/>
          <w:noProof/>
        </w:rPr>
        <w:t>programme stratégique de recherche et d’innovation</w:t>
      </w:r>
      <w:r>
        <w:rPr>
          <w:noProof/>
        </w:rPr>
        <w:t xml:space="preserve"> (SRIA) pour la mer Noire. Parmi les faits marquants récents figure le lancement, en décembre 2025, d’appels spécifiques dans le cadre du programme de travail de l’UE «Restaurer notre océan et notre milieu aquatique d’ici à 2030» pour la période 2025-2026. </w:t>
      </w:r>
    </w:p>
    <w:p w14:paraId="4CB826D0" w14:textId="07884E98" w:rsidR="007F63CD" w:rsidRPr="003805E3" w:rsidRDefault="276DDA74" w:rsidP="00757858">
      <w:pPr>
        <w:pStyle w:val="LegalNumPar"/>
        <w:numPr>
          <w:ilvl w:val="0"/>
          <w:numId w:val="0"/>
        </w:numPr>
        <w:ind w:left="476"/>
        <w:rPr>
          <w:noProof/>
        </w:rPr>
      </w:pPr>
      <w:r>
        <w:rPr>
          <w:noProof/>
        </w:rPr>
        <w:t xml:space="preserve">La plateforme </w:t>
      </w:r>
      <w:r>
        <w:rPr>
          <w:b/>
          <w:noProof/>
        </w:rPr>
        <w:t>«jumeau numérique de la mer Noire»</w:t>
      </w:r>
      <w:r>
        <w:rPr>
          <w:noProof/>
        </w:rPr>
        <w:t xml:space="preserve">, lancée en 2025 dans le cadre des projets </w:t>
      </w:r>
      <w:bookmarkStart w:id="9" w:name="_Hlk230185738"/>
      <w:r>
        <w:rPr>
          <w:noProof/>
        </w:rPr>
        <w:t>DOORS</w:t>
      </w:r>
      <w:r>
        <w:rPr>
          <w:rStyle w:val="FootnoteReference"/>
          <w:noProof/>
        </w:rPr>
        <w:footnoteReference w:id="60"/>
      </w:r>
      <w:r>
        <w:rPr>
          <w:noProof/>
        </w:rPr>
        <w:t xml:space="preserve"> et BRIDGE-BS</w:t>
      </w:r>
      <w:r>
        <w:rPr>
          <w:rStyle w:val="FootnoteReference"/>
          <w:noProof/>
        </w:rPr>
        <w:footnoteReference w:id="61"/>
      </w:r>
      <w:bookmarkEnd w:id="9"/>
      <w:r>
        <w:rPr>
          <w:noProof/>
        </w:rPr>
        <w:t xml:space="preserve"> financés par l’UE et mise au point en coopération avec les principales parties prenantes régionales</w:t>
      </w:r>
      <w:r>
        <w:rPr>
          <w:rStyle w:val="FootnoteReference"/>
          <w:noProof/>
        </w:rPr>
        <w:footnoteReference w:id="62"/>
      </w:r>
      <w:r>
        <w:rPr>
          <w:noProof/>
        </w:rPr>
        <w:t>, intègre des données multisources en temps réel et des modèles de dynamique marine améliorés par l’IA. Elle permet aux utilisateurs de prévoir les effets du changement climatique et des facteurs de stress environnementaux, favorisant ainsi une prise de décision plus éclairée et fondée sur des données probantes.</w:t>
      </w:r>
    </w:p>
    <w:p w14:paraId="4D4D261A" w14:textId="2344DE4E" w:rsidR="00655F10" w:rsidRPr="003805E3" w:rsidRDefault="00B31798" w:rsidP="00757858">
      <w:pPr>
        <w:pStyle w:val="Text1"/>
        <w:rPr>
          <w:noProof/>
        </w:rPr>
      </w:pPr>
      <w:r>
        <w:rPr>
          <w:noProof/>
        </w:rPr>
        <w:t>Le Centre commun de recherche (JRC) est un fournisseur essentiel d’orientations méthodologiques et de soutien analytique pour les politiques d’innovation dans la région de la mer Noire, notamment en Ukraine, en Moldavie et en Turquie. En février 2026, un atelier réunissant des représentants des économies de tous les pays candidats a été organisé pour transformer la vision stratégique de la spécialisation intelligente en actions concrètes de coopération transfrontière, en renforçant l’écosystème de l’innovation dans la région et en favorisant son intégration économique avec l’UE.</w:t>
      </w:r>
    </w:p>
    <w:p w14:paraId="3E900888" w14:textId="59E4DBBA" w:rsidR="00EE34DA" w:rsidRPr="003805E3" w:rsidRDefault="00EE34DA" w:rsidP="00432E77">
      <w:pPr>
        <w:pStyle w:val="Heading1"/>
        <w:keepLines/>
        <w:rPr>
          <w:noProof/>
        </w:rPr>
      </w:pPr>
      <w:r>
        <w:rPr>
          <w:noProof/>
        </w:rPr>
        <w:t>Pilier 3: protection de l’environnement, résilience et préparation au changement climatique, protection civile</w:t>
      </w:r>
    </w:p>
    <w:p w14:paraId="677A52FC" w14:textId="3A32CADD" w:rsidR="00173F5C" w:rsidRPr="003805E3" w:rsidRDefault="003268FA" w:rsidP="00757858">
      <w:pPr>
        <w:pStyle w:val="LegalNumPar"/>
        <w:numPr>
          <w:ilvl w:val="0"/>
          <w:numId w:val="0"/>
        </w:numPr>
        <w:ind w:left="476"/>
        <w:rPr>
          <w:rFonts w:eastAsia="Aptos"/>
          <w:noProof/>
        </w:rPr>
      </w:pPr>
      <w:r>
        <w:rPr>
          <w:noProof/>
        </w:rPr>
        <w:t xml:space="preserve">L’UE est engagée en faveur du développement durable et de la préparation dans la région de la mer Noire et renforce la protection de l’environnement, la résilience au changement climatique et la protection civile. </w:t>
      </w:r>
    </w:p>
    <w:p w14:paraId="3405098D" w14:textId="2226D9E2" w:rsidR="008B0C38" w:rsidRPr="003805E3" w:rsidRDefault="000D1147" w:rsidP="00D15E8D">
      <w:pPr>
        <w:pStyle w:val="TextboxHeading"/>
        <w:keepNext/>
        <w:keepLines/>
        <w:jc w:val="center"/>
        <w:rPr>
          <w:noProof/>
        </w:rPr>
      </w:pPr>
      <w:r>
        <w:rPr>
          <w:noProof/>
        </w:rPr>
        <w:t>INITIATIVE PHARE 3: préparation des communautés côtières et des secteurs de l’économie bleue</w:t>
      </w:r>
    </w:p>
    <w:p w14:paraId="404ADA93" w14:textId="3464EF80" w:rsidR="00F52C4A" w:rsidRPr="003805E3" w:rsidRDefault="00B46BC0" w:rsidP="00EA3CD3">
      <w:pPr>
        <w:pStyle w:val="TextboxHeading"/>
        <w:keepLines/>
        <w:rPr>
          <w:b w:val="0"/>
          <w:bCs w:val="0"/>
          <w:noProof/>
        </w:rPr>
      </w:pPr>
      <w:r>
        <w:rPr>
          <w:b w:val="0"/>
          <w:noProof/>
        </w:rPr>
        <w:t>Les communautés côtières de la mer Noire sont confrontées aux effets du changement climatique, à la dégradation de l’environnement et, dans certaines zones, à des menaces pour la sécurité en raison des activités militaires en cours. Ensemble, ces pressions nuisent à la stabilité régionale et mettent à rude épreuve les moyens de subsistance locaux. Parallèlement, le riche patrimoine naturel et culturel de ces régions offre un important potentiel de croissance durable et d’innovation. Afin de contribuer à relever les défis et à saisir les occasions, la Commission a adopté, le 10 juin 2026, deux stratégies spécifiques, l’une pour les îles de l’UE et l’autre pour les communautés côtières de l’UE</w:t>
      </w:r>
      <w:r>
        <w:rPr>
          <w:rStyle w:val="FootnoteReference"/>
          <w:b w:val="0"/>
          <w:bCs w:val="0"/>
          <w:noProof/>
        </w:rPr>
        <w:footnoteReference w:id="63"/>
      </w:r>
      <w:r>
        <w:rPr>
          <w:b w:val="0"/>
          <w:noProof/>
        </w:rPr>
        <w:t>. Dans le cadre de plusieurs projets, des mesures visant à améliorer la préparation sont mises en œuvre sur le terrain.</w:t>
      </w:r>
    </w:p>
    <w:p w14:paraId="77FD7503" w14:textId="2303C928" w:rsidR="00800238" w:rsidRPr="003805E3" w:rsidRDefault="793267C6" w:rsidP="006C6B2D">
      <w:pPr>
        <w:pStyle w:val="LegalNumPar"/>
        <w:numPr>
          <w:ilvl w:val="0"/>
          <w:numId w:val="0"/>
        </w:numPr>
        <w:ind w:left="476"/>
        <w:rPr>
          <w:rFonts w:eastAsia="Aptos"/>
          <w:noProof/>
        </w:rPr>
      </w:pPr>
      <w:r>
        <w:rPr>
          <w:noProof/>
        </w:rPr>
        <w:t xml:space="preserve">L’UE soutient les travaux visant </w:t>
      </w:r>
      <w:r>
        <w:rPr>
          <w:b/>
          <w:noProof/>
        </w:rPr>
        <w:t>à surveiller et à évaluer les dommages environnementaux croissants que la Russie continue d’infliger en conséquence de sa guerre d’agression contre l’Ukraine</w:t>
      </w:r>
      <w:r>
        <w:rPr>
          <w:noProof/>
        </w:rPr>
        <w:t>. En 2025-2026, le projet «European Union for Environmental Monitoring in the Black Sea»</w:t>
      </w:r>
      <w:r>
        <w:rPr>
          <w:rStyle w:val="FootnoteReference"/>
          <w:rFonts w:eastAsia="Aptos"/>
          <w:noProof/>
        </w:rPr>
        <w:footnoteReference w:id="64"/>
      </w:r>
      <w:r>
        <w:rPr>
          <w:noProof/>
        </w:rPr>
        <w:t xml:space="preserve"> (L’Union européenne pour la surveillance environnementale en mer Noire) a consisté à procéder à un échantillonnage afin d’observer les incidences de la marée noire du détroit de Kertch en décembre 2024 et de la destruction du barrage de Nova Kakhovka en juin 2023. Bien que l’échantillonnage soit difficile et limité, l’analyse des données collectées a permis d’obtenir des renseignements sur les effets immédiats et à plus long terme de la guerre sur l’environnement, la santé et l’économie. Une table ronde régionale sur la pollution liée à la guerre, qui s’est tenue en juin 2025 sous la coordination du programme maritime commun par l’Ukraine, visait à recenser les priorités en matière de surveillance et d’atténuation, tout en favorisant la coopération régionale. </w:t>
      </w:r>
    </w:p>
    <w:p w14:paraId="6E1A83C3" w14:textId="359083F6" w:rsidR="003249CE" w:rsidRPr="003805E3" w:rsidRDefault="4CA774BD" w:rsidP="006C6B2D">
      <w:pPr>
        <w:pStyle w:val="LegalNumPar"/>
        <w:numPr>
          <w:ilvl w:val="0"/>
          <w:numId w:val="0"/>
        </w:numPr>
        <w:ind w:left="476"/>
        <w:rPr>
          <w:noProof/>
        </w:rPr>
      </w:pPr>
      <w:r>
        <w:rPr>
          <w:noProof/>
        </w:rPr>
        <w:t xml:space="preserve">L’UE a </w:t>
      </w:r>
      <w:r>
        <w:rPr>
          <w:b/>
          <w:noProof/>
        </w:rPr>
        <w:t>renforcé le partage et l’analyse des données</w:t>
      </w:r>
      <w:r>
        <w:rPr>
          <w:noProof/>
        </w:rPr>
        <w:t xml:space="preserve"> afin d’étendre la surveillance conjointe de l’environnement de la mer Noire. Ses activités comprennent notamment la maintenance de la plateforme Black Sea e-data</w:t>
      </w:r>
      <w:r>
        <w:rPr>
          <w:rStyle w:val="FootnoteReference"/>
          <w:noProof/>
        </w:rPr>
        <w:footnoteReference w:id="65"/>
      </w:r>
      <w:r>
        <w:rPr>
          <w:noProof/>
        </w:rPr>
        <w:t xml:space="preserve"> (plateforme sur les données environnementales de la mer Noire), qui couvre la plupart des descripteurs requis par la directive-cadre «stratégie pour le milieu marin» de l’UE et contient des séries de données pluriannuelles. La désignation de la Moldavie</w:t>
      </w:r>
      <w:r>
        <w:rPr>
          <w:rStyle w:val="FootnoteReference"/>
          <w:rFonts w:eastAsia="Aptos"/>
          <w:noProof/>
        </w:rPr>
        <w:footnoteReference w:id="66"/>
      </w:r>
      <w:r>
        <w:rPr>
          <w:noProof/>
        </w:rPr>
        <w:t xml:space="preserve"> et de l’Ukraine</w:t>
      </w:r>
      <w:r>
        <w:rPr>
          <w:rStyle w:val="FootnoteReference"/>
          <w:rFonts w:eastAsia="Aptos"/>
          <w:noProof/>
        </w:rPr>
        <w:footnoteReference w:id="67"/>
      </w:r>
      <w:r>
        <w:rPr>
          <w:noProof/>
        </w:rPr>
        <w:t xml:space="preserve"> en tant que pays coopérant avec l’Agence européenne pour l’environnement en 2026 marque une nouvelle étape prometteuse dans l’amélioration de la coopération environnementale régionale et de l’UE. La Commission </w:t>
      </w:r>
      <w:r>
        <w:rPr>
          <w:b/>
          <w:noProof/>
        </w:rPr>
        <w:t>a contribué à tirer parti des nouvelles technologies</w:t>
      </w:r>
      <w:r>
        <w:rPr>
          <w:noProof/>
        </w:rPr>
        <w:t xml:space="preserve"> pour relever les défis climatiques et environnementaux. Début 2026, l’aide de l’UE a permis de fournir à l’Ukraine des équipements d’analyse avancés pour évaluer la qualité de l’eau et la présence de microplastiques. Les travaux visant à déployer des techniques innovantes telles que l’analyse et la modélisation de l’ADN environnemental (eDNA) se sont poursuivis. </w:t>
      </w:r>
    </w:p>
    <w:p w14:paraId="68DC54C5" w14:textId="28AD86CA" w:rsidR="00322A69" w:rsidRPr="003805E3" w:rsidRDefault="18A97C62" w:rsidP="006C6B2D">
      <w:pPr>
        <w:pStyle w:val="LegalNumPar"/>
        <w:numPr>
          <w:ilvl w:val="0"/>
          <w:numId w:val="0"/>
        </w:numPr>
        <w:ind w:left="476"/>
        <w:rPr>
          <w:rFonts w:eastAsia="Aptos"/>
          <w:noProof/>
        </w:rPr>
      </w:pPr>
      <w:r>
        <w:rPr>
          <w:noProof/>
        </w:rPr>
        <w:t>Pour·</w:t>
      </w:r>
      <w:r>
        <w:rPr>
          <w:b/>
          <w:noProof/>
        </w:rPr>
        <w:t>renforcer davantage la coopération et la gouvernance régionales en matière d’environnement</w:t>
      </w:r>
      <w:r>
        <w:rPr>
          <w:noProof/>
        </w:rPr>
        <w:t xml:space="preserve">, la Commission a poursuivi ses travaux relatifs à la convention de Bucarest sur la protection de la mer Noire. Le secrétariat permanent de la Commission de la mer Noire a participé activement à la gouvernance de diverses initiatives financées par l’UE. L’objectif stratégique de l’UE d’adhérer à cette convention reste valable. </w:t>
      </w:r>
    </w:p>
    <w:p w14:paraId="64596A82" w14:textId="64BCC9F1" w:rsidR="00D77AB2" w:rsidRPr="003805E3" w:rsidRDefault="77399CDC" w:rsidP="006C6B2D">
      <w:pPr>
        <w:pStyle w:val="LegalNumPar"/>
        <w:numPr>
          <w:ilvl w:val="0"/>
          <w:numId w:val="0"/>
        </w:numPr>
        <w:ind w:left="476"/>
        <w:rPr>
          <w:noProof/>
        </w:rPr>
      </w:pPr>
      <w:r>
        <w:rPr>
          <w:noProof/>
        </w:rPr>
        <w:t xml:space="preserve">La Commission, en coopération avec l’AESM, a continué d’aider les pays partenaires de la mer Noire </w:t>
      </w:r>
      <w:r>
        <w:rPr>
          <w:b/>
          <w:noProof/>
        </w:rPr>
        <w:t>à prévenir et à réduire la pollution marine</w:t>
      </w:r>
      <w:r>
        <w:rPr>
          <w:noProof/>
        </w:rPr>
        <w:t>. En septembre, plusieurs pays de la mer Noire ont participé à un exercice de lutte contre la pollution par les hydrocarbures organisé par la Turquie. L’AESM a mobilisé son navire d’intervention en cas de marée noire «Aktea II» et d’autres équipements spécialisés. L’autorité portuaire maritime ukrainienne a reçu des équipements pour renforcer ses capacités d’intervention d’urgence. L’AESM a également apporté son soutien à la ratification, à la mise en œuvre et à l’application des conventions maritimes internationales ainsi qu’à la mise en œuvre de</w:t>
      </w:r>
      <w:r>
        <w:rPr>
          <w:i/>
          <w:noProof/>
        </w:rPr>
        <w:t xml:space="preserve"> </w:t>
      </w:r>
      <w:r>
        <w:rPr>
          <w:noProof/>
        </w:rPr>
        <w:t xml:space="preserve">l’acquis de l’UE. </w:t>
      </w:r>
    </w:p>
    <w:p w14:paraId="47D8F961" w14:textId="438FB87E" w:rsidR="002962BD" w:rsidRPr="003805E3" w:rsidRDefault="00C812C5" w:rsidP="006C6B2D">
      <w:pPr>
        <w:pStyle w:val="LegalNumPar"/>
        <w:numPr>
          <w:ilvl w:val="0"/>
          <w:numId w:val="0"/>
        </w:numPr>
        <w:ind w:left="476"/>
        <w:rPr>
          <w:noProof/>
        </w:rPr>
      </w:pPr>
      <w:r>
        <w:rPr>
          <w:noProof/>
        </w:rPr>
        <w:t xml:space="preserve">Au total, 34 projets Interreg NEXT «Bassin de la mer Noire» d’une valeur de près de 38 millions d’EUR (environ 34 millions d’EUR de financement de l’UE) contribuant au pilier 3 ont été exécutés ou lancés au cours de la période de référence. Parmi les actions clés figurent: AIRQUEST, qui met au point un système intégré de surveillance de la qualité de l’air dans l’ensemble de la région, combinant la surveillance par satellite et la surveillance terrestre; MACRO CLEAN, qui a publié un guide méthodologique pour la conversion des macroalgues marines en engrais et bioplastiques; et LEARN4SEA, qui a aidé la Bulgarie et la Turquie à mettre en place des centres d’information environnementale. </w:t>
      </w:r>
    </w:p>
    <w:p w14:paraId="585C8105" w14:textId="7BA5A448" w:rsidR="00B356CD" w:rsidRPr="003805E3" w:rsidRDefault="415F11F0" w:rsidP="006C6B2D">
      <w:pPr>
        <w:pStyle w:val="LegalNumPar"/>
        <w:numPr>
          <w:ilvl w:val="0"/>
          <w:numId w:val="0"/>
        </w:numPr>
        <w:ind w:left="476"/>
        <w:rPr>
          <w:noProof/>
        </w:rPr>
      </w:pPr>
      <w:r>
        <w:rPr>
          <w:noProof/>
        </w:rPr>
        <w:t xml:space="preserve">La Commission a consacré des ressources à </w:t>
      </w:r>
      <w:r>
        <w:rPr>
          <w:b/>
          <w:noProof/>
        </w:rPr>
        <w:t>la promotion d’initiatives conjointes qui améliorent la résilience environnementale et climatique, y compris la résilience dans le domaine de l’eau</w:t>
      </w:r>
      <w:r>
        <w:rPr>
          <w:noProof/>
        </w:rPr>
        <w:t>. Au cours de la période 2025-2026, des programmes régionaux tels que EU4Climate Resilience</w:t>
      </w:r>
      <w:r>
        <w:rPr>
          <w:rStyle w:val="FootnoteReference"/>
          <w:noProof/>
        </w:rPr>
        <w:footnoteReference w:id="68"/>
      </w:r>
      <w:r>
        <w:rPr>
          <w:noProof/>
        </w:rPr>
        <w:t xml:space="preserve"> ont mis en avant des solutions fondées sur la nature pour l’adaptation au changement climatique. La ville de Cantemir et la municipalité de Ceadîr-Lunga, en Moldavie, ont reçu des subventions pour des actions pilotes visant à renforcer la résilience locale aux effets climatiques. En Arménie, ces subventions bénéficient aux municipalités de Gavar et de Tashir. Le projet Interreg BRIGHT aide les acteurs locaux en Bulgarie, en Géorgie, en Moldavie et en Turquie à mettre en œuvre des actions en matière d’énergie et de climat conformes aux objectifs climatiques de l’UE à l’horizon 2050. </w:t>
      </w:r>
    </w:p>
    <w:p w14:paraId="525E3464" w14:textId="4612BD2E" w:rsidR="007B15D6" w:rsidRPr="003805E3" w:rsidRDefault="3E787C28" w:rsidP="006C6B2D">
      <w:pPr>
        <w:pStyle w:val="LegalNumPar"/>
        <w:numPr>
          <w:ilvl w:val="0"/>
          <w:numId w:val="0"/>
        </w:numPr>
        <w:ind w:left="476"/>
        <w:rPr>
          <w:rFonts w:eastAsia="Aptos"/>
          <w:noProof/>
        </w:rPr>
      </w:pPr>
      <w:r>
        <w:rPr>
          <w:noProof/>
        </w:rPr>
        <w:t xml:space="preserve">La </w:t>
      </w:r>
      <w:r>
        <w:rPr>
          <w:b/>
          <w:noProof/>
        </w:rPr>
        <w:t>stratégie européenne pour la résilience dans le domaine de l’eau</w:t>
      </w:r>
      <w:r>
        <w:rPr>
          <w:rStyle w:val="FootnoteReference"/>
          <w:rFonts w:eastAsia="Aptos"/>
          <w:noProof/>
        </w:rPr>
        <w:footnoteReference w:id="69"/>
      </w:r>
      <w:r>
        <w:rPr>
          <w:noProof/>
        </w:rPr>
        <w:t xml:space="preserve"> a été adoptée en juin 2025 et a proposé une approche proactive pour restaurer et protéger les cycles de l’eau de la source à la mer, construire une économie intelligente dans le domaine de l’eau et préserver la sécurité de l’eau pour tous afin de garantir la durabilité et la résilience. Un soutien à l’action stratégique sur la résilience dans le domaine de l’eau est fourni, par exemple, par l’intermédiaire du programme EU4Green Recovery East</w:t>
      </w:r>
      <w:r>
        <w:rPr>
          <w:rStyle w:val="FootnoteReference"/>
          <w:rFonts w:eastAsia="Aptos"/>
          <w:noProof/>
        </w:rPr>
        <w:footnoteReference w:id="70"/>
      </w:r>
      <w:r>
        <w:rPr>
          <w:noProof/>
        </w:rPr>
        <w:t>. Ce programme examinera le lien entre l’eau et le climat d’un point de vue transfrontière, en mettant l’accent sur le Caucase du Sud. En outre, le nouveau projet Interreg «Blue &amp; Green Resilience», lancé en mars, aide les villes de la mer Noire à faire face à la pénurie d’eau et aux risques climatiques au moyen de solutions fondées sur la nature et d’une coopération transfrontière renforcée.</w:t>
      </w:r>
    </w:p>
    <w:p w14:paraId="3AFD4E30" w14:textId="04273934" w:rsidR="005F2979" w:rsidRPr="003805E3" w:rsidRDefault="00315D9D" w:rsidP="006C6B2D">
      <w:pPr>
        <w:pStyle w:val="LegalNumPar"/>
        <w:numPr>
          <w:ilvl w:val="0"/>
          <w:numId w:val="0"/>
        </w:numPr>
        <w:ind w:left="476"/>
        <w:rPr>
          <w:noProof/>
        </w:rPr>
      </w:pPr>
      <w:r>
        <w:rPr>
          <w:noProof/>
        </w:rPr>
        <w:t xml:space="preserve">L’UE soutient activement les actions de terrain, telles que </w:t>
      </w:r>
      <w:r>
        <w:rPr>
          <w:b/>
          <w:noProof/>
        </w:rPr>
        <w:t>les opérations de nettoyage et les événements éducatifs</w:t>
      </w:r>
      <w:r>
        <w:rPr>
          <w:noProof/>
        </w:rPr>
        <w:t>. On peut citer, à titre d’exemple, les activités de surveillance des cétacés auxquelles participent des élèves géorgiens, ainsi que le WaterTech Bootcamp en Azerbaïdjan, où de jeunes innovateurs ont présenté leurs solutions pour une gestion durable de l’eau. En Ukraine, une «école du week-end» de la mer Noire a réuni des enfants et des scientifiques pendant quatre mois en 2025, avec 29 diplômes délivrés à l’occasion de la Journée de la mer Noire.</w:t>
      </w:r>
    </w:p>
    <w:p w14:paraId="57622C21" w14:textId="5E429468" w:rsidR="00BF0B69" w:rsidRPr="003805E3" w:rsidRDefault="00774B22" w:rsidP="006C6B2D">
      <w:pPr>
        <w:pStyle w:val="LegalNumPar"/>
        <w:numPr>
          <w:ilvl w:val="0"/>
          <w:numId w:val="0"/>
        </w:numPr>
        <w:ind w:left="476"/>
        <w:rPr>
          <w:noProof/>
        </w:rPr>
      </w:pPr>
      <w:r>
        <w:rPr>
          <w:b/>
          <w:noProof/>
        </w:rPr>
        <w:t>La préparation et la gestion des catastrophes ont progressé</w:t>
      </w:r>
      <w:r>
        <w:rPr>
          <w:noProof/>
        </w:rPr>
        <w:t xml:space="preserve"> conformément à la </w:t>
      </w:r>
      <w:r>
        <w:rPr>
          <w:b/>
          <w:noProof/>
        </w:rPr>
        <w:t>stratégie pour une union de la préparation</w:t>
      </w:r>
      <w:r>
        <w:rPr>
          <w:rStyle w:val="FootnoteReference"/>
          <w:noProof/>
        </w:rPr>
        <w:footnoteReference w:id="71"/>
      </w:r>
      <w:r>
        <w:rPr>
          <w:noProof/>
        </w:rPr>
        <w:t>. La quatrième phase du programme régional de protection civile financé par l’UE dans les pays du partenariat oriental a été lancée en novembre, afin d’améliorer la résilience et les capacités de réaction en cas de catastrophe tout en favorisant l’intégration avec le mécanisme de protection civile de l’Union (MPCU). La Commission a également poursuivi ses efforts bilatéraux de renforcement des capacités afin de soutenir la préparation aux catastrophes et leur prévention: en 2025, ont été menés à bien six projets financés par le MPCU associant des entités turques (dont un dirigé par l’autorité nationale de protection civile, axé sur une approche écosystémique visant à renforcer le partage des connaissances et les bonnes pratiques établissant un lien entre la restauration des écosystèmes, les solutions fondées sur la nature et la prévention et la préparation aux risques de catastrophe), deux impliquant des entités roumaines (dont un dirigé par la protection civile nationale et axé sur le renforcement des capacités pour les opérations de recherche et de sauvetage en cas d’incidents aériens) et un projet moldave (dirigé par l’autorité nationale de protection civile, qui a élaboré une étude de faisabilité pour un système national d’alerte précoce). Un autre projet axé sur l’amélioration de la gestion des inondations à Samsun, un grand port de la mer Noire, est en cours en 2026. En avril 2026, un nouveau projet relevant du MPCU auquel participent la Turquie et la Roumanie, aux côtés de la France, de l’Allemagne, de l’Italie et du Portugal, a été lancé pour protéger le patrimoine culturel des conséquences des catastrophes en utilisant un modèle mobilisant l’ensemble de la société. Dans le contexte de l’approfondissement du partenariat UE-Arménie et dans la perspective du premier sommet UE-Arménie qui s’est tenu à Erevan le 5 mai 2026, l’UE et l’Arménie ont signé un nouvel accord de coopération en matière de protection civile visant à renforcer la résilience face aux catastrophes, la préparation à celles-ci et la coopération en matière d’intervention d’urgence.</w:t>
      </w:r>
    </w:p>
    <w:p w14:paraId="58ED6834" w14:textId="0410CC16" w:rsidR="00A76992" w:rsidRPr="003805E3" w:rsidRDefault="00A76992" w:rsidP="006C6B2D">
      <w:pPr>
        <w:pStyle w:val="LegalNumPar"/>
        <w:numPr>
          <w:ilvl w:val="0"/>
          <w:numId w:val="0"/>
        </w:numPr>
        <w:ind w:left="476"/>
        <w:rPr>
          <w:noProof/>
        </w:rPr>
      </w:pPr>
      <w:r>
        <w:rPr>
          <w:noProof/>
        </w:rPr>
        <w:t>Grâce au MPCU, l’UE a rapidement répondu aux demandes d’aide de la Moldavie et de l’Ukraine. En 2026, l’aide de l’UE a contribué à lutter contre les marées noires dans la rivière transfrontière Dniester/Nistru, une source majeure d’eau potable pour la Moldavie, causées par les attaques de la Russie contre des infrastructures critiques en Ukraine. La contamination de la rivière compromet non seulement l’approvisionnement en eau, mais aussi l’intégrité des écosystèmes aquatiques et la qualité globale de l’eau dans la région. La Roumanie, la Belgique et le Luxembourg ont apporté leur aide en fournissant des matériaux et des équipements absorbants. Des matériaux absorbants ont également été fournis par l’intermédiaire du service des instruments de politique étrangère de l’UE. En outre, le centre de coordination de la réaction d’urgence (ERCC) de l’UE a mobilisé des équipements de protection individuelle provenant de ses stocks stratégiques rescEU hébergés par l’Allemagne et la Pologne et a activé les services d’imagerie satellitaire de l’AESM pour détecter et surveiller les marées noires. En Ukraine, face aux attaques soutenues contre les infrastructures énergétiques, des générateurs et des transformateurs ont été fournis pour renforcer et réparer le réseau électrique. Le transfert de la centrale thermique de Vilnius a été, à ce jour, l’opération logistique la plus importante et la plus complexe dans le cadre du MPCU, fournissant une capacité électrique permettant de desservir, selon les estimations, un million de personnes.</w:t>
      </w:r>
    </w:p>
    <w:p w14:paraId="16DFF2EA" w14:textId="35D10444" w:rsidR="004F352F" w:rsidRPr="003805E3" w:rsidRDefault="004C4890" w:rsidP="006C6B2D">
      <w:pPr>
        <w:pStyle w:val="LegalNumPar"/>
        <w:keepLines/>
        <w:numPr>
          <w:ilvl w:val="0"/>
          <w:numId w:val="0"/>
        </w:numPr>
        <w:ind w:left="476"/>
        <w:rPr>
          <w:noProof/>
        </w:rPr>
      </w:pPr>
      <w:r>
        <w:rPr>
          <w:noProof/>
        </w:rPr>
        <w:t xml:space="preserve">Plusieurs projets Interreg NEXT «Bassin de la mer Noire» ont contribué à la coopération régionale en matière de préparation et de gestion des catastrophes. Dans le cadre d’IMPACT+, un plan commun d’intervention d’urgence a été élaboré pour améliorer la préparation aux situations d’urgence dans les zones rurales et la coordination efficace entre les autorités et les communautés locales. Le projet CO-RESILIENCE a facilité la mise en place, à Çatalca Elbasan en Turquie, d’un centre de formation destiné aux experts et aux volontaires dans le domaine de la lutte contre les incendies de forêt, qui sera essentiel pour renforcer les capacités régionales de prévention des feux de forêt et d’intervention face à ceux-ci. Des investissements similaires sont prévus à Kameno en Bulgarie et à Nestoia en Ukraine, ainsi que par l’intermédiaire d’un centre mobile d’information et de prévention en Moldavie. D’autres projets lancés en 2025, notamment NAT-RES, BSB-BSUAND, RISCARE et ISTROS (voir annexe I), devraient renforcer davantage la résilience et la préparation régionales. </w:t>
      </w:r>
    </w:p>
    <w:p w14:paraId="22620930" w14:textId="0D9ED311" w:rsidR="00A93C4B" w:rsidRPr="003805E3" w:rsidRDefault="00A93C4B" w:rsidP="006C6B2D">
      <w:pPr>
        <w:pStyle w:val="LegalNumPar"/>
        <w:numPr>
          <w:ilvl w:val="0"/>
          <w:numId w:val="0"/>
        </w:numPr>
        <w:ind w:left="476"/>
        <w:rPr>
          <w:noProof/>
        </w:rPr>
      </w:pPr>
      <w:r>
        <w:rPr>
          <w:noProof/>
        </w:rPr>
        <w:t xml:space="preserve">La Commission européenne joue un rôle essentiel dans </w:t>
      </w:r>
      <w:r>
        <w:rPr>
          <w:b/>
          <w:noProof/>
        </w:rPr>
        <w:t>l’intervention en cas d’incidents radiologiques</w:t>
      </w:r>
      <w:r>
        <w:rPr>
          <w:i/>
          <w:noProof/>
        </w:rPr>
        <w:t xml:space="preserve"> </w:t>
      </w:r>
      <w:r>
        <w:rPr>
          <w:noProof/>
        </w:rPr>
        <w:t>au moyen du dispositif d’alerte</w:t>
      </w:r>
      <w:r>
        <w:rPr>
          <w:b/>
          <w:i/>
          <w:noProof/>
        </w:rPr>
        <w:t xml:space="preserve"> </w:t>
      </w:r>
      <w:r>
        <w:rPr>
          <w:noProof/>
        </w:rPr>
        <w:t>précoce du système européen d’échange d’informations en cas d’urgence radiologique (système ECURIE) et de la plateforme d’échange de données radiologiques de l’Union européenne. L’Ukraine et la Turquie participent actuellement à la plateforme d’échange de données radiologiques de l’UE et l’Ukraine devrait rejoindre le système ECURIE en 2026.</w:t>
      </w:r>
    </w:p>
    <w:p w14:paraId="6377C5A5" w14:textId="2F64D423" w:rsidR="00EE34DA" w:rsidRPr="003805E3" w:rsidRDefault="007272BE" w:rsidP="006A1588">
      <w:pPr>
        <w:pStyle w:val="Heading1"/>
        <w:rPr>
          <w:noProof/>
        </w:rPr>
      </w:pPr>
      <w:r>
        <w:rPr>
          <w:noProof/>
        </w:rPr>
        <w:t>Perspectives</w:t>
      </w:r>
    </w:p>
    <w:p w14:paraId="3AE3D5A9" w14:textId="744697B0" w:rsidR="003E2EE7" w:rsidRPr="003805E3" w:rsidRDefault="489670F4" w:rsidP="00757858">
      <w:pPr>
        <w:pStyle w:val="LegalNumPar"/>
        <w:numPr>
          <w:ilvl w:val="0"/>
          <w:numId w:val="0"/>
        </w:numPr>
        <w:ind w:left="476"/>
        <w:rPr>
          <w:noProof/>
        </w:rPr>
      </w:pPr>
      <w:r>
        <w:rPr>
          <w:noProof/>
        </w:rPr>
        <w:t xml:space="preserve">Au cours de la première année de mise en œuvre, la Commission et la haute représentante ont considérablement fait progresser l’engagement de l’UE auprès des pays partenaires de la région de la mer Noire. Cet engagement renforcé était axé sur des intérêts communs, à la fois au moyen de nouvelles initiatives, telles que le programme de connectivité, et de cadres bien établis de coopération régionale, tels que le programme maritime commun pour la mer Noire et le SRIA pour la mer Noire. </w:t>
      </w:r>
    </w:p>
    <w:p w14:paraId="77AFF7BF" w14:textId="79F61265" w:rsidR="003E2EE7" w:rsidRPr="003805E3" w:rsidRDefault="00523A42" w:rsidP="00BE121E">
      <w:pPr>
        <w:pStyle w:val="LegalNumPar"/>
        <w:numPr>
          <w:ilvl w:val="0"/>
          <w:numId w:val="0"/>
        </w:numPr>
        <w:ind w:left="476"/>
        <w:rPr>
          <w:noProof/>
        </w:rPr>
      </w:pPr>
      <w:r>
        <w:rPr>
          <w:noProof/>
        </w:rPr>
        <w:t xml:space="preserve">La région de la mer Noire restera une priorité essentielle de l’UE. Face à l’intensification des pressions géopolitiques, l’UE est déterminée à élaborer une approche commune de la sécurité et de la connectivité dans l’ensemble de la région. </w:t>
      </w:r>
    </w:p>
    <w:p w14:paraId="057B832A" w14:textId="764CB45B" w:rsidR="6FBEB619" w:rsidRPr="003805E3" w:rsidRDefault="2C495379" w:rsidP="00BE121E">
      <w:pPr>
        <w:pStyle w:val="LegalNumPar"/>
        <w:numPr>
          <w:ilvl w:val="0"/>
          <w:numId w:val="0"/>
        </w:numPr>
        <w:ind w:left="476"/>
        <w:rPr>
          <w:rFonts w:eastAsia="Aptos"/>
          <w:noProof/>
        </w:rPr>
      </w:pPr>
      <w:r>
        <w:rPr>
          <w:noProof/>
        </w:rPr>
        <w:t xml:space="preserve">La première réunion ministérielle sur la sécurité et la connectivité transrégionales, qui s’est tenue en octobre 2025, a favorisé la détermination politique et une compréhension commune des intérêts partagés dans une région diversifiée confrontée à des défis géopolitiques importants. Une réunion ministérielle de suivi est prévue pour la fin de 2026 afin de maintenir la forte dynamique politique, d’examiner les progrès accomplis et de convenir des actions prioritaires ultérieures. </w:t>
      </w:r>
    </w:p>
    <w:p w14:paraId="318DE584" w14:textId="0EF8DF3F" w:rsidR="35E8B457" w:rsidRPr="003805E3" w:rsidRDefault="00D605DC" w:rsidP="00757858">
      <w:pPr>
        <w:pStyle w:val="LegalNumPar"/>
        <w:numPr>
          <w:ilvl w:val="0"/>
          <w:numId w:val="0"/>
        </w:numPr>
        <w:ind w:left="476"/>
        <w:rPr>
          <w:noProof/>
          <w:szCs w:val="24"/>
        </w:rPr>
      </w:pPr>
      <w:r>
        <w:rPr>
          <w:noProof/>
        </w:rPr>
        <w:t xml:space="preserve">Les efforts conjoints déployés au titre du pilier 1 «Sécurité, stabilité et résilience» continueront d’être axés sur la lutte contre les menaces hybrides, de renforcer la sûreté et la sécurité maritimes et de protéger les infrastructures critiques et les routes commerciales, dans un contexte d’augmentation des attaques russes contre les infrastructures civiles ukrainiennes, telles que les infrastructures énergétiques, et ses ports de la mer Noire. Dans ce contexte, l’UE aidera les États riverains de la mer Noire à appliquer le concept d’une plateforme régionale pour la sûreté maritime en coordination avec les États membres et les pays partenaires concernés. </w:t>
      </w:r>
    </w:p>
    <w:p w14:paraId="3A87D26C" w14:textId="702CA732" w:rsidR="35E8B457" w:rsidRPr="003805E3" w:rsidRDefault="34ABEE47" w:rsidP="00757858">
      <w:pPr>
        <w:pStyle w:val="LegalNumPar"/>
        <w:numPr>
          <w:ilvl w:val="0"/>
          <w:numId w:val="0"/>
        </w:numPr>
        <w:ind w:left="476"/>
        <w:rPr>
          <w:noProof/>
          <w:szCs w:val="24"/>
        </w:rPr>
      </w:pPr>
      <w:r>
        <w:rPr>
          <w:noProof/>
        </w:rPr>
        <w:t xml:space="preserve">Le pilier 1 garantit que la stratégie de la mer Noire adoptée par l’UE s’inscrit dans un nouveau dosage des politiques européennes qui s’appuie sur </w:t>
      </w:r>
      <w:r>
        <w:rPr>
          <w:noProof/>
          <w:color w:val="0A0A0A"/>
        </w:rPr>
        <w:t>le principe de «préparation dès la conception», contribuant ainsi à la résilience à long terme dans différents secteurs</w:t>
      </w:r>
      <w:r>
        <w:rPr>
          <w:noProof/>
        </w:rPr>
        <w:t>.</w:t>
      </w:r>
      <w:r>
        <w:rPr>
          <w:noProof/>
          <w:color w:val="0A0A0A"/>
        </w:rPr>
        <w:t xml:space="preserve"> </w:t>
      </w:r>
      <w:r>
        <w:rPr>
          <w:noProof/>
        </w:rPr>
        <w:t>Le présent rapport sur la mise en œuvre de la stratégie de la mer Noire s’inscrit dans un contexte dans lequel l’action de l’UE est orientée et rationalisée au moyen de mesures concrètes, guidées par des initiatives telles que le plan d’action relatif à la sûreté des drones et des systèmes antidrones</w:t>
      </w:r>
      <w:r>
        <w:rPr>
          <w:rStyle w:val="FootnoteReference"/>
          <w:noProof/>
        </w:rPr>
        <w:footnoteReference w:id="72"/>
      </w:r>
      <w:r>
        <w:rPr>
          <w:noProof/>
        </w:rPr>
        <w:t>, la communication sur les régions orientales de l’UE limitrophes de la Russie, de la Biélorussie et de l’Ukraine</w:t>
      </w:r>
      <w:r>
        <w:rPr>
          <w:rStyle w:val="FootnoteReference"/>
          <w:noProof/>
        </w:rPr>
        <w:footnoteReference w:id="73"/>
      </w:r>
      <w:r>
        <w:rPr>
          <w:noProof/>
        </w:rPr>
        <w:t>, ou la stratégie portuaire de l’UE</w:t>
      </w:r>
      <w:r>
        <w:rPr>
          <w:rStyle w:val="FootnoteReference"/>
          <w:noProof/>
        </w:rPr>
        <w:footnoteReference w:id="74"/>
      </w:r>
      <w:r>
        <w:rPr>
          <w:noProof/>
        </w:rPr>
        <w:t xml:space="preserve">. À l’avenir, l’UE renforcera ses engagements en matière de sécurité à l’égard de la région de la mer Noire et veillera à la cohérence entre les initiatives prises dans la région en matière de sécurité et de défense. </w:t>
      </w:r>
    </w:p>
    <w:p w14:paraId="3CB1679E" w14:textId="7DF354B0" w:rsidR="35E8B457" w:rsidRPr="003805E3" w:rsidRDefault="35E8B457" w:rsidP="00757858">
      <w:pPr>
        <w:pStyle w:val="LegalNumPar"/>
        <w:numPr>
          <w:ilvl w:val="0"/>
          <w:numId w:val="0"/>
        </w:numPr>
        <w:ind w:left="476"/>
        <w:rPr>
          <w:noProof/>
          <w:color w:val="0A0A0A"/>
        </w:rPr>
      </w:pPr>
      <w:r>
        <w:rPr>
          <w:noProof/>
        </w:rPr>
        <w:t xml:space="preserve">La mise en œuvre de la stratégie de la mer Noire, notamment dans le cadre de son pilier 1, soutient l’objectif plus large de l’UE consistant à </w:t>
      </w:r>
      <w:r>
        <w:rPr>
          <w:noProof/>
          <w:color w:val="0A0A0A"/>
        </w:rPr>
        <w:t>intégrer l’anticipation des crises, la résilience et les capacités d’intervention coordonnées dans son cadre d’action</w:t>
      </w:r>
      <w:r>
        <w:rPr>
          <w:noProof/>
        </w:rPr>
        <w:t>.</w:t>
      </w:r>
      <w:r>
        <w:rPr>
          <w:noProof/>
          <w:color w:val="0A0A0A"/>
        </w:rPr>
        <w:t xml:space="preserve"> Elle contribue également à une approche plus cohérente et intégrée de l’action dans les bassins maritimes entourant l’UE. À l’avenir, des efforts seront déployés pour renforcer la cohérence, notamment en encourageant l’échange d’expériences et de bonnes pratiques entre les bassins de la mer Baltique et de la mer Noire. Une attention particulière sera accordée à la résolution des problèmes posés par la flotte fantôme ne respectant pas les normes, à la protection des infrastructures maritimes critiques et à la lutte contre les menaces hybrides. </w:t>
      </w:r>
    </w:p>
    <w:p w14:paraId="40DD9F4C" w14:textId="2F534294" w:rsidR="006F3F63" w:rsidRPr="003805E3" w:rsidRDefault="006A3001" w:rsidP="00757858">
      <w:pPr>
        <w:pStyle w:val="LegalNumPar"/>
        <w:numPr>
          <w:ilvl w:val="0"/>
          <w:numId w:val="0"/>
        </w:numPr>
        <w:ind w:left="476"/>
        <w:rPr>
          <w:noProof/>
        </w:rPr>
      </w:pPr>
      <w:r>
        <w:rPr>
          <w:noProof/>
        </w:rPr>
        <w:t xml:space="preserve">Dans le cadre du pilier 2 «Croissance et prospérité», la stratégie a présenté les efforts à déployer pour libérer le potentiel économique et renforcer la connectivité, en particulier au moyen de l’initiative phare relative au programme de connectivité transrégionale et du programme maritime commun pour la mer Noire. Ces initiatives sont essentielles pour stimuler les échanges, les investissements et la croissance durable dans l’ensemble de la région. Le programme de connectivité témoigne de la détermination stratégique de l’UE à favoriser la prospérité, la coopération et la stabilité dans les régions de la mer Noire et du Caucase du Sud, ainsi qu’en Asie centrale. La Commission travaille en étroite collaboration avec les pays partenaires et les IFI pour définir et préparer les projets d’infrastructure prioritaires et mobiliser les investissements nécessaires à leur exécution. À cet égard, la plateforme du programme de connectivité, lancée en juin 2026, constituera un mécanisme de coordination essentiel, fournissant une plateforme de développement cohérente pour l’ensemble du corridor de transport transcaspien. La Commission aidera également les États membres à promouvoir la participation du secteur privé par l’intermédiaire de la réserve de projets en préparation. </w:t>
      </w:r>
    </w:p>
    <w:p w14:paraId="7BDFDCF0" w14:textId="282DE595" w:rsidR="00E26964" w:rsidRPr="003805E3" w:rsidRDefault="00E26964" w:rsidP="00E26964">
      <w:pPr>
        <w:pStyle w:val="LegalNumPar"/>
        <w:numPr>
          <w:ilvl w:val="0"/>
          <w:numId w:val="0"/>
        </w:numPr>
        <w:ind w:left="476"/>
        <w:rPr>
          <w:rFonts w:eastAsia="Aptos"/>
          <w:noProof/>
        </w:rPr>
      </w:pPr>
      <w:r>
        <w:rPr>
          <w:noProof/>
        </w:rPr>
        <w:t>Les actions prioritaires comprendront également la promotion des synergies entre la mer Noire et la région du Danube en tant que lien stratégique pour la connectivité, la coopération économique et le développement durable.</w:t>
      </w:r>
    </w:p>
    <w:p w14:paraId="5F39357C" w14:textId="09C9E9DA" w:rsidR="00E0164F" w:rsidRPr="003805E3" w:rsidRDefault="41C1A7CB" w:rsidP="00757858">
      <w:pPr>
        <w:pStyle w:val="LegalNumPar"/>
        <w:numPr>
          <w:ilvl w:val="0"/>
          <w:numId w:val="0"/>
        </w:numPr>
        <w:ind w:left="476"/>
        <w:rPr>
          <w:noProof/>
        </w:rPr>
      </w:pPr>
      <w:r>
        <w:rPr>
          <w:noProof/>
        </w:rPr>
        <w:t>La Bulgarie est devenue le coordinateur du programme maritime commun pour 2026</w:t>
      </w:r>
      <w:r>
        <w:rPr>
          <w:rStyle w:val="FootnoteReference"/>
          <w:noProof/>
        </w:rPr>
        <w:footnoteReference w:id="75"/>
      </w:r>
      <w:r>
        <w:rPr>
          <w:noProof/>
        </w:rPr>
        <w:t xml:space="preserve">, succédant ainsi à l’Ukraine. Les activités à venir et la conférence annuelle des parties prenantes, prévues pour le second semestre de 2026, contribueront à renforcer encore le dialogue stratégique et la coopération régionale en matière de sûreté et de sécurité maritimes, de protection de l’environnement, d’innovation et de développement durable de l’économie bleue de la mer Noire. </w:t>
      </w:r>
    </w:p>
    <w:p w14:paraId="5434C163" w14:textId="6615BE97" w:rsidR="00B72F12" w:rsidRPr="003805E3" w:rsidRDefault="004B45A6" w:rsidP="00757858">
      <w:pPr>
        <w:pStyle w:val="LegalNumPar"/>
        <w:numPr>
          <w:ilvl w:val="0"/>
          <w:numId w:val="0"/>
        </w:numPr>
        <w:ind w:left="476"/>
        <w:rPr>
          <w:noProof/>
        </w:rPr>
      </w:pPr>
      <w:r>
        <w:rPr>
          <w:noProof/>
        </w:rPr>
        <w:t>Dans le cadre du pilier 3 «Protection de l’environnement, résilience et préparation au changement climatique, protection civile», les échanges entre pairs et la coopération en matière de résilience environnementale et climatique ont contribué à trouver des solutions rapides, y compris à la pollution provoquée par la guerre d’agression menée par la Russie. L’UE continuera de travailler en étroite collaboration avec les communautés côtières et de renforcer davantage le soutien qu’elle leur apporte. La Commission mobilisera l’ensemble des instruments à sa disposition pour intensifier l’action coordonnée visant à préserver l’environnement, à renforcer la résilience au changement climatique et à améliorer la préparation et la protection civile dans l’ensemble de la région.</w:t>
      </w:r>
    </w:p>
    <w:p w14:paraId="48E47063" w14:textId="55982FCB" w:rsidR="00DA1486" w:rsidRPr="003805E3" w:rsidRDefault="006E4D2D" w:rsidP="006E4D2D">
      <w:pPr>
        <w:pStyle w:val="LegalNumPar"/>
        <w:numPr>
          <w:ilvl w:val="0"/>
          <w:numId w:val="0"/>
        </w:numPr>
        <w:ind w:left="476"/>
        <w:rPr>
          <w:noProof/>
        </w:rPr>
      </w:pPr>
      <w:r>
        <w:rPr>
          <w:noProof/>
        </w:rPr>
        <w:t xml:space="preserve">L’UE reste fermement déterminée à promouvoir une région de la mer Noire plus sûre, mieux connectée et plus résiliente, dans la mesure où il s’agit d’un enjeu d’intérêt stratégique pour l’UE et ses partenaires, tout en favorisant les possibilités de croissance durable selon une approche mutuellement bénéfique et fondée sur un renforcement réciproque. Dans le contexte de la guerre d’agression menée par la Russie et de l’évolution rapide du contexte géopolitique, la mise en œuvre de la stratégie restera flexible et adaptative, guidée par une évaluation continue des conditions et des défis qui ont une incidence sur son déploiement. Dans le cadre de chacun des trois piliers, les États membres de l’UE et les pays partenaires jouent un rôle clé dans la réalisation des objectifs communs au titre de la stratégie. À l’avenir, la Commission et la haute représentante continueront de donner la priorité au dialogue axé sur les résultats et à l’action conjointe à tous les niveaux de coopération, en mettant clairement l’accent sur l’incidence stratégique, les objectifs communs et l’obtention de résultats tangibles dans la région. </w:t>
      </w:r>
    </w:p>
    <w:p w14:paraId="2965E37E" w14:textId="77777777" w:rsidR="00B115D7" w:rsidRPr="003805E3" w:rsidRDefault="00B115D7" w:rsidP="00DA1486">
      <w:pPr>
        <w:pStyle w:val="Text1"/>
        <w:rPr>
          <w:noProof/>
        </w:rPr>
        <w:sectPr w:rsidR="00B115D7" w:rsidRPr="003805E3" w:rsidSect="00DD744C">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pPr>
    </w:p>
    <w:p w14:paraId="68D058D2" w14:textId="5A9525AC" w:rsidR="00E31AA7" w:rsidRPr="003805E3" w:rsidRDefault="00E430DE" w:rsidP="00F3726D">
      <w:pPr>
        <w:pStyle w:val="AnnexTitle"/>
        <w:rPr>
          <w:noProof/>
        </w:rPr>
      </w:pPr>
      <w:r>
        <w:rPr>
          <w:noProof/>
        </w:rPr>
        <w:t>Grands projets plurinationaux en cours de mise en œuvre dans la région de la mer Noire en 2025-2026</w:t>
      </w:r>
    </w:p>
    <w:tbl>
      <w:tblPr>
        <w:tblStyle w:val="TableGrid"/>
        <w:tblW w:w="14806" w:type="dxa"/>
        <w:tblLayout w:type="fixed"/>
        <w:tblLook w:val="04A0" w:firstRow="1" w:lastRow="0" w:firstColumn="1" w:lastColumn="0" w:noHBand="0" w:noVBand="1"/>
      </w:tblPr>
      <w:tblGrid>
        <w:gridCol w:w="3403"/>
        <w:gridCol w:w="1279"/>
        <w:gridCol w:w="555"/>
        <w:gridCol w:w="567"/>
        <w:gridCol w:w="567"/>
        <w:gridCol w:w="567"/>
        <w:gridCol w:w="567"/>
        <w:gridCol w:w="567"/>
        <w:gridCol w:w="567"/>
        <w:gridCol w:w="567"/>
        <w:gridCol w:w="567"/>
        <w:gridCol w:w="1276"/>
        <w:gridCol w:w="992"/>
        <w:gridCol w:w="2765"/>
      </w:tblGrid>
      <w:tr w:rsidR="00BE29F5" w:rsidRPr="003805E3" w14:paraId="2FCDF223" w14:textId="77777777" w:rsidTr="00FB22F2">
        <w:trPr>
          <w:trHeight w:val="413"/>
          <w:tblHeader/>
        </w:trPr>
        <w:tc>
          <w:tcPr>
            <w:tcW w:w="3403" w:type="dxa"/>
            <w:vMerge w:val="restart"/>
          </w:tcPr>
          <w:p w14:paraId="652575F9" w14:textId="09405C80" w:rsidR="0070624A" w:rsidRPr="003805E3" w:rsidRDefault="0070624A" w:rsidP="00365089">
            <w:pPr>
              <w:pStyle w:val="TableText"/>
              <w:rPr>
                <w:noProof/>
              </w:rPr>
            </w:pPr>
            <w:bookmarkStart w:id="10" w:name="_Hlk230104348"/>
            <w:r>
              <w:rPr>
                <w:b/>
                <w:noProof/>
              </w:rPr>
              <w:t>Intitulé du projet</w:t>
            </w:r>
          </w:p>
        </w:tc>
        <w:tc>
          <w:tcPr>
            <w:tcW w:w="1279" w:type="dxa"/>
            <w:vMerge w:val="restart"/>
          </w:tcPr>
          <w:p w14:paraId="692BAF57" w14:textId="19084512" w:rsidR="0070624A" w:rsidRPr="003805E3" w:rsidRDefault="0070624A" w:rsidP="00365089">
            <w:pPr>
              <w:pStyle w:val="TableText"/>
              <w:rPr>
                <w:noProof/>
              </w:rPr>
            </w:pPr>
            <w:r>
              <w:rPr>
                <w:b/>
                <w:noProof/>
              </w:rPr>
              <w:t xml:space="preserve">Durée </w:t>
            </w:r>
            <w:r>
              <w:rPr>
                <w:noProof/>
              </w:rPr>
              <w:t xml:space="preserve"> </w:t>
            </w:r>
            <w:r>
              <w:rPr>
                <w:noProof/>
              </w:rPr>
              <w:br/>
            </w:r>
            <w:r>
              <w:rPr>
                <w:b/>
                <w:noProof/>
              </w:rPr>
              <w:t>(début – fin, mois.année)</w:t>
            </w:r>
          </w:p>
        </w:tc>
        <w:tc>
          <w:tcPr>
            <w:tcW w:w="5091" w:type="dxa"/>
            <w:gridSpan w:val="9"/>
          </w:tcPr>
          <w:p w14:paraId="4E6AF1B2" w14:textId="40317D3D" w:rsidR="0070624A" w:rsidRPr="003805E3" w:rsidRDefault="0070624A" w:rsidP="009A3708">
            <w:pPr>
              <w:pStyle w:val="TableText"/>
              <w:jc w:val="center"/>
              <w:rPr>
                <w:b/>
                <w:bCs/>
                <w:noProof/>
              </w:rPr>
            </w:pPr>
            <w:r>
              <w:rPr>
                <w:b/>
                <w:noProof/>
              </w:rPr>
              <w:t>Pays du bassin de la mer Noire participant au projet</w:t>
            </w:r>
          </w:p>
        </w:tc>
        <w:tc>
          <w:tcPr>
            <w:tcW w:w="1276" w:type="dxa"/>
            <w:vMerge w:val="restart"/>
          </w:tcPr>
          <w:p w14:paraId="77C72422" w14:textId="5C5C78A4" w:rsidR="0070624A" w:rsidRPr="003805E3" w:rsidRDefault="0070624A" w:rsidP="00365089">
            <w:pPr>
              <w:pStyle w:val="TableText"/>
              <w:rPr>
                <w:noProof/>
              </w:rPr>
            </w:pPr>
            <w:r>
              <w:rPr>
                <w:b/>
                <w:noProof/>
              </w:rPr>
              <w:t>Instrument</w:t>
            </w:r>
          </w:p>
        </w:tc>
        <w:tc>
          <w:tcPr>
            <w:tcW w:w="992" w:type="dxa"/>
            <w:vMerge w:val="restart"/>
          </w:tcPr>
          <w:p w14:paraId="2DC230D4" w14:textId="4CD2868F" w:rsidR="0070624A" w:rsidRPr="003805E3" w:rsidRDefault="0070624A" w:rsidP="009A3708">
            <w:pPr>
              <w:pStyle w:val="TableText"/>
              <w:jc w:val="center"/>
              <w:rPr>
                <w:noProof/>
              </w:rPr>
            </w:pPr>
            <w:r>
              <w:rPr>
                <w:b/>
                <w:noProof/>
              </w:rPr>
              <w:t>Budget (millions d’EUR)</w:t>
            </w:r>
          </w:p>
        </w:tc>
        <w:tc>
          <w:tcPr>
            <w:tcW w:w="2765" w:type="dxa"/>
            <w:vMerge w:val="restart"/>
          </w:tcPr>
          <w:p w14:paraId="0DD7EDE4" w14:textId="7F4E35DD" w:rsidR="0070624A" w:rsidRPr="003805E3" w:rsidRDefault="0070624A" w:rsidP="00365089">
            <w:pPr>
              <w:pStyle w:val="TableText"/>
              <w:rPr>
                <w:noProof/>
              </w:rPr>
            </w:pPr>
            <w:r>
              <w:rPr>
                <w:b/>
                <w:noProof/>
              </w:rPr>
              <w:t>Champ d’application du projet</w:t>
            </w:r>
          </w:p>
        </w:tc>
      </w:tr>
      <w:tr w:rsidR="00FB22F2" w:rsidRPr="003805E3" w14:paraId="27363D87" w14:textId="77777777" w:rsidTr="00FB22F2">
        <w:trPr>
          <w:trHeight w:val="413"/>
        </w:trPr>
        <w:tc>
          <w:tcPr>
            <w:tcW w:w="3403" w:type="dxa"/>
            <w:vMerge/>
          </w:tcPr>
          <w:p w14:paraId="19483FCF" w14:textId="77777777" w:rsidR="0070624A" w:rsidRPr="003805E3" w:rsidRDefault="0070624A" w:rsidP="00365089">
            <w:pPr>
              <w:pStyle w:val="TableText"/>
              <w:rPr>
                <w:noProof/>
              </w:rPr>
            </w:pPr>
          </w:p>
        </w:tc>
        <w:tc>
          <w:tcPr>
            <w:tcW w:w="1279" w:type="dxa"/>
            <w:vMerge/>
          </w:tcPr>
          <w:p w14:paraId="03C4ACD6" w14:textId="77777777" w:rsidR="0070624A" w:rsidRPr="003805E3" w:rsidRDefault="0070624A" w:rsidP="00365089">
            <w:pPr>
              <w:pStyle w:val="TableText"/>
              <w:rPr>
                <w:noProof/>
              </w:rPr>
            </w:pPr>
          </w:p>
        </w:tc>
        <w:tc>
          <w:tcPr>
            <w:tcW w:w="555" w:type="dxa"/>
          </w:tcPr>
          <w:p w14:paraId="2B274FE8" w14:textId="77777777" w:rsidR="0070624A" w:rsidRPr="003805E3" w:rsidRDefault="0070624A" w:rsidP="009A3708">
            <w:pPr>
              <w:pStyle w:val="TableText"/>
              <w:jc w:val="center"/>
              <w:rPr>
                <w:b/>
                <w:bCs/>
                <w:noProof/>
              </w:rPr>
            </w:pPr>
            <w:r>
              <w:rPr>
                <w:b/>
                <w:noProof/>
              </w:rPr>
              <w:t>BG</w:t>
            </w:r>
          </w:p>
        </w:tc>
        <w:tc>
          <w:tcPr>
            <w:tcW w:w="567" w:type="dxa"/>
          </w:tcPr>
          <w:p w14:paraId="1E3139AC" w14:textId="77777777" w:rsidR="0070624A" w:rsidRPr="003805E3" w:rsidRDefault="0070624A" w:rsidP="009A3708">
            <w:pPr>
              <w:pStyle w:val="TableText"/>
              <w:jc w:val="center"/>
              <w:rPr>
                <w:b/>
                <w:bCs/>
                <w:noProof/>
              </w:rPr>
            </w:pPr>
            <w:r>
              <w:rPr>
                <w:b/>
                <w:noProof/>
              </w:rPr>
              <w:t>EL</w:t>
            </w:r>
          </w:p>
        </w:tc>
        <w:tc>
          <w:tcPr>
            <w:tcW w:w="567" w:type="dxa"/>
          </w:tcPr>
          <w:p w14:paraId="617E2C69" w14:textId="77777777" w:rsidR="0070624A" w:rsidRPr="003805E3" w:rsidRDefault="0070624A" w:rsidP="009A3708">
            <w:pPr>
              <w:pStyle w:val="TableText"/>
              <w:jc w:val="center"/>
              <w:rPr>
                <w:b/>
                <w:bCs/>
                <w:noProof/>
              </w:rPr>
            </w:pPr>
            <w:r>
              <w:rPr>
                <w:b/>
                <w:noProof/>
              </w:rPr>
              <w:t>RO</w:t>
            </w:r>
          </w:p>
        </w:tc>
        <w:tc>
          <w:tcPr>
            <w:tcW w:w="567" w:type="dxa"/>
          </w:tcPr>
          <w:p w14:paraId="407AA970" w14:textId="77777777" w:rsidR="0070624A" w:rsidRPr="003805E3" w:rsidRDefault="0070624A" w:rsidP="009A3708">
            <w:pPr>
              <w:pStyle w:val="TableText"/>
              <w:jc w:val="center"/>
              <w:rPr>
                <w:b/>
                <w:bCs/>
                <w:noProof/>
              </w:rPr>
            </w:pPr>
            <w:r>
              <w:rPr>
                <w:b/>
                <w:noProof/>
              </w:rPr>
              <w:t>AM</w:t>
            </w:r>
          </w:p>
        </w:tc>
        <w:tc>
          <w:tcPr>
            <w:tcW w:w="567" w:type="dxa"/>
          </w:tcPr>
          <w:p w14:paraId="3CC2F9BE" w14:textId="77777777" w:rsidR="0070624A" w:rsidRPr="003805E3" w:rsidRDefault="0070624A" w:rsidP="009A3708">
            <w:pPr>
              <w:pStyle w:val="TableText"/>
              <w:jc w:val="center"/>
              <w:rPr>
                <w:b/>
                <w:bCs/>
                <w:noProof/>
              </w:rPr>
            </w:pPr>
            <w:r>
              <w:rPr>
                <w:b/>
                <w:noProof/>
              </w:rPr>
              <w:t>AZ</w:t>
            </w:r>
          </w:p>
        </w:tc>
        <w:tc>
          <w:tcPr>
            <w:tcW w:w="567" w:type="dxa"/>
          </w:tcPr>
          <w:p w14:paraId="1EF3AF83" w14:textId="77777777" w:rsidR="0070624A" w:rsidRPr="003805E3" w:rsidRDefault="0070624A" w:rsidP="009A3708">
            <w:pPr>
              <w:pStyle w:val="TableText"/>
              <w:jc w:val="center"/>
              <w:rPr>
                <w:b/>
                <w:bCs/>
                <w:noProof/>
              </w:rPr>
            </w:pPr>
            <w:r>
              <w:rPr>
                <w:b/>
                <w:noProof/>
              </w:rPr>
              <w:t>GE</w:t>
            </w:r>
          </w:p>
        </w:tc>
        <w:tc>
          <w:tcPr>
            <w:tcW w:w="567" w:type="dxa"/>
          </w:tcPr>
          <w:p w14:paraId="05A104FE" w14:textId="77777777" w:rsidR="0070624A" w:rsidRPr="003805E3" w:rsidRDefault="0070624A" w:rsidP="009A3708">
            <w:pPr>
              <w:pStyle w:val="TableText"/>
              <w:jc w:val="center"/>
              <w:rPr>
                <w:b/>
                <w:bCs/>
                <w:noProof/>
              </w:rPr>
            </w:pPr>
            <w:r>
              <w:rPr>
                <w:b/>
                <w:noProof/>
              </w:rPr>
              <w:t>MD</w:t>
            </w:r>
          </w:p>
        </w:tc>
        <w:tc>
          <w:tcPr>
            <w:tcW w:w="567" w:type="dxa"/>
          </w:tcPr>
          <w:p w14:paraId="0D4933EE" w14:textId="77777777" w:rsidR="0070624A" w:rsidRPr="003805E3" w:rsidRDefault="0070624A" w:rsidP="009A3708">
            <w:pPr>
              <w:pStyle w:val="TableText"/>
              <w:jc w:val="center"/>
              <w:rPr>
                <w:b/>
                <w:bCs/>
                <w:noProof/>
              </w:rPr>
            </w:pPr>
            <w:r>
              <w:rPr>
                <w:b/>
                <w:noProof/>
              </w:rPr>
              <w:t>TR</w:t>
            </w:r>
          </w:p>
        </w:tc>
        <w:tc>
          <w:tcPr>
            <w:tcW w:w="567" w:type="dxa"/>
          </w:tcPr>
          <w:p w14:paraId="4C59F904" w14:textId="77777777" w:rsidR="0070624A" w:rsidRPr="003805E3" w:rsidRDefault="0070624A" w:rsidP="009A3708">
            <w:pPr>
              <w:pStyle w:val="TableText"/>
              <w:jc w:val="center"/>
              <w:rPr>
                <w:b/>
                <w:bCs/>
                <w:noProof/>
              </w:rPr>
            </w:pPr>
            <w:r>
              <w:rPr>
                <w:b/>
                <w:noProof/>
              </w:rPr>
              <w:t>UA</w:t>
            </w:r>
          </w:p>
        </w:tc>
        <w:tc>
          <w:tcPr>
            <w:tcW w:w="1276" w:type="dxa"/>
            <w:vMerge/>
          </w:tcPr>
          <w:p w14:paraId="32B2FA33" w14:textId="77777777" w:rsidR="0070624A" w:rsidRPr="003805E3" w:rsidRDefault="0070624A" w:rsidP="00365089">
            <w:pPr>
              <w:pStyle w:val="TableText"/>
              <w:rPr>
                <w:noProof/>
              </w:rPr>
            </w:pPr>
          </w:p>
        </w:tc>
        <w:tc>
          <w:tcPr>
            <w:tcW w:w="992" w:type="dxa"/>
            <w:vMerge/>
          </w:tcPr>
          <w:p w14:paraId="17355803" w14:textId="77777777" w:rsidR="0070624A" w:rsidRPr="003805E3" w:rsidRDefault="0070624A" w:rsidP="009A3708">
            <w:pPr>
              <w:pStyle w:val="TableText"/>
              <w:jc w:val="center"/>
              <w:rPr>
                <w:noProof/>
              </w:rPr>
            </w:pPr>
          </w:p>
        </w:tc>
        <w:tc>
          <w:tcPr>
            <w:tcW w:w="2765" w:type="dxa"/>
            <w:vMerge/>
          </w:tcPr>
          <w:p w14:paraId="747E2AA0" w14:textId="77777777" w:rsidR="0070624A" w:rsidRPr="003805E3" w:rsidRDefault="0070624A" w:rsidP="00365089">
            <w:pPr>
              <w:pStyle w:val="TableText"/>
              <w:rPr>
                <w:noProof/>
              </w:rPr>
            </w:pPr>
          </w:p>
        </w:tc>
      </w:tr>
      <w:tr w:rsidR="00FB22F2" w:rsidRPr="003805E3" w14:paraId="23C17EA9" w14:textId="77777777" w:rsidTr="00FB22F2">
        <w:trPr>
          <w:trHeight w:val="419"/>
        </w:trPr>
        <w:tc>
          <w:tcPr>
            <w:tcW w:w="3403" w:type="dxa"/>
            <w:shd w:val="clear" w:color="auto" w:fill="D1D1D1" w:themeFill="background2" w:themeFillShade="E6"/>
          </w:tcPr>
          <w:p w14:paraId="1E110925" w14:textId="0377E2C0" w:rsidR="00486050" w:rsidRPr="003805E3" w:rsidRDefault="00486050" w:rsidP="00365089">
            <w:pPr>
              <w:pStyle w:val="TableText"/>
              <w:rPr>
                <w:b/>
                <w:bCs/>
                <w:noProof/>
              </w:rPr>
            </w:pPr>
            <w:r>
              <w:rPr>
                <w:b/>
                <w:noProof/>
              </w:rPr>
              <w:t>PILIER 1</w:t>
            </w:r>
          </w:p>
        </w:tc>
        <w:tc>
          <w:tcPr>
            <w:tcW w:w="1279" w:type="dxa"/>
            <w:shd w:val="clear" w:color="auto" w:fill="D1D1D1" w:themeFill="background2" w:themeFillShade="E6"/>
          </w:tcPr>
          <w:p w14:paraId="0E989F1F" w14:textId="77777777" w:rsidR="00486050" w:rsidRPr="003805E3" w:rsidRDefault="00486050" w:rsidP="00365089">
            <w:pPr>
              <w:pStyle w:val="TableText"/>
              <w:rPr>
                <w:noProof/>
              </w:rPr>
            </w:pPr>
          </w:p>
        </w:tc>
        <w:tc>
          <w:tcPr>
            <w:tcW w:w="555" w:type="dxa"/>
            <w:shd w:val="clear" w:color="auto" w:fill="D1D1D1" w:themeFill="background2" w:themeFillShade="E6"/>
          </w:tcPr>
          <w:p w14:paraId="101D111A"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4625C5B2"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321E20CC"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48DCF180"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5F29889A"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576A5243"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4E2B7C6"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8B0DBD5"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3EE36FF" w14:textId="77777777" w:rsidR="00486050" w:rsidRPr="003805E3" w:rsidRDefault="00486050" w:rsidP="009A3708">
            <w:pPr>
              <w:pStyle w:val="TableText"/>
              <w:jc w:val="center"/>
              <w:rPr>
                <w:noProof/>
              </w:rPr>
            </w:pPr>
          </w:p>
        </w:tc>
        <w:tc>
          <w:tcPr>
            <w:tcW w:w="1276" w:type="dxa"/>
            <w:shd w:val="clear" w:color="auto" w:fill="D1D1D1" w:themeFill="background2" w:themeFillShade="E6"/>
          </w:tcPr>
          <w:p w14:paraId="04C0AC75" w14:textId="77777777" w:rsidR="00486050" w:rsidRPr="003805E3" w:rsidRDefault="00486050" w:rsidP="00365089">
            <w:pPr>
              <w:pStyle w:val="TableText"/>
              <w:rPr>
                <w:noProof/>
              </w:rPr>
            </w:pPr>
          </w:p>
        </w:tc>
        <w:tc>
          <w:tcPr>
            <w:tcW w:w="992" w:type="dxa"/>
            <w:shd w:val="clear" w:color="auto" w:fill="D1D1D1" w:themeFill="background2" w:themeFillShade="E6"/>
          </w:tcPr>
          <w:p w14:paraId="6EA4B37B" w14:textId="77777777" w:rsidR="00486050" w:rsidRPr="003805E3" w:rsidRDefault="00486050" w:rsidP="009A3708">
            <w:pPr>
              <w:pStyle w:val="TableText"/>
              <w:jc w:val="center"/>
              <w:rPr>
                <w:noProof/>
              </w:rPr>
            </w:pPr>
          </w:p>
        </w:tc>
        <w:tc>
          <w:tcPr>
            <w:tcW w:w="2765" w:type="dxa"/>
            <w:shd w:val="clear" w:color="auto" w:fill="D1D1D1" w:themeFill="background2" w:themeFillShade="E6"/>
          </w:tcPr>
          <w:p w14:paraId="3F86719E" w14:textId="77777777" w:rsidR="00486050" w:rsidRPr="003805E3" w:rsidRDefault="00486050" w:rsidP="00365089">
            <w:pPr>
              <w:pStyle w:val="TableText"/>
              <w:rPr>
                <w:noProof/>
              </w:rPr>
            </w:pPr>
          </w:p>
        </w:tc>
      </w:tr>
      <w:tr w:rsidR="00FB22F2" w:rsidRPr="003805E3" w14:paraId="0E8E2545" w14:textId="77777777" w:rsidTr="00FB22F2">
        <w:trPr>
          <w:trHeight w:val="419"/>
        </w:trPr>
        <w:tc>
          <w:tcPr>
            <w:tcW w:w="3403" w:type="dxa"/>
            <w:shd w:val="clear" w:color="auto" w:fill="FFFFFF" w:themeFill="background1"/>
          </w:tcPr>
          <w:p w14:paraId="3916639F" w14:textId="7AB6B3D6" w:rsidR="0038495A" w:rsidRPr="003805E3" w:rsidRDefault="00F72F44" w:rsidP="00365089">
            <w:pPr>
              <w:pStyle w:val="TableText"/>
              <w:rPr>
                <w:noProof/>
              </w:rPr>
            </w:pPr>
            <w:r>
              <w:rPr>
                <w:noProof/>
              </w:rPr>
              <w:t>Lutte contre la criminalité organisée dans la région du partenariat oriental II</w:t>
            </w:r>
          </w:p>
        </w:tc>
        <w:tc>
          <w:tcPr>
            <w:tcW w:w="1279" w:type="dxa"/>
            <w:shd w:val="clear" w:color="auto" w:fill="FFFFFF" w:themeFill="background1"/>
          </w:tcPr>
          <w:p w14:paraId="2AF8911F" w14:textId="7612077B" w:rsidR="0038495A" w:rsidRPr="003805E3" w:rsidRDefault="00EF4F9E" w:rsidP="00365089">
            <w:pPr>
              <w:pStyle w:val="TableText"/>
              <w:rPr>
                <w:noProof/>
              </w:rPr>
            </w:pPr>
            <w:r>
              <w:rPr>
                <w:noProof/>
              </w:rPr>
              <w:t>01.2025 – 12.2028</w:t>
            </w:r>
          </w:p>
        </w:tc>
        <w:tc>
          <w:tcPr>
            <w:tcW w:w="555" w:type="dxa"/>
            <w:shd w:val="clear" w:color="auto" w:fill="FFFFFF" w:themeFill="background1"/>
          </w:tcPr>
          <w:p w14:paraId="1CE41B3F" w14:textId="77777777" w:rsidR="0038495A" w:rsidRPr="003805E3" w:rsidRDefault="0038495A" w:rsidP="009A3708">
            <w:pPr>
              <w:pStyle w:val="TableText"/>
              <w:jc w:val="center"/>
              <w:rPr>
                <w:noProof/>
              </w:rPr>
            </w:pPr>
          </w:p>
        </w:tc>
        <w:tc>
          <w:tcPr>
            <w:tcW w:w="567" w:type="dxa"/>
            <w:shd w:val="clear" w:color="auto" w:fill="FFFFFF" w:themeFill="background1"/>
          </w:tcPr>
          <w:p w14:paraId="75F5F036" w14:textId="77777777" w:rsidR="0038495A" w:rsidRPr="003805E3" w:rsidRDefault="0038495A" w:rsidP="009A3708">
            <w:pPr>
              <w:pStyle w:val="TableText"/>
              <w:jc w:val="center"/>
              <w:rPr>
                <w:noProof/>
              </w:rPr>
            </w:pPr>
          </w:p>
        </w:tc>
        <w:tc>
          <w:tcPr>
            <w:tcW w:w="567" w:type="dxa"/>
            <w:shd w:val="clear" w:color="auto" w:fill="FFFFFF" w:themeFill="background1"/>
          </w:tcPr>
          <w:p w14:paraId="770D4DE3" w14:textId="77777777" w:rsidR="0038495A" w:rsidRPr="003805E3" w:rsidRDefault="0038495A" w:rsidP="009A3708">
            <w:pPr>
              <w:pStyle w:val="TableText"/>
              <w:jc w:val="center"/>
              <w:rPr>
                <w:noProof/>
              </w:rPr>
            </w:pPr>
          </w:p>
        </w:tc>
        <w:tc>
          <w:tcPr>
            <w:tcW w:w="567" w:type="dxa"/>
            <w:shd w:val="clear" w:color="auto" w:fill="FFFFFF" w:themeFill="background1"/>
          </w:tcPr>
          <w:p w14:paraId="5471EA7C" w14:textId="4FBB8D12"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313D7BFA" w14:textId="776C218C" w:rsidR="0038495A" w:rsidRPr="003805E3" w:rsidRDefault="00ED50C1" w:rsidP="009A3708">
            <w:pPr>
              <w:pStyle w:val="TableText"/>
              <w:jc w:val="center"/>
              <w:rPr>
                <w:noProof/>
              </w:rPr>
            </w:pPr>
            <w:r>
              <w:rPr>
                <w:noProof/>
              </w:rPr>
              <w:t>■</w:t>
            </w:r>
          </w:p>
        </w:tc>
        <w:tc>
          <w:tcPr>
            <w:tcW w:w="567" w:type="dxa"/>
            <w:shd w:val="clear" w:color="auto" w:fill="FFFFFF" w:themeFill="background1"/>
          </w:tcPr>
          <w:p w14:paraId="1EC9F300" w14:textId="77777777" w:rsidR="0038495A" w:rsidRPr="003805E3" w:rsidRDefault="0038495A" w:rsidP="009A3708">
            <w:pPr>
              <w:pStyle w:val="TableText"/>
              <w:jc w:val="center"/>
              <w:rPr>
                <w:noProof/>
              </w:rPr>
            </w:pPr>
          </w:p>
        </w:tc>
        <w:tc>
          <w:tcPr>
            <w:tcW w:w="567" w:type="dxa"/>
            <w:shd w:val="clear" w:color="auto" w:fill="FFFFFF" w:themeFill="background1"/>
          </w:tcPr>
          <w:p w14:paraId="447BFDEC" w14:textId="36D27F6C"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63C9260B" w14:textId="77777777" w:rsidR="0038495A" w:rsidRPr="003805E3" w:rsidRDefault="0038495A" w:rsidP="009A3708">
            <w:pPr>
              <w:pStyle w:val="TableText"/>
              <w:jc w:val="center"/>
              <w:rPr>
                <w:noProof/>
              </w:rPr>
            </w:pPr>
          </w:p>
        </w:tc>
        <w:tc>
          <w:tcPr>
            <w:tcW w:w="567" w:type="dxa"/>
            <w:shd w:val="clear" w:color="auto" w:fill="FFFFFF" w:themeFill="background1"/>
          </w:tcPr>
          <w:p w14:paraId="36C54FA2" w14:textId="59E0DB0A" w:rsidR="0038495A" w:rsidRPr="003805E3" w:rsidRDefault="00696F10" w:rsidP="009A3708">
            <w:pPr>
              <w:pStyle w:val="TableText"/>
              <w:jc w:val="center"/>
              <w:rPr>
                <w:noProof/>
              </w:rPr>
            </w:pPr>
            <w:r>
              <w:rPr>
                <w:noProof/>
              </w:rPr>
              <w:t>■</w:t>
            </w:r>
          </w:p>
        </w:tc>
        <w:tc>
          <w:tcPr>
            <w:tcW w:w="1276" w:type="dxa"/>
            <w:shd w:val="clear" w:color="auto" w:fill="FFFFFF" w:themeFill="background1"/>
          </w:tcPr>
          <w:p w14:paraId="4A8CD94F" w14:textId="41FF7337" w:rsidR="0038495A" w:rsidRPr="003805E3" w:rsidRDefault="00014300" w:rsidP="00365089">
            <w:pPr>
              <w:pStyle w:val="TableText"/>
              <w:rPr>
                <w:noProof/>
              </w:rPr>
            </w:pPr>
            <w:r>
              <w:rPr>
                <w:noProof/>
              </w:rPr>
              <w:t>IVCDCI</w:t>
            </w:r>
          </w:p>
        </w:tc>
        <w:tc>
          <w:tcPr>
            <w:tcW w:w="992" w:type="dxa"/>
            <w:shd w:val="clear" w:color="auto" w:fill="FFFFFF" w:themeFill="background1"/>
          </w:tcPr>
          <w:p w14:paraId="18799547" w14:textId="12DDAE5D" w:rsidR="0038495A" w:rsidRPr="003805E3" w:rsidRDefault="00D76E12" w:rsidP="009A3708">
            <w:pPr>
              <w:pStyle w:val="TableText"/>
              <w:jc w:val="center"/>
              <w:rPr>
                <w:noProof/>
              </w:rPr>
            </w:pPr>
            <w:r>
              <w:rPr>
                <w:noProof/>
              </w:rPr>
              <w:t>1,8</w:t>
            </w:r>
          </w:p>
        </w:tc>
        <w:tc>
          <w:tcPr>
            <w:tcW w:w="2765" w:type="dxa"/>
            <w:shd w:val="clear" w:color="auto" w:fill="FFFFFF" w:themeFill="background1"/>
          </w:tcPr>
          <w:p w14:paraId="0B6075A6" w14:textId="235E17D0" w:rsidR="0038495A" w:rsidRPr="003805E3" w:rsidRDefault="00F771C8" w:rsidP="00365089">
            <w:pPr>
              <w:pStyle w:val="TableText"/>
              <w:rPr>
                <w:noProof/>
              </w:rPr>
            </w:pPr>
            <w:r>
              <w:rPr>
                <w:noProof/>
              </w:rPr>
              <w:t>Renforcement de la participation à l’EMPACT</w:t>
            </w:r>
          </w:p>
        </w:tc>
      </w:tr>
      <w:tr w:rsidR="00FB22F2" w:rsidRPr="003805E3" w14:paraId="39A4CF82" w14:textId="77777777" w:rsidTr="00FB22F2">
        <w:trPr>
          <w:trHeight w:val="419"/>
        </w:trPr>
        <w:tc>
          <w:tcPr>
            <w:tcW w:w="3403" w:type="dxa"/>
            <w:shd w:val="clear" w:color="auto" w:fill="FFFFFF" w:themeFill="background1"/>
          </w:tcPr>
          <w:p w14:paraId="05C7A544" w14:textId="52282500" w:rsidR="0038495A" w:rsidRPr="003805E3" w:rsidRDefault="00C6756D" w:rsidP="00365089">
            <w:pPr>
              <w:pStyle w:val="TableText"/>
              <w:rPr>
                <w:noProof/>
              </w:rPr>
            </w:pPr>
            <w:r>
              <w:rPr>
                <w:noProof/>
              </w:rPr>
              <w:t>Formation et partenariat opérationnel contre la criminalité organisée (TOPCOP) II</w:t>
            </w:r>
          </w:p>
        </w:tc>
        <w:tc>
          <w:tcPr>
            <w:tcW w:w="1279" w:type="dxa"/>
            <w:shd w:val="clear" w:color="auto" w:fill="FFFFFF" w:themeFill="background1"/>
          </w:tcPr>
          <w:p w14:paraId="571BDBC5" w14:textId="4B56EBD7" w:rsidR="0038495A" w:rsidRPr="003805E3" w:rsidRDefault="002F6AD6" w:rsidP="00365089">
            <w:pPr>
              <w:pStyle w:val="TableText"/>
              <w:rPr>
                <w:noProof/>
              </w:rPr>
            </w:pPr>
            <w:r>
              <w:rPr>
                <w:noProof/>
              </w:rPr>
              <w:t>07.2024 – 06.2028</w:t>
            </w:r>
          </w:p>
        </w:tc>
        <w:tc>
          <w:tcPr>
            <w:tcW w:w="555" w:type="dxa"/>
            <w:shd w:val="clear" w:color="auto" w:fill="FFFFFF" w:themeFill="background1"/>
          </w:tcPr>
          <w:p w14:paraId="62CB0C00" w14:textId="77777777" w:rsidR="0038495A" w:rsidRPr="003805E3" w:rsidRDefault="0038495A" w:rsidP="009A3708">
            <w:pPr>
              <w:pStyle w:val="TableText"/>
              <w:jc w:val="center"/>
              <w:rPr>
                <w:noProof/>
              </w:rPr>
            </w:pPr>
          </w:p>
        </w:tc>
        <w:tc>
          <w:tcPr>
            <w:tcW w:w="567" w:type="dxa"/>
            <w:shd w:val="clear" w:color="auto" w:fill="FFFFFF" w:themeFill="background1"/>
          </w:tcPr>
          <w:p w14:paraId="22984A5F" w14:textId="77777777" w:rsidR="0038495A" w:rsidRPr="003805E3" w:rsidRDefault="0038495A" w:rsidP="009A3708">
            <w:pPr>
              <w:pStyle w:val="TableText"/>
              <w:jc w:val="center"/>
              <w:rPr>
                <w:noProof/>
              </w:rPr>
            </w:pPr>
          </w:p>
        </w:tc>
        <w:tc>
          <w:tcPr>
            <w:tcW w:w="567" w:type="dxa"/>
            <w:shd w:val="clear" w:color="auto" w:fill="FFFFFF" w:themeFill="background1"/>
          </w:tcPr>
          <w:p w14:paraId="4769E758" w14:textId="77777777" w:rsidR="0038495A" w:rsidRPr="003805E3" w:rsidRDefault="0038495A" w:rsidP="009A3708">
            <w:pPr>
              <w:pStyle w:val="TableText"/>
              <w:jc w:val="center"/>
              <w:rPr>
                <w:noProof/>
              </w:rPr>
            </w:pPr>
          </w:p>
        </w:tc>
        <w:tc>
          <w:tcPr>
            <w:tcW w:w="567" w:type="dxa"/>
            <w:shd w:val="clear" w:color="auto" w:fill="FFFFFF" w:themeFill="background1"/>
          </w:tcPr>
          <w:p w14:paraId="44DCE3B9" w14:textId="3075EA8A"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6919185B" w14:textId="2F3AD943"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02C84756" w14:textId="77777777" w:rsidR="0038495A" w:rsidRPr="003805E3" w:rsidRDefault="0038495A" w:rsidP="009A3708">
            <w:pPr>
              <w:pStyle w:val="TableText"/>
              <w:jc w:val="center"/>
              <w:rPr>
                <w:noProof/>
              </w:rPr>
            </w:pPr>
          </w:p>
        </w:tc>
        <w:tc>
          <w:tcPr>
            <w:tcW w:w="567" w:type="dxa"/>
            <w:shd w:val="clear" w:color="auto" w:fill="FFFFFF" w:themeFill="background1"/>
          </w:tcPr>
          <w:p w14:paraId="58654D69" w14:textId="2D9D648A"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4157A491" w14:textId="77777777" w:rsidR="0038495A" w:rsidRPr="003805E3" w:rsidRDefault="0038495A" w:rsidP="009A3708">
            <w:pPr>
              <w:pStyle w:val="TableText"/>
              <w:jc w:val="center"/>
              <w:rPr>
                <w:noProof/>
              </w:rPr>
            </w:pPr>
          </w:p>
        </w:tc>
        <w:tc>
          <w:tcPr>
            <w:tcW w:w="567" w:type="dxa"/>
            <w:shd w:val="clear" w:color="auto" w:fill="FFFFFF" w:themeFill="background1"/>
          </w:tcPr>
          <w:p w14:paraId="5A511CF9" w14:textId="10BAC350" w:rsidR="0038495A" w:rsidRPr="003805E3" w:rsidRDefault="00696F10" w:rsidP="009A3708">
            <w:pPr>
              <w:pStyle w:val="TableText"/>
              <w:jc w:val="center"/>
              <w:rPr>
                <w:noProof/>
              </w:rPr>
            </w:pPr>
            <w:r>
              <w:rPr>
                <w:noProof/>
              </w:rPr>
              <w:t>■</w:t>
            </w:r>
          </w:p>
        </w:tc>
        <w:tc>
          <w:tcPr>
            <w:tcW w:w="1276" w:type="dxa"/>
            <w:shd w:val="clear" w:color="auto" w:fill="FFFFFF" w:themeFill="background1"/>
          </w:tcPr>
          <w:p w14:paraId="74D1758A" w14:textId="18AEBD65" w:rsidR="0038495A" w:rsidRPr="003805E3" w:rsidRDefault="007F1099" w:rsidP="00365089">
            <w:pPr>
              <w:pStyle w:val="TableText"/>
              <w:rPr>
                <w:noProof/>
              </w:rPr>
            </w:pPr>
            <w:r>
              <w:rPr>
                <w:noProof/>
              </w:rPr>
              <w:t>IVCDCI</w:t>
            </w:r>
          </w:p>
        </w:tc>
        <w:tc>
          <w:tcPr>
            <w:tcW w:w="992" w:type="dxa"/>
            <w:shd w:val="clear" w:color="auto" w:fill="FFFFFF" w:themeFill="background1"/>
          </w:tcPr>
          <w:p w14:paraId="22971D5B" w14:textId="64F89DAE" w:rsidR="0038495A" w:rsidRPr="003805E3" w:rsidRDefault="00272966" w:rsidP="009A3708">
            <w:pPr>
              <w:pStyle w:val="TableText"/>
              <w:jc w:val="center"/>
              <w:rPr>
                <w:noProof/>
              </w:rPr>
            </w:pPr>
            <w:r>
              <w:rPr>
                <w:noProof/>
              </w:rPr>
              <w:t>5,2</w:t>
            </w:r>
          </w:p>
        </w:tc>
        <w:tc>
          <w:tcPr>
            <w:tcW w:w="2765" w:type="dxa"/>
            <w:shd w:val="clear" w:color="auto" w:fill="FFFFFF" w:themeFill="background1"/>
          </w:tcPr>
          <w:p w14:paraId="1A4DE708" w14:textId="79134D8A" w:rsidR="0038495A" w:rsidRPr="003805E3" w:rsidRDefault="009653D9" w:rsidP="00365089">
            <w:pPr>
              <w:pStyle w:val="TableText"/>
              <w:rPr>
                <w:noProof/>
              </w:rPr>
            </w:pPr>
            <w:r>
              <w:rPr>
                <w:noProof/>
              </w:rPr>
              <w:t>Renforcement de la coopération pour faire face aux menaces criminelles</w:t>
            </w:r>
          </w:p>
        </w:tc>
      </w:tr>
      <w:tr w:rsidR="00FB22F2" w:rsidRPr="003805E3" w14:paraId="121A97F5" w14:textId="77777777" w:rsidTr="00FB22F2">
        <w:trPr>
          <w:trHeight w:val="419"/>
        </w:trPr>
        <w:tc>
          <w:tcPr>
            <w:tcW w:w="3403" w:type="dxa"/>
            <w:shd w:val="clear" w:color="auto" w:fill="FFFFFF" w:themeFill="background1"/>
          </w:tcPr>
          <w:p w14:paraId="28F52E7F" w14:textId="2E72B753" w:rsidR="29D54FF2" w:rsidRPr="003805E3" w:rsidRDefault="29D54FF2" w:rsidP="00320AEF">
            <w:pPr>
              <w:pStyle w:val="TableText"/>
              <w:rPr>
                <w:noProof/>
              </w:rPr>
            </w:pPr>
            <w:r>
              <w:rPr>
                <w:noProof/>
              </w:rPr>
              <w:t>Amélioration de la cyberrésilience dans les pays du partenariat oriental I</w:t>
            </w:r>
          </w:p>
        </w:tc>
        <w:tc>
          <w:tcPr>
            <w:tcW w:w="1279" w:type="dxa"/>
            <w:shd w:val="clear" w:color="auto" w:fill="FFFFFF" w:themeFill="background1"/>
          </w:tcPr>
          <w:p w14:paraId="2D33E2BB" w14:textId="0540BC63" w:rsidR="219E745E" w:rsidRPr="003805E3" w:rsidRDefault="4CD2C3D9" w:rsidP="00320AEF">
            <w:pPr>
              <w:pStyle w:val="TableText"/>
              <w:rPr>
                <w:noProof/>
              </w:rPr>
            </w:pPr>
            <w:r>
              <w:rPr>
                <w:noProof/>
              </w:rPr>
              <w:t>12.2024 – 11.2027</w:t>
            </w:r>
          </w:p>
        </w:tc>
        <w:tc>
          <w:tcPr>
            <w:tcW w:w="555" w:type="dxa"/>
            <w:shd w:val="clear" w:color="auto" w:fill="FFFFFF" w:themeFill="background1"/>
          </w:tcPr>
          <w:p w14:paraId="007C9D34" w14:textId="244034BC" w:rsidR="219E745E" w:rsidRPr="003805E3" w:rsidRDefault="219E745E" w:rsidP="00320AEF">
            <w:pPr>
              <w:pStyle w:val="TableText"/>
              <w:jc w:val="center"/>
              <w:rPr>
                <w:noProof/>
              </w:rPr>
            </w:pPr>
          </w:p>
        </w:tc>
        <w:tc>
          <w:tcPr>
            <w:tcW w:w="567" w:type="dxa"/>
            <w:shd w:val="clear" w:color="auto" w:fill="FFFFFF" w:themeFill="background1"/>
          </w:tcPr>
          <w:p w14:paraId="02F8B974" w14:textId="3278185F" w:rsidR="219E745E" w:rsidRPr="003805E3" w:rsidRDefault="219E745E" w:rsidP="00320AEF">
            <w:pPr>
              <w:pStyle w:val="TableText"/>
              <w:jc w:val="center"/>
              <w:rPr>
                <w:noProof/>
              </w:rPr>
            </w:pPr>
          </w:p>
        </w:tc>
        <w:tc>
          <w:tcPr>
            <w:tcW w:w="567" w:type="dxa"/>
            <w:shd w:val="clear" w:color="auto" w:fill="FFFFFF" w:themeFill="background1"/>
          </w:tcPr>
          <w:p w14:paraId="6ADFF2CD" w14:textId="35EEFC9E" w:rsidR="219E745E" w:rsidRPr="003805E3" w:rsidRDefault="219E745E" w:rsidP="00320AEF">
            <w:pPr>
              <w:pStyle w:val="TableText"/>
              <w:jc w:val="center"/>
              <w:rPr>
                <w:noProof/>
              </w:rPr>
            </w:pPr>
          </w:p>
        </w:tc>
        <w:tc>
          <w:tcPr>
            <w:tcW w:w="567" w:type="dxa"/>
            <w:shd w:val="clear" w:color="auto" w:fill="FFFFFF" w:themeFill="background1"/>
          </w:tcPr>
          <w:p w14:paraId="23F73645" w14:textId="792B28CF" w:rsidR="219E745E" w:rsidRPr="003805E3" w:rsidRDefault="219E745E" w:rsidP="00320AEF">
            <w:pPr>
              <w:pStyle w:val="TableText"/>
              <w:jc w:val="center"/>
              <w:rPr>
                <w:noProof/>
              </w:rPr>
            </w:pPr>
          </w:p>
        </w:tc>
        <w:tc>
          <w:tcPr>
            <w:tcW w:w="567" w:type="dxa"/>
            <w:shd w:val="clear" w:color="auto" w:fill="FFFFFF" w:themeFill="background1"/>
          </w:tcPr>
          <w:p w14:paraId="13F430A5" w14:textId="5AA42070" w:rsidR="219E745E" w:rsidRPr="003805E3" w:rsidRDefault="0A638445" w:rsidP="09EC4958">
            <w:pPr>
              <w:pStyle w:val="TableText"/>
              <w:jc w:val="center"/>
              <w:rPr>
                <w:noProof/>
              </w:rPr>
            </w:pPr>
            <w:r>
              <w:rPr>
                <w:noProof/>
              </w:rPr>
              <w:t>■</w:t>
            </w:r>
          </w:p>
        </w:tc>
        <w:tc>
          <w:tcPr>
            <w:tcW w:w="567" w:type="dxa"/>
            <w:shd w:val="clear" w:color="auto" w:fill="FFFFFF" w:themeFill="background1"/>
          </w:tcPr>
          <w:p w14:paraId="6AAA753A" w14:textId="755EE17F" w:rsidR="219E745E" w:rsidRPr="003805E3" w:rsidRDefault="219E745E" w:rsidP="00320AEF">
            <w:pPr>
              <w:pStyle w:val="TableText"/>
              <w:jc w:val="center"/>
              <w:rPr>
                <w:noProof/>
              </w:rPr>
            </w:pPr>
          </w:p>
        </w:tc>
        <w:tc>
          <w:tcPr>
            <w:tcW w:w="567" w:type="dxa"/>
            <w:shd w:val="clear" w:color="auto" w:fill="FFFFFF" w:themeFill="background1"/>
          </w:tcPr>
          <w:p w14:paraId="5B58B0BC" w14:textId="26E8EB09" w:rsidR="219E745E" w:rsidRPr="003805E3" w:rsidRDefault="0A638445" w:rsidP="09EC4958">
            <w:pPr>
              <w:pStyle w:val="TableText"/>
              <w:jc w:val="center"/>
              <w:rPr>
                <w:noProof/>
              </w:rPr>
            </w:pPr>
            <w:r>
              <w:rPr>
                <w:noProof/>
              </w:rPr>
              <w:t>■</w:t>
            </w:r>
          </w:p>
        </w:tc>
        <w:tc>
          <w:tcPr>
            <w:tcW w:w="567" w:type="dxa"/>
            <w:shd w:val="clear" w:color="auto" w:fill="FFFFFF" w:themeFill="background1"/>
          </w:tcPr>
          <w:p w14:paraId="6B648611" w14:textId="4F5D3F38" w:rsidR="219E745E" w:rsidRPr="003805E3" w:rsidRDefault="219E745E" w:rsidP="00320AEF">
            <w:pPr>
              <w:pStyle w:val="TableText"/>
              <w:jc w:val="center"/>
              <w:rPr>
                <w:noProof/>
              </w:rPr>
            </w:pPr>
          </w:p>
        </w:tc>
        <w:tc>
          <w:tcPr>
            <w:tcW w:w="567" w:type="dxa"/>
            <w:shd w:val="clear" w:color="auto" w:fill="FFFFFF" w:themeFill="background1"/>
          </w:tcPr>
          <w:p w14:paraId="53E77CDB" w14:textId="0348703F" w:rsidR="219E745E" w:rsidRPr="003805E3" w:rsidRDefault="219E745E" w:rsidP="00320AEF">
            <w:pPr>
              <w:pStyle w:val="TableText"/>
              <w:jc w:val="center"/>
              <w:rPr>
                <w:noProof/>
              </w:rPr>
            </w:pPr>
          </w:p>
        </w:tc>
        <w:tc>
          <w:tcPr>
            <w:tcW w:w="1276" w:type="dxa"/>
            <w:shd w:val="clear" w:color="auto" w:fill="FFFFFF" w:themeFill="background1"/>
          </w:tcPr>
          <w:p w14:paraId="1061848B" w14:textId="380AF74F" w:rsidR="219E745E" w:rsidRPr="003805E3" w:rsidRDefault="4CD2C3D9" w:rsidP="00320AEF">
            <w:pPr>
              <w:pStyle w:val="TableText"/>
              <w:rPr>
                <w:noProof/>
              </w:rPr>
            </w:pPr>
            <w:r>
              <w:rPr>
                <w:noProof/>
              </w:rPr>
              <w:t>IVCDCI</w:t>
            </w:r>
          </w:p>
        </w:tc>
        <w:tc>
          <w:tcPr>
            <w:tcW w:w="992" w:type="dxa"/>
            <w:shd w:val="clear" w:color="auto" w:fill="FFFFFF" w:themeFill="background1"/>
          </w:tcPr>
          <w:p w14:paraId="3620C359" w14:textId="7B58BFCA" w:rsidR="219E745E" w:rsidRPr="003805E3" w:rsidRDefault="110DDAD9" w:rsidP="00320AEF">
            <w:pPr>
              <w:pStyle w:val="TableText"/>
              <w:jc w:val="center"/>
              <w:rPr>
                <w:noProof/>
              </w:rPr>
            </w:pPr>
            <w:r>
              <w:rPr>
                <w:noProof/>
              </w:rPr>
              <w:t>1,7</w:t>
            </w:r>
          </w:p>
        </w:tc>
        <w:tc>
          <w:tcPr>
            <w:tcW w:w="2765" w:type="dxa"/>
            <w:shd w:val="clear" w:color="auto" w:fill="FFFFFF" w:themeFill="background1"/>
          </w:tcPr>
          <w:p w14:paraId="38676533" w14:textId="38CFDD1E" w:rsidR="219E745E" w:rsidRPr="003805E3" w:rsidRDefault="00B96C30" w:rsidP="00320AEF">
            <w:pPr>
              <w:pStyle w:val="TableText"/>
              <w:rPr>
                <w:noProof/>
              </w:rPr>
            </w:pPr>
            <w:r>
              <w:rPr>
                <w:noProof/>
              </w:rPr>
              <w:t>Soutien législatif à la directive SRI 2 et renforcement des capacités</w:t>
            </w:r>
          </w:p>
        </w:tc>
      </w:tr>
      <w:tr w:rsidR="00FB22F2" w:rsidRPr="003805E3" w14:paraId="26806402" w14:textId="77777777" w:rsidTr="00FB22F2">
        <w:trPr>
          <w:trHeight w:val="419"/>
        </w:trPr>
        <w:tc>
          <w:tcPr>
            <w:tcW w:w="3403" w:type="dxa"/>
            <w:shd w:val="clear" w:color="auto" w:fill="FFFFFF" w:themeFill="background1"/>
          </w:tcPr>
          <w:p w14:paraId="4DDE1486" w14:textId="58FAE853" w:rsidR="4CD2C3D9" w:rsidRPr="003805E3" w:rsidRDefault="4CD2C3D9" w:rsidP="26F62509">
            <w:pPr>
              <w:pStyle w:val="TableText"/>
              <w:rPr>
                <w:noProof/>
              </w:rPr>
            </w:pPr>
            <w:r>
              <w:rPr>
                <w:noProof/>
              </w:rPr>
              <w:t>Amélioration de la cyberrésilience dans les pays du partenariat oriental II</w:t>
            </w:r>
          </w:p>
        </w:tc>
        <w:tc>
          <w:tcPr>
            <w:tcW w:w="1279" w:type="dxa"/>
            <w:shd w:val="clear" w:color="auto" w:fill="FFFFFF" w:themeFill="background1"/>
          </w:tcPr>
          <w:p w14:paraId="62A8ED86" w14:textId="316F9BE2" w:rsidR="26F62509" w:rsidRPr="003805E3" w:rsidRDefault="4CD2C3D9" w:rsidP="00320AEF">
            <w:pPr>
              <w:pStyle w:val="TableText"/>
              <w:rPr>
                <w:noProof/>
              </w:rPr>
            </w:pPr>
            <w:r>
              <w:rPr>
                <w:noProof/>
              </w:rPr>
              <w:t>12.2024 – 12.2026</w:t>
            </w:r>
          </w:p>
        </w:tc>
        <w:tc>
          <w:tcPr>
            <w:tcW w:w="555" w:type="dxa"/>
            <w:shd w:val="clear" w:color="auto" w:fill="FFFFFF" w:themeFill="background1"/>
          </w:tcPr>
          <w:p w14:paraId="746A94DF" w14:textId="55E55AB1" w:rsidR="26F62509" w:rsidRPr="003805E3" w:rsidRDefault="26F62509" w:rsidP="00320AEF">
            <w:pPr>
              <w:pStyle w:val="TableText"/>
              <w:jc w:val="center"/>
              <w:rPr>
                <w:noProof/>
              </w:rPr>
            </w:pPr>
          </w:p>
        </w:tc>
        <w:tc>
          <w:tcPr>
            <w:tcW w:w="567" w:type="dxa"/>
            <w:shd w:val="clear" w:color="auto" w:fill="FFFFFF" w:themeFill="background1"/>
          </w:tcPr>
          <w:p w14:paraId="0DD17337" w14:textId="045FD912" w:rsidR="26F62509" w:rsidRPr="003805E3" w:rsidRDefault="26F62509" w:rsidP="00320AEF">
            <w:pPr>
              <w:pStyle w:val="TableText"/>
              <w:jc w:val="center"/>
              <w:rPr>
                <w:noProof/>
              </w:rPr>
            </w:pPr>
          </w:p>
        </w:tc>
        <w:tc>
          <w:tcPr>
            <w:tcW w:w="567" w:type="dxa"/>
            <w:shd w:val="clear" w:color="auto" w:fill="FFFFFF" w:themeFill="background1"/>
          </w:tcPr>
          <w:p w14:paraId="7692231A" w14:textId="64DBA052" w:rsidR="26F62509" w:rsidRPr="003805E3" w:rsidRDefault="26F62509" w:rsidP="00320AEF">
            <w:pPr>
              <w:pStyle w:val="TableText"/>
              <w:jc w:val="center"/>
              <w:rPr>
                <w:noProof/>
              </w:rPr>
            </w:pPr>
          </w:p>
        </w:tc>
        <w:tc>
          <w:tcPr>
            <w:tcW w:w="567" w:type="dxa"/>
            <w:shd w:val="clear" w:color="auto" w:fill="FFFFFF" w:themeFill="background1"/>
          </w:tcPr>
          <w:p w14:paraId="53E00FF8" w14:textId="180B238E" w:rsidR="26F62509" w:rsidRPr="003805E3" w:rsidRDefault="23BBFA99" w:rsidP="66FB70B6">
            <w:pPr>
              <w:pStyle w:val="TableText"/>
              <w:jc w:val="center"/>
              <w:rPr>
                <w:noProof/>
              </w:rPr>
            </w:pPr>
            <w:r>
              <w:rPr>
                <w:noProof/>
              </w:rPr>
              <w:t>■</w:t>
            </w:r>
          </w:p>
        </w:tc>
        <w:tc>
          <w:tcPr>
            <w:tcW w:w="567" w:type="dxa"/>
            <w:shd w:val="clear" w:color="auto" w:fill="FFFFFF" w:themeFill="background1"/>
          </w:tcPr>
          <w:p w14:paraId="64683DCB" w14:textId="6B7B4B92" w:rsidR="26F62509" w:rsidRPr="003805E3" w:rsidRDefault="26F62509" w:rsidP="00320AEF">
            <w:pPr>
              <w:pStyle w:val="TableText"/>
              <w:jc w:val="center"/>
              <w:rPr>
                <w:noProof/>
              </w:rPr>
            </w:pPr>
          </w:p>
        </w:tc>
        <w:tc>
          <w:tcPr>
            <w:tcW w:w="567" w:type="dxa"/>
            <w:shd w:val="clear" w:color="auto" w:fill="FFFFFF" w:themeFill="background1"/>
          </w:tcPr>
          <w:p w14:paraId="7D52EDEF" w14:textId="50392CA8" w:rsidR="26F62509" w:rsidRPr="003805E3" w:rsidRDefault="26F62509" w:rsidP="00320AEF">
            <w:pPr>
              <w:pStyle w:val="TableText"/>
              <w:jc w:val="center"/>
              <w:rPr>
                <w:noProof/>
              </w:rPr>
            </w:pPr>
          </w:p>
        </w:tc>
        <w:tc>
          <w:tcPr>
            <w:tcW w:w="567" w:type="dxa"/>
            <w:shd w:val="clear" w:color="auto" w:fill="FFFFFF" w:themeFill="background1"/>
          </w:tcPr>
          <w:p w14:paraId="03BC4E52" w14:textId="46A1F584" w:rsidR="26F62509" w:rsidRPr="003805E3" w:rsidRDefault="26F62509" w:rsidP="00320AEF">
            <w:pPr>
              <w:pStyle w:val="TableText"/>
              <w:jc w:val="center"/>
              <w:rPr>
                <w:noProof/>
              </w:rPr>
            </w:pPr>
          </w:p>
        </w:tc>
        <w:tc>
          <w:tcPr>
            <w:tcW w:w="567" w:type="dxa"/>
            <w:shd w:val="clear" w:color="auto" w:fill="FFFFFF" w:themeFill="background1"/>
          </w:tcPr>
          <w:p w14:paraId="1BAD6B5B" w14:textId="7F1D9FA9" w:rsidR="26F62509" w:rsidRPr="003805E3" w:rsidRDefault="26F62509" w:rsidP="00320AEF">
            <w:pPr>
              <w:pStyle w:val="TableText"/>
              <w:jc w:val="center"/>
              <w:rPr>
                <w:noProof/>
              </w:rPr>
            </w:pPr>
          </w:p>
        </w:tc>
        <w:tc>
          <w:tcPr>
            <w:tcW w:w="567" w:type="dxa"/>
            <w:shd w:val="clear" w:color="auto" w:fill="FFFFFF" w:themeFill="background1"/>
          </w:tcPr>
          <w:p w14:paraId="4F7D9A19" w14:textId="43C3C9D6" w:rsidR="26F62509" w:rsidRPr="003805E3" w:rsidRDefault="23BBFA99" w:rsidP="66FB70B6">
            <w:pPr>
              <w:pStyle w:val="TableText"/>
              <w:jc w:val="center"/>
              <w:rPr>
                <w:noProof/>
              </w:rPr>
            </w:pPr>
            <w:r>
              <w:rPr>
                <w:noProof/>
              </w:rPr>
              <w:t>■</w:t>
            </w:r>
          </w:p>
        </w:tc>
        <w:tc>
          <w:tcPr>
            <w:tcW w:w="1276" w:type="dxa"/>
            <w:shd w:val="clear" w:color="auto" w:fill="FFFFFF" w:themeFill="background1"/>
          </w:tcPr>
          <w:p w14:paraId="642131F6" w14:textId="6C633A4B" w:rsidR="26F62509" w:rsidRPr="003805E3" w:rsidRDefault="10545E26" w:rsidP="00320AEF">
            <w:pPr>
              <w:pStyle w:val="TableText"/>
              <w:rPr>
                <w:noProof/>
              </w:rPr>
            </w:pPr>
            <w:r>
              <w:rPr>
                <w:noProof/>
              </w:rPr>
              <w:t>IVCDCI</w:t>
            </w:r>
          </w:p>
        </w:tc>
        <w:tc>
          <w:tcPr>
            <w:tcW w:w="992" w:type="dxa"/>
            <w:shd w:val="clear" w:color="auto" w:fill="FFFFFF" w:themeFill="background1"/>
          </w:tcPr>
          <w:p w14:paraId="7BBCBC93" w14:textId="28716E1C" w:rsidR="26F62509" w:rsidRPr="003805E3" w:rsidRDefault="10545E26" w:rsidP="00320AEF">
            <w:pPr>
              <w:pStyle w:val="TableText"/>
              <w:jc w:val="center"/>
              <w:rPr>
                <w:noProof/>
              </w:rPr>
            </w:pPr>
            <w:r>
              <w:rPr>
                <w:noProof/>
              </w:rPr>
              <w:t>1,8</w:t>
            </w:r>
          </w:p>
        </w:tc>
        <w:tc>
          <w:tcPr>
            <w:tcW w:w="2765" w:type="dxa"/>
            <w:shd w:val="clear" w:color="auto" w:fill="FFFFFF" w:themeFill="background1"/>
          </w:tcPr>
          <w:p w14:paraId="1D027EC7" w14:textId="6B28E80C" w:rsidR="26F62509" w:rsidRPr="003805E3" w:rsidRDefault="7CBF36A9" w:rsidP="2806FC88">
            <w:pPr>
              <w:pStyle w:val="TableText"/>
              <w:rPr>
                <w:noProof/>
              </w:rPr>
            </w:pPr>
            <w:r>
              <w:rPr>
                <w:noProof/>
              </w:rPr>
              <w:t>(Voir ci-dessus)</w:t>
            </w:r>
          </w:p>
        </w:tc>
      </w:tr>
      <w:tr w:rsidR="00FB22F2" w:rsidRPr="003805E3" w14:paraId="680F887C" w14:textId="77777777" w:rsidTr="00FB22F2">
        <w:trPr>
          <w:trHeight w:val="419"/>
        </w:trPr>
        <w:tc>
          <w:tcPr>
            <w:tcW w:w="3403" w:type="dxa"/>
            <w:shd w:val="clear" w:color="auto" w:fill="FFFFFF" w:themeFill="background1"/>
          </w:tcPr>
          <w:p w14:paraId="20E71F90" w14:textId="59F6BFD6" w:rsidR="00F5336E" w:rsidRPr="003805E3" w:rsidRDefault="00F5336E" w:rsidP="00F5336E">
            <w:pPr>
              <w:pStyle w:val="TableText"/>
              <w:rPr>
                <w:noProof/>
              </w:rPr>
            </w:pPr>
            <w:r>
              <w:rPr>
                <w:noProof/>
              </w:rPr>
              <w:t>CyberEast+: action renforcée en matière de cybercriminalité pour la cyberrésilience dans les États du partenariat oriental</w:t>
            </w:r>
          </w:p>
        </w:tc>
        <w:tc>
          <w:tcPr>
            <w:tcW w:w="1279" w:type="dxa"/>
            <w:shd w:val="clear" w:color="auto" w:fill="FFFFFF" w:themeFill="background1"/>
          </w:tcPr>
          <w:p w14:paraId="5DB28DEF" w14:textId="5D65109E" w:rsidR="00F5336E" w:rsidRPr="003805E3" w:rsidRDefault="00F5336E" w:rsidP="00F5336E">
            <w:pPr>
              <w:pStyle w:val="TableText"/>
              <w:rPr>
                <w:noProof/>
              </w:rPr>
            </w:pPr>
            <w:r>
              <w:rPr>
                <w:noProof/>
              </w:rPr>
              <w:t>03.2024 – 02.2027</w:t>
            </w:r>
          </w:p>
        </w:tc>
        <w:tc>
          <w:tcPr>
            <w:tcW w:w="555" w:type="dxa"/>
            <w:shd w:val="clear" w:color="auto" w:fill="FFFFFF" w:themeFill="background1"/>
          </w:tcPr>
          <w:p w14:paraId="25FBF3A0" w14:textId="77777777" w:rsidR="00F5336E" w:rsidRPr="003805E3" w:rsidRDefault="00F5336E" w:rsidP="00F5336E">
            <w:pPr>
              <w:pStyle w:val="TableText"/>
              <w:jc w:val="center"/>
              <w:rPr>
                <w:noProof/>
              </w:rPr>
            </w:pPr>
          </w:p>
        </w:tc>
        <w:tc>
          <w:tcPr>
            <w:tcW w:w="567" w:type="dxa"/>
            <w:shd w:val="clear" w:color="auto" w:fill="FFFFFF" w:themeFill="background1"/>
          </w:tcPr>
          <w:p w14:paraId="4DBE06E2" w14:textId="77777777" w:rsidR="00F5336E" w:rsidRPr="003805E3" w:rsidRDefault="00F5336E" w:rsidP="00F5336E">
            <w:pPr>
              <w:pStyle w:val="TableText"/>
              <w:jc w:val="center"/>
              <w:rPr>
                <w:noProof/>
              </w:rPr>
            </w:pPr>
          </w:p>
        </w:tc>
        <w:tc>
          <w:tcPr>
            <w:tcW w:w="567" w:type="dxa"/>
            <w:shd w:val="clear" w:color="auto" w:fill="FFFFFF" w:themeFill="background1"/>
          </w:tcPr>
          <w:p w14:paraId="0E1AEA11" w14:textId="77777777" w:rsidR="00F5336E" w:rsidRPr="003805E3" w:rsidRDefault="00F5336E" w:rsidP="00F5336E">
            <w:pPr>
              <w:pStyle w:val="TableText"/>
              <w:jc w:val="center"/>
              <w:rPr>
                <w:noProof/>
              </w:rPr>
            </w:pPr>
          </w:p>
        </w:tc>
        <w:tc>
          <w:tcPr>
            <w:tcW w:w="567" w:type="dxa"/>
            <w:shd w:val="clear" w:color="auto" w:fill="FFFFFF" w:themeFill="background1"/>
          </w:tcPr>
          <w:p w14:paraId="3992391C" w14:textId="06774A15" w:rsidR="00F5336E" w:rsidRPr="003805E3" w:rsidRDefault="00F5336E" w:rsidP="00F5336E">
            <w:pPr>
              <w:pStyle w:val="TableText"/>
              <w:jc w:val="center"/>
              <w:rPr>
                <w:noProof/>
              </w:rPr>
            </w:pPr>
            <w:r>
              <w:rPr>
                <w:noProof/>
              </w:rPr>
              <w:t>■</w:t>
            </w:r>
          </w:p>
        </w:tc>
        <w:tc>
          <w:tcPr>
            <w:tcW w:w="567" w:type="dxa"/>
            <w:shd w:val="clear" w:color="auto" w:fill="FFFFFF" w:themeFill="background1"/>
          </w:tcPr>
          <w:p w14:paraId="39A5C415" w14:textId="2961B8B5" w:rsidR="00F5336E" w:rsidRPr="003805E3" w:rsidRDefault="00F5336E" w:rsidP="00F5336E">
            <w:pPr>
              <w:pStyle w:val="TableText"/>
              <w:jc w:val="center"/>
              <w:rPr>
                <w:noProof/>
              </w:rPr>
            </w:pPr>
            <w:r>
              <w:rPr>
                <w:noProof/>
              </w:rPr>
              <w:t>■</w:t>
            </w:r>
          </w:p>
        </w:tc>
        <w:tc>
          <w:tcPr>
            <w:tcW w:w="567" w:type="dxa"/>
            <w:shd w:val="clear" w:color="auto" w:fill="FFFFFF" w:themeFill="background1"/>
          </w:tcPr>
          <w:p w14:paraId="27603C76" w14:textId="77777777" w:rsidR="00F5336E" w:rsidRPr="003805E3" w:rsidRDefault="00F5336E" w:rsidP="00F5336E">
            <w:pPr>
              <w:pStyle w:val="TableText"/>
              <w:jc w:val="center"/>
              <w:rPr>
                <w:noProof/>
              </w:rPr>
            </w:pPr>
          </w:p>
        </w:tc>
        <w:tc>
          <w:tcPr>
            <w:tcW w:w="567" w:type="dxa"/>
            <w:shd w:val="clear" w:color="auto" w:fill="FFFFFF" w:themeFill="background1"/>
          </w:tcPr>
          <w:p w14:paraId="31FC44BF" w14:textId="24F7D09F" w:rsidR="00F5336E" w:rsidRPr="003805E3" w:rsidRDefault="00F5336E" w:rsidP="00F5336E">
            <w:pPr>
              <w:pStyle w:val="TableText"/>
              <w:jc w:val="center"/>
              <w:rPr>
                <w:noProof/>
              </w:rPr>
            </w:pPr>
            <w:r>
              <w:rPr>
                <w:noProof/>
              </w:rPr>
              <w:t>■</w:t>
            </w:r>
          </w:p>
        </w:tc>
        <w:tc>
          <w:tcPr>
            <w:tcW w:w="567" w:type="dxa"/>
            <w:shd w:val="clear" w:color="auto" w:fill="FFFFFF" w:themeFill="background1"/>
          </w:tcPr>
          <w:p w14:paraId="35E630F9" w14:textId="77777777" w:rsidR="00F5336E" w:rsidRPr="003805E3" w:rsidRDefault="00F5336E" w:rsidP="00F5336E">
            <w:pPr>
              <w:pStyle w:val="TableText"/>
              <w:jc w:val="center"/>
              <w:rPr>
                <w:noProof/>
              </w:rPr>
            </w:pPr>
          </w:p>
        </w:tc>
        <w:tc>
          <w:tcPr>
            <w:tcW w:w="567" w:type="dxa"/>
            <w:shd w:val="clear" w:color="auto" w:fill="FFFFFF" w:themeFill="background1"/>
          </w:tcPr>
          <w:p w14:paraId="5AF19546" w14:textId="520B2792" w:rsidR="00F5336E" w:rsidRPr="003805E3" w:rsidRDefault="00F5336E" w:rsidP="00F5336E">
            <w:pPr>
              <w:pStyle w:val="TableText"/>
              <w:jc w:val="center"/>
              <w:rPr>
                <w:noProof/>
              </w:rPr>
            </w:pPr>
            <w:r>
              <w:rPr>
                <w:noProof/>
              </w:rPr>
              <w:t>■</w:t>
            </w:r>
          </w:p>
        </w:tc>
        <w:tc>
          <w:tcPr>
            <w:tcW w:w="1276" w:type="dxa"/>
            <w:shd w:val="clear" w:color="auto" w:fill="FFFFFF" w:themeFill="background1"/>
          </w:tcPr>
          <w:p w14:paraId="00F88FF3" w14:textId="2012BBFF" w:rsidR="00F5336E" w:rsidRPr="003805E3" w:rsidRDefault="00F5336E" w:rsidP="00F5336E">
            <w:pPr>
              <w:pStyle w:val="TableText"/>
              <w:rPr>
                <w:noProof/>
              </w:rPr>
            </w:pPr>
            <w:r>
              <w:rPr>
                <w:noProof/>
              </w:rPr>
              <w:t>IVCDCI</w:t>
            </w:r>
          </w:p>
        </w:tc>
        <w:tc>
          <w:tcPr>
            <w:tcW w:w="992" w:type="dxa"/>
            <w:shd w:val="clear" w:color="auto" w:fill="FFFFFF" w:themeFill="background1"/>
          </w:tcPr>
          <w:p w14:paraId="5AB717DF" w14:textId="2378A86E" w:rsidR="00F5336E" w:rsidRPr="003805E3" w:rsidRDefault="3FBF512D" w:rsidP="00F5336E">
            <w:pPr>
              <w:pStyle w:val="TableText"/>
              <w:jc w:val="center"/>
              <w:rPr>
                <w:noProof/>
              </w:rPr>
            </w:pPr>
            <w:r>
              <w:rPr>
                <w:noProof/>
              </w:rPr>
              <w:t>3,5</w:t>
            </w:r>
          </w:p>
        </w:tc>
        <w:tc>
          <w:tcPr>
            <w:tcW w:w="2765" w:type="dxa"/>
            <w:shd w:val="clear" w:color="auto" w:fill="FFFFFF" w:themeFill="background1"/>
          </w:tcPr>
          <w:p w14:paraId="3D1BA180" w14:textId="1759681E" w:rsidR="00F5336E" w:rsidRPr="003805E3" w:rsidRDefault="00F5336E" w:rsidP="00F5336E">
            <w:pPr>
              <w:pStyle w:val="TableText"/>
              <w:rPr>
                <w:noProof/>
              </w:rPr>
            </w:pPr>
            <w:r>
              <w:rPr>
                <w:noProof/>
              </w:rPr>
              <w:t>Garantir une réponse plus efficace de la justice pénale à la cybercriminalité</w:t>
            </w:r>
          </w:p>
        </w:tc>
      </w:tr>
      <w:tr w:rsidR="00FB22F2" w:rsidRPr="003805E3" w14:paraId="7DE79DF6" w14:textId="77777777" w:rsidTr="00FB22F2">
        <w:trPr>
          <w:trHeight w:val="419"/>
        </w:trPr>
        <w:tc>
          <w:tcPr>
            <w:tcW w:w="3403" w:type="dxa"/>
            <w:shd w:val="clear" w:color="auto" w:fill="FFFFFF" w:themeFill="background1"/>
          </w:tcPr>
          <w:p w14:paraId="03D86D14" w14:textId="45E83537" w:rsidR="00853316" w:rsidRPr="003805E3" w:rsidRDefault="00853316" w:rsidP="00853316">
            <w:pPr>
              <w:pStyle w:val="TableText"/>
              <w:rPr>
                <w:noProof/>
              </w:rPr>
            </w:pPr>
            <w:r>
              <w:rPr>
                <w:noProof/>
              </w:rPr>
              <w:t>Soutien aux pays du partenariat oriental pour renforcer le recouvrement des avoirs II</w:t>
            </w:r>
          </w:p>
        </w:tc>
        <w:tc>
          <w:tcPr>
            <w:tcW w:w="1279" w:type="dxa"/>
            <w:shd w:val="clear" w:color="auto" w:fill="FFFFFF" w:themeFill="background1"/>
          </w:tcPr>
          <w:p w14:paraId="20DD38DD" w14:textId="1A6A357F" w:rsidR="00853316" w:rsidRPr="003805E3" w:rsidRDefault="00853316" w:rsidP="00853316">
            <w:pPr>
              <w:pStyle w:val="TableText"/>
              <w:rPr>
                <w:noProof/>
              </w:rPr>
            </w:pPr>
            <w:r>
              <w:rPr>
                <w:noProof/>
              </w:rPr>
              <w:t>10.2027</w:t>
            </w:r>
          </w:p>
        </w:tc>
        <w:tc>
          <w:tcPr>
            <w:tcW w:w="555" w:type="dxa"/>
            <w:shd w:val="clear" w:color="auto" w:fill="FFFFFF" w:themeFill="background1"/>
          </w:tcPr>
          <w:p w14:paraId="61DB2A49" w14:textId="77777777" w:rsidR="00853316" w:rsidRPr="003805E3" w:rsidRDefault="00853316" w:rsidP="00853316">
            <w:pPr>
              <w:pStyle w:val="TableText"/>
              <w:jc w:val="center"/>
              <w:rPr>
                <w:noProof/>
              </w:rPr>
            </w:pPr>
          </w:p>
        </w:tc>
        <w:tc>
          <w:tcPr>
            <w:tcW w:w="567" w:type="dxa"/>
            <w:shd w:val="clear" w:color="auto" w:fill="FFFFFF" w:themeFill="background1"/>
          </w:tcPr>
          <w:p w14:paraId="2FF20E9C" w14:textId="77777777" w:rsidR="00853316" w:rsidRPr="003805E3" w:rsidRDefault="00853316" w:rsidP="00853316">
            <w:pPr>
              <w:pStyle w:val="TableText"/>
              <w:jc w:val="center"/>
              <w:rPr>
                <w:noProof/>
              </w:rPr>
            </w:pPr>
          </w:p>
        </w:tc>
        <w:tc>
          <w:tcPr>
            <w:tcW w:w="567" w:type="dxa"/>
            <w:shd w:val="clear" w:color="auto" w:fill="FFFFFF" w:themeFill="background1"/>
          </w:tcPr>
          <w:p w14:paraId="74273336" w14:textId="77777777" w:rsidR="00853316" w:rsidRPr="003805E3" w:rsidRDefault="00853316" w:rsidP="00853316">
            <w:pPr>
              <w:pStyle w:val="TableText"/>
              <w:jc w:val="center"/>
              <w:rPr>
                <w:noProof/>
              </w:rPr>
            </w:pPr>
          </w:p>
        </w:tc>
        <w:tc>
          <w:tcPr>
            <w:tcW w:w="567" w:type="dxa"/>
            <w:shd w:val="clear" w:color="auto" w:fill="FFFFFF" w:themeFill="background1"/>
          </w:tcPr>
          <w:p w14:paraId="1EE495D5" w14:textId="6A8B5BB0"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4254BF8E" w14:textId="7F496B51"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484586BF" w14:textId="77777777" w:rsidR="00853316" w:rsidRPr="003805E3" w:rsidRDefault="00853316" w:rsidP="00853316">
            <w:pPr>
              <w:pStyle w:val="TableText"/>
              <w:jc w:val="center"/>
              <w:rPr>
                <w:noProof/>
              </w:rPr>
            </w:pPr>
          </w:p>
        </w:tc>
        <w:tc>
          <w:tcPr>
            <w:tcW w:w="567" w:type="dxa"/>
            <w:shd w:val="clear" w:color="auto" w:fill="FFFFFF" w:themeFill="background1"/>
          </w:tcPr>
          <w:p w14:paraId="2E4F3743" w14:textId="3EA6F059"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3007D211" w14:textId="77777777" w:rsidR="00853316" w:rsidRPr="003805E3" w:rsidRDefault="00853316" w:rsidP="00853316">
            <w:pPr>
              <w:pStyle w:val="TableText"/>
              <w:jc w:val="center"/>
              <w:rPr>
                <w:noProof/>
              </w:rPr>
            </w:pPr>
          </w:p>
        </w:tc>
        <w:tc>
          <w:tcPr>
            <w:tcW w:w="567" w:type="dxa"/>
            <w:shd w:val="clear" w:color="auto" w:fill="FFFFFF" w:themeFill="background1"/>
          </w:tcPr>
          <w:p w14:paraId="3712B004" w14:textId="255F4BCB" w:rsidR="00853316" w:rsidRPr="003805E3" w:rsidRDefault="00853316" w:rsidP="00853316">
            <w:pPr>
              <w:pStyle w:val="TableText"/>
              <w:jc w:val="center"/>
              <w:rPr>
                <w:noProof/>
              </w:rPr>
            </w:pPr>
            <w:r>
              <w:rPr>
                <w:noProof/>
              </w:rPr>
              <w:t>■</w:t>
            </w:r>
          </w:p>
        </w:tc>
        <w:tc>
          <w:tcPr>
            <w:tcW w:w="1276" w:type="dxa"/>
            <w:shd w:val="clear" w:color="auto" w:fill="FFFFFF" w:themeFill="background1"/>
          </w:tcPr>
          <w:p w14:paraId="62F75B20" w14:textId="1F631A3C" w:rsidR="00853316" w:rsidRPr="003805E3" w:rsidRDefault="00853316" w:rsidP="00853316">
            <w:pPr>
              <w:pStyle w:val="TableText"/>
              <w:rPr>
                <w:noProof/>
              </w:rPr>
            </w:pPr>
            <w:r>
              <w:rPr>
                <w:noProof/>
              </w:rPr>
              <w:t>IVCDCI</w:t>
            </w:r>
          </w:p>
        </w:tc>
        <w:tc>
          <w:tcPr>
            <w:tcW w:w="992" w:type="dxa"/>
            <w:shd w:val="clear" w:color="auto" w:fill="FFFFFF" w:themeFill="background1"/>
          </w:tcPr>
          <w:p w14:paraId="466FB404" w14:textId="3CCA21C8" w:rsidR="00853316" w:rsidRPr="003805E3" w:rsidRDefault="00853316" w:rsidP="00853316">
            <w:pPr>
              <w:pStyle w:val="TableText"/>
              <w:jc w:val="center"/>
              <w:rPr>
                <w:noProof/>
              </w:rPr>
            </w:pPr>
            <w:r>
              <w:rPr>
                <w:noProof/>
              </w:rPr>
              <w:t>1,00</w:t>
            </w:r>
          </w:p>
        </w:tc>
        <w:tc>
          <w:tcPr>
            <w:tcW w:w="2765" w:type="dxa"/>
            <w:shd w:val="clear" w:color="auto" w:fill="FFFFFF" w:themeFill="background1"/>
          </w:tcPr>
          <w:p w14:paraId="4659CBAE" w14:textId="3FA1AE50" w:rsidR="00853316" w:rsidRPr="003805E3" w:rsidRDefault="00E95F13" w:rsidP="00853316">
            <w:pPr>
              <w:pStyle w:val="TableText"/>
              <w:rPr>
                <w:noProof/>
              </w:rPr>
            </w:pPr>
            <w:r>
              <w:rPr>
                <w:noProof/>
              </w:rPr>
              <w:t>Soutenir les politiques et les pratiques de recouvrement des avoirs et faciliter la mise en œuvre opérationnelle dans le recouvrement des produits de la criminalité organisée</w:t>
            </w:r>
          </w:p>
        </w:tc>
      </w:tr>
      <w:tr w:rsidR="00FB22F2" w:rsidRPr="003805E3" w14:paraId="264F8C1F" w14:textId="77777777" w:rsidTr="00FB22F2">
        <w:trPr>
          <w:trHeight w:val="419"/>
        </w:trPr>
        <w:tc>
          <w:tcPr>
            <w:tcW w:w="3403" w:type="dxa"/>
            <w:shd w:val="clear" w:color="auto" w:fill="FFFFFF" w:themeFill="background1"/>
          </w:tcPr>
          <w:p w14:paraId="7063C86C" w14:textId="784E4F00" w:rsidR="004B1F83" w:rsidRPr="003805E3" w:rsidRDefault="00BA3034" w:rsidP="00853316">
            <w:pPr>
              <w:pStyle w:val="TableText"/>
              <w:rPr>
                <w:noProof/>
              </w:rPr>
            </w:pPr>
            <w:r>
              <w:rPr>
                <w:noProof/>
              </w:rPr>
              <w:t>EU4MD II – EU4Monitoring Drugs II</w:t>
            </w:r>
          </w:p>
        </w:tc>
        <w:tc>
          <w:tcPr>
            <w:tcW w:w="1279" w:type="dxa"/>
            <w:shd w:val="clear" w:color="auto" w:fill="FFFFFF" w:themeFill="background1"/>
          </w:tcPr>
          <w:p w14:paraId="3F0CCB4C" w14:textId="50A0B802" w:rsidR="004B1F83" w:rsidRPr="003805E3" w:rsidRDefault="00E95F13" w:rsidP="00853316">
            <w:pPr>
              <w:pStyle w:val="TableText"/>
              <w:rPr>
                <w:noProof/>
              </w:rPr>
            </w:pPr>
            <w:r>
              <w:rPr>
                <w:noProof/>
              </w:rPr>
              <w:t>12.2027</w:t>
            </w:r>
          </w:p>
        </w:tc>
        <w:tc>
          <w:tcPr>
            <w:tcW w:w="555" w:type="dxa"/>
            <w:shd w:val="clear" w:color="auto" w:fill="FFFFFF" w:themeFill="background1"/>
          </w:tcPr>
          <w:p w14:paraId="68E00A62" w14:textId="77777777" w:rsidR="004B1F83" w:rsidRPr="003805E3" w:rsidRDefault="004B1F83" w:rsidP="00853316">
            <w:pPr>
              <w:pStyle w:val="TableText"/>
              <w:jc w:val="center"/>
              <w:rPr>
                <w:noProof/>
              </w:rPr>
            </w:pPr>
          </w:p>
        </w:tc>
        <w:tc>
          <w:tcPr>
            <w:tcW w:w="567" w:type="dxa"/>
            <w:shd w:val="clear" w:color="auto" w:fill="FFFFFF" w:themeFill="background1"/>
          </w:tcPr>
          <w:p w14:paraId="75FB4164" w14:textId="77777777" w:rsidR="004B1F83" w:rsidRPr="003805E3" w:rsidRDefault="004B1F83" w:rsidP="00853316">
            <w:pPr>
              <w:pStyle w:val="TableText"/>
              <w:jc w:val="center"/>
              <w:rPr>
                <w:noProof/>
              </w:rPr>
            </w:pPr>
          </w:p>
        </w:tc>
        <w:tc>
          <w:tcPr>
            <w:tcW w:w="567" w:type="dxa"/>
            <w:shd w:val="clear" w:color="auto" w:fill="FFFFFF" w:themeFill="background1"/>
          </w:tcPr>
          <w:p w14:paraId="430899D5" w14:textId="77777777" w:rsidR="004B1F83" w:rsidRPr="003805E3" w:rsidRDefault="004B1F83" w:rsidP="00853316">
            <w:pPr>
              <w:pStyle w:val="TableText"/>
              <w:jc w:val="center"/>
              <w:rPr>
                <w:noProof/>
              </w:rPr>
            </w:pPr>
          </w:p>
        </w:tc>
        <w:tc>
          <w:tcPr>
            <w:tcW w:w="567" w:type="dxa"/>
            <w:shd w:val="clear" w:color="auto" w:fill="FFFFFF" w:themeFill="background1"/>
          </w:tcPr>
          <w:p w14:paraId="3C0247A3" w14:textId="0415FB77" w:rsidR="004B1F83" w:rsidRPr="003805E3" w:rsidRDefault="00E95F13" w:rsidP="00853316">
            <w:pPr>
              <w:pStyle w:val="TableText"/>
              <w:jc w:val="center"/>
              <w:rPr>
                <w:noProof/>
              </w:rPr>
            </w:pPr>
            <w:r>
              <w:rPr>
                <w:noProof/>
              </w:rPr>
              <w:t>■</w:t>
            </w:r>
          </w:p>
        </w:tc>
        <w:tc>
          <w:tcPr>
            <w:tcW w:w="567" w:type="dxa"/>
            <w:shd w:val="clear" w:color="auto" w:fill="FFFFFF" w:themeFill="background1"/>
          </w:tcPr>
          <w:p w14:paraId="3E830817" w14:textId="235544E0" w:rsidR="004B1F83" w:rsidRPr="003805E3" w:rsidRDefault="00E95F13" w:rsidP="00853316">
            <w:pPr>
              <w:pStyle w:val="TableText"/>
              <w:jc w:val="center"/>
              <w:rPr>
                <w:noProof/>
              </w:rPr>
            </w:pPr>
            <w:r>
              <w:rPr>
                <w:noProof/>
              </w:rPr>
              <w:t>■</w:t>
            </w:r>
          </w:p>
        </w:tc>
        <w:tc>
          <w:tcPr>
            <w:tcW w:w="567" w:type="dxa"/>
            <w:shd w:val="clear" w:color="auto" w:fill="FFFFFF" w:themeFill="background1"/>
          </w:tcPr>
          <w:p w14:paraId="43DA25F5" w14:textId="77777777" w:rsidR="004B1F83" w:rsidRPr="003805E3" w:rsidRDefault="004B1F83" w:rsidP="00853316">
            <w:pPr>
              <w:pStyle w:val="TableText"/>
              <w:jc w:val="center"/>
              <w:rPr>
                <w:noProof/>
              </w:rPr>
            </w:pPr>
          </w:p>
        </w:tc>
        <w:tc>
          <w:tcPr>
            <w:tcW w:w="567" w:type="dxa"/>
            <w:shd w:val="clear" w:color="auto" w:fill="FFFFFF" w:themeFill="background1"/>
          </w:tcPr>
          <w:p w14:paraId="22EF0C69" w14:textId="740EEB49" w:rsidR="004B1F83" w:rsidRPr="003805E3" w:rsidRDefault="00E95F13" w:rsidP="00853316">
            <w:pPr>
              <w:pStyle w:val="TableText"/>
              <w:jc w:val="center"/>
              <w:rPr>
                <w:noProof/>
              </w:rPr>
            </w:pPr>
            <w:r>
              <w:rPr>
                <w:noProof/>
              </w:rPr>
              <w:t>■</w:t>
            </w:r>
          </w:p>
        </w:tc>
        <w:tc>
          <w:tcPr>
            <w:tcW w:w="567" w:type="dxa"/>
            <w:shd w:val="clear" w:color="auto" w:fill="FFFFFF" w:themeFill="background1"/>
          </w:tcPr>
          <w:p w14:paraId="47BBDAE8" w14:textId="77777777" w:rsidR="004B1F83" w:rsidRPr="003805E3" w:rsidRDefault="004B1F83" w:rsidP="00853316">
            <w:pPr>
              <w:pStyle w:val="TableText"/>
              <w:jc w:val="center"/>
              <w:rPr>
                <w:noProof/>
              </w:rPr>
            </w:pPr>
          </w:p>
        </w:tc>
        <w:tc>
          <w:tcPr>
            <w:tcW w:w="567" w:type="dxa"/>
            <w:shd w:val="clear" w:color="auto" w:fill="FFFFFF" w:themeFill="background1"/>
          </w:tcPr>
          <w:p w14:paraId="0CC9CA0E" w14:textId="6D38C254" w:rsidR="004B1F83" w:rsidRPr="003805E3" w:rsidRDefault="00E95F13" w:rsidP="00853316">
            <w:pPr>
              <w:pStyle w:val="TableText"/>
              <w:jc w:val="center"/>
              <w:rPr>
                <w:noProof/>
              </w:rPr>
            </w:pPr>
            <w:r>
              <w:rPr>
                <w:noProof/>
              </w:rPr>
              <w:t>■</w:t>
            </w:r>
          </w:p>
        </w:tc>
        <w:tc>
          <w:tcPr>
            <w:tcW w:w="1276" w:type="dxa"/>
            <w:shd w:val="clear" w:color="auto" w:fill="FFFFFF" w:themeFill="background1"/>
          </w:tcPr>
          <w:p w14:paraId="34593169" w14:textId="1B6BBCCF" w:rsidR="004B1F83" w:rsidRPr="003805E3" w:rsidRDefault="00E95F13" w:rsidP="00853316">
            <w:pPr>
              <w:pStyle w:val="TableText"/>
              <w:rPr>
                <w:noProof/>
              </w:rPr>
            </w:pPr>
            <w:r>
              <w:rPr>
                <w:noProof/>
              </w:rPr>
              <w:t>IVCDCI</w:t>
            </w:r>
          </w:p>
        </w:tc>
        <w:tc>
          <w:tcPr>
            <w:tcW w:w="992" w:type="dxa"/>
            <w:shd w:val="clear" w:color="auto" w:fill="FFFFFF" w:themeFill="background1"/>
          </w:tcPr>
          <w:p w14:paraId="5CC95712" w14:textId="519C0B9B" w:rsidR="004B1F83" w:rsidRPr="003805E3" w:rsidRDefault="00E95F13" w:rsidP="00853316">
            <w:pPr>
              <w:pStyle w:val="TableText"/>
              <w:jc w:val="center"/>
              <w:rPr>
                <w:noProof/>
              </w:rPr>
            </w:pPr>
            <w:r>
              <w:rPr>
                <w:noProof/>
              </w:rPr>
              <w:t>1,00</w:t>
            </w:r>
          </w:p>
        </w:tc>
        <w:tc>
          <w:tcPr>
            <w:tcW w:w="2765" w:type="dxa"/>
            <w:shd w:val="clear" w:color="auto" w:fill="FFFFFF" w:themeFill="background1"/>
          </w:tcPr>
          <w:p w14:paraId="331E23C8" w14:textId="14877699" w:rsidR="004B1F83" w:rsidRPr="003805E3" w:rsidRDefault="005B5281" w:rsidP="00853316">
            <w:pPr>
              <w:pStyle w:val="TableText"/>
              <w:rPr>
                <w:noProof/>
              </w:rPr>
            </w:pPr>
            <w:r>
              <w:rPr>
                <w:noProof/>
              </w:rPr>
              <w:t>Renforcement des capacités de surveillance, d’évaluation et de réaction en ce qui concerne les problèmes actuels liés à la drogue</w:t>
            </w:r>
          </w:p>
        </w:tc>
      </w:tr>
      <w:tr w:rsidR="00FB22F2" w:rsidRPr="003805E3" w14:paraId="03134CD5" w14:textId="77777777" w:rsidTr="00FB22F2">
        <w:trPr>
          <w:trHeight w:val="419"/>
        </w:trPr>
        <w:tc>
          <w:tcPr>
            <w:tcW w:w="3403" w:type="dxa"/>
            <w:shd w:val="clear" w:color="auto" w:fill="FFFFFF" w:themeFill="background1"/>
          </w:tcPr>
          <w:p w14:paraId="7829BEC5" w14:textId="1EB50153" w:rsidR="00853316" w:rsidRPr="003805E3" w:rsidRDefault="00853316" w:rsidP="00853316">
            <w:pPr>
              <w:pStyle w:val="TableText"/>
              <w:rPr>
                <w:noProof/>
              </w:rPr>
            </w:pPr>
            <w:r>
              <w:rPr>
                <w:noProof/>
              </w:rPr>
              <w:t>Resilient &amp; Connected</w:t>
            </w:r>
          </w:p>
        </w:tc>
        <w:tc>
          <w:tcPr>
            <w:tcW w:w="1279" w:type="dxa"/>
            <w:shd w:val="clear" w:color="auto" w:fill="FFFFFF" w:themeFill="background1"/>
          </w:tcPr>
          <w:p w14:paraId="4D781BA1" w14:textId="445A0C34" w:rsidR="00853316" w:rsidRPr="003805E3" w:rsidRDefault="00853316" w:rsidP="00853316">
            <w:pPr>
              <w:pStyle w:val="TableText"/>
              <w:rPr>
                <w:noProof/>
              </w:rPr>
            </w:pPr>
            <w:r>
              <w:rPr>
                <w:noProof/>
              </w:rPr>
              <w:t>12.2025 – 03.2028</w:t>
            </w:r>
          </w:p>
        </w:tc>
        <w:tc>
          <w:tcPr>
            <w:tcW w:w="555" w:type="dxa"/>
            <w:shd w:val="clear" w:color="auto" w:fill="FFFFFF" w:themeFill="background1"/>
          </w:tcPr>
          <w:p w14:paraId="4DDA95F8" w14:textId="0569C6DD" w:rsidR="00853316" w:rsidRPr="003805E3" w:rsidRDefault="00853316" w:rsidP="00853316">
            <w:pPr>
              <w:pStyle w:val="TableText"/>
              <w:jc w:val="center"/>
              <w:rPr>
                <w:noProof/>
              </w:rPr>
            </w:pPr>
          </w:p>
        </w:tc>
        <w:tc>
          <w:tcPr>
            <w:tcW w:w="567" w:type="dxa"/>
            <w:shd w:val="clear" w:color="auto" w:fill="FFFFFF" w:themeFill="background1"/>
          </w:tcPr>
          <w:p w14:paraId="12776C4A" w14:textId="7B60B170" w:rsidR="00853316" w:rsidRPr="003805E3" w:rsidRDefault="00853316" w:rsidP="00853316">
            <w:pPr>
              <w:pStyle w:val="TableText"/>
              <w:jc w:val="center"/>
              <w:rPr>
                <w:noProof/>
              </w:rPr>
            </w:pPr>
          </w:p>
        </w:tc>
        <w:tc>
          <w:tcPr>
            <w:tcW w:w="567" w:type="dxa"/>
            <w:shd w:val="clear" w:color="auto" w:fill="FFFFFF" w:themeFill="background1"/>
          </w:tcPr>
          <w:p w14:paraId="74B65347" w14:textId="4E52C34D" w:rsidR="00853316" w:rsidRPr="003805E3" w:rsidRDefault="00853316" w:rsidP="00853316">
            <w:pPr>
              <w:pStyle w:val="TableText"/>
              <w:jc w:val="center"/>
              <w:rPr>
                <w:noProof/>
              </w:rPr>
            </w:pPr>
          </w:p>
        </w:tc>
        <w:tc>
          <w:tcPr>
            <w:tcW w:w="567" w:type="dxa"/>
            <w:shd w:val="clear" w:color="auto" w:fill="FFFFFF" w:themeFill="background1"/>
          </w:tcPr>
          <w:p w14:paraId="05392E34" w14:textId="041AF79E"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32CFC102" w14:textId="231EEA76"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6CC74D8D" w14:textId="4CD5EE73"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33B68B5E" w14:textId="13ECE921"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18DB8BA0" w14:textId="02939A74" w:rsidR="00853316" w:rsidRPr="003805E3" w:rsidRDefault="00853316" w:rsidP="00853316">
            <w:pPr>
              <w:pStyle w:val="TableText"/>
              <w:rPr>
                <w:noProof/>
              </w:rPr>
            </w:pPr>
          </w:p>
        </w:tc>
        <w:tc>
          <w:tcPr>
            <w:tcW w:w="567" w:type="dxa"/>
            <w:shd w:val="clear" w:color="auto" w:fill="FFFFFF" w:themeFill="background1"/>
          </w:tcPr>
          <w:p w14:paraId="7FB24B57" w14:textId="017B9478" w:rsidR="00853316" w:rsidRPr="003805E3" w:rsidRDefault="00853316" w:rsidP="00853316">
            <w:pPr>
              <w:pStyle w:val="TableText"/>
              <w:jc w:val="center"/>
              <w:rPr>
                <w:noProof/>
              </w:rPr>
            </w:pPr>
            <w:r>
              <w:rPr>
                <w:noProof/>
              </w:rPr>
              <w:t>■</w:t>
            </w:r>
          </w:p>
        </w:tc>
        <w:tc>
          <w:tcPr>
            <w:tcW w:w="1276" w:type="dxa"/>
            <w:shd w:val="clear" w:color="auto" w:fill="FFFFFF" w:themeFill="background1"/>
          </w:tcPr>
          <w:p w14:paraId="0DD7450F" w14:textId="11060118" w:rsidR="00853316" w:rsidRPr="003805E3" w:rsidRDefault="00853316" w:rsidP="00853316">
            <w:pPr>
              <w:pStyle w:val="TableText"/>
              <w:rPr>
                <w:noProof/>
              </w:rPr>
            </w:pPr>
            <w:r>
              <w:rPr>
                <w:noProof/>
              </w:rPr>
              <w:t>IVCDCI</w:t>
            </w:r>
          </w:p>
        </w:tc>
        <w:tc>
          <w:tcPr>
            <w:tcW w:w="992" w:type="dxa"/>
            <w:shd w:val="clear" w:color="auto" w:fill="FFFFFF" w:themeFill="background1"/>
          </w:tcPr>
          <w:p w14:paraId="6509B8B2" w14:textId="732BC060" w:rsidR="00853316" w:rsidRPr="003805E3" w:rsidRDefault="00853316" w:rsidP="00853316">
            <w:pPr>
              <w:pStyle w:val="TableText"/>
              <w:jc w:val="center"/>
              <w:rPr>
                <w:noProof/>
              </w:rPr>
            </w:pPr>
            <w:r>
              <w:rPr>
                <w:noProof/>
              </w:rPr>
              <w:t>5,00</w:t>
            </w:r>
          </w:p>
        </w:tc>
        <w:tc>
          <w:tcPr>
            <w:tcW w:w="2765" w:type="dxa"/>
            <w:shd w:val="clear" w:color="auto" w:fill="FFFFFF" w:themeFill="background1"/>
          </w:tcPr>
          <w:p w14:paraId="3F3177AC" w14:textId="2BDD7C70" w:rsidR="00853316" w:rsidRPr="003805E3" w:rsidRDefault="00853316" w:rsidP="00853316">
            <w:pPr>
              <w:pStyle w:val="TableText"/>
              <w:rPr>
                <w:noProof/>
              </w:rPr>
            </w:pPr>
            <w:r>
              <w:rPr>
                <w:noProof/>
              </w:rPr>
              <w:t>Lutte contre la désinformation et les activités de manipulation de l’information et d’ingérence menées depuis l’étranger, et soutien à l’éducation aux médias</w:t>
            </w:r>
          </w:p>
        </w:tc>
      </w:tr>
      <w:tr w:rsidR="00FB22F2" w:rsidRPr="003805E3" w14:paraId="46352C59" w14:textId="77777777" w:rsidTr="00FB22F2">
        <w:trPr>
          <w:trHeight w:val="419"/>
        </w:trPr>
        <w:tc>
          <w:tcPr>
            <w:tcW w:w="3403" w:type="dxa"/>
            <w:shd w:val="clear" w:color="auto" w:fill="FFFFFF" w:themeFill="background1"/>
          </w:tcPr>
          <w:p w14:paraId="7736FF14" w14:textId="607F90A6" w:rsidR="00B82D4B" w:rsidRPr="003805E3" w:rsidRDefault="00B82D4B" w:rsidP="00853316">
            <w:pPr>
              <w:pStyle w:val="TableText"/>
              <w:rPr>
                <w:noProof/>
              </w:rPr>
            </w:pPr>
            <w:r>
              <w:rPr>
                <w:noProof/>
              </w:rPr>
              <w:t>Flexible Response Mechanism (FRM)</w:t>
            </w:r>
          </w:p>
        </w:tc>
        <w:tc>
          <w:tcPr>
            <w:tcW w:w="1279" w:type="dxa"/>
            <w:shd w:val="clear" w:color="auto" w:fill="FFFFFF" w:themeFill="background1"/>
          </w:tcPr>
          <w:p w14:paraId="13E4AC23" w14:textId="6B8DC6DF" w:rsidR="00B82D4B" w:rsidRPr="003805E3" w:rsidRDefault="00B82D4B" w:rsidP="00853316">
            <w:pPr>
              <w:pStyle w:val="TableText"/>
              <w:rPr>
                <w:noProof/>
              </w:rPr>
            </w:pPr>
            <w:r>
              <w:rPr>
                <w:noProof/>
              </w:rPr>
              <w:t>02.2026 – 07.2027</w:t>
            </w:r>
          </w:p>
        </w:tc>
        <w:tc>
          <w:tcPr>
            <w:tcW w:w="555" w:type="dxa"/>
            <w:shd w:val="clear" w:color="auto" w:fill="FFFFFF" w:themeFill="background1"/>
          </w:tcPr>
          <w:p w14:paraId="46AC7695" w14:textId="77777777" w:rsidR="00B82D4B" w:rsidRPr="003805E3" w:rsidRDefault="00B82D4B" w:rsidP="00853316">
            <w:pPr>
              <w:pStyle w:val="TableText"/>
              <w:jc w:val="center"/>
              <w:rPr>
                <w:noProof/>
              </w:rPr>
            </w:pPr>
          </w:p>
        </w:tc>
        <w:tc>
          <w:tcPr>
            <w:tcW w:w="567" w:type="dxa"/>
            <w:shd w:val="clear" w:color="auto" w:fill="FFFFFF" w:themeFill="background1"/>
          </w:tcPr>
          <w:p w14:paraId="614E10FD" w14:textId="77777777" w:rsidR="00B82D4B" w:rsidRPr="003805E3" w:rsidRDefault="00B82D4B" w:rsidP="00853316">
            <w:pPr>
              <w:pStyle w:val="TableText"/>
              <w:jc w:val="center"/>
              <w:rPr>
                <w:noProof/>
              </w:rPr>
            </w:pPr>
          </w:p>
        </w:tc>
        <w:tc>
          <w:tcPr>
            <w:tcW w:w="567" w:type="dxa"/>
            <w:shd w:val="clear" w:color="auto" w:fill="FFFFFF" w:themeFill="background1"/>
          </w:tcPr>
          <w:p w14:paraId="0AEE921B" w14:textId="77777777" w:rsidR="00B82D4B" w:rsidRPr="003805E3" w:rsidRDefault="00B82D4B" w:rsidP="00853316">
            <w:pPr>
              <w:pStyle w:val="TableText"/>
              <w:jc w:val="center"/>
              <w:rPr>
                <w:noProof/>
              </w:rPr>
            </w:pPr>
          </w:p>
        </w:tc>
        <w:tc>
          <w:tcPr>
            <w:tcW w:w="567" w:type="dxa"/>
            <w:shd w:val="clear" w:color="auto" w:fill="FFFFFF" w:themeFill="background1"/>
          </w:tcPr>
          <w:p w14:paraId="7D67C143" w14:textId="77777777" w:rsidR="00B82D4B" w:rsidRPr="003805E3" w:rsidRDefault="00B82D4B" w:rsidP="00853316">
            <w:pPr>
              <w:pStyle w:val="TableText"/>
              <w:jc w:val="center"/>
              <w:rPr>
                <w:noProof/>
              </w:rPr>
            </w:pPr>
          </w:p>
        </w:tc>
        <w:tc>
          <w:tcPr>
            <w:tcW w:w="567" w:type="dxa"/>
            <w:shd w:val="clear" w:color="auto" w:fill="FFFFFF" w:themeFill="background1"/>
          </w:tcPr>
          <w:p w14:paraId="106E3508" w14:textId="77777777" w:rsidR="00B82D4B" w:rsidRPr="003805E3" w:rsidRDefault="00B82D4B" w:rsidP="00853316">
            <w:pPr>
              <w:pStyle w:val="TableText"/>
              <w:jc w:val="center"/>
              <w:rPr>
                <w:noProof/>
              </w:rPr>
            </w:pPr>
          </w:p>
        </w:tc>
        <w:tc>
          <w:tcPr>
            <w:tcW w:w="567" w:type="dxa"/>
            <w:shd w:val="clear" w:color="auto" w:fill="FFFFFF" w:themeFill="background1"/>
          </w:tcPr>
          <w:p w14:paraId="6EF539F6" w14:textId="77777777" w:rsidR="00B82D4B" w:rsidRPr="003805E3" w:rsidRDefault="00B82D4B" w:rsidP="00853316">
            <w:pPr>
              <w:pStyle w:val="TableText"/>
              <w:jc w:val="center"/>
              <w:rPr>
                <w:noProof/>
              </w:rPr>
            </w:pPr>
          </w:p>
        </w:tc>
        <w:tc>
          <w:tcPr>
            <w:tcW w:w="567" w:type="dxa"/>
            <w:shd w:val="clear" w:color="auto" w:fill="FFFFFF" w:themeFill="background1"/>
          </w:tcPr>
          <w:p w14:paraId="50BD8C33" w14:textId="403DDDB7" w:rsidR="00B82D4B" w:rsidRPr="003805E3" w:rsidRDefault="00B3546A" w:rsidP="00853316">
            <w:pPr>
              <w:pStyle w:val="TableText"/>
              <w:jc w:val="center"/>
              <w:rPr>
                <w:noProof/>
              </w:rPr>
            </w:pPr>
            <w:r>
              <w:rPr>
                <w:noProof/>
              </w:rPr>
              <w:t>■</w:t>
            </w:r>
          </w:p>
        </w:tc>
        <w:tc>
          <w:tcPr>
            <w:tcW w:w="567" w:type="dxa"/>
            <w:shd w:val="clear" w:color="auto" w:fill="FFFFFF" w:themeFill="background1"/>
          </w:tcPr>
          <w:p w14:paraId="12B867DB" w14:textId="77777777" w:rsidR="00B82D4B" w:rsidRPr="003805E3" w:rsidRDefault="00B82D4B" w:rsidP="00853316">
            <w:pPr>
              <w:pStyle w:val="TableText"/>
              <w:rPr>
                <w:noProof/>
              </w:rPr>
            </w:pPr>
          </w:p>
        </w:tc>
        <w:tc>
          <w:tcPr>
            <w:tcW w:w="567" w:type="dxa"/>
            <w:shd w:val="clear" w:color="auto" w:fill="FFFFFF" w:themeFill="background1"/>
          </w:tcPr>
          <w:p w14:paraId="4775028B" w14:textId="77777777" w:rsidR="00B82D4B" w:rsidRPr="003805E3" w:rsidRDefault="00B82D4B" w:rsidP="00853316">
            <w:pPr>
              <w:pStyle w:val="TableText"/>
              <w:jc w:val="center"/>
              <w:rPr>
                <w:noProof/>
              </w:rPr>
            </w:pPr>
          </w:p>
        </w:tc>
        <w:tc>
          <w:tcPr>
            <w:tcW w:w="1276" w:type="dxa"/>
            <w:shd w:val="clear" w:color="auto" w:fill="FFFFFF" w:themeFill="background1"/>
          </w:tcPr>
          <w:p w14:paraId="6EEF5AFF" w14:textId="68D345F4" w:rsidR="00B82D4B" w:rsidRPr="003805E3" w:rsidRDefault="00B82D4B" w:rsidP="00853316">
            <w:pPr>
              <w:pStyle w:val="TableText"/>
              <w:rPr>
                <w:noProof/>
              </w:rPr>
            </w:pPr>
            <w:r>
              <w:rPr>
                <w:noProof/>
              </w:rPr>
              <w:t>IVCDCI – CRISE</w:t>
            </w:r>
          </w:p>
        </w:tc>
        <w:tc>
          <w:tcPr>
            <w:tcW w:w="992" w:type="dxa"/>
            <w:shd w:val="clear" w:color="auto" w:fill="FFFFFF" w:themeFill="background1"/>
          </w:tcPr>
          <w:p w14:paraId="6F82D3EE" w14:textId="14948AC0" w:rsidR="00B82D4B" w:rsidRPr="003805E3" w:rsidRDefault="00FD1E89" w:rsidP="00853316">
            <w:pPr>
              <w:pStyle w:val="TableText"/>
              <w:jc w:val="center"/>
              <w:rPr>
                <w:noProof/>
              </w:rPr>
            </w:pPr>
            <w:r>
              <w:rPr>
                <w:noProof/>
              </w:rPr>
              <w:t>18</w:t>
            </w:r>
          </w:p>
        </w:tc>
        <w:tc>
          <w:tcPr>
            <w:tcW w:w="2765" w:type="dxa"/>
            <w:shd w:val="clear" w:color="auto" w:fill="FFFFFF" w:themeFill="background1"/>
          </w:tcPr>
          <w:p w14:paraId="090955DD" w14:textId="7D7A61E6" w:rsidR="00B82D4B" w:rsidRPr="003805E3" w:rsidRDefault="00B82D4B" w:rsidP="00853316">
            <w:pPr>
              <w:pStyle w:val="TableText"/>
              <w:rPr>
                <w:noProof/>
              </w:rPr>
            </w:pPr>
            <w:r>
              <w:rPr>
                <w:noProof/>
              </w:rPr>
              <w:t>Renforcement des capacités des pays partenaires à réagir aux menaces hybrides, en mettant l’accent sur la fourniture d’équipements critiques. Actuellement actif en MD, disponible dans plusieurs pays.</w:t>
            </w:r>
          </w:p>
        </w:tc>
      </w:tr>
      <w:tr w:rsidR="00FB22F2" w:rsidRPr="003805E3" w14:paraId="4C27B188" w14:textId="77777777" w:rsidTr="00FB22F2">
        <w:trPr>
          <w:trHeight w:val="419"/>
        </w:trPr>
        <w:tc>
          <w:tcPr>
            <w:tcW w:w="3403" w:type="dxa"/>
            <w:shd w:val="clear" w:color="auto" w:fill="D1D1D1" w:themeFill="background2" w:themeFillShade="E6"/>
          </w:tcPr>
          <w:p w14:paraId="66E33231" w14:textId="77777777" w:rsidR="00853316" w:rsidRPr="003805E3" w:rsidRDefault="00853316" w:rsidP="00590B01">
            <w:pPr>
              <w:pStyle w:val="TableText"/>
              <w:keepNext/>
              <w:rPr>
                <w:b/>
                <w:bCs/>
                <w:noProof/>
              </w:rPr>
            </w:pPr>
            <w:r>
              <w:rPr>
                <w:b/>
                <w:noProof/>
              </w:rPr>
              <w:t>PILIER 2</w:t>
            </w:r>
          </w:p>
        </w:tc>
        <w:tc>
          <w:tcPr>
            <w:tcW w:w="1279" w:type="dxa"/>
            <w:shd w:val="clear" w:color="auto" w:fill="D1D1D1" w:themeFill="background2" w:themeFillShade="E6"/>
          </w:tcPr>
          <w:p w14:paraId="35096CF3" w14:textId="77777777" w:rsidR="00853316" w:rsidRPr="003805E3" w:rsidRDefault="00853316" w:rsidP="00590B01">
            <w:pPr>
              <w:pStyle w:val="TableText"/>
              <w:keepNext/>
              <w:rPr>
                <w:noProof/>
              </w:rPr>
            </w:pPr>
          </w:p>
        </w:tc>
        <w:tc>
          <w:tcPr>
            <w:tcW w:w="555" w:type="dxa"/>
            <w:shd w:val="clear" w:color="auto" w:fill="D1D1D1" w:themeFill="background2" w:themeFillShade="E6"/>
          </w:tcPr>
          <w:p w14:paraId="45A57660"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77BB2161"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0FC84A4"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527971E7"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18137B18"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3E6608D5"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B6DA74C"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8B7F93B"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74E1388D" w14:textId="77777777" w:rsidR="00853316" w:rsidRPr="003805E3" w:rsidRDefault="00853316" w:rsidP="00590B01">
            <w:pPr>
              <w:pStyle w:val="TableText"/>
              <w:keepNext/>
              <w:jc w:val="center"/>
              <w:rPr>
                <w:noProof/>
              </w:rPr>
            </w:pPr>
          </w:p>
        </w:tc>
        <w:tc>
          <w:tcPr>
            <w:tcW w:w="1276" w:type="dxa"/>
            <w:shd w:val="clear" w:color="auto" w:fill="D1D1D1" w:themeFill="background2" w:themeFillShade="E6"/>
          </w:tcPr>
          <w:p w14:paraId="7F437D8B" w14:textId="77777777" w:rsidR="00853316" w:rsidRPr="003805E3" w:rsidRDefault="00853316" w:rsidP="00590B01">
            <w:pPr>
              <w:pStyle w:val="TableText"/>
              <w:keepNext/>
              <w:rPr>
                <w:noProof/>
              </w:rPr>
            </w:pPr>
          </w:p>
        </w:tc>
        <w:tc>
          <w:tcPr>
            <w:tcW w:w="992" w:type="dxa"/>
            <w:shd w:val="clear" w:color="auto" w:fill="D1D1D1" w:themeFill="background2" w:themeFillShade="E6"/>
          </w:tcPr>
          <w:p w14:paraId="5B34354E" w14:textId="77777777" w:rsidR="00853316" w:rsidRPr="003805E3" w:rsidRDefault="00853316" w:rsidP="00590B01">
            <w:pPr>
              <w:pStyle w:val="TableText"/>
              <w:keepNext/>
              <w:jc w:val="center"/>
              <w:rPr>
                <w:noProof/>
              </w:rPr>
            </w:pPr>
          </w:p>
        </w:tc>
        <w:tc>
          <w:tcPr>
            <w:tcW w:w="2765" w:type="dxa"/>
            <w:shd w:val="clear" w:color="auto" w:fill="D1D1D1" w:themeFill="background2" w:themeFillShade="E6"/>
          </w:tcPr>
          <w:p w14:paraId="7CEDDC41" w14:textId="77777777" w:rsidR="00853316" w:rsidRPr="003805E3" w:rsidRDefault="00853316" w:rsidP="00590B01">
            <w:pPr>
              <w:pStyle w:val="TableText"/>
              <w:keepNext/>
              <w:rPr>
                <w:noProof/>
              </w:rPr>
            </w:pPr>
          </w:p>
        </w:tc>
      </w:tr>
      <w:tr w:rsidR="00FB22F2" w:rsidRPr="003805E3" w14:paraId="193B3FC2" w14:textId="77777777" w:rsidTr="00FB22F2">
        <w:tc>
          <w:tcPr>
            <w:tcW w:w="3403" w:type="dxa"/>
          </w:tcPr>
          <w:p w14:paraId="29D29B6E" w14:textId="77777777" w:rsidR="00853316" w:rsidRPr="003805E3" w:rsidRDefault="00853316" w:rsidP="00853316">
            <w:pPr>
              <w:pStyle w:val="TableText"/>
              <w:rPr>
                <w:noProof/>
              </w:rPr>
            </w:pPr>
            <w:r>
              <w:rPr>
                <w:noProof/>
              </w:rPr>
              <w:t>BLUE-GATES</w:t>
            </w:r>
          </w:p>
        </w:tc>
        <w:tc>
          <w:tcPr>
            <w:tcW w:w="1279" w:type="dxa"/>
          </w:tcPr>
          <w:p w14:paraId="0FA18974" w14:textId="77777777" w:rsidR="00853316" w:rsidRPr="003805E3" w:rsidRDefault="00853316" w:rsidP="00853316">
            <w:pPr>
              <w:pStyle w:val="TableText"/>
              <w:rPr>
                <w:noProof/>
              </w:rPr>
            </w:pPr>
            <w:r>
              <w:rPr>
                <w:noProof/>
              </w:rPr>
              <w:t>09.2024 – 03.2027</w:t>
            </w:r>
          </w:p>
        </w:tc>
        <w:tc>
          <w:tcPr>
            <w:tcW w:w="555" w:type="dxa"/>
          </w:tcPr>
          <w:p w14:paraId="4322ED59" w14:textId="77777777" w:rsidR="00853316" w:rsidRPr="003805E3" w:rsidRDefault="00853316" w:rsidP="00853316">
            <w:pPr>
              <w:pStyle w:val="TableText"/>
              <w:jc w:val="center"/>
              <w:rPr>
                <w:noProof/>
              </w:rPr>
            </w:pPr>
            <w:r>
              <w:rPr>
                <w:noProof/>
              </w:rPr>
              <w:t>■</w:t>
            </w:r>
          </w:p>
        </w:tc>
        <w:tc>
          <w:tcPr>
            <w:tcW w:w="567" w:type="dxa"/>
          </w:tcPr>
          <w:p w14:paraId="2DF850BE" w14:textId="77777777" w:rsidR="00853316" w:rsidRPr="003805E3" w:rsidRDefault="00853316" w:rsidP="00853316">
            <w:pPr>
              <w:pStyle w:val="TableText"/>
              <w:jc w:val="center"/>
              <w:rPr>
                <w:noProof/>
              </w:rPr>
            </w:pPr>
          </w:p>
        </w:tc>
        <w:tc>
          <w:tcPr>
            <w:tcW w:w="567" w:type="dxa"/>
          </w:tcPr>
          <w:p w14:paraId="2A3E4199" w14:textId="77777777" w:rsidR="00853316" w:rsidRPr="003805E3" w:rsidRDefault="00853316" w:rsidP="00853316">
            <w:pPr>
              <w:pStyle w:val="TableText"/>
              <w:jc w:val="center"/>
              <w:rPr>
                <w:noProof/>
              </w:rPr>
            </w:pPr>
            <w:r>
              <w:rPr>
                <w:noProof/>
              </w:rPr>
              <w:t>■</w:t>
            </w:r>
          </w:p>
        </w:tc>
        <w:tc>
          <w:tcPr>
            <w:tcW w:w="567" w:type="dxa"/>
          </w:tcPr>
          <w:p w14:paraId="31674361" w14:textId="77777777" w:rsidR="00853316" w:rsidRPr="003805E3" w:rsidRDefault="00853316" w:rsidP="00853316">
            <w:pPr>
              <w:pStyle w:val="TableText"/>
              <w:jc w:val="center"/>
              <w:rPr>
                <w:noProof/>
              </w:rPr>
            </w:pPr>
          </w:p>
        </w:tc>
        <w:tc>
          <w:tcPr>
            <w:tcW w:w="567" w:type="dxa"/>
          </w:tcPr>
          <w:p w14:paraId="6190ADF0" w14:textId="77777777" w:rsidR="00853316" w:rsidRPr="003805E3" w:rsidRDefault="00853316" w:rsidP="00853316">
            <w:pPr>
              <w:pStyle w:val="TableText"/>
              <w:jc w:val="center"/>
              <w:rPr>
                <w:noProof/>
              </w:rPr>
            </w:pPr>
          </w:p>
        </w:tc>
        <w:tc>
          <w:tcPr>
            <w:tcW w:w="567" w:type="dxa"/>
          </w:tcPr>
          <w:p w14:paraId="066DB7E4" w14:textId="77777777" w:rsidR="00853316" w:rsidRPr="003805E3" w:rsidRDefault="00853316" w:rsidP="00853316">
            <w:pPr>
              <w:pStyle w:val="TableText"/>
              <w:jc w:val="center"/>
              <w:rPr>
                <w:noProof/>
              </w:rPr>
            </w:pPr>
          </w:p>
        </w:tc>
        <w:tc>
          <w:tcPr>
            <w:tcW w:w="567" w:type="dxa"/>
          </w:tcPr>
          <w:p w14:paraId="3A34684A" w14:textId="77777777" w:rsidR="00853316" w:rsidRPr="003805E3" w:rsidRDefault="00853316" w:rsidP="00853316">
            <w:pPr>
              <w:pStyle w:val="TableText"/>
              <w:jc w:val="center"/>
              <w:rPr>
                <w:noProof/>
              </w:rPr>
            </w:pPr>
            <w:r>
              <w:rPr>
                <w:noProof/>
              </w:rPr>
              <w:t>■</w:t>
            </w:r>
          </w:p>
        </w:tc>
        <w:tc>
          <w:tcPr>
            <w:tcW w:w="567" w:type="dxa"/>
          </w:tcPr>
          <w:p w14:paraId="0791BD25" w14:textId="77777777" w:rsidR="00853316" w:rsidRPr="003805E3" w:rsidRDefault="00853316" w:rsidP="00853316">
            <w:pPr>
              <w:pStyle w:val="TableText"/>
              <w:jc w:val="center"/>
              <w:rPr>
                <w:noProof/>
              </w:rPr>
            </w:pPr>
            <w:r>
              <w:rPr>
                <w:noProof/>
              </w:rPr>
              <w:t>■</w:t>
            </w:r>
          </w:p>
        </w:tc>
        <w:tc>
          <w:tcPr>
            <w:tcW w:w="567" w:type="dxa"/>
          </w:tcPr>
          <w:p w14:paraId="7D11FB3F" w14:textId="77777777" w:rsidR="00853316" w:rsidRPr="003805E3" w:rsidRDefault="00853316" w:rsidP="00853316">
            <w:pPr>
              <w:pStyle w:val="TableText"/>
              <w:jc w:val="center"/>
              <w:rPr>
                <w:noProof/>
              </w:rPr>
            </w:pPr>
            <w:r>
              <w:rPr>
                <w:noProof/>
              </w:rPr>
              <w:t>■</w:t>
            </w:r>
          </w:p>
        </w:tc>
        <w:tc>
          <w:tcPr>
            <w:tcW w:w="1276" w:type="dxa"/>
          </w:tcPr>
          <w:p w14:paraId="35E092AE" w14:textId="70860285" w:rsidR="00853316" w:rsidRPr="003805E3" w:rsidRDefault="00853316" w:rsidP="00853316">
            <w:pPr>
              <w:pStyle w:val="TableText"/>
              <w:rPr>
                <w:noProof/>
              </w:rPr>
            </w:pPr>
            <w:r>
              <w:rPr>
                <w:noProof/>
              </w:rPr>
              <w:t>Interreg NEXT BSB</w:t>
            </w:r>
          </w:p>
        </w:tc>
        <w:tc>
          <w:tcPr>
            <w:tcW w:w="992" w:type="dxa"/>
          </w:tcPr>
          <w:p w14:paraId="0367DB2E" w14:textId="77777777" w:rsidR="00853316" w:rsidRPr="003805E3" w:rsidRDefault="00853316" w:rsidP="00853316">
            <w:pPr>
              <w:pStyle w:val="TableText"/>
              <w:jc w:val="center"/>
              <w:rPr>
                <w:noProof/>
              </w:rPr>
            </w:pPr>
            <w:r>
              <w:rPr>
                <w:noProof/>
              </w:rPr>
              <w:t>1,40</w:t>
            </w:r>
          </w:p>
        </w:tc>
        <w:tc>
          <w:tcPr>
            <w:tcW w:w="2765" w:type="dxa"/>
          </w:tcPr>
          <w:p w14:paraId="42502F81" w14:textId="09FB1AAE" w:rsidR="00853316" w:rsidRPr="003805E3" w:rsidRDefault="00853316" w:rsidP="00853316">
            <w:pPr>
              <w:pStyle w:val="TableText"/>
              <w:rPr>
                <w:noProof/>
              </w:rPr>
            </w:pPr>
            <w:r>
              <w:rPr>
                <w:noProof/>
              </w:rPr>
              <w:t>Outils innovants pour améliorer l’aquaculture et préserver les ressources marines.</w:t>
            </w:r>
          </w:p>
        </w:tc>
      </w:tr>
      <w:tr w:rsidR="00FB22F2" w:rsidRPr="003805E3" w14:paraId="2CE3AEF1" w14:textId="77777777" w:rsidTr="00FB22F2">
        <w:tc>
          <w:tcPr>
            <w:tcW w:w="3403" w:type="dxa"/>
          </w:tcPr>
          <w:p w14:paraId="1109AB6E" w14:textId="77777777" w:rsidR="00853316" w:rsidRPr="003805E3" w:rsidRDefault="00853316" w:rsidP="00853316">
            <w:pPr>
              <w:pStyle w:val="TableText"/>
              <w:rPr>
                <w:noProof/>
              </w:rPr>
            </w:pPr>
            <w:r>
              <w:rPr>
                <w:noProof/>
              </w:rPr>
              <w:t xml:space="preserve">AQUABATOR </w:t>
            </w:r>
          </w:p>
        </w:tc>
        <w:tc>
          <w:tcPr>
            <w:tcW w:w="1279" w:type="dxa"/>
          </w:tcPr>
          <w:p w14:paraId="3B02460C" w14:textId="77777777" w:rsidR="00853316" w:rsidRPr="003805E3" w:rsidRDefault="00853316" w:rsidP="00853316">
            <w:pPr>
              <w:pStyle w:val="TableText"/>
              <w:rPr>
                <w:noProof/>
              </w:rPr>
            </w:pPr>
            <w:r>
              <w:rPr>
                <w:noProof/>
              </w:rPr>
              <w:t>09.2025 – 09.2027</w:t>
            </w:r>
          </w:p>
        </w:tc>
        <w:tc>
          <w:tcPr>
            <w:tcW w:w="555" w:type="dxa"/>
          </w:tcPr>
          <w:p w14:paraId="6145FED8" w14:textId="77777777" w:rsidR="00853316" w:rsidRPr="003805E3" w:rsidRDefault="00853316" w:rsidP="00853316">
            <w:pPr>
              <w:pStyle w:val="TableText"/>
              <w:jc w:val="center"/>
              <w:rPr>
                <w:noProof/>
              </w:rPr>
            </w:pPr>
            <w:r>
              <w:rPr>
                <w:noProof/>
              </w:rPr>
              <w:t>■</w:t>
            </w:r>
          </w:p>
        </w:tc>
        <w:tc>
          <w:tcPr>
            <w:tcW w:w="567" w:type="dxa"/>
          </w:tcPr>
          <w:p w14:paraId="554E7F0E" w14:textId="77777777" w:rsidR="00853316" w:rsidRPr="003805E3" w:rsidRDefault="00853316" w:rsidP="00853316">
            <w:pPr>
              <w:pStyle w:val="TableText"/>
              <w:jc w:val="center"/>
              <w:rPr>
                <w:noProof/>
              </w:rPr>
            </w:pPr>
          </w:p>
        </w:tc>
        <w:tc>
          <w:tcPr>
            <w:tcW w:w="567" w:type="dxa"/>
          </w:tcPr>
          <w:p w14:paraId="3F6D2D14" w14:textId="77777777" w:rsidR="00853316" w:rsidRPr="003805E3" w:rsidRDefault="00853316" w:rsidP="00853316">
            <w:pPr>
              <w:pStyle w:val="TableText"/>
              <w:jc w:val="center"/>
              <w:rPr>
                <w:noProof/>
              </w:rPr>
            </w:pPr>
          </w:p>
        </w:tc>
        <w:tc>
          <w:tcPr>
            <w:tcW w:w="567" w:type="dxa"/>
          </w:tcPr>
          <w:p w14:paraId="5A672ECE" w14:textId="77777777" w:rsidR="00853316" w:rsidRPr="003805E3" w:rsidRDefault="00853316" w:rsidP="00853316">
            <w:pPr>
              <w:pStyle w:val="TableText"/>
              <w:jc w:val="center"/>
              <w:rPr>
                <w:noProof/>
              </w:rPr>
            </w:pPr>
          </w:p>
        </w:tc>
        <w:tc>
          <w:tcPr>
            <w:tcW w:w="567" w:type="dxa"/>
          </w:tcPr>
          <w:p w14:paraId="437B8D2C" w14:textId="77777777" w:rsidR="00853316" w:rsidRPr="003805E3" w:rsidRDefault="00853316" w:rsidP="00853316">
            <w:pPr>
              <w:pStyle w:val="TableText"/>
              <w:jc w:val="center"/>
              <w:rPr>
                <w:noProof/>
              </w:rPr>
            </w:pPr>
          </w:p>
        </w:tc>
        <w:tc>
          <w:tcPr>
            <w:tcW w:w="567" w:type="dxa"/>
          </w:tcPr>
          <w:p w14:paraId="75E39FE2" w14:textId="77777777" w:rsidR="00853316" w:rsidRPr="003805E3" w:rsidRDefault="00853316" w:rsidP="00853316">
            <w:pPr>
              <w:pStyle w:val="TableText"/>
              <w:jc w:val="center"/>
              <w:rPr>
                <w:noProof/>
              </w:rPr>
            </w:pPr>
          </w:p>
        </w:tc>
        <w:tc>
          <w:tcPr>
            <w:tcW w:w="567" w:type="dxa"/>
          </w:tcPr>
          <w:p w14:paraId="38798535" w14:textId="77777777" w:rsidR="00853316" w:rsidRPr="003805E3" w:rsidRDefault="00853316" w:rsidP="00853316">
            <w:pPr>
              <w:pStyle w:val="TableText"/>
              <w:jc w:val="center"/>
              <w:rPr>
                <w:noProof/>
              </w:rPr>
            </w:pPr>
          </w:p>
        </w:tc>
        <w:tc>
          <w:tcPr>
            <w:tcW w:w="567" w:type="dxa"/>
          </w:tcPr>
          <w:p w14:paraId="28F80F82" w14:textId="77777777" w:rsidR="00853316" w:rsidRPr="003805E3" w:rsidRDefault="00853316" w:rsidP="00853316">
            <w:pPr>
              <w:pStyle w:val="TableText"/>
              <w:jc w:val="center"/>
              <w:rPr>
                <w:noProof/>
              </w:rPr>
            </w:pPr>
            <w:r>
              <w:rPr>
                <w:noProof/>
              </w:rPr>
              <w:t>■</w:t>
            </w:r>
          </w:p>
        </w:tc>
        <w:tc>
          <w:tcPr>
            <w:tcW w:w="567" w:type="dxa"/>
          </w:tcPr>
          <w:p w14:paraId="4F77AC1E" w14:textId="77777777" w:rsidR="00853316" w:rsidRPr="003805E3" w:rsidRDefault="00853316" w:rsidP="00853316">
            <w:pPr>
              <w:pStyle w:val="TableText"/>
              <w:jc w:val="center"/>
              <w:rPr>
                <w:noProof/>
              </w:rPr>
            </w:pPr>
            <w:r>
              <w:rPr>
                <w:noProof/>
              </w:rPr>
              <w:t>■</w:t>
            </w:r>
          </w:p>
        </w:tc>
        <w:tc>
          <w:tcPr>
            <w:tcW w:w="1276" w:type="dxa"/>
          </w:tcPr>
          <w:p w14:paraId="3D12D616" w14:textId="6745E19A" w:rsidR="00853316" w:rsidRPr="003805E3" w:rsidRDefault="00853316" w:rsidP="00853316">
            <w:pPr>
              <w:pStyle w:val="TableText"/>
              <w:rPr>
                <w:noProof/>
              </w:rPr>
            </w:pPr>
            <w:r>
              <w:rPr>
                <w:noProof/>
              </w:rPr>
              <w:t>Interreg NEXT BSB</w:t>
            </w:r>
          </w:p>
        </w:tc>
        <w:tc>
          <w:tcPr>
            <w:tcW w:w="992" w:type="dxa"/>
          </w:tcPr>
          <w:p w14:paraId="16ABE602" w14:textId="77777777" w:rsidR="00853316" w:rsidRPr="003805E3" w:rsidRDefault="00853316" w:rsidP="00853316">
            <w:pPr>
              <w:pStyle w:val="TableText"/>
              <w:jc w:val="center"/>
              <w:rPr>
                <w:noProof/>
              </w:rPr>
            </w:pPr>
            <w:r>
              <w:rPr>
                <w:noProof/>
              </w:rPr>
              <w:t>1,40</w:t>
            </w:r>
          </w:p>
        </w:tc>
        <w:tc>
          <w:tcPr>
            <w:tcW w:w="2765" w:type="dxa"/>
          </w:tcPr>
          <w:p w14:paraId="5BA3904D" w14:textId="77777777" w:rsidR="00853316" w:rsidRPr="003805E3" w:rsidRDefault="00853316" w:rsidP="00853316">
            <w:pPr>
              <w:pStyle w:val="TableText"/>
              <w:rPr>
                <w:noProof/>
              </w:rPr>
            </w:pPr>
            <w:r>
              <w:rPr>
                <w:noProof/>
              </w:rPr>
              <w:t xml:space="preserve">Incubateur pour une aquaculture durable </w:t>
            </w:r>
          </w:p>
        </w:tc>
      </w:tr>
      <w:tr w:rsidR="00FB22F2" w:rsidRPr="003805E3" w14:paraId="5BBDE358" w14:textId="77777777" w:rsidTr="00FB22F2">
        <w:tc>
          <w:tcPr>
            <w:tcW w:w="3403" w:type="dxa"/>
          </w:tcPr>
          <w:p w14:paraId="35BB2CA4" w14:textId="77777777" w:rsidR="00853316" w:rsidRPr="003805E3" w:rsidRDefault="00853316" w:rsidP="00853316">
            <w:pPr>
              <w:pStyle w:val="TableText"/>
              <w:rPr>
                <w:noProof/>
              </w:rPr>
            </w:pPr>
            <w:r>
              <w:rPr>
                <w:noProof/>
              </w:rPr>
              <w:t>SUSDEST-NET</w:t>
            </w:r>
          </w:p>
        </w:tc>
        <w:tc>
          <w:tcPr>
            <w:tcW w:w="1279" w:type="dxa"/>
          </w:tcPr>
          <w:p w14:paraId="68AC684B" w14:textId="77777777" w:rsidR="00853316" w:rsidRPr="003805E3" w:rsidRDefault="00853316" w:rsidP="00853316">
            <w:pPr>
              <w:pStyle w:val="TableText"/>
              <w:rPr>
                <w:noProof/>
              </w:rPr>
            </w:pPr>
            <w:r>
              <w:rPr>
                <w:noProof/>
              </w:rPr>
              <w:t>11.2025 – 05.2028</w:t>
            </w:r>
          </w:p>
        </w:tc>
        <w:tc>
          <w:tcPr>
            <w:tcW w:w="555" w:type="dxa"/>
          </w:tcPr>
          <w:p w14:paraId="3929E17C" w14:textId="77777777" w:rsidR="00853316" w:rsidRPr="003805E3" w:rsidRDefault="00853316" w:rsidP="00853316">
            <w:pPr>
              <w:pStyle w:val="TableText"/>
              <w:jc w:val="center"/>
              <w:rPr>
                <w:noProof/>
              </w:rPr>
            </w:pPr>
            <w:r>
              <w:rPr>
                <w:noProof/>
              </w:rPr>
              <w:t>■</w:t>
            </w:r>
          </w:p>
        </w:tc>
        <w:tc>
          <w:tcPr>
            <w:tcW w:w="567" w:type="dxa"/>
          </w:tcPr>
          <w:p w14:paraId="16BC1C87" w14:textId="77777777" w:rsidR="00853316" w:rsidRPr="003805E3" w:rsidRDefault="00853316" w:rsidP="00853316">
            <w:pPr>
              <w:pStyle w:val="TableText"/>
              <w:jc w:val="center"/>
              <w:rPr>
                <w:noProof/>
              </w:rPr>
            </w:pPr>
            <w:r>
              <w:rPr>
                <w:noProof/>
              </w:rPr>
              <w:t>■</w:t>
            </w:r>
          </w:p>
        </w:tc>
        <w:tc>
          <w:tcPr>
            <w:tcW w:w="567" w:type="dxa"/>
          </w:tcPr>
          <w:p w14:paraId="499F2FA6" w14:textId="77777777" w:rsidR="00853316" w:rsidRPr="003805E3" w:rsidRDefault="00853316" w:rsidP="00853316">
            <w:pPr>
              <w:pStyle w:val="TableText"/>
              <w:jc w:val="center"/>
              <w:rPr>
                <w:noProof/>
              </w:rPr>
            </w:pPr>
            <w:r>
              <w:rPr>
                <w:noProof/>
              </w:rPr>
              <w:t>■</w:t>
            </w:r>
          </w:p>
        </w:tc>
        <w:tc>
          <w:tcPr>
            <w:tcW w:w="567" w:type="dxa"/>
          </w:tcPr>
          <w:p w14:paraId="7AF3CD84" w14:textId="77777777" w:rsidR="00853316" w:rsidRPr="003805E3" w:rsidRDefault="00853316" w:rsidP="00853316">
            <w:pPr>
              <w:pStyle w:val="TableText"/>
              <w:jc w:val="center"/>
              <w:rPr>
                <w:noProof/>
              </w:rPr>
            </w:pPr>
          </w:p>
        </w:tc>
        <w:tc>
          <w:tcPr>
            <w:tcW w:w="567" w:type="dxa"/>
          </w:tcPr>
          <w:p w14:paraId="76203577" w14:textId="77777777" w:rsidR="00853316" w:rsidRPr="003805E3" w:rsidRDefault="00853316" w:rsidP="00853316">
            <w:pPr>
              <w:pStyle w:val="TableText"/>
              <w:jc w:val="center"/>
              <w:rPr>
                <w:noProof/>
              </w:rPr>
            </w:pPr>
          </w:p>
        </w:tc>
        <w:tc>
          <w:tcPr>
            <w:tcW w:w="567" w:type="dxa"/>
          </w:tcPr>
          <w:p w14:paraId="4CB00174" w14:textId="77777777" w:rsidR="00853316" w:rsidRPr="003805E3" w:rsidRDefault="00853316" w:rsidP="00853316">
            <w:pPr>
              <w:pStyle w:val="TableText"/>
              <w:jc w:val="center"/>
              <w:rPr>
                <w:noProof/>
              </w:rPr>
            </w:pPr>
          </w:p>
        </w:tc>
        <w:tc>
          <w:tcPr>
            <w:tcW w:w="567" w:type="dxa"/>
          </w:tcPr>
          <w:p w14:paraId="17349649" w14:textId="77777777" w:rsidR="00853316" w:rsidRPr="003805E3" w:rsidRDefault="00853316" w:rsidP="00853316">
            <w:pPr>
              <w:pStyle w:val="TableText"/>
              <w:jc w:val="center"/>
              <w:rPr>
                <w:noProof/>
              </w:rPr>
            </w:pPr>
            <w:r>
              <w:rPr>
                <w:noProof/>
              </w:rPr>
              <w:t>■</w:t>
            </w:r>
          </w:p>
        </w:tc>
        <w:tc>
          <w:tcPr>
            <w:tcW w:w="567" w:type="dxa"/>
          </w:tcPr>
          <w:p w14:paraId="57762B83" w14:textId="77777777" w:rsidR="00853316" w:rsidRPr="003805E3" w:rsidRDefault="00853316" w:rsidP="00853316">
            <w:pPr>
              <w:pStyle w:val="TableText"/>
              <w:jc w:val="center"/>
              <w:rPr>
                <w:noProof/>
              </w:rPr>
            </w:pPr>
            <w:r>
              <w:rPr>
                <w:noProof/>
              </w:rPr>
              <w:t>■</w:t>
            </w:r>
          </w:p>
        </w:tc>
        <w:tc>
          <w:tcPr>
            <w:tcW w:w="567" w:type="dxa"/>
          </w:tcPr>
          <w:p w14:paraId="6B7014E2" w14:textId="77777777" w:rsidR="00853316" w:rsidRPr="003805E3" w:rsidRDefault="00853316" w:rsidP="00853316">
            <w:pPr>
              <w:pStyle w:val="TableText"/>
              <w:jc w:val="center"/>
              <w:rPr>
                <w:noProof/>
              </w:rPr>
            </w:pPr>
          </w:p>
        </w:tc>
        <w:tc>
          <w:tcPr>
            <w:tcW w:w="1276" w:type="dxa"/>
          </w:tcPr>
          <w:p w14:paraId="45DE0934" w14:textId="72270158" w:rsidR="00853316" w:rsidRPr="003805E3" w:rsidRDefault="00853316" w:rsidP="00853316">
            <w:pPr>
              <w:pStyle w:val="TableText"/>
              <w:rPr>
                <w:noProof/>
              </w:rPr>
            </w:pPr>
            <w:r>
              <w:rPr>
                <w:noProof/>
              </w:rPr>
              <w:t>Interreg NEXT BSB</w:t>
            </w:r>
          </w:p>
        </w:tc>
        <w:tc>
          <w:tcPr>
            <w:tcW w:w="992" w:type="dxa"/>
          </w:tcPr>
          <w:p w14:paraId="7213E754" w14:textId="77777777" w:rsidR="00853316" w:rsidRPr="003805E3" w:rsidRDefault="00853316" w:rsidP="00853316">
            <w:pPr>
              <w:pStyle w:val="TableText"/>
              <w:jc w:val="center"/>
              <w:rPr>
                <w:noProof/>
              </w:rPr>
            </w:pPr>
            <w:r>
              <w:rPr>
                <w:noProof/>
              </w:rPr>
              <w:t>1,42</w:t>
            </w:r>
          </w:p>
        </w:tc>
        <w:tc>
          <w:tcPr>
            <w:tcW w:w="2765" w:type="dxa"/>
          </w:tcPr>
          <w:p w14:paraId="009E80C0" w14:textId="77777777" w:rsidR="00853316" w:rsidRPr="003805E3" w:rsidRDefault="00853316" w:rsidP="00853316">
            <w:pPr>
              <w:pStyle w:val="TableText"/>
              <w:rPr>
                <w:noProof/>
              </w:rPr>
            </w:pPr>
            <w:r>
              <w:rPr>
                <w:noProof/>
              </w:rPr>
              <w:t>Réseau des destinations durables de la mer Noire</w:t>
            </w:r>
          </w:p>
        </w:tc>
      </w:tr>
      <w:tr w:rsidR="00FB22F2" w:rsidRPr="003805E3" w14:paraId="70F41975" w14:textId="77777777" w:rsidTr="00FB22F2">
        <w:tc>
          <w:tcPr>
            <w:tcW w:w="3403" w:type="dxa"/>
          </w:tcPr>
          <w:p w14:paraId="1EC79D82" w14:textId="77777777" w:rsidR="00853316" w:rsidRPr="003805E3" w:rsidRDefault="00853316" w:rsidP="00853316">
            <w:pPr>
              <w:pStyle w:val="TableText"/>
              <w:rPr>
                <w:noProof/>
              </w:rPr>
            </w:pPr>
            <w:r>
              <w:rPr>
                <w:noProof/>
              </w:rPr>
              <w:t>SUSTAIN-2</w:t>
            </w:r>
          </w:p>
        </w:tc>
        <w:tc>
          <w:tcPr>
            <w:tcW w:w="1279" w:type="dxa"/>
          </w:tcPr>
          <w:p w14:paraId="6AF250CD" w14:textId="77777777" w:rsidR="00853316" w:rsidRPr="003805E3" w:rsidRDefault="00853316" w:rsidP="00853316">
            <w:pPr>
              <w:pStyle w:val="TableText"/>
              <w:rPr>
                <w:noProof/>
              </w:rPr>
            </w:pPr>
            <w:r>
              <w:rPr>
                <w:noProof/>
              </w:rPr>
              <w:t>12.2025 – 12.2027</w:t>
            </w:r>
          </w:p>
        </w:tc>
        <w:tc>
          <w:tcPr>
            <w:tcW w:w="555" w:type="dxa"/>
          </w:tcPr>
          <w:p w14:paraId="6D12BABC" w14:textId="77777777" w:rsidR="00853316" w:rsidRPr="003805E3" w:rsidRDefault="00853316" w:rsidP="00853316">
            <w:pPr>
              <w:pStyle w:val="TableText"/>
              <w:jc w:val="center"/>
              <w:rPr>
                <w:noProof/>
              </w:rPr>
            </w:pPr>
            <w:r>
              <w:rPr>
                <w:noProof/>
              </w:rPr>
              <w:t>■</w:t>
            </w:r>
          </w:p>
        </w:tc>
        <w:tc>
          <w:tcPr>
            <w:tcW w:w="567" w:type="dxa"/>
          </w:tcPr>
          <w:p w14:paraId="0292BEA7" w14:textId="77777777" w:rsidR="00853316" w:rsidRPr="003805E3" w:rsidRDefault="00853316" w:rsidP="00853316">
            <w:pPr>
              <w:pStyle w:val="TableText"/>
              <w:jc w:val="center"/>
              <w:rPr>
                <w:noProof/>
              </w:rPr>
            </w:pPr>
            <w:r>
              <w:rPr>
                <w:noProof/>
              </w:rPr>
              <w:t>■</w:t>
            </w:r>
          </w:p>
        </w:tc>
        <w:tc>
          <w:tcPr>
            <w:tcW w:w="567" w:type="dxa"/>
          </w:tcPr>
          <w:p w14:paraId="52A8C5FD" w14:textId="77777777" w:rsidR="00853316" w:rsidRPr="003805E3" w:rsidRDefault="00853316" w:rsidP="00853316">
            <w:pPr>
              <w:pStyle w:val="TableText"/>
              <w:jc w:val="center"/>
              <w:rPr>
                <w:noProof/>
              </w:rPr>
            </w:pPr>
          </w:p>
        </w:tc>
        <w:tc>
          <w:tcPr>
            <w:tcW w:w="567" w:type="dxa"/>
          </w:tcPr>
          <w:p w14:paraId="2FC05308" w14:textId="77777777" w:rsidR="00853316" w:rsidRPr="003805E3" w:rsidRDefault="00853316" w:rsidP="00853316">
            <w:pPr>
              <w:pStyle w:val="TableText"/>
              <w:jc w:val="center"/>
              <w:rPr>
                <w:noProof/>
              </w:rPr>
            </w:pPr>
          </w:p>
        </w:tc>
        <w:tc>
          <w:tcPr>
            <w:tcW w:w="567" w:type="dxa"/>
          </w:tcPr>
          <w:p w14:paraId="003E1567" w14:textId="77777777" w:rsidR="00853316" w:rsidRPr="003805E3" w:rsidRDefault="00853316" w:rsidP="00853316">
            <w:pPr>
              <w:pStyle w:val="TableText"/>
              <w:jc w:val="center"/>
              <w:rPr>
                <w:noProof/>
              </w:rPr>
            </w:pPr>
          </w:p>
        </w:tc>
        <w:tc>
          <w:tcPr>
            <w:tcW w:w="567" w:type="dxa"/>
          </w:tcPr>
          <w:p w14:paraId="68C7CC6F" w14:textId="77777777" w:rsidR="00853316" w:rsidRPr="003805E3" w:rsidRDefault="00853316" w:rsidP="00853316">
            <w:pPr>
              <w:pStyle w:val="TableText"/>
              <w:jc w:val="center"/>
              <w:rPr>
                <w:noProof/>
              </w:rPr>
            </w:pPr>
          </w:p>
        </w:tc>
        <w:tc>
          <w:tcPr>
            <w:tcW w:w="567" w:type="dxa"/>
          </w:tcPr>
          <w:p w14:paraId="53FAAB1F" w14:textId="77777777" w:rsidR="00853316" w:rsidRPr="003805E3" w:rsidRDefault="00853316" w:rsidP="00853316">
            <w:pPr>
              <w:pStyle w:val="TableText"/>
              <w:jc w:val="center"/>
              <w:rPr>
                <w:noProof/>
              </w:rPr>
            </w:pPr>
            <w:r>
              <w:rPr>
                <w:noProof/>
              </w:rPr>
              <w:t>■</w:t>
            </w:r>
          </w:p>
        </w:tc>
        <w:tc>
          <w:tcPr>
            <w:tcW w:w="567" w:type="dxa"/>
          </w:tcPr>
          <w:p w14:paraId="5283A298" w14:textId="77777777" w:rsidR="00853316" w:rsidRPr="003805E3" w:rsidRDefault="00853316" w:rsidP="00853316">
            <w:pPr>
              <w:pStyle w:val="TableText"/>
              <w:jc w:val="center"/>
              <w:rPr>
                <w:noProof/>
              </w:rPr>
            </w:pPr>
            <w:r>
              <w:rPr>
                <w:noProof/>
              </w:rPr>
              <w:t>■</w:t>
            </w:r>
          </w:p>
        </w:tc>
        <w:tc>
          <w:tcPr>
            <w:tcW w:w="567" w:type="dxa"/>
          </w:tcPr>
          <w:p w14:paraId="1F01955C" w14:textId="77777777" w:rsidR="00853316" w:rsidRPr="003805E3" w:rsidRDefault="00853316" w:rsidP="00853316">
            <w:pPr>
              <w:pStyle w:val="TableText"/>
              <w:jc w:val="center"/>
              <w:rPr>
                <w:noProof/>
              </w:rPr>
            </w:pPr>
            <w:r>
              <w:rPr>
                <w:noProof/>
              </w:rPr>
              <w:t>■</w:t>
            </w:r>
          </w:p>
        </w:tc>
        <w:tc>
          <w:tcPr>
            <w:tcW w:w="1276" w:type="dxa"/>
          </w:tcPr>
          <w:p w14:paraId="1ACBB2BB" w14:textId="5D6B8035" w:rsidR="00853316" w:rsidRPr="003805E3" w:rsidRDefault="00853316" w:rsidP="00853316">
            <w:pPr>
              <w:pStyle w:val="TableText"/>
              <w:rPr>
                <w:noProof/>
              </w:rPr>
            </w:pPr>
            <w:r>
              <w:rPr>
                <w:noProof/>
              </w:rPr>
              <w:t>Interreg NEXT BSB</w:t>
            </w:r>
          </w:p>
        </w:tc>
        <w:tc>
          <w:tcPr>
            <w:tcW w:w="992" w:type="dxa"/>
          </w:tcPr>
          <w:p w14:paraId="13946E47" w14:textId="77777777" w:rsidR="00853316" w:rsidRPr="003805E3" w:rsidRDefault="00853316" w:rsidP="00853316">
            <w:pPr>
              <w:pStyle w:val="TableText"/>
              <w:jc w:val="center"/>
              <w:rPr>
                <w:noProof/>
              </w:rPr>
            </w:pPr>
            <w:r>
              <w:rPr>
                <w:noProof/>
              </w:rPr>
              <w:t>1,09</w:t>
            </w:r>
          </w:p>
        </w:tc>
        <w:tc>
          <w:tcPr>
            <w:tcW w:w="2765" w:type="dxa"/>
          </w:tcPr>
          <w:p w14:paraId="40575210" w14:textId="77777777" w:rsidR="00853316" w:rsidRPr="003805E3" w:rsidRDefault="00853316" w:rsidP="00853316">
            <w:pPr>
              <w:pStyle w:val="TableText"/>
              <w:rPr>
                <w:noProof/>
              </w:rPr>
            </w:pPr>
            <w:r>
              <w:rPr>
                <w:noProof/>
              </w:rPr>
              <w:t>Modèle de durabilité pour le tourisme soutenu par l’intelligence artificielle</w:t>
            </w:r>
          </w:p>
        </w:tc>
      </w:tr>
      <w:tr w:rsidR="00FB22F2" w:rsidRPr="003805E3" w14:paraId="7551FE12" w14:textId="77777777" w:rsidTr="00FB22F2">
        <w:tc>
          <w:tcPr>
            <w:tcW w:w="3403" w:type="dxa"/>
          </w:tcPr>
          <w:p w14:paraId="5F81A20D" w14:textId="77777777" w:rsidR="00853316" w:rsidRPr="003805E3" w:rsidRDefault="00853316" w:rsidP="00853316">
            <w:pPr>
              <w:pStyle w:val="TableText"/>
              <w:rPr>
                <w:noProof/>
              </w:rPr>
            </w:pPr>
            <w:r>
              <w:rPr>
                <w:noProof/>
              </w:rPr>
              <w:t>MARMAPS</w:t>
            </w:r>
          </w:p>
        </w:tc>
        <w:tc>
          <w:tcPr>
            <w:tcW w:w="1279" w:type="dxa"/>
          </w:tcPr>
          <w:p w14:paraId="0B32B301" w14:textId="77777777" w:rsidR="00853316" w:rsidRPr="003805E3" w:rsidRDefault="00853316" w:rsidP="00853316">
            <w:pPr>
              <w:pStyle w:val="TableText"/>
              <w:rPr>
                <w:noProof/>
              </w:rPr>
            </w:pPr>
            <w:r>
              <w:rPr>
                <w:noProof/>
              </w:rPr>
              <w:t>06.2024 – 12.2025</w:t>
            </w:r>
          </w:p>
        </w:tc>
        <w:tc>
          <w:tcPr>
            <w:tcW w:w="555" w:type="dxa"/>
          </w:tcPr>
          <w:p w14:paraId="3309DE84" w14:textId="77777777" w:rsidR="00853316" w:rsidRPr="003805E3" w:rsidRDefault="00853316" w:rsidP="00853316">
            <w:pPr>
              <w:pStyle w:val="TableText"/>
              <w:jc w:val="center"/>
              <w:rPr>
                <w:noProof/>
              </w:rPr>
            </w:pPr>
            <w:r>
              <w:rPr>
                <w:noProof/>
              </w:rPr>
              <w:t>■</w:t>
            </w:r>
          </w:p>
        </w:tc>
        <w:tc>
          <w:tcPr>
            <w:tcW w:w="567" w:type="dxa"/>
          </w:tcPr>
          <w:p w14:paraId="1CAA4DCA" w14:textId="77777777" w:rsidR="00853316" w:rsidRPr="003805E3" w:rsidRDefault="00853316" w:rsidP="00853316">
            <w:pPr>
              <w:pStyle w:val="TableText"/>
              <w:jc w:val="center"/>
              <w:rPr>
                <w:noProof/>
              </w:rPr>
            </w:pPr>
            <w:r>
              <w:rPr>
                <w:noProof/>
              </w:rPr>
              <w:t>■</w:t>
            </w:r>
          </w:p>
        </w:tc>
        <w:tc>
          <w:tcPr>
            <w:tcW w:w="567" w:type="dxa"/>
          </w:tcPr>
          <w:p w14:paraId="4C76FE12" w14:textId="77777777" w:rsidR="00853316" w:rsidRPr="003805E3" w:rsidRDefault="00853316" w:rsidP="00853316">
            <w:pPr>
              <w:pStyle w:val="TableText"/>
              <w:jc w:val="center"/>
              <w:rPr>
                <w:noProof/>
              </w:rPr>
            </w:pPr>
          </w:p>
        </w:tc>
        <w:tc>
          <w:tcPr>
            <w:tcW w:w="567" w:type="dxa"/>
          </w:tcPr>
          <w:p w14:paraId="0BFDE184" w14:textId="77777777" w:rsidR="00853316" w:rsidRPr="003805E3" w:rsidRDefault="00853316" w:rsidP="00853316">
            <w:pPr>
              <w:pStyle w:val="TableText"/>
              <w:jc w:val="center"/>
              <w:rPr>
                <w:noProof/>
              </w:rPr>
            </w:pPr>
          </w:p>
        </w:tc>
        <w:tc>
          <w:tcPr>
            <w:tcW w:w="567" w:type="dxa"/>
          </w:tcPr>
          <w:p w14:paraId="25C14ACA" w14:textId="77777777" w:rsidR="00853316" w:rsidRPr="003805E3" w:rsidRDefault="00853316" w:rsidP="00853316">
            <w:pPr>
              <w:pStyle w:val="TableText"/>
              <w:jc w:val="center"/>
              <w:rPr>
                <w:noProof/>
              </w:rPr>
            </w:pPr>
          </w:p>
        </w:tc>
        <w:tc>
          <w:tcPr>
            <w:tcW w:w="567" w:type="dxa"/>
          </w:tcPr>
          <w:p w14:paraId="035EE5F4" w14:textId="6AFB98A5" w:rsidR="00853316" w:rsidRPr="003805E3" w:rsidRDefault="00853316" w:rsidP="00853316">
            <w:pPr>
              <w:pStyle w:val="TableText"/>
              <w:jc w:val="center"/>
              <w:rPr>
                <w:noProof/>
              </w:rPr>
            </w:pPr>
          </w:p>
        </w:tc>
        <w:tc>
          <w:tcPr>
            <w:tcW w:w="567" w:type="dxa"/>
          </w:tcPr>
          <w:p w14:paraId="6AA86874" w14:textId="77777777" w:rsidR="00853316" w:rsidRPr="003805E3" w:rsidRDefault="00853316" w:rsidP="00853316">
            <w:pPr>
              <w:pStyle w:val="TableText"/>
              <w:jc w:val="center"/>
              <w:rPr>
                <w:noProof/>
              </w:rPr>
            </w:pPr>
          </w:p>
        </w:tc>
        <w:tc>
          <w:tcPr>
            <w:tcW w:w="567" w:type="dxa"/>
          </w:tcPr>
          <w:p w14:paraId="59BC076D" w14:textId="77777777" w:rsidR="00853316" w:rsidRPr="003805E3" w:rsidRDefault="00853316" w:rsidP="00853316">
            <w:pPr>
              <w:pStyle w:val="TableText"/>
              <w:jc w:val="center"/>
              <w:rPr>
                <w:noProof/>
              </w:rPr>
            </w:pPr>
          </w:p>
        </w:tc>
        <w:tc>
          <w:tcPr>
            <w:tcW w:w="567" w:type="dxa"/>
          </w:tcPr>
          <w:p w14:paraId="1D75BFE9" w14:textId="77777777" w:rsidR="00853316" w:rsidRPr="003805E3" w:rsidRDefault="00853316" w:rsidP="00853316">
            <w:pPr>
              <w:pStyle w:val="TableText"/>
              <w:jc w:val="center"/>
              <w:rPr>
                <w:noProof/>
              </w:rPr>
            </w:pPr>
            <w:r>
              <w:rPr>
                <w:noProof/>
              </w:rPr>
              <w:t>■</w:t>
            </w:r>
          </w:p>
        </w:tc>
        <w:tc>
          <w:tcPr>
            <w:tcW w:w="1276" w:type="dxa"/>
          </w:tcPr>
          <w:p w14:paraId="495002EB" w14:textId="0022592F" w:rsidR="00853316" w:rsidRPr="003805E3" w:rsidRDefault="00853316" w:rsidP="00853316">
            <w:pPr>
              <w:pStyle w:val="TableText"/>
              <w:rPr>
                <w:noProof/>
              </w:rPr>
            </w:pPr>
            <w:r>
              <w:rPr>
                <w:noProof/>
              </w:rPr>
              <w:t>Interreg NEXT BSB</w:t>
            </w:r>
          </w:p>
        </w:tc>
        <w:tc>
          <w:tcPr>
            <w:tcW w:w="992" w:type="dxa"/>
          </w:tcPr>
          <w:p w14:paraId="1D8CD0D5" w14:textId="77777777" w:rsidR="00853316" w:rsidRPr="003805E3" w:rsidRDefault="00853316" w:rsidP="00853316">
            <w:pPr>
              <w:pStyle w:val="TableText"/>
              <w:jc w:val="center"/>
              <w:rPr>
                <w:noProof/>
              </w:rPr>
            </w:pPr>
            <w:r>
              <w:rPr>
                <w:noProof/>
              </w:rPr>
              <w:t>0,50</w:t>
            </w:r>
          </w:p>
        </w:tc>
        <w:tc>
          <w:tcPr>
            <w:tcW w:w="2765" w:type="dxa"/>
          </w:tcPr>
          <w:p w14:paraId="3E343E97" w14:textId="42C4C92C" w:rsidR="00853316" w:rsidRPr="003805E3" w:rsidRDefault="00853316" w:rsidP="00853316">
            <w:pPr>
              <w:pStyle w:val="TableText"/>
              <w:rPr>
                <w:noProof/>
              </w:rPr>
            </w:pPr>
            <w:r>
              <w:rPr>
                <w:noProof/>
              </w:rPr>
              <w:t>Planification spatiale maritime et conservation conjointes des écosystèmes marins</w:t>
            </w:r>
          </w:p>
        </w:tc>
      </w:tr>
      <w:tr w:rsidR="00FB22F2" w:rsidRPr="003805E3" w14:paraId="1E0824CF" w14:textId="77777777" w:rsidTr="00FB22F2">
        <w:tc>
          <w:tcPr>
            <w:tcW w:w="3403" w:type="dxa"/>
          </w:tcPr>
          <w:p w14:paraId="658CE2DC" w14:textId="77777777" w:rsidR="00853316" w:rsidRPr="003805E3" w:rsidRDefault="00853316" w:rsidP="00853316">
            <w:pPr>
              <w:pStyle w:val="TableText"/>
              <w:rPr>
                <w:noProof/>
              </w:rPr>
            </w:pPr>
            <w:r>
              <w:rPr>
                <w:noProof/>
              </w:rPr>
              <w:t>BIOSUSTAIN</w:t>
            </w:r>
          </w:p>
        </w:tc>
        <w:tc>
          <w:tcPr>
            <w:tcW w:w="1279" w:type="dxa"/>
          </w:tcPr>
          <w:p w14:paraId="68E80888" w14:textId="77777777" w:rsidR="00853316" w:rsidRPr="003805E3" w:rsidRDefault="00853316" w:rsidP="00853316">
            <w:pPr>
              <w:pStyle w:val="TableText"/>
              <w:rPr>
                <w:noProof/>
              </w:rPr>
            </w:pPr>
            <w:r>
              <w:rPr>
                <w:noProof/>
              </w:rPr>
              <w:t>12. 2025 – 06.2027</w:t>
            </w:r>
          </w:p>
        </w:tc>
        <w:tc>
          <w:tcPr>
            <w:tcW w:w="555" w:type="dxa"/>
          </w:tcPr>
          <w:p w14:paraId="289C37DA" w14:textId="77777777" w:rsidR="00853316" w:rsidRPr="003805E3" w:rsidRDefault="00853316" w:rsidP="00853316">
            <w:pPr>
              <w:pStyle w:val="TableText"/>
              <w:jc w:val="center"/>
              <w:rPr>
                <w:noProof/>
              </w:rPr>
            </w:pPr>
            <w:r>
              <w:rPr>
                <w:noProof/>
              </w:rPr>
              <w:t>■</w:t>
            </w:r>
          </w:p>
        </w:tc>
        <w:tc>
          <w:tcPr>
            <w:tcW w:w="567" w:type="dxa"/>
          </w:tcPr>
          <w:p w14:paraId="0C1775FF" w14:textId="77777777" w:rsidR="00853316" w:rsidRPr="003805E3" w:rsidRDefault="00853316" w:rsidP="00853316">
            <w:pPr>
              <w:pStyle w:val="TableText"/>
              <w:jc w:val="center"/>
              <w:rPr>
                <w:noProof/>
              </w:rPr>
            </w:pPr>
            <w:r>
              <w:rPr>
                <w:noProof/>
              </w:rPr>
              <w:t>■</w:t>
            </w:r>
          </w:p>
        </w:tc>
        <w:tc>
          <w:tcPr>
            <w:tcW w:w="567" w:type="dxa"/>
          </w:tcPr>
          <w:p w14:paraId="7B167C45" w14:textId="77777777" w:rsidR="00853316" w:rsidRPr="003805E3" w:rsidRDefault="00853316" w:rsidP="00853316">
            <w:pPr>
              <w:pStyle w:val="TableText"/>
              <w:jc w:val="center"/>
              <w:rPr>
                <w:noProof/>
              </w:rPr>
            </w:pPr>
          </w:p>
        </w:tc>
        <w:tc>
          <w:tcPr>
            <w:tcW w:w="567" w:type="dxa"/>
          </w:tcPr>
          <w:p w14:paraId="28AA4B98" w14:textId="77777777" w:rsidR="00853316" w:rsidRPr="003805E3" w:rsidRDefault="00853316" w:rsidP="00853316">
            <w:pPr>
              <w:pStyle w:val="TableText"/>
              <w:jc w:val="center"/>
              <w:rPr>
                <w:noProof/>
              </w:rPr>
            </w:pPr>
          </w:p>
        </w:tc>
        <w:tc>
          <w:tcPr>
            <w:tcW w:w="567" w:type="dxa"/>
          </w:tcPr>
          <w:p w14:paraId="2822C8AF" w14:textId="77777777" w:rsidR="00853316" w:rsidRPr="003805E3" w:rsidRDefault="00853316" w:rsidP="00853316">
            <w:pPr>
              <w:pStyle w:val="TableText"/>
              <w:jc w:val="center"/>
              <w:rPr>
                <w:noProof/>
              </w:rPr>
            </w:pPr>
          </w:p>
        </w:tc>
        <w:tc>
          <w:tcPr>
            <w:tcW w:w="567" w:type="dxa"/>
          </w:tcPr>
          <w:p w14:paraId="59799978" w14:textId="77777777" w:rsidR="00853316" w:rsidRPr="003805E3" w:rsidRDefault="00853316" w:rsidP="00853316">
            <w:pPr>
              <w:pStyle w:val="TableText"/>
              <w:jc w:val="center"/>
              <w:rPr>
                <w:noProof/>
              </w:rPr>
            </w:pPr>
            <w:r>
              <w:rPr>
                <w:noProof/>
              </w:rPr>
              <w:t>■</w:t>
            </w:r>
          </w:p>
        </w:tc>
        <w:tc>
          <w:tcPr>
            <w:tcW w:w="567" w:type="dxa"/>
          </w:tcPr>
          <w:p w14:paraId="29017DC4" w14:textId="77777777" w:rsidR="00853316" w:rsidRPr="003805E3" w:rsidRDefault="00853316" w:rsidP="00853316">
            <w:pPr>
              <w:pStyle w:val="TableText"/>
              <w:jc w:val="center"/>
              <w:rPr>
                <w:noProof/>
              </w:rPr>
            </w:pPr>
          </w:p>
        </w:tc>
        <w:tc>
          <w:tcPr>
            <w:tcW w:w="567" w:type="dxa"/>
          </w:tcPr>
          <w:p w14:paraId="394294A1" w14:textId="77777777" w:rsidR="00853316" w:rsidRPr="003805E3" w:rsidRDefault="00853316" w:rsidP="00853316">
            <w:pPr>
              <w:pStyle w:val="TableText"/>
              <w:jc w:val="center"/>
              <w:rPr>
                <w:noProof/>
              </w:rPr>
            </w:pPr>
          </w:p>
        </w:tc>
        <w:tc>
          <w:tcPr>
            <w:tcW w:w="567" w:type="dxa"/>
          </w:tcPr>
          <w:p w14:paraId="4A4CC8D1" w14:textId="77777777" w:rsidR="00853316" w:rsidRPr="003805E3" w:rsidRDefault="00853316" w:rsidP="00853316">
            <w:pPr>
              <w:pStyle w:val="TableText"/>
              <w:jc w:val="center"/>
              <w:rPr>
                <w:noProof/>
              </w:rPr>
            </w:pPr>
          </w:p>
        </w:tc>
        <w:tc>
          <w:tcPr>
            <w:tcW w:w="1276" w:type="dxa"/>
          </w:tcPr>
          <w:p w14:paraId="7EC0DC14" w14:textId="12566794" w:rsidR="00853316" w:rsidRPr="003805E3" w:rsidRDefault="00853316" w:rsidP="00853316">
            <w:pPr>
              <w:pStyle w:val="TableText"/>
              <w:rPr>
                <w:noProof/>
              </w:rPr>
            </w:pPr>
            <w:r>
              <w:rPr>
                <w:noProof/>
              </w:rPr>
              <w:t>Interreg NEXT BSB</w:t>
            </w:r>
          </w:p>
        </w:tc>
        <w:tc>
          <w:tcPr>
            <w:tcW w:w="992" w:type="dxa"/>
          </w:tcPr>
          <w:p w14:paraId="47C7E985" w14:textId="77777777" w:rsidR="00853316" w:rsidRPr="003805E3" w:rsidRDefault="00853316" w:rsidP="00853316">
            <w:pPr>
              <w:pStyle w:val="TableText"/>
              <w:jc w:val="center"/>
              <w:rPr>
                <w:noProof/>
              </w:rPr>
            </w:pPr>
            <w:r>
              <w:rPr>
                <w:noProof/>
              </w:rPr>
              <w:t>0,55</w:t>
            </w:r>
          </w:p>
        </w:tc>
        <w:tc>
          <w:tcPr>
            <w:tcW w:w="2765" w:type="dxa"/>
          </w:tcPr>
          <w:p w14:paraId="5B566FB4" w14:textId="511BE87A" w:rsidR="00853316" w:rsidRPr="003805E3" w:rsidRDefault="00853316" w:rsidP="00853316">
            <w:pPr>
              <w:pStyle w:val="TableText"/>
              <w:rPr>
                <w:noProof/>
              </w:rPr>
            </w:pPr>
            <w:r>
              <w:rPr>
                <w:noProof/>
              </w:rPr>
              <w:t>Préservation de la biodiversité grâce à des connaissances traditionnelles et nouvelles</w:t>
            </w:r>
          </w:p>
        </w:tc>
      </w:tr>
      <w:tr w:rsidR="00FB22F2" w:rsidRPr="003805E3" w14:paraId="29B56D43" w14:textId="77777777" w:rsidTr="00FB22F2">
        <w:tc>
          <w:tcPr>
            <w:tcW w:w="3403" w:type="dxa"/>
          </w:tcPr>
          <w:p w14:paraId="3978D990" w14:textId="77777777" w:rsidR="00853316" w:rsidRPr="003805E3" w:rsidRDefault="00853316" w:rsidP="00853316">
            <w:pPr>
              <w:pStyle w:val="TableText"/>
              <w:rPr>
                <w:noProof/>
              </w:rPr>
            </w:pPr>
            <w:r>
              <w:rPr>
                <w:noProof/>
              </w:rPr>
              <w:t>e-AQUAF</w:t>
            </w:r>
          </w:p>
        </w:tc>
        <w:tc>
          <w:tcPr>
            <w:tcW w:w="1279" w:type="dxa"/>
          </w:tcPr>
          <w:p w14:paraId="6C3F4446" w14:textId="36B277F2" w:rsidR="00853316" w:rsidRPr="003805E3" w:rsidRDefault="00853316" w:rsidP="00853316">
            <w:pPr>
              <w:pStyle w:val="TableText"/>
              <w:rPr>
                <w:noProof/>
              </w:rPr>
            </w:pPr>
            <w:r>
              <w:rPr>
                <w:noProof/>
              </w:rPr>
              <w:t>02.2026 – 08.2028</w:t>
            </w:r>
          </w:p>
        </w:tc>
        <w:tc>
          <w:tcPr>
            <w:tcW w:w="555" w:type="dxa"/>
          </w:tcPr>
          <w:p w14:paraId="522B1EE6" w14:textId="77777777" w:rsidR="00853316" w:rsidRPr="003805E3" w:rsidRDefault="00853316" w:rsidP="00853316">
            <w:pPr>
              <w:pStyle w:val="TableText"/>
              <w:jc w:val="center"/>
              <w:rPr>
                <w:noProof/>
              </w:rPr>
            </w:pPr>
            <w:r>
              <w:rPr>
                <w:noProof/>
              </w:rPr>
              <w:t>■</w:t>
            </w:r>
          </w:p>
        </w:tc>
        <w:tc>
          <w:tcPr>
            <w:tcW w:w="567" w:type="dxa"/>
          </w:tcPr>
          <w:p w14:paraId="5B4D45EE" w14:textId="77777777" w:rsidR="00853316" w:rsidRPr="003805E3" w:rsidRDefault="00853316" w:rsidP="00853316">
            <w:pPr>
              <w:pStyle w:val="TableText"/>
              <w:jc w:val="center"/>
              <w:rPr>
                <w:noProof/>
              </w:rPr>
            </w:pPr>
            <w:r>
              <w:rPr>
                <w:noProof/>
              </w:rPr>
              <w:t>■</w:t>
            </w:r>
          </w:p>
        </w:tc>
        <w:tc>
          <w:tcPr>
            <w:tcW w:w="567" w:type="dxa"/>
          </w:tcPr>
          <w:p w14:paraId="3E809646" w14:textId="77777777" w:rsidR="00853316" w:rsidRPr="003805E3" w:rsidRDefault="00853316" w:rsidP="00853316">
            <w:pPr>
              <w:pStyle w:val="TableText"/>
              <w:jc w:val="center"/>
              <w:rPr>
                <w:noProof/>
              </w:rPr>
            </w:pPr>
            <w:r>
              <w:rPr>
                <w:noProof/>
              </w:rPr>
              <w:t>■</w:t>
            </w:r>
          </w:p>
        </w:tc>
        <w:tc>
          <w:tcPr>
            <w:tcW w:w="567" w:type="dxa"/>
          </w:tcPr>
          <w:p w14:paraId="6611DAF6" w14:textId="77777777" w:rsidR="00853316" w:rsidRPr="003805E3" w:rsidRDefault="00853316" w:rsidP="00853316">
            <w:pPr>
              <w:pStyle w:val="TableText"/>
              <w:jc w:val="center"/>
              <w:rPr>
                <w:noProof/>
              </w:rPr>
            </w:pPr>
            <w:r>
              <w:rPr>
                <w:noProof/>
              </w:rPr>
              <w:t>■</w:t>
            </w:r>
          </w:p>
        </w:tc>
        <w:tc>
          <w:tcPr>
            <w:tcW w:w="567" w:type="dxa"/>
          </w:tcPr>
          <w:p w14:paraId="5609FFE9" w14:textId="77777777" w:rsidR="00853316" w:rsidRPr="003805E3" w:rsidRDefault="00853316" w:rsidP="00853316">
            <w:pPr>
              <w:pStyle w:val="TableText"/>
              <w:jc w:val="center"/>
              <w:rPr>
                <w:noProof/>
              </w:rPr>
            </w:pPr>
          </w:p>
        </w:tc>
        <w:tc>
          <w:tcPr>
            <w:tcW w:w="567" w:type="dxa"/>
          </w:tcPr>
          <w:p w14:paraId="58AB60BD" w14:textId="77777777" w:rsidR="00853316" w:rsidRPr="003805E3" w:rsidRDefault="00853316" w:rsidP="00853316">
            <w:pPr>
              <w:pStyle w:val="TableText"/>
              <w:jc w:val="center"/>
              <w:rPr>
                <w:noProof/>
              </w:rPr>
            </w:pPr>
            <w:r>
              <w:rPr>
                <w:noProof/>
              </w:rPr>
              <w:t>■</w:t>
            </w:r>
          </w:p>
        </w:tc>
        <w:tc>
          <w:tcPr>
            <w:tcW w:w="567" w:type="dxa"/>
          </w:tcPr>
          <w:p w14:paraId="41AB1D5C" w14:textId="77777777" w:rsidR="00853316" w:rsidRPr="003805E3" w:rsidRDefault="00853316" w:rsidP="00853316">
            <w:pPr>
              <w:pStyle w:val="TableText"/>
              <w:jc w:val="center"/>
              <w:rPr>
                <w:noProof/>
              </w:rPr>
            </w:pPr>
          </w:p>
        </w:tc>
        <w:tc>
          <w:tcPr>
            <w:tcW w:w="567" w:type="dxa"/>
          </w:tcPr>
          <w:p w14:paraId="5C921F12" w14:textId="77777777" w:rsidR="00853316" w:rsidRPr="003805E3" w:rsidRDefault="00853316" w:rsidP="00853316">
            <w:pPr>
              <w:pStyle w:val="TableText"/>
              <w:jc w:val="center"/>
              <w:rPr>
                <w:noProof/>
              </w:rPr>
            </w:pPr>
          </w:p>
        </w:tc>
        <w:tc>
          <w:tcPr>
            <w:tcW w:w="567" w:type="dxa"/>
          </w:tcPr>
          <w:p w14:paraId="6CBEEEC5" w14:textId="77777777" w:rsidR="00853316" w:rsidRPr="003805E3" w:rsidRDefault="00853316" w:rsidP="00853316">
            <w:pPr>
              <w:pStyle w:val="TableText"/>
              <w:jc w:val="center"/>
              <w:rPr>
                <w:noProof/>
              </w:rPr>
            </w:pPr>
            <w:r>
              <w:rPr>
                <w:noProof/>
              </w:rPr>
              <w:t>■</w:t>
            </w:r>
          </w:p>
        </w:tc>
        <w:tc>
          <w:tcPr>
            <w:tcW w:w="1276" w:type="dxa"/>
          </w:tcPr>
          <w:p w14:paraId="73DAF7B8" w14:textId="0C212190" w:rsidR="00853316" w:rsidRPr="003805E3" w:rsidRDefault="00853316" w:rsidP="00853316">
            <w:pPr>
              <w:pStyle w:val="TableText"/>
              <w:rPr>
                <w:noProof/>
              </w:rPr>
            </w:pPr>
            <w:r>
              <w:rPr>
                <w:noProof/>
              </w:rPr>
              <w:t>Interreg NEXT BSB</w:t>
            </w:r>
          </w:p>
        </w:tc>
        <w:tc>
          <w:tcPr>
            <w:tcW w:w="992" w:type="dxa"/>
          </w:tcPr>
          <w:p w14:paraId="325E4D4C" w14:textId="77777777" w:rsidR="00853316" w:rsidRPr="003805E3" w:rsidRDefault="00853316" w:rsidP="00853316">
            <w:pPr>
              <w:pStyle w:val="TableText"/>
              <w:jc w:val="center"/>
              <w:rPr>
                <w:noProof/>
              </w:rPr>
            </w:pPr>
            <w:r>
              <w:rPr>
                <w:noProof/>
              </w:rPr>
              <w:t>1,40</w:t>
            </w:r>
          </w:p>
        </w:tc>
        <w:tc>
          <w:tcPr>
            <w:tcW w:w="2765" w:type="dxa"/>
          </w:tcPr>
          <w:p w14:paraId="66C83566" w14:textId="77777777" w:rsidR="00853316" w:rsidRPr="003805E3" w:rsidRDefault="00853316" w:rsidP="00853316">
            <w:pPr>
              <w:pStyle w:val="TableText"/>
              <w:rPr>
                <w:noProof/>
              </w:rPr>
            </w:pPr>
            <w:r>
              <w:rPr>
                <w:noProof/>
              </w:rPr>
              <w:t>Solutions intelligentes pour l’aquaculture</w:t>
            </w:r>
          </w:p>
        </w:tc>
      </w:tr>
      <w:tr w:rsidR="00FB22F2" w:rsidRPr="003805E3" w14:paraId="6AC9A317" w14:textId="77777777" w:rsidTr="00FB22F2">
        <w:tc>
          <w:tcPr>
            <w:tcW w:w="3403" w:type="dxa"/>
          </w:tcPr>
          <w:p w14:paraId="302D69B3" w14:textId="77777777" w:rsidR="00853316" w:rsidRPr="003805E3" w:rsidRDefault="00853316" w:rsidP="00853316">
            <w:pPr>
              <w:pStyle w:val="TableText"/>
              <w:rPr>
                <w:noProof/>
              </w:rPr>
            </w:pPr>
            <w:r>
              <w:rPr>
                <w:noProof/>
              </w:rPr>
              <w:t>EfxINNOs</w:t>
            </w:r>
          </w:p>
        </w:tc>
        <w:tc>
          <w:tcPr>
            <w:tcW w:w="1279" w:type="dxa"/>
          </w:tcPr>
          <w:p w14:paraId="593CC102" w14:textId="77777777" w:rsidR="00853316" w:rsidRPr="003805E3" w:rsidRDefault="00853316" w:rsidP="00853316">
            <w:pPr>
              <w:pStyle w:val="TableText"/>
              <w:rPr>
                <w:noProof/>
              </w:rPr>
            </w:pPr>
            <w:r>
              <w:rPr>
                <w:noProof/>
              </w:rPr>
              <w:t>08.2024 – 02.2027</w:t>
            </w:r>
          </w:p>
        </w:tc>
        <w:tc>
          <w:tcPr>
            <w:tcW w:w="555" w:type="dxa"/>
          </w:tcPr>
          <w:p w14:paraId="0AC5406C" w14:textId="77777777" w:rsidR="00853316" w:rsidRPr="003805E3" w:rsidRDefault="00853316" w:rsidP="00853316">
            <w:pPr>
              <w:pStyle w:val="TableText"/>
              <w:jc w:val="center"/>
              <w:rPr>
                <w:noProof/>
              </w:rPr>
            </w:pPr>
            <w:r>
              <w:rPr>
                <w:noProof/>
              </w:rPr>
              <w:t>■</w:t>
            </w:r>
          </w:p>
        </w:tc>
        <w:tc>
          <w:tcPr>
            <w:tcW w:w="567" w:type="dxa"/>
          </w:tcPr>
          <w:p w14:paraId="4C4528C7" w14:textId="77777777" w:rsidR="00853316" w:rsidRPr="003805E3" w:rsidRDefault="00853316" w:rsidP="00853316">
            <w:pPr>
              <w:pStyle w:val="TableText"/>
              <w:jc w:val="center"/>
              <w:rPr>
                <w:noProof/>
              </w:rPr>
            </w:pPr>
            <w:r>
              <w:rPr>
                <w:noProof/>
              </w:rPr>
              <w:t>■</w:t>
            </w:r>
          </w:p>
        </w:tc>
        <w:tc>
          <w:tcPr>
            <w:tcW w:w="567" w:type="dxa"/>
          </w:tcPr>
          <w:p w14:paraId="143A4751" w14:textId="77777777" w:rsidR="00853316" w:rsidRPr="003805E3" w:rsidRDefault="00853316" w:rsidP="00853316">
            <w:pPr>
              <w:pStyle w:val="TableText"/>
              <w:jc w:val="center"/>
              <w:rPr>
                <w:noProof/>
              </w:rPr>
            </w:pPr>
            <w:r>
              <w:rPr>
                <w:noProof/>
              </w:rPr>
              <w:t>■</w:t>
            </w:r>
          </w:p>
        </w:tc>
        <w:tc>
          <w:tcPr>
            <w:tcW w:w="567" w:type="dxa"/>
          </w:tcPr>
          <w:p w14:paraId="1ACEACEB" w14:textId="77777777" w:rsidR="00853316" w:rsidRPr="003805E3" w:rsidRDefault="00853316" w:rsidP="00853316">
            <w:pPr>
              <w:pStyle w:val="TableText"/>
              <w:jc w:val="center"/>
              <w:rPr>
                <w:noProof/>
              </w:rPr>
            </w:pPr>
          </w:p>
        </w:tc>
        <w:tc>
          <w:tcPr>
            <w:tcW w:w="567" w:type="dxa"/>
          </w:tcPr>
          <w:p w14:paraId="05CC7995" w14:textId="77777777" w:rsidR="00853316" w:rsidRPr="003805E3" w:rsidRDefault="00853316" w:rsidP="00853316">
            <w:pPr>
              <w:pStyle w:val="TableText"/>
              <w:jc w:val="center"/>
              <w:rPr>
                <w:noProof/>
              </w:rPr>
            </w:pPr>
          </w:p>
        </w:tc>
        <w:tc>
          <w:tcPr>
            <w:tcW w:w="567" w:type="dxa"/>
          </w:tcPr>
          <w:p w14:paraId="1061042D" w14:textId="77777777" w:rsidR="00853316" w:rsidRPr="003805E3" w:rsidRDefault="00853316" w:rsidP="00853316">
            <w:pPr>
              <w:pStyle w:val="TableText"/>
              <w:jc w:val="center"/>
              <w:rPr>
                <w:noProof/>
              </w:rPr>
            </w:pPr>
            <w:r>
              <w:rPr>
                <w:noProof/>
              </w:rPr>
              <w:t>■</w:t>
            </w:r>
          </w:p>
        </w:tc>
        <w:tc>
          <w:tcPr>
            <w:tcW w:w="567" w:type="dxa"/>
          </w:tcPr>
          <w:p w14:paraId="74E9EAEA" w14:textId="77777777" w:rsidR="00853316" w:rsidRPr="003805E3" w:rsidRDefault="00853316" w:rsidP="00853316">
            <w:pPr>
              <w:pStyle w:val="TableText"/>
              <w:jc w:val="center"/>
              <w:rPr>
                <w:noProof/>
              </w:rPr>
            </w:pPr>
          </w:p>
        </w:tc>
        <w:tc>
          <w:tcPr>
            <w:tcW w:w="567" w:type="dxa"/>
          </w:tcPr>
          <w:p w14:paraId="4CE61888" w14:textId="77777777" w:rsidR="00853316" w:rsidRPr="003805E3" w:rsidRDefault="00853316" w:rsidP="00853316">
            <w:pPr>
              <w:pStyle w:val="TableText"/>
              <w:jc w:val="center"/>
              <w:rPr>
                <w:noProof/>
              </w:rPr>
            </w:pPr>
            <w:r>
              <w:rPr>
                <w:noProof/>
              </w:rPr>
              <w:t>■</w:t>
            </w:r>
          </w:p>
        </w:tc>
        <w:tc>
          <w:tcPr>
            <w:tcW w:w="567" w:type="dxa"/>
          </w:tcPr>
          <w:p w14:paraId="3247E742" w14:textId="77777777" w:rsidR="00853316" w:rsidRPr="003805E3" w:rsidRDefault="00853316" w:rsidP="00853316">
            <w:pPr>
              <w:pStyle w:val="TableText"/>
              <w:jc w:val="center"/>
              <w:rPr>
                <w:noProof/>
              </w:rPr>
            </w:pPr>
          </w:p>
        </w:tc>
        <w:tc>
          <w:tcPr>
            <w:tcW w:w="1276" w:type="dxa"/>
          </w:tcPr>
          <w:p w14:paraId="0B7F9E41" w14:textId="6E1142C3" w:rsidR="00853316" w:rsidRPr="003805E3" w:rsidRDefault="00853316" w:rsidP="00853316">
            <w:pPr>
              <w:pStyle w:val="TableText"/>
              <w:rPr>
                <w:noProof/>
              </w:rPr>
            </w:pPr>
            <w:r>
              <w:rPr>
                <w:noProof/>
              </w:rPr>
              <w:t>Interreg NEXT BSB</w:t>
            </w:r>
          </w:p>
        </w:tc>
        <w:tc>
          <w:tcPr>
            <w:tcW w:w="992" w:type="dxa"/>
          </w:tcPr>
          <w:p w14:paraId="39E6DDD5" w14:textId="77777777" w:rsidR="00853316" w:rsidRPr="003805E3" w:rsidRDefault="00853316" w:rsidP="00853316">
            <w:pPr>
              <w:pStyle w:val="TableText"/>
              <w:jc w:val="center"/>
              <w:rPr>
                <w:noProof/>
              </w:rPr>
            </w:pPr>
            <w:r>
              <w:rPr>
                <w:noProof/>
              </w:rPr>
              <w:t>1,64</w:t>
            </w:r>
          </w:p>
        </w:tc>
        <w:tc>
          <w:tcPr>
            <w:tcW w:w="2765" w:type="dxa"/>
          </w:tcPr>
          <w:p w14:paraId="68D91363" w14:textId="4CA30642" w:rsidR="00853316" w:rsidRPr="003805E3" w:rsidRDefault="00853316" w:rsidP="00853316">
            <w:pPr>
              <w:pStyle w:val="TableText"/>
              <w:rPr>
                <w:rFonts w:eastAsia="Calibri"/>
                <w:noProof/>
              </w:rPr>
            </w:pPr>
            <w:r>
              <w:rPr>
                <w:noProof/>
              </w:rPr>
              <w:t>Réseau de transfert de technologies marines pour l’économie bleue</w:t>
            </w:r>
          </w:p>
        </w:tc>
      </w:tr>
      <w:tr w:rsidR="00FB22F2" w:rsidRPr="003805E3" w14:paraId="483DB07B" w14:textId="77777777" w:rsidTr="00FB22F2">
        <w:tc>
          <w:tcPr>
            <w:tcW w:w="3403" w:type="dxa"/>
          </w:tcPr>
          <w:p w14:paraId="727FB993" w14:textId="7AFF01BD" w:rsidR="00AD4AF3" w:rsidRPr="003805E3" w:rsidRDefault="00AD4AF3" w:rsidP="00AD4AF3">
            <w:pPr>
              <w:pStyle w:val="TableText"/>
              <w:rPr>
                <w:noProof/>
              </w:rPr>
            </w:pPr>
            <w:r>
              <w:rPr>
                <w:noProof/>
              </w:rPr>
              <w:t>BlueDial</w:t>
            </w:r>
          </w:p>
        </w:tc>
        <w:tc>
          <w:tcPr>
            <w:tcW w:w="1279" w:type="dxa"/>
          </w:tcPr>
          <w:p w14:paraId="28FF4167" w14:textId="40332218" w:rsidR="00AD4AF3" w:rsidRPr="003805E3" w:rsidRDefault="00AD4AF3" w:rsidP="00AD4AF3">
            <w:pPr>
              <w:pStyle w:val="TableText"/>
              <w:rPr>
                <w:noProof/>
              </w:rPr>
            </w:pPr>
            <w:r>
              <w:rPr>
                <w:noProof/>
              </w:rPr>
              <w:t>02.2026 – 08.2027</w:t>
            </w:r>
          </w:p>
        </w:tc>
        <w:tc>
          <w:tcPr>
            <w:tcW w:w="555" w:type="dxa"/>
          </w:tcPr>
          <w:p w14:paraId="637CCFC7" w14:textId="31FDCFB0" w:rsidR="00AD4AF3" w:rsidRPr="003805E3" w:rsidRDefault="00AD4AF3" w:rsidP="00AD4AF3">
            <w:pPr>
              <w:pStyle w:val="TableText"/>
              <w:jc w:val="center"/>
              <w:rPr>
                <w:noProof/>
              </w:rPr>
            </w:pPr>
            <w:r>
              <w:rPr>
                <w:noProof/>
              </w:rPr>
              <w:t>■</w:t>
            </w:r>
          </w:p>
        </w:tc>
        <w:tc>
          <w:tcPr>
            <w:tcW w:w="567" w:type="dxa"/>
          </w:tcPr>
          <w:p w14:paraId="463BEA72" w14:textId="77777777" w:rsidR="00AD4AF3" w:rsidRPr="003805E3" w:rsidRDefault="00AD4AF3" w:rsidP="00AD4AF3">
            <w:pPr>
              <w:pStyle w:val="TableText"/>
              <w:jc w:val="center"/>
              <w:rPr>
                <w:noProof/>
              </w:rPr>
            </w:pPr>
          </w:p>
        </w:tc>
        <w:tc>
          <w:tcPr>
            <w:tcW w:w="567" w:type="dxa"/>
          </w:tcPr>
          <w:p w14:paraId="039DF980" w14:textId="71156C19" w:rsidR="00AD4AF3" w:rsidRPr="003805E3" w:rsidRDefault="00AD4AF3" w:rsidP="00AD4AF3">
            <w:pPr>
              <w:pStyle w:val="TableText"/>
              <w:jc w:val="center"/>
              <w:rPr>
                <w:noProof/>
              </w:rPr>
            </w:pPr>
            <w:r>
              <w:rPr>
                <w:noProof/>
              </w:rPr>
              <w:t>■</w:t>
            </w:r>
          </w:p>
        </w:tc>
        <w:tc>
          <w:tcPr>
            <w:tcW w:w="567" w:type="dxa"/>
          </w:tcPr>
          <w:p w14:paraId="5E794E0F" w14:textId="77777777" w:rsidR="00AD4AF3" w:rsidRPr="003805E3" w:rsidRDefault="00AD4AF3" w:rsidP="00AD4AF3">
            <w:pPr>
              <w:pStyle w:val="TableText"/>
              <w:jc w:val="center"/>
              <w:rPr>
                <w:noProof/>
              </w:rPr>
            </w:pPr>
          </w:p>
        </w:tc>
        <w:tc>
          <w:tcPr>
            <w:tcW w:w="567" w:type="dxa"/>
          </w:tcPr>
          <w:p w14:paraId="6EB475E1" w14:textId="77777777" w:rsidR="00AD4AF3" w:rsidRPr="003805E3" w:rsidRDefault="00AD4AF3" w:rsidP="00AD4AF3">
            <w:pPr>
              <w:pStyle w:val="TableText"/>
              <w:jc w:val="center"/>
              <w:rPr>
                <w:noProof/>
              </w:rPr>
            </w:pPr>
          </w:p>
        </w:tc>
        <w:tc>
          <w:tcPr>
            <w:tcW w:w="567" w:type="dxa"/>
          </w:tcPr>
          <w:p w14:paraId="1C1B302D" w14:textId="5DE10121" w:rsidR="00AD4AF3" w:rsidRPr="003805E3" w:rsidRDefault="00AD4AF3" w:rsidP="00AD4AF3">
            <w:pPr>
              <w:pStyle w:val="TableText"/>
              <w:jc w:val="center"/>
              <w:rPr>
                <w:noProof/>
              </w:rPr>
            </w:pPr>
            <w:r>
              <w:rPr>
                <w:noProof/>
              </w:rPr>
              <w:t>■</w:t>
            </w:r>
          </w:p>
        </w:tc>
        <w:tc>
          <w:tcPr>
            <w:tcW w:w="567" w:type="dxa"/>
          </w:tcPr>
          <w:p w14:paraId="5A13F681" w14:textId="77777777" w:rsidR="00AD4AF3" w:rsidRPr="003805E3" w:rsidRDefault="00AD4AF3" w:rsidP="00AD4AF3">
            <w:pPr>
              <w:pStyle w:val="TableText"/>
              <w:jc w:val="center"/>
              <w:rPr>
                <w:noProof/>
              </w:rPr>
            </w:pPr>
          </w:p>
        </w:tc>
        <w:tc>
          <w:tcPr>
            <w:tcW w:w="567" w:type="dxa"/>
          </w:tcPr>
          <w:p w14:paraId="4AE489A1" w14:textId="77777777" w:rsidR="00AD4AF3" w:rsidRPr="003805E3" w:rsidRDefault="00AD4AF3" w:rsidP="00AD4AF3">
            <w:pPr>
              <w:pStyle w:val="TableText"/>
              <w:jc w:val="center"/>
              <w:rPr>
                <w:noProof/>
              </w:rPr>
            </w:pPr>
          </w:p>
        </w:tc>
        <w:tc>
          <w:tcPr>
            <w:tcW w:w="567" w:type="dxa"/>
          </w:tcPr>
          <w:p w14:paraId="3C80CC5E" w14:textId="1BF5272E" w:rsidR="00AD4AF3" w:rsidRPr="003805E3" w:rsidRDefault="00AD4AF3" w:rsidP="00AD4AF3">
            <w:pPr>
              <w:pStyle w:val="TableText"/>
              <w:jc w:val="center"/>
              <w:rPr>
                <w:noProof/>
              </w:rPr>
            </w:pPr>
            <w:r>
              <w:rPr>
                <w:noProof/>
              </w:rPr>
              <w:t>■</w:t>
            </w:r>
          </w:p>
        </w:tc>
        <w:tc>
          <w:tcPr>
            <w:tcW w:w="1276" w:type="dxa"/>
          </w:tcPr>
          <w:p w14:paraId="342CF4B0" w14:textId="26ECE189" w:rsidR="00AD4AF3" w:rsidRPr="003805E3" w:rsidRDefault="00AD4AF3" w:rsidP="00AD4AF3">
            <w:pPr>
              <w:pStyle w:val="TableText"/>
              <w:rPr>
                <w:noProof/>
              </w:rPr>
            </w:pPr>
            <w:r>
              <w:rPr>
                <w:noProof/>
              </w:rPr>
              <w:t>Interreg NEXT BSB</w:t>
            </w:r>
          </w:p>
        </w:tc>
        <w:tc>
          <w:tcPr>
            <w:tcW w:w="992" w:type="dxa"/>
          </w:tcPr>
          <w:p w14:paraId="3BB3C2CE" w14:textId="689505BB" w:rsidR="00AD4AF3" w:rsidRPr="003805E3" w:rsidRDefault="00AD4AF3" w:rsidP="00AD4AF3">
            <w:pPr>
              <w:pStyle w:val="TableText"/>
              <w:jc w:val="center"/>
              <w:rPr>
                <w:noProof/>
              </w:rPr>
            </w:pPr>
            <w:r>
              <w:rPr>
                <w:noProof/>
              </w:rPr>
              <w:t>0,50</w:t>
            </w:r>
          </w:p>
        </w:tc>
        <w:tc>
          <w:tcPr>
            <w:tcW w:w="2765" w:type="dxa"/>
          </w:tcPr>
          <w:p w14:paraId="7A451B85" w14:textId="666E9AFD" w:rsidR="00AD4AF3" w:rsidRPr="003805E3" w:rsidRDefault="00AD4AF3" w:rsidP="00AD4AF3">
            <w:pPr>
              <w:pStyle w:val="TableText"/>
              <w:rPr>
                <w:noProof/>
              </w:rPr>
            </w:pPr>
            <w:r>
              <w:rPr>
                <w:noProof/>
              </w:rPr>
              <w:t>Soutien à la coordination et à l’alignement des stratégies nationales et régionales avec le programme maritime commun pour la mer Noire et promotion d’une vision commune durable de l’économie bleue</w:t>
            </w:r>
          </w:p>
        </w:tc>
      </w:tr>
      <w:tr w:rsidR="00FB22F2" w:rsidRPr="003805E3" w14:paraId="22FA5050" w14:textId="77777777" w:rsidTr="00FB22F2">
        <w:tc>
          <w:tcPr>
            <w:tcW w:w="3403" w:type="dxa"/>
          </w:tcPr>
          <w:p w14:paraId="07F950B3" w14:textId="303BDADE" w:rsidR="00AD4AF3" w:rsidRPr="003805E3" w:rsidRDefault="00AD4AF3" w:rsidP="00AD4AF3">
            <w:pPr>
              <w:pStyle w:val="TableText"/>
              <w:rPr>
                <w:noProof/>
              </w:rPr>
            </w:pPr>
            <w:r>
              <w:rPr>
                <w:noProof/>
              </w:rPr>
              <w:t>INTERSMARTS</w:t>
            </w:r>
          </w:p>
        </w:tc>
        <w:tc>
          <w:tcPr>
            <w:tcW w:w="1279" w:type="dxa"/>
          </w:tcPr>
          <w:p w14:paraId="0299A651" w14:textId="6798241D" w:rsidR="00AD4AF3" w:rsidRPr="003805E3" w:rsidRDefault="00AD4AF3" w:rsidP="00AD4AF3">
            <w:pPr>
              <w:pStyle w:val="TableText"/>
              <w:rPr>
                <w:noProof/>
              </w:rPr>
            </w:pPr>
            <w:r>
              <w:rPr>
                <w:noProof/>
              </w:rPr>
              <w:t>06.2024 – 12.2025</w:t>
            </w:r>
          </w:p>
        </w:tc>
        <w:tc>
          <w:tcPr>
            <w:tcW w:w="555" w:type="dxa"/>
          </w:tcPr>
          <w:p w14:paraId="5B8E293F" w14:textId="03F4CEBF" w:rsidR="00AD4AF3" w:rsidRPr="003805E3" w:rsidRDefault="00AD4AF3" w:rsidP="00AD4AF3">
            <w:pPr>
              <w:pStyle w:val="TableText"/>
              <w:jc w:val="center"/>
              <w:rPr>
                <w:noProof/>
              </w:rPr>
            </w:pPr>
            <w:r>
              <w:rPr>
                <w:noProof/>
              </w:rPr>
              <w:t>■</w:t>
            </w:r>
          </w:p>
        </w:tc>
        <w:tc>
          <w:tcPr>
            <w:tcW w:w="567" w:type="dxa"/>
          </w:tcPr>
          <w:p w14:paraId="77D13C17" w14:textId="61AC3201" w:rsidR="00AD4AF3" w:rsidRPr="003805E3" w:rsidRDefault="00AD4AF3" w:rsidP="00AD4AF3">
            <w:pPr>
              <w:pStyle w:val="TableText"/>
              <w:jc w:val="center"/>
              <w:rPr>
                <w:noProof/>
              </w:rPr>
            </w:pPr>
            <w:r>
              <w:rPr>
                <w:noProof/>
              </w:rPr>
              <w:t>■</w:t>
            </w:r>
          </w:p>
        </w:tc>
        <w:tc>
          <w:tcPr>
            <w:tcW w:w="567" w:type="dxa"/>
          </w:tcPr>
          <w:p w14:paraId="30FB25E8" w14:textId="77777777" w:rsidR="00AD4AF3" w:rsidRPr="003805E3" w:rsidRDefault="00AD4AF3" w:rsidP="00AD4AF3">
            <w:pPr>
              <w:pStyle w:val="TableText"/>
              <w:jc w:val="center"/>
              <w:rPr>
                <w:noProof/>
              </w:rPr>
            </w:pPr>
          </w:p>
        </w:tc>
        <w:tc>
          <w:tcPr>
            <w:tcW w:w="567" w:type="dxa"/>
          </w:tcPr>
          <w:p w14:paraId="2DEA1052" w14:textId="77777777" w:rsidR="00AD4AF3" w:rsidRPr="003805E3" w:rsidRDefault="00AD4AF3" w:rsidP="00AD4AF3">
            <w:pPr>
              <w:pStyle w:val="TableText"/>
              <w:jc w:val="center"/>
              <w:rPr>
                <w:noProof/>
              </w:rPr>
            </w:pPr>
          </w:p>
        </w:tc>
        <w:tc>
          <w:tcPr>
            <w:tcW w:w="567" w:type="dxa"/>
          </w:tcPr>
          <w:p w14:paraId="0780E7DE" w14:textId="77777777" w:rsidR="00AD4AF3" w:rsidRPr="003805E3" w:rsidRDefault="00AD4AF3" w:rsidP="00AD4AF3">
            <w:pPr>
              <w:pStyle w:val="TableText"/>
              <w:jc w:val="center"/>
              <w:rPr>
                <w:noProof/>
              </w:rPr>
            </w:pPr>
          </w:p>
        </w:tc>
        <w:tc>
          <w:tcPr>
            <w:tcW w:w="567" w:type="dxa"/>
          </w:tcPr>
          <w:p w14:paraId="774BED76" w14:textId="26073F2D" w:rsidR="00AD4AF3" w:rsidRPr="003805E3" w:rsidRDefault="00AD4AF3" w:rsidP="00AD4AF3">
            <w:pPr>
              <w:pStyle w:val="TableText"/>
              <w:jc w:val="center"/>
              <w:rPr>
                <w:noProof/>
              </w:rPr>
            </w:pPr>
            <w:r>
              <w:rPr>
                <w:noProof/>
              </w:rPr>
              <w:t>■</w:t>
            </w:r>
          </w:p>
        </w:tc>
        <w:tc>
          <w:tcPr>
            <w:tcW w:w="567" w:type="dxa"/>
          </w:tcPr>
          <w:p w14:paraId="36E1C273" w14:textId="7F0F5E56" w:rsidR="00AD4AF3" w:rsidRPr="003805E3" w:rsidRDefault="00AD4AF3" w:rsidP="00AD4AF3">
            <w:pPr>
              <w:pStyle w:val="TableText"/>
              <w:jc w:val="center"/>
              <w:rPr>
                <w:noProof/>
              </w:rPr>
            </w:pPr>
            <w:r>
              <w:rPr>
                <w:noProof/>
              </w:rPr>
              <w:t>■</w:t>
            </w:r>
          </w:p>
        </w:tc>
        <w:tc>
          <w:tcPr>
            <w:tcW w:w="567" w:type="dxa"/>
          </w:tcPr>
          <w:p w14:paraId="0DED95EA" w14:textId="77777777" w:rsidR="00AD4AF3" w:rsidRPr="003805E3" w:rsidRDefault="00AD4AF3" w:rsidP="00AD4AF3">
            <w:pPr>
              <w:pStyle w:val="TableText"/>
              <w:jc w:val="center"/>
              <w:rPr>
                <w:noProof/>
              </w:rPr>
            </w:pPr>
          </w:p>
        </w:tc>
        <w:tc>
          <w:tcPr>
            <w:tcW w:w="567" w:type="dxa"/>
          </w:tcPr>
          <w:p w14:paraId="6E9CE734" w14:textId="77777777" w:rsidR="00AD4AF3" w:rsidRPr="003805E3" w:rsidRDefault="00AD4AF3" w:rsidP="00AD4AF3">
            <w:pPr>
              <w:pStyle w:val="TableText"/>
              <w:jc w:val="center"/>
              <w:rPr>
                <w:noProof/>
              </w:rPr>
            </w:pPr>
          </w:p>
        </w:tc>
        <w:tc>
          <w:tcPr>
            <w:tcW w:w="1276" w:type="dxa"/>
          </w:tcPr>
          <w:p w14:paraId="145EB4BF" w14:textId="0BA303E7" w:rsidR="00AD4AF3" w:rsidRPr="003805E3" w:rsidRDefault="00AD4AF3" w:rsidP="00AD4AF3">
            <w:pPr>
              <w:pStyle w:val="TableText"/>
              <w:rPr>
                <w:noProof/>
              </w:rPr>
            </w:pPr>
            <w:r>
              <w:rPr>
                <w:noProof/>
              </w:rPr>
              <w:t>Interreg NEXT BSB</w:t>
            </w:r>
          </w:p>
        </w:tc>
        <w:tc>
          <w:tcPr>
            <w:tcW w:w="992" w:type="dxa"/>
          </w:tcPr>
          <w:p w14:paraId="1048CACC" w14:textId="07D975BC" w:rsidR="00AD4AF3" w:rsidRPr="003805E3" w:rsidRDefault="00AD4AF3" w:rsidP="00AD4AF3">
            <w:pPr>
              <w:pStyle w:val="TableText"/>
              <w:jc w:val="center"/>
              <w:rPr>
                <w:noProof/>
              </w:rPr>
            </w:pPr>
            <w:r>
              <w:rPr>
                <w:noProof/>
              </w:rPr>
              <w:t>0,55</w:t>
            </w:r>
          </w:p>
        </w:tc>
        <w:tc>
          <w:tcPr>
            <w:tcW w:w="2765" w:type="dxa"/>
          </w:tcPr>
          <w:p w14:paraId="5398AB8E" w14:textId="3C866558" w:rsidR="00AD4AF3" w:rsidRPr="003805E3" w:rsidRDefault="00AD4AF3" w:rsidP="00AD4AF3">
            <w:pPr>
              <w:pStyle w:val="TableText"/>
              <w:rPr>
                <w:noProof/>
              </w:rPr>
            </w:pPr>
            <w:r>
              <w:rPr>
                <w:noProof/>
              </w:rPr>
              <w:t>Amélioration des performances en matière de durabilité et de l’absorption de l’innovation dans le secteur du tourisme et des services</w:t>
            </w:r>
          </w:p>
        </w:tc>
      </w:tr>
      <w:tr w:rsidR="00FB22F2" w:rsidRPr="003805E3" w14:paraId="033E65ED" w14:textId="77777777" w:rsidTr="00FB22F2">
        <w:tc>
          <w:tcPr>
            <w:tcW w:w="3403" w:type="dxa"/>
          </w:tcPr>
          <w:p w14:paraId="07C91538" w14:textId="582AA2F7" w:rsidR="00AD4AF3" w:rsidRPr="003805E3" w:rsidRDefault="00AD4AF3" w:rsidP="00AD4AF3">
            <w:pPr>
              <w:pStyle w:val="TableText"/>
              <w:rPr>
                <w:noProof/>
              </w:rPr>
            </w:pPr>
            <w:r>
              <w:rPr>
                <w:noProof/>
              </w:rPr>
              <w:t>Mécanisme d’investissement en faveur de la connectivité dans les pays du partenariat oriental (EPIC)</w:t>
            </w:r>
          </w:p>
        </w:tc>
        <w:tc>
          <w:tcPr>
            <w:tcW w:w="1279" w:type="dxa"/>
          </w:tcPr>
          <w:p w14:paraId="483FA723" w14:textId="73BC14D5" w:rsidR="00AD4AF3" w:rsidRPr="003805E3" w:rsidRDefault="00AD4AF3" w:rsidP="00AD4AF3">
            <w:pPr>
              <w:pStyle w:val="TableText"/>
              <w:rPr>
                <w:noProof/>
              </w:rPr>
            </w:pPr>
            <w:r>
              <w:rPr>
                <w:noProof/>
              </w:rPr>
              <w:t>12.2021 – 12.2028</w:t>
            </w:r>
          </w:p>
        </w:tc>
        <w:tc>
          <w:tcPr>
            <w:tcW w:w="555" w:type="dxa"/>
          </w:tcPr>
          <w:p w14:paraId="4CFBC07B" w14:textId="77777777" w:rsidR="00AD4AF3" w:rsidRPr="003805E3" w:rsidRDefault="00AD4AF3" w:rsidP="00AD4AF3">
            <w:pPr>
              <w:pStyle w:val="TableText"/>
              <w:jc w:val="center"/>
              <w:rPr>
                <w:noProof/>
              </w:rPr>
            </w:pPr>
          </w:p>
        </w:tc>
        <w:tc>
          <w:tcPr>
            <w:tcW w:w="567" w:type="dxa"/>
          </w:tcPr>
          <w:p w14:paraId="7114158F" w14:textId="77777777" w:rsidR="00AD4AF3" w:rsidRPr="003805E3" w:rsidRDefault="00AD4AF3" w:rsidP="00AD4AF3">
            <w:pPr>
              <w:pStyle w:val="TableText"/>
              <w:jc w:val="center"/>
              <w:rPr>
                <w:noProof/>
              </w:rPr>
            </w:pPr>
          </w:p>
        </w:tc>
        <w:tc>
          <w:tcPr>
            <w:tcW w:w="567" w:type="dxa"/>
          </w:tcPr>
          <w:p w14:paraId="2A8BF7DA" w14:textId="77777777" w:rsidR="00AD4AF3" w:rsidRPr="003805E3" w:rsidRDefault="00AD4AF3" w:rsidP="00AD4AF3">
            <w:pPr>
              <w:pStyle w:val="TableText"/>
              <w:jc w:val="center"/>
              <w:rPr>
                <w:noProof/>
              </w:rPr>
            </w:pPr>
          </w:p>
        </w:tc>
        <w:tc>
          <w:tcPr>
            <w:tcW w:w="567" w:type="dxa"/>
          </w:tcPr>
          <w:p w14:paraId="56B0250F" w14:textId="15D6E0C6" w:rsidR="00AD4AF3" w:rsidRPr="003805E3" w:rsidRDefault="00AD4AF3" w:rsidP="00AD4AF3">
            <w:pPr>
              <w:pStyle w:val="TableText"/>
              <w:jc w:val="center"/>
              <w:rPr>
                <w:noProof/>
              </w:rPr>
            </w:pPr>
            <w:r>
              <w:rPr>
                <w:noProof/>
              </w:rPr>
              <w:t>■</w:t>
            </w:r>
          </w:p>
        </w:tc>
        <w:tc>
          <w:tcPr>
            <w:tcW w:w="567" w:type="dxa"/>
          </w:tcPr>
          <w:p w14:paraId="3E8A9980" w14:textId="6F79B9EF" w:rsidR="00AD4AF3" w:rsidRPr="003805E3" w:rsidRDefault="00AD4AF3" w:rsidP="00AD4AF3">
            <w:pPr>
              <w:pStyle w:val="TableText"/>
              <w:jc w:val="center"/>
              <w:rPr>
                <w:noProof/>
              </w:rPr>
            </w:pPr>
            <w:r>
              <w:rPr>
                <w:noProof/>
              </w:rPr>
              <w:t>■</w:t>
            </w:r>
          </w:p>
        </w:tc>
        <w:tc>
          <w:tcPr>
            <w:tcW w:w="567" w:type="dxa"/>
          </w:tcPr>
          <w:p w14:paraId="662F904D" w14:textId="2BDEF3E5" w:rsidR="00AD4AF3" w:rsidRPr="003805E3" w:rsidRDefault="00AD4AF3" w:rsidP="00AD4AF3">
            <w:pPr>
              <w:pStyle w:val="TableText"/>
              <w:jc w:val="center"/>
              <w:rPr>
                <w:noProof/>
              </w:rPr>
            </w:pPr>
            <w:r>
              <w:rPr>
                <w:noProof/>
              </w:rPr>
              <w:t>■</w:t>
            </w:r>
          </w:p>
        </w:tc>
        <w:tc>
          <w:tcPr>
            <w:tcW w:w="567" w:type="dxa"/>
          </w:tcPr>
          <w:p w14:paraId="49BFBAC8" w14:textId="233F6B97" w:rsidR="00AD4AF3" w:rsidRPr="003805E3" w:rsidRDefault="00AD4AF3" w:rsidP="00AD4AF3">
            <w:pPr>
              <w:pStyle w:val="TableText"/>
              <w:jc w:val="center"/>
              <w:rPr>
                <w:noProof/>
              </w:rPr>
            </w:pPr>
            <w:r>
              <w:rPr>
                <w:noProof/>
              </w:rPr>
              <w:t>■</w:t>
            </w:r>
          </w:p>
        </w:tc>
        <w:tc>
          <w:tcPr>
            <w:tcW w:w="567" w:type="dxa"/>
          </w:tcPr>
          <w:p w14:paraId="5B6D5835" w14:textId="530F39B3" w:rsidR="00AD4AF3" w:rsidRPr="003805E3" w:rsidRDefault="00AD4AF3" w:rsidP="00AD4AF3">
            <w:pPr>
              <w:pStyle w:val="TableText"/>
              <w:jc w:val="center"/>
              <w:rPr>
                <w:noProof/>
              </w:rPr>
            </w:pPr>
            <w:r>
              <w:rPr>
                <w:noProof/>
              </w:rPr>
              <w:t>■</w:t>
            </w:r>
          </w:p>
        </w:tc>
        <w:tc>
          <w:tcPr>
            <w:tcW w:w="567" w:type="dxa"/>
          </w:tcPr>
          <w:p w14:paraId="0CDDC305" w14:textId="0A256A90" w:rsidR="00AD4AF3" w:rsidRPr="003805E3" w:rsidRDefault="00AD4AF3" w:rsidP="00AD4AF3">
            <w:pPr>
              <w:pStyle w:val="TableText"/>
              <w:jc w:val="center"/>
              <w:rPr>
                <w:noProof/>
              </w:rPr>
            </w:pPr>
            <w:r>
              <w:rPr>
                <w:noProof/>
              </w:rPr>
              <w:t>■</w:t>
            </w:r>
          </w:p>
        </w:tc>
        <w:tc>
          <w:tcPr>
            <w:tcW w:w="1276" w:type="dxa"/>
          </w:tcPr>
          <w:p w14:paraId="328F6185" w14:textId="43AA705B" w:rsidR="00AD4AF3" w:rsidRPr="003805E3" w:rsidRDefault="00AD4AF3" w:rsidP="00AD4AF3">
            <w:pPr>
              <w:pStyle w:val="TableText"/>
              <w:rPr>
                <w:noProof/>
              </w:rPr>
            </w:pPr>
            <w:r>
              <w:rPr>
                <w:noProof/>
              </w:rPr>
              <w:t>IVCDCI</w:t>
            </w:r>
          </w:p>
        </w:tc>
        <w:tc>
          <w:tcPr>
            <w:tcW w:w="992" w:type="dxa"/>
          </w:tcPr>
          <w:p w14:paraId="419D08D4" w14:textId="77777777" w:rsidR="00AD4AF3" w:rsidRPr="003805E3" w:rsidRDefault="00AD4AF3" w:rsidP="00AD4AF3">
            <w:pPr>
              <w:pStyle w:val="TableText"/>
              <w:jc w:val="center"/>
              <w:rPr>
                <w:noProof/>
              </w:rPr>
            </w:pPr>
          </w:p>
        </w:tc>
        <w:tc>
          <w:tcPr>
            <w:tcW w:w="2765" w:type="dxa"/>
          </w:tcPr>
          <w:p w14:paraId="40687ADE" w14:textId="0158B2C2" w:rsidR="00AD4AF3" w:rsidRPr="003805E3" w:rsidRDefault="00AD4AF3" w:rsidP="00AD4AF3">
            <w:pPr>
              <w:pStyle w:val="TableText"/>
              <w:rPr>
                <w:noProof/>
              </w:rPr>
            </w:pPr>
            <w:r>
              <w:rPr>
                <w:noProof/>
              </w:rPr>
              <w:t>Conseils et assistance technique pour améliorer les liaisons de transport</w:t>
            </w:r>
          </w:p>
        </w:tc>
      </w:tr>
      <w:tr w:rsidR="00FB22F2" w:rsidRPr="003805E3" w14:paraId="096A8A6C" w14:textId="77777777" w:rsidTr="00FB22F2">
        <w:tc>
          <w:tcPr>
            <w:tcW w:w="3403" w:type="dxa"/>
          </w:tcPr>
          <w:p w14:paraId="18F567E4" w14:textId="33443217" w:rsidR="00AD4AF3" w:rsidRPr="003805E3" w:rsidRDefault="00AD4AF3" w:rsidP="00AD4AF3">
            <w:pPr>
              <w:pStyle w:val="TableText"/>
              <w:rPr>
                <w:noProof/>
              </w:rPr>
            </w:pPr>
            <w:r>
              <w:rPr>
                <w:noProof/>
              </w:rPr>
              <w:t>EU4Energy, phases II et II+</w:t>
            </w:r>
          </w:p>
        </w:tc>
        <w:tc>
          <w:tcPr>
            <w:tcW w:w="1279" w:type="dxa"/>
          </w:tcPr>
          <w:p w14:paraId="199F4D47" w14:textId="0AAA1A50" w:rsidR="00AD4AF3" w:rsidRPr="003805E3" w:rsidRDefault="00AD4AF3" w:rsidP="00AD4AF3">
            <w:pPr>
              <w:pStyle w:val="TableText"/>
              <w:rPr>
                <w:noProof/>
              </w:rPr>
            </w:pPr>
            <w:r>
              <w:rPr>
                <w:noProof/>
              </w:rPr>
              <w:t>01.2021 – 12.2025</w:t>
            </w:r>
          </w:p>
        </w:tc>
        <w:tc>
          <w:tcPr>
            <w:tcW w:w="555" w:type="dxa"/>
          </w:tcPr>
          <w:p w14:paraId="0F646028" w14:textId="1C1378F8" w:rsidR="00AD4AF3" w:rsidRPr="003805E3" w:rsidRDefault="00AD4AF3" w:rsidP="00AD4AF3">
            <w:pPr>
              <w:pStyle w:val="TableText"/>
              <w:spacing w:line="259" w:lineRule="auto"/>
              <w:jc w:val="center"/>
              <w:rPr>
                <w:noProof/>
              </w:rPr>
            </w:pPr>
          </w:p>
        </w:tc>
        <w:tc>
          <w:tcPr>
            <w:tcW w:w="567" w:type="dxa"/>
          </w:tcPr>
          <w:p w14:paraId="18C99D53" w14:textId="77777777" w:rsidR="00AD4AF3" w:rsidRPr="003805E3" w:rsidRDefault="00AD4AF3" w:rsidP="00AD4AF3">
            <w:pPr>
              <w:pStyle w:val="TableText"/>
              <w:jc w:val="center"/>
              <w:rPr>
                <w:noProof/>
              </w:rPr>
            </w:pPr>
          </w:p>
        </w:tc>
        <w:tc>
          <w:tcPr>
            <w:tcW w:w="567" w:type="dxa"/>
          </w:tcPr>
          <w:p w14:paraId="09A534E0" w14:textId="77777777" w:rsidR="00AD4AF3" w:rsidRPr="003805E3" w:rsidRDefault="00AD4AF3" w:rsidP="00AD4AF3">
            <w:pPr>
              <w:pStyle w:val="TableText"/>
              <w:jc w:val="center"/>
              <w:rPr>
                <w:noProof/>
              </w:rPr>
            </w:pPr>
          </w:p>
        </w:tc>
        <w:tc>
          <w:tcPr>
            <w:tcW w:w="567" w:type="dxa"/>
          </w:tcPr>
          <w:p w14:paraId="21EA1FF0" w14:textId="60DB2883" w:rsidR="00AD4AF3" w:rsidRPr="003805E3" w:rsidRDefault="00AD4AF3" w:rsidP="00AD4AF3">
            <w:pPr>
              <w:pStyle w:val="TableText"/>
              <w:jc w:val="center"/>
              <w:rPr>
                <w:noProof/>
              </w:rPr>
            </w:pPr>
            <w:r>
              <w:rPr>
                <w:noProof/>
              </w:rPr>
              <w:t>■</w:t>
            </w:r>
          </w:p>
        </w:tc>
        <w:tc>
          <w:tcPr>
            <w:tcW w:w="567" w:type="dxa"/>
          </w:tcPr>
          <w:p w14:paraId="2DD7F442" w14:textId="56217402" w:rsidR="00AD4AF3" w:rsidRPr="003805E3" w:rsidRDefault="00AD4AF3" w:rsidP="00AD4AF3">
            <w:pPr>
              <w:pStyle w:val="TableText"/>
              <w:jc w:val="center"/>
              <w:rPr>
                <w:noProof/>
              </w:rPr>
            </w:pPr>
            <w:r>
              <w:rPr>
                <w:noProof/>
              </w:rPr>
              <w:t>■</w:t>
            </w:r>
          </w:p>
        </w:tc>
        <w:tc>
          <w:tcPr>
            <w:tcW w:w="567" w:type="dxa"/>
          </w:tcPr>
          <w:p w14:paraId="50C2590C" w14:textId="5E91BEC1" w:rsidR="00AD4AF3" w:rsidRPr="003805E3" w:rsidRDefault="00AD4AF3" w:rsidP="00AD4AF3">
            <w:pPr>
              <w:pStyle w:val="TableText"/>
              <w:jc w:val="center"/>
              <w:rPr>
                <w:noProof/>
              </w:rPr>
            </w:pPr>
            <w:r>
              <w:rPr>
                <w:noProof/>
              </w:rPr>
              <w:t>■</w:t>
            </w:r>
          </w:p>
        </w:tc>
        <w:tc>
          <w:tcPr>
            <w:tcW w:w="567" w:type="dxa"/>
          </w:tcPr>
          <w:p w14:paraId="4ADF0FBA" w14:textId="79536850" w:rsidR="00AD4AF3" w:rsidRPr="003805E3" w:rsidRDefault="00AD4AF3" w:rsidP="00AD4AF3">
            <w:pPr>
              <w:pStyle w:val="TableText"/>
              <w:jc w:val="center"/>
              <w:rPr>
                <w:noProof/>
              </w:rPr>
            </w:pPr>
            <w:r>
              <w:rPr>
                <w:noProof/>
              </w:rPr>
              <w:t>■</w:t>
            </w:r>
          </w:p>
        </w:tc>
        <w:tc>
          <w:tcPr>
            <w:tcW w:w="567" w:type="dxa"/>
          </w:tcPr>
          <w:p w14:paraId="6A6B41C3" w14:textId="458ECC34" w:rsidR="00AD4AF3" w:rsidRPr="003805E3" w:rsidRDefault="00AD4AF3" w:rsidP="00AD4AF3">
            <w:pPr>
              <w:pStyle w:val="TableText"/>
              <w:jc w:val="center"/>
              <w:rPr>
                <w:noProof/>
              </w:rPr>
            </w:pPr>
            <w:r>
              <w:rPr>
                <w:noProof/>
              </w:rPr>
              <w:t>■</w:t>
            </w:r>
          </w:p>
        </w:tc>
        <w:tc>
          <w:tcPr>
            <w:tcW w:w="567" w:type="dxa"/>
          </w:tcPr>
          <w:p w14:paraId="2FC6C4F6" w14:textId="53D18751" w:rsidR="00AD4AF3" w:rsidRPr="003805E3" w:rsidRDefault="00AD4AF3" w:rsidP="00AD4AF3">
            <w:pPr>
              <w:pStyle w:val="TableText"/>
              <w:jc w:val="center"/>
              <w:rPr>
                <w:noProof/>
              </w:rPr>
            </w:pPr>
            <w:r>
              <w:rPr>
                <w:noProof/>
              </w:rPr>
              <w:t>■</w:t>
            </w:r>
          </w:p>
        </w:tc>
        <w:tc>
          <w:tcPr>
            <w:tcW w:w="1276" w:type="dxa"/>
          </w:tcPr>
          <w:p w14:paraId="777ED327" w14:textId="4E4992D5" w:rsidR="00AD4AF3" w:rsidRPr="003805E3" w:rsidRDefault="00AD4AF3" w:rsidP="00AD4AF3">
            <w:pPr>
              <w:pStyle w:val="TableText"/>
              <w:rPr>
                <w:noProof/>
              </w:rPr>
            </w:pPr>
            <w:r>
              <w:rPr>
                <w:noProof/>
              </w:rPr>
              <w:t>IVCDCI</w:t>
            </w:r>
          </w:p>
        </w:tc>
        <w:tc>
          <w:tcPr>
            <w:tcW w:w="992" w:type="dxa"/>
          </w:tcPr>
          <w:p w14:paraId="57776B70" w14:textId="69525BE9" w:rsidR="00AD4AF3" w:rsidRPr="003805E3" w:rsidRDefault="00AD4AF3" w:rsidP="00AD4AF3">
            <w:pPr>
              <w:pStyle w:val="TableText"/>
              <w:jc w:val="center"/>
              <w:rPr>
                <w:noProof/>
              </w:rPr>
            </w:pPr>
            <w:r>
              <w:rPr>
                <w:noProof/>
              </w:rPr>
              <w:t>13,49</w:t>
            </w:r>
          </w:p>
        </w:tc>
        <w:tc>
          <w:tcPr>
            <w:tcW w:w="2765" w:type="dxa"/>
          </w:tcPr>
          <w:p w14:paraId="1B6193A9" w14:textId="447D47F3" w:rsidR="00AD4AF3" w:rsidRPr="003805E3" w:rsidRDefault="00B577EC" w:rsidP="00AD4AF3">
            <w:pPr>
              <w:pStyle w:val="TableText"/>
              <w:rPr>
                <w:rFonts w:ascii="Arial" w:eastAsia="Arial" w:hAnsi="Arial" w:cs="Arial"/>
                <w:noProof/>
                <w:sz w:val="22"/>
                <w:szCs w:val="22"/>
              </w:rPr>
            </w:pPr>
            <w:r>
              <w:rPr>
                <w:noProof/>
              </w:rPr>
              <w:t xml:space="preserve">Faciliter les réformes réglementaires en faveur de la transition vers une énergie propre et de la libéralisation du marché de l’énergie </w:t>
            </w:r>
          </w:p>
        </w:tc>
      </w:tr>
      <w:tr w:rsidR="00FB22F2" w:rsidRPr="003805E3" w14:paraId="306A3EDD" w14:textId="77777777" w:rsidTr="00FB22F2">
        <w:tc>
          <w:tcPr>
            <w:tcW w:w="3403" w:type="dxa"/>
          </w:tcPr>
          <w:p w14:paraId="20D858E0" w14:textId="607B1F2F" w:rsidR="00AD4AF3" w:rsidRPr="003805E3" w:rsidRDefault="00AD4AF3" w:rsidP="00AD4AF3">
            <w:pPr>
              <w:pStyle w:val="TableText"/>
              <w:rPr>
                <w:noProof/>
              </w:rPr>
            </w:pPr>
            <w:r>
              <w:rPr>
                <w:noProof/>
              </w:rPr>
              <w:t>EU4Innovation East</w:t>
            </w:r>
          </w:p>
        </w:tc>
        <w:tc>
          <w:tcPr>
            <w:tcW w:w="1279" w:type="dxa"/>
          </w:tcPr>
          <w:p w14:paraId="26D63BF4" w14:textId="153DFBCA" w:rsidR="00AD4AF3" w:rsidRPr="003805E3" w:rsidRDefault="00AD4AF3" w:rsidP="00AD4AF3">
            <w:pPr>
              <w:pStyle w:val="TableText"/>
              <w:rPr>
                <w:noProof/>
              </w:rPr>
            </w:pPr>
            <w:r>
              <w:rPr>
                <w:noProof/>
              </w:rPr>
              <w:t>04.2024 – 09.2028</w:t>
            </w:r>
          </w:p>
        </w:tc>
        <w:tc>
          <w:tcPr>
            <w:tcW w:w="555" w:type="dxa"/>
          </w:tcPr>
          <w:p w14:paraId="03C6CA6C" w14:textId="77777777" w:rsidR="00AD4AF3" w:rsidRPr="003805E3" w:rsidRDefault="00AD4AF3" w:rsidP="00AD4AF3">
            <w:pPr>
              <w:pStyle w:val="TableText"/>
              <w:jc w:val="center"/>
              <w:rPr>
                <w:noProof/>
              </w:rPr>
            </w:pPr>
          </w:p>
        </w:tc>
        <w:tc>
          <w:tcPr>
            <w:tcW w:w="567" w:type="dxa"/>
          </w:tcPr>
          <w:p w14:paraId="7C504F59" w14:textId="77777777" w:rsidR="00AD4AF3" w:rsidRPr="003805E3" w:rsidRDefault="00AD4AF3" w:rsidP="00AD4AF3">
            <w:pPr>
              <w:pStyle w:val="TableText"/>
              <w:jc w:val="center"/>
              <w:rPr>
                <w:noProof/>
              </w:rPr>
            </w:pPr>
          </w:p>
        </w:tc>
        <w:tc>
          <w:tcPr>
            <w:tcW w:w="567" w:type="dxa"/>
          </w:tcPr>
          <w:p w14:paraId="3000F96D" w14:textId="77777777" w:rsidR="00AD4AF3" w:rsidRPr="003805E3" w:rsidRDefault="00AD4AF3" w:rsidP="00AD4AF3">
            <w:pPr>
              <w:pStyle w:val="TableText"/>
              <w:jc w:val="center"/>
              <w:rPr>
                <w:noProof/>
              </w:rPr>
            </w:pPr>
          </w:p>
        </w:tc>
        <w:tc>
          <w:tcPr>
            <w:tcW w:w="567" w:type="dxa"/>
          </w:tcPr>
          <w:p w14:paraId="413E97C1" w14:textId="60DB2883" w:rsidR="00AD4AF3" w:rsidRPr="003805E3" w:rsidRDefault="00AD4AF3" w:rsidP="00AD4AF3">
            <w:pPr>
              <w:pStyle w:val="TableText"/>
              <w:jc w:val="center"/>
              <w:rPr>
                <w:noProof/>
              </w:rPr>
            </w:pPr>
            <w:r>
              <w:rPr>
                <w:noProof/>
              </w:rPr>
              <w:t>■</w:t>
            </w:r>
          </w:p>
        </w:tc>
        <w:tc>
          <w:tcPr>
            <w:tcW w:w="567" w:type="dxa"/>
          </w:tcPr>
          <w:p w14:paraId="55A2DE73" w14:textId="56217402" w:rsidR="00AD4AF3" w:rsidRPr="003805E3" w:rsidRDefault="00AD4AF3" w:rsidP="00AD4AF3">
            <w:pPr>
              <w:pStyle w:val="TableText"/>
              <w:jc w:val="center"/>
              <w:rPr>
                <w:noProof/>
              </w:rPr>
            </w:pPr>
            <w:r>
              <w:rPr>
                <w:noProof/>
              </w:rPr>
              <w:t>■</w:t>
            </w:r>
          </w:p>
        </w:tc>
        <w:tc>
          <w:tcPr>
            <w:tcW w:w="567" w:type="dxa"/>
          </w:tcPr>
          <w:p w14:paraId="1D07453A" w14:textId="6AD0961F" w:rsidR="00AD4AF3" w:rsidRPr="003805E3" w:rsidRDefault="00AD4AF3" w:rsidP="00AD4AF3">
            <w:pPr>
              <w:pStyle w:val="TableText"/>
              <w:jc w:val="center"/>
              <w:rPr>
                <w:noProof/>
              </w:rPr>
            </w:pPr>
          </w:p>
        </w:tc>
        <w:tc>
          <w:tcPr>
            <w:tcW w:w="567" w:type="dxa"/>
          </w:tcPr>
          <w:p w14:paraId="15104392" w14:textId="79536850" w:rsidR="00AD4AF3" w:rsidRPr="003805E3" w:rsidRDefault="00AD4AF3" w:rsidP="00AD4AF3">
            <w:pPr>
              <w:pStyle w:val="TableText"/>
              <w:jc w:val="center"/>
              <w:rPr>
                <w:noProof/>
              </w:rPr>
            </w:pPr>
            <w:r>
              <w:rPr>
                <w:noProof/>
              </w:rPr>
              <w:t>■</w:t>
            </w:r>
          </w:p>
        </w:tc>
        <w:tc>
          <w:tcPr>
            <w:tcW w:w="567" w:type="dxa"/>
          </w:tcPr>
          <w:p w14:paraId="079113D4" w14:textId="77777777" w:rsidR="00AD4AF3" w:rsidRPr="003805E3" w:rsidRDefault="00AD4AF3" w:rsidP="00AD4AF3">
            <w:pPr>
              <w:pStyle w:val="TableText"/>
              <w:jc w:val="center"/>
              <w:rPr>
                <w:noProof/>
              </w:rPr>
            </w:pPr>
          </w:p>
        </w:tc>
        <w:tc>
          <w:tcPr>
            <w:tcW w:w="567" w:type="dxa"/>
          </w:tcPr>
          <w:p w14:paraId="63B24F4E" w14:textId="0EA37DB4" w:rsidR="00AD4AF3" w:rsidRPr="003805E3" w:rsidRDefault="00AD4AF3" w:rsidP="00AD4AF3">
            <w:pPr>
              <w:pStyle w:val="TableText"/>
              <w:jc w:val="center"/>
              <w:rPr>
                <w:noProof/>
              </w:rPr>
            </w:pPr>
            <w:r>
              <w:rPr>
                <w:noProof/>
              </w:rPr>
              <w:t>■</w:t>
            </w:r>
          </w:p>
        </w:tc>
        <w:tc>
          <w:tcPr>
            <w:tcW w:w="1276" w:type="dxa"/>
          </w:tcPr>
          <w:p w14:paraId="4A995261" w14:textId="4268C165" w:rsidR="00AD4AF3" w:rsidRPr="003805E3" w:rsidRDefault="00AD4AF3" w:rsidP="00AD4AF3">
            <w:pPr>
              <w:pStyle w:val="TableText"/>
              <w:rPr>
                <w:noProof/>
              </w:rPr>
            </w:pPr>
            <w:r>
              <w:rPr>
                <w:noProof/>
              </w:rPr>
              <w:t>IVCDCI</w:t>
            </w:r>
          </w:p>
        </w:tc>
        <w:tc>
          <w:tcPr>
            <w:tcW w:w="992" w:type="dxa"/>
          </w:tcPr>
          <w:p w14:paraId="76FA346B" w14:textId="08DB66B9" w:rsidR="00AD4AF3" w:rsidRPr="003805E3" w:rsidRDefault="00AD4AF3" w:rsidP="00AD4AF3">
            <w:pPr>
              <w:pStyle w:val="TableText"/>
              <w:jc w:val="center"/>
              <w:rPr>
                <w:noProof/>
              </w:rPr>
            </w:pPr>
            <w:r>
              <w:rPr>
                <w:noProof/>
              </w:rPr>
              <w:t>22,12</w:t>
            </w:r>
          </w:p>
        </w:tc>
        <w:tc>
          <w:tcPr>
            <w:tcW w:w="2765" w:type="dxa"/>
          </w:tcPr>
          <w:p w14:paraId="77B9DD43" w14:textId="0F22D9A4" w:rsidR="00AD4AF3" w:rsidRPr="003805E3" w:rsidRDefault="00AD4AF3" w:rsidP="00AD4AF3">
            <w:pPr>
              <w:pStyle w:val="TableText"/>
              <w:rPr>
                <w:noProof/>
              </w:rPr>
            </w:pPr>
            <w:r>
              <w:rPr>
                <w:noProof/>
              </w:rPr>
              <w:t>Mise en place d’incubateurs de haute performance, élargissement des possibilités de financement et développement des perspectives commerciales pour les jeunes pousses</w:t>
            </w:r>
          </w:p>
        </w:tc>
      </w:tr>
      <w:tr w:rsidR="00FB22F2" w:rsidRPr="003805E3" w14:paraId="01A3ED4E" w14:textId="77777777" w:rsidTr="00FB22F2">
        <w:tc>
          <w:tcPr>
            <w:tcW w:w="3403" w:type="dxa"/>
          </w:tcPr>
          <w:p w14:paraId="02915ED8" w14:textId="5956C6F2" w:rsidR="00AD4AF3" w:rsidRPr="003805E3" w:rsidRDefault="00AD4AF3" w:rsidP="00AD4AF3">
            <w:pPr>
              <w:pStyle w:val="TableText"/>
              <w:rPr>
                <w:noProof/>
              </w:rPr>
            </w:pPr>
            <w:r>
              <w:rPr>
                <w:noProof/>
              </w:rPr>
              <w:t>Facilité EU4Digital</w:t>
            </w:r>
          </w:p>
        </w:tc>
        <w:tc>
          <w:tcPr>
            <w:tcW w:w="1279" w:type="dxa"/>
          </w:tcPr>
          <w:p w14:paraId="1DF048F5" w14:textId="2F35A534" w:rsidR="00AD4AF3" w:rsidRPr="003805E3" w:rsidRDefault="00AD4AF3" w:rsidP="00AD4AF3">
            <w:pPr>
              <w:pStyle w:val="TableText"/>
              <w:rPr>
                <w:noProof/>
              </w:rPr>
            </w:pPr>
            <w:r>
              <w:rPr>
                <w:noProof/>
              </w:rPr>
              <w:t>06.2022 – 09.2026</w:t>
            </w:r>
          </w:p>
        </w:tc>
        <w:tc>
          <w:tcPr>
            <w:tcW w:w="555" w:type="dxa"/>
          </w:tcPr>
          <w:p w14:paraId="262B933C" w14:textId="77777777" w:rsidR="00AD4AF3" w:rsidRPr="003805E3" w:rsidRDefault="00AD4AF3" w:rsidP="00AD4AF3">
            <w:pPr>
              <w:pStyle w:val="TableText"/>
              <w:jc w:val="center"/>
              <w:rPr>
                <w:noProof/>
              </w:rPr>
            </w:pPr>
          </w:p>
        </w:tc>
        <w:tc>
          <w:tcPr>
            <w:tcW w:w="567" w:type="dxa"/>
          </w:tcPr>
          <w:p w14:paraId="70BC2010" w14:textId="77777777" w:rsidR="00AD4AF3" w:rsidRPr="003805E3" w:rsidRDefault="00AD4AF3" w:rsidP="00AD4AF3">
            <w:pPr>
              <w:pStyle w:val="TableText"/>
              <w:jc w:val="center"/>
              <w:rPr>
                <w:noProof/>
              </w:rPr>
            </w:pPr>
          </w:p>
        </w:tc>
        <w:tc>
          <w:tcPr>
            <w:tcW w:w="567" w:type="dxa"/>
          </w:tcPr>
          <w:p w14:paraId="7C26F9A6" w14:textId="77777777" w:rsidR="00AD4AF3" w:rsidRPr="003805E3" w:rsidRDefault="00AD4AF3" w:rsidP="00AD4AF3">
            <w:pPr>
              <w:pStyle w:val="TableText"/>
              <w:jc w:val="center"/>
              <w:rPr>
                <w:noProof/>
              </w:rPr>
            </w:pPr>
          </w:p>
        </w:tc>
        <w:tc>
          <w:tcPr>
            <w:tcW w:w="567" w:type="dxa"/>
          </w:tcPr>
          <w:p w14:paraId="5680E1AF" w14:textId="60DB2883" w:rsidR="00AD4AF3" w:rsidRPr="003805E3" w:rsidRDefault="00AD4AF3" w:rsidP="00AD4AF3">
            <w:pPr>
              <w:pStyle w:val="TableText"/>
              <w:jc w:val="center"/>
              <w:rPr>
                <w:noProof/>
              </w:rPr>
            </w:pPr>
            <w:r>
              <w:rPr>
                <w:noProof/>
              </w:rPr>
              <w:t>■</w:t>
            </w:r>
          </w:p>
        </w:tc>
        <w:tc>
          <w:tcPr>
            <w:tcW w:w="567" w:type="dxa"/>
          </w:tcPr>
          <w:p w14:paraId="5D2F91CC" w14:textId="56217402" w:rsidR="00AD4AF3" w:rsidRPr="003805E3" w:rsidRDefault="00AD4AF3" w:rsidP="00AD4AF3">
            <w:pPr>
              <w:pStyle w:val="TableText"/>
              <w:jc w:val="center"/>
              <w:rPr>
                <w:noProof/>
              </w:rPr>
            </w:pPr>
            <w:r>
              <w:rPr>
                <w:noProof/>
              </w:rPr>
              <w:t>■</w:t>
            </w:r>
          </w:p>
        </w:tc>
        <w:tc>
          <w:tcPr>
            <w:tcW w:w="567" w:type="dxa"/>
          </w:tcPr>
          <w:p w14:paraId="7D6A32C4" w14:textId="6856B311" w:rsidR="00AD4AF3" w:rsidRPr="003805E3" w:rsidRDefault="00AD4AF3" w:rsidP="00AD4AF3">
            <w:pPr>
              <w:pStyle w:val="TableText"/>
              <w:jc w:val="center"/>
              <w:rPr>
                <w:noProof/>
              </w:rPr>
            </w:pPr>
          </w:p>
        </w:tc>
        <w:tc>
          <w:tcPr>
            <w:tcW w:w="567" w:type="dxa"/>
          </w:tcPr>
          <w:p w14:paraId="510C834D" w14:textId="79536850" w:rsidR="00AD4AF3" w:rsidRPr="003805E3" w:rsidRDefault="00AD4AF3" w:rsidP="00AD4AF3">
            <w:pPr>
              <w:pStyle w:val="TableText"/>
              <w:jc w:val="center"/>
              <w:rPr>
                <w:noProof/>
              </w:rPr>
            </w:pPr>
            <w:r>
              <w:rPr>
                <w:noProof/>
              </w:rPr>
              <w:t>■</w:t>
            </w:r>
          </w:p>
        </w:tc>
        <w:tc>
          <w:tcPr>
            <w:tcW w:w="567" w:type="dxa"/>
          </w:tcPr>
          <w:p w14:paraId="658ABFF9" w14:textId="77777777" w:rsidR="00AD4AF3" w:rsidRPr="003805E3" w:rsidRDefault="00AD4AF3" w:rsidP="00AD4AF3">
            <w:pPr>
              <w:pStyle w:val="TableText"/>
              <w:jc w:val="center"/>
              <w:rPr>
                <w:noProof/>
              </w:rPr>
            </w:pPr>
          </w:p>
        </w:tc>
        <w:tc>
          <w:tcPr>
            <w:tcW w:w="567" w:type="dxa"/>
          </w:tcPr>
          <w:p w14:paraId="16F3B28A" w14:textId="54F5370F" w:rsidR="00AD4AF3" w:rsidRPr="003805E3" w:rsidRDefault="00AD4AF3" w:rsidP="00AD4AF3">
            <w:pPr>
              <w:pStyle w:val="TableText"/>
              <w:jc w:val="center"/>
              <w:rPr>
                <w:noProof/>
              </w:rPr>
            </w:pPr>
            <w:r>
              <w:rPr>
                <w:noProof/>
              </w:rPr>
              <w:t>■</w:t>
            </w:r>
          </w:p>
        </w:tc>
        <w:tc>
          <w:tcPr>
            <w:tcW w:w="1276" w:type="dxa"/>
          </w:tcPr>
          <w:p w14:paraId="1E151979" w14:textId="1468E925" w:rsidR="00AD4AF3" w:rsidRPr="003805E3" w:rsidRDefault="00AD4AF3" w:rsidP="00AD4AF3">
            <w:pPr>
              <w:pStyle w:val="TableText"/>
              <w:rPr>
                <w:noProof/>
              </w:rPr>
            </w:pPr>
            <w:r>
              <w:rPr>
                <w:noProof/>
              </w:rPr>
              <w:t>IVCDCI</w:t>
            </w:r>
          </w:p>
        </w:tc>
        <w:tc>
          <w:tcPr>
            <w:tcW w:w="992" w:type="dxa"/>
          </w:tcPr>
          <w:p w14:paraId="2A7EF96C" w14:textId="7835F5DD" w:rsidR="00AD4AF3" w:rsidRPr="003805E3" w:rsidRDefault="00AD4AF3" w:rsidP="00AD4AF3">
            <w:pPr>
              <w:pStyle w:val="TableText"/>
              <w:jc w:val="center"/>
              <w:rPr>
                <w:noProof/>
              </w:rPr>
            </w:pPr>
            <w:r>
              <w:rPr>
                <w:noProof/>
              </w:rPr>
              <w:t>16,00</w:t>
            </w:r>
          </w:p>
        </w:tc>
        <w:tc>
          <w:tcPr>
            <w:tcW w:w="2765" w:type="dxa"/>
          </w:tcPr>
          <w:p w14:paraId="64335C21" w14:textId="470422DF" w:rsidR="00AD4AF3" w:rsidRPr="003805E3" w:rsidRDefault="00AD4AF3" w:rsidP="00AD4AF3">
            <w:pPr>
              <w:pStyle w:val="TableText"/>
              <w:rPr>
                <w:noProof/>
              </w:rPr>
            </w:pPr>
            <w:r>
              <w:rPr>
                <w:noProof/>
              </w:rPr>
              <w:t>Soutien à l’intégration dans le marché unique numérique de l’UE</w:t>
            </w:r>
          </w:p>
        </w:tc>
      </w:tr>
      <w:tr w:rsidR="00FB22F2" w:rsidRPr="003805E3" w14:paraId="5F877D0D" w14:textId="77777777" w:rsidTr="00FB22F2">
        <w:tc>
          <w:tcPr>
            <w:tcW w:w="3403" w:type="dxa"/>
          </w:tcPr>
          <w:p w14:paraId="7DE986E2" w14:textId="27090D5B" w:rsidR="00AD4AF3" w:rsidRPr="003805E3" w:rsidRDefault="00AD4AF3" w:rsidP="00AD4AF3">
            <w:pPr>
              <w:pStyle w:val="TableText"/>
              <w:rPr>
                <w:noProof/>
              </w:rPr>
            </w:pPr>
            <w:r>
              <w:rPr>
                <w:noProof/>
              </w:rPr>
              <w:t>EU4Digital: investissement dans la connectivité à haut débit</w:t>
            </w:r>
          </w:p>
        </w:tc>
        <w:tc>
          <w:tcPr>
            <w:tcW w:w="1279" w:type="dxa"/>
          </w:tcPr>
          <w:p w14:paraId="02E88CE8" w14:textId="63119A52" w:rsidR="00AD4AF3" w:rsidRPr="003805E3" w:rsidRDefault="00AD4AF3" w:rsidP="00AD4AF3">
            <w:pPr>
              <w:pStyle w:val="TableText"/>
              <w:rPr>
                <w:noProof/>
              </w:rPr>
            </w:pPr>
            <w:r>
              <w:rPr>
                <w:noProof/>
              </w:rPr>
              <w:t>11.2023 – 11.2026</w:t>
            </w:r>
          </w:p>
        </w:tc>
        <w:tc>
          <w:tcPr>
            <w:tcW w:w="555" w:type="dxa"/>
          </w:tcPr>
          <w:p w14:paraId="2E725D0D" w14:textId="77777777" w:rsidR="00AD4AF3" w:rsidRPr="003805E3" w:rsidRDefault="00AD4AF3" w:rsidP="00AD4AF3">
            <w:pPr>
              <w:pStyle w:val="TableText"/>
              <w:jc w:val="center"/>
              <w:rPr>
                <w:noProof/>
              </w:rPr>
            </w:pPr>
          </w:p>
        </w:tc>
        <w:tc>
          <w:tcPr>
            <w:tcW w:w="567" w:type="dxa"/>
          </w:tcPr>
          <w:p w14:paraId="74687B1D" w14:textId="77777777" w:rsidR="00AD4AF3" w:rsidRPr="003805E3" w:rsidRDefault="00AD4AF3" w:rsidP="00AD4AF3">
            <w:pPr>
              <w:pStyle w:val="TableText"/>
              <w:jc w:val="center"/>
              <w:rPr>
                <w:noProof/>
              </w:rPr>
            </w:pPr>
          </w:p>
        </w:tc>
        <w:tc>
          <w:tcPr>
            <w:tcW w:w="567" w:type="dxa"/>
          </w:tcPr>
          <w:p w14:paraId="6747EBA3" w14:textId="77777777" w:rsidR="00AD4AF3" w:rsidRPr="003805E3" w:rsidRDefault="00AD4AF3" w:rsidP="00AD4AF3">
            <w:pPr>
              <w:pStyle w:val="TableText"/>
              <w:jc w:val="center"/>
              <w:rPr>
                <w:noProof/>
              </w:rPr>
            </w:pPr>
          </w:p>
        </w:tc>
        <w:tc>
          <w:tcPr>
            <w:tcW w:w="567" w:type="dxa"/>
          </w:tcPr>
          <w:p w14:paraId="4D27BFD4" w14:textId="5DA19E52" w:rsidR="00AD4AF3" w:rsidRPr="003805E3" w:rsidRDefault="00AD4AF3" w:rsidP="00AD4AF3">
            <w:pPr>
              <w:pStyle w:val="TableText"/>
              <w:jc w:val="center"/>
              <w:rPr>
                <w:noProof/>
              </w:rPr>
            </w:pPr>
            <w:r>
              <w:rPr>
                <w:noProof/>
              </w:rPr>
              <w:t>■</w:t>
            </w:r>
          </w:p>
        </w:tc>
        <w:tc>
          <w:tcPr>
            <w:tcW w:w="567" w:type="dxa"/>
          </w:tcPr>
          <w:p w14:paraId="08F70C46" w14:textId="1C43A055" w:rsidR="00AD4AF3" w:rsidRPr="003805E3" w:rsidRDefault="00AD4AF3" w:rsidP="00AD4AF3">
            <w:pPr>
              <w:pStyle w:val="TableText"/>
              <w:jc w:val="center"/>
              <w:rPr>
                <w:noProof/>
              </w:rPr>
            </w:pPr>
            <w:r>
              <w:rPr>
                <w:noProof/>
              </w:rPr>
              <w:t>■</w:t>
            </w:r>
          </w:p>
        </w:tc>
        <w:tc>
          <w:tcPr>
            <w:tcW w:w="567" w:type="dxa"/>
          </w:tcPr>
          <w:p w14:paraId="089E8E42" w14:textId="6B99C1F4" w:rsidR="00AD4AF3" w:rsidRPr="003805E3" w:rsidRDefault="00AD4AF3" w:rsidP="00AD4AF3">
            <w:pPr>
              <w:pStyle w:val="TableText"/>
              <w:jc w:val="center"/>
              <w:rPr>
                <w:noProof/>
              </w:rPr>
            </w:pPr>
          </w:p>
        </w:tc>
        <w:tc>
          <w:tcPr>
            <w:tcW w:w="567" w:type="dxa"/>
          </w:tcPr>
          <w:p w14:paraId="45C42FA0" w14:textId="3CEDCE28" w:rsidR="00AD4AF3" w:rsidRPr="003805E3" w:rsidRDefault="00AD4AF3" w:rsidP="00AD4AF3">
            <w:pPr>
              <w:pStyle w:val="TableText"/>
              <w:jc w:val="center"/>
              <w:rPr>
                <w:noProof/>
              </w:rPr>
            </w:pPr>
            <w:r>
              <w:rPr>
                <w:noProof/>
              </w:rPr>
              <w:t>■</w:t>
            </w:r>
          </w:p>
        </w:tc>
        <w:tc>
          <w:tcPr>
            <w:tcW w:w="567" w:type="dxa"/>
          </w:tcPr>
          <w:p w14:paraId="1263E911" w14:textId="3D097D09" w:rsidR="00AD4AF3" w:rsidRPr="003805E3" w:rsidRDefault="00AD4AF3" w:rsidP="00AD4AF3">
            <w:pPr>
              <w:pStyle w:val="TableText"/>
              <w:jc w:val="center"/>
              <w:rPr>
                <w:noProof/>
              </w:rPr>
            </w:pPr>
            <w:r>
              <w:rPr>
                <w:noProof/>
              </w:rPr>
              <w:t>■</w:t>
            </w:r>
          </w:p>
        </w:tc>
        <w:tc>
          <w:tcPr>
            <w:tcW w:w="567" w:type="dxa"/>
          </w:tcPr>
          <w:p w14:paraId="1DF0DFC9" w14:textId="24905C57" w:rsidR="00AD4AF3" w:rsidRPr="003805E3" w:rsidRDefault="00AD4AF3" w:rsidP="00AD4AF3">
            <w:pPr>
              <w:pStyle w:val="TableText"/>
              <w:jc w:val="center"/>
              <w:rPr>
                <w:noProof/>
              </w:rPr>
            </w:pPr>
            <w:r>
              <w:rPr>
                <w:noProof/>
              </w:rPr>
              <w:t>■</w:t>
            </w:r>
          </w:p>
        </w:tc>
        <w:tc>
          <w:tcPr>
            <w:tcW w:w="1276" w:type="dxa"/>
          </w:tcPr>
          <w:p w14:paraId="3CC5D4BF" w14:textId="395E9881" w:rsidR="00AD4AF3" w:rsidRPr="003805E3" w:rsidRDefault="00AD4AF3" w:rsidP="00AD4AF3">
            <w:pPr>
              <w:pStyle w:val="TableText"/>
              <w:rPr>
                <w:noProof/>
              </w:rPr>
            </w:pPr>
            <w:r>
              <w:rPr>
                <w:noProof/>
              </w:rPr>
              <w:t>IVCDCI</w:t>
            </w:r>
          </w:p>
        </w:tc>
        <w:tc>
          <w:tcPr>
            <w:tcW w:w="992" w:type="dxa"/>
          </w:tcPr>
          <w:p w14:paraId="0C7F7C1B" w14:textId="2AE3E53B" w:rsidR="00AD4AF3" w:rsidRPr="003805E3" w:rsidRDefault="00AD4AF3" w:rsidP="00AD4AF3">
            <w:pPr>
              <w:pStyle w:val="TableText"/>
              <w:jc w:val="center"/>
              <w:rPr>
                <w:noProof/>
              </w:rPr>
            </w:pPr>
            <w:r>
              <w:rPr>
                <w:noProof/>
              </w:rPr>
              <w:t>5,00</w:t>
            </w:r>
          </w:p>
        </w:tc>
        <w:tc>
          <w:tcPr>
            <w:tcW w:w="2765" w:type="dxa"/>
          </w:tcPr>
          <w:p w14:paraId="11C8CDAF" w14:textId="3698AFD0" w:rsidR="00AD4AF3" w:rsidRPr="003805E3" w:rsidRDefault="00AD4AF3" w:rsidP="00AD4AF3">
            <w:pPr>
              <w:pStyle w:val="TableText"/>
              <w:rPr>
                <w:noProof/>
              </w:rPr>
            </w:pPr>
            <w:r>
              <w:rPr>
                <w:noProof/>
              </w:rPr>
              <w:t xml:space="preserve">Cartographie du haut débit pour la planification des investissements dans la connectivité numérique  </w:t>
            </w:r>
          </w:p>
        </w:tc>
      </w:tr>
      <w:tr w:rsidR="00FB22F2" w:rsidRPr="003805E3" w14:paraId="12E915D7" w14:textId="77777777" w:rsidTr="00FB22F2">
        <w:trPr>
          <w:trHeight w:val="437"/>
        </w:trPr>
        <w:tc>
          <w:tcPr>
            <w:tcW w:w="3403" w:type="dxa"/>
            <w:shd w:val="clear" w:color="auto" w:fill="D1D1D1" w:themeFill="background2" w:themeFillShade="E6"/>
          </w:tcPr>
          <w:p w14:paraId="5482994C" w14:textId="77777777" w:rsidR="00AD4AF3" w:rsidRPr="003805E3" w:rsidRDefault="00AD4AF3" w:rsidP="00AD4AF3">
            <w:pPr>
              <w:pStyle w:val="TableText"/>
              <w:keepNext/>
              <w:rPr>
                <w:b/>
                <w:bCs/>
                <w:noProof/>
              </w:rPr>
            </w:pPr>
            <w:r>
              <w:rPr>
                <w:b/>
                <w:noProof/>
              </w:rPr>
              <w:t>PILIER 3</w:t>
            </w:r>
          </w:p>
        </w:tc>
        <w:tc>
          <w:tcPr>
            <w:tcW w:w="1279" w:type="dxa"/>
            <w:shd w:val="clear" w:color="auto" w:fill="D1D1D1" w:themeFill="background2" w:themeFillShade="E6"/>
          </w:tcPr>
          <w:p w14:paraId="313FE0D6" w14:textId="77777777" w:rsidR="00AD4AF3" w:rsidRPr="003805E3" w:rsidRDefault="00AD4AF3" w:rsidP="00AD4AF3">
            <w:pPr>
              <w:pStyle w:val="TableText"/>
              <w:keepNext/>
              <w:rPr>
                <w:noProof/>
              </w:rPr>
            </w:pPr>
          </w:p>
        </w:tc>
        <w:tc>
          <w:tcPr>
            <w:tcW w:w="555" w:type="dxa"/>
            <w:shd w:val="clear" w:color="auto" w:fill="D1D1D1" w:themeFill="background2" w:themeFillShade="E6"/>
          </w:tcPr>
          <w:p w14:paraId="7AA13E9E"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16EC1B2D"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7ADB56D9"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4B9FCA4D"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4C20D565"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22A77356"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0D007673"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65CCC2D6"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7B5B7A42" w14:textId="77777777" w:rsidR="00AD4AF3" w:rsidRPr="003805E3" w:rsidRDefault="00AD4AF3" w:rsidP="00AD4AF3">
            <w:pPr>
              <w:pStyle w:val="TableText"/>
              <w:keepNext/>
              <w:jc w:val="center"/>
              <w:rPr>
                <w:noProof/>
              </w:rPr>
            </w:pPr>
          </w:p>
        </w:tc>
        <w:tc>
          <w:tcPr>
            <w:tcW w:w="1276" w:type="dxa"/>
            <w:shd w:val="clear" w:color="auto" w:fill="D1D1D1" w:themeFill="background2" w:themeFillShade="E6"/>
          </w:tcPr>
          <w:p w14:paraId="7F6E331A" w14:textId="77777777" w:rsidR="00AD4AF3" w:rsidRPr="003805E3" w:rsidRDefault="00AD4AF3" w:rsidP="00AD4AF3">
            <w:pPr>
              <w:pStyle w:val="TableText"/>
              <w:keepNext/>
              <w:rPr>
                <w:noProof/>
              </w:rPr>
            </w:pPr>
          </w:p>
        </w:tc>
        <w:tc>
          <w:tcPr>
            <w:tcW w:w="992" w:type="dxa"/>
            <w:shd w:val="clear" w:color="auto" w:fill="D1D1D1" w:themeFill="background2" w:themeFillShade="E6"/>
          </w:tcPr>
          <w:p w14:paraId="41AB79D6" w14:textId="77777777" w:rsidR="00AD4AF3" w:rsidRPr="003805E3" w:rsidRDefault="00AD4AF3" w:rsidP="00AD4AF3">
            <w:pPr>
              <w:pStyle w:val="TableText"/>
              <w:keepNext/>
              <w:jc w:val="center"/>
              <w:rPr>
                <w:noProof/>
              </w:rPr>
            </w:pPr>
          </w:p>
        </w:tc>
        <w:tc>
          <w:tcPr>
            <w:tcW w:w="2765" w:type="dxa"/>
            <w:shd w:val="clear" w:color="auto" w:fill="D1D1D1" w:themeFill="background2" w:themeFillShade="E6"/>
          </w:tcPr>
          <w:p w14:paraId="6A6DD74A" w14:textId="77777777" w:rsidR="00AD4AF3" w:rsidRPr="003805E3" w:rsidRDefault="00AD4AF3" w:rsidP="00AD4AF3">
            <w:pPr>
              <w:pStyle w:val="TableText"/>
              <w:keepNext/>
              <w:rPr>
                <w:noProof/>
              </w:rPr>
            </w:pPr>
          </w:p>
        </w:tc>
      </w:tr>
      <w:tr w:rsidR="00FB22F2" w:rsidRPr="003805E3" w14:paraId="55E6D017" w14:textId="77777777" w:rsidTr="00FB22F2">
        <w:tc>
          <w:tcPr>
            <w:tcW w:w="3403" w:type="dxa"/>
          </w:tcPr>
          <w:p w14:paraId="510D9F85" w14:textId="77777777" w:rsidR="00AD4AF3" w:rsidRPr="003805E3" w:rsidRDefault="00AD4AF3" w:rsidP="00AD4AF3">
            <w:pPr>
              <w:pStyle w:val="TableText"/>
              <w:rPr>
                <w:noProof/>
              </w:rPr>
            </w:pPr>
            <w:r>
              <w:rPr>
                <w:noProof/>
              </w:rPr>
              <w:t>Black Sea SIERRA</w:t>
            </w:r>
          </w:p>
        </w:tc>
        <w:tc>
          <w:tcPr>
            <w:tcW w:w="1279" w:type="dxa"/>
          </w:tcPr>
          <w:p w14:paraId="12AD83AA" w14:textId="04BAAAFE" w:rsidR="00AD4AF3" w:rsidRPr="003805E3" w:rsidRDefault="00AD4AF3" w:rsidP="00AD4AF3">
            <w:pPr>
              <w:pStyle w:val="TableText"/>
              <w:rPr>
                <w:noProof/>
              </w:rPr>
            </w:pPr>
            <w:r>
              <w:rPr>
                <w:noProof/>
              </w:rPr>
              <w:t>10.2023 – 09.2026</w:t>
            </w:r>
          </w:p>
        </w:tc>
        <w:tc>
          <w:tcPr>
            <w:tcW w:w="555" w:type="dxa"/>
          </w:tcPr>
          <w:p w14:paraId="25A0DC23" w14:textId="77777777" w:rsidR="00AD4AF3" w:rsidRPr="003805E3" w:rsidRDefault="00AD4AF3" w:rsidP="00AD4AF3">
            <w:pPr>
              <w:pStyle w:val="TableText"/>
              <w:jc w:val="center"/>
              <w:rPr>
                <w:noProof/>
              </w:rPr>
            </w:pPr>
            <w:r>
              <w:rPr>
                <w:noProof/>
              </w:rPr>
              <w:t>■</w:t>
            </w:r>
          </w:p>
        </w:tc>
        <w:tc>
          <w:tcPr>
            <w:tcW w:w="567" w:type="dxa"/>
          </w:tcPr>
          <w:p w14:paraId="2729FA37" w14:textId="77777777" w:rsidR="00AD4AF3" w:rsidRPr="003805E3" w:rsidRDefault="00AD4AF3" w:rsidP="00AD4AF3">
            <w:pPr>
              <w:pStyle w:val="TableText"/>
              <w:jc w:val="center"/>
              <w:rPr>
                <w:noProof/>
              </w:rPr>
            </w:pPr>
          </w:p>
        </w:tc>
        <w:tc>
          <w:tcPr>
            <w:tcW w:w="567" w:type="dxa"/>
          </w:tcPr>
          <w:p w14:paraId="1070DF1C" w14:textId="77777777" w:rsidR="00AD4AF3" w:rsidRPr="003805E3" w:rsidRDefault="00AD4AF3" w:rsidP="00AD4AF3">
            <w:pPr>
              <w:pStyle w:val="TableText"/>
              <w:jc w:val="center"/>
              <w:rPr>
                <w:noProof/>
              </w:rPr>
            </w:pPr>
            <w:r>
              <w:rPr>
                <w:noProof/>
              </w:rPr>
              <w:t>■</w:t>
            </w:r>
          </w:p>
        </w:tc>
        <w:tc>
          <w:tcPr>
            <w:tcW w:w="567" w:type="dxa"/>
          </w:tcPr>
          <w:p w14:paraId="552BE174" w14:textId="77777777" w:rsidR="00AD4AF3" w:rsidRPr="003805E3" w:rsidRDefault="00AD4AF3" w:rsidP="00AD4AF3">
            <w:pPr>
              <w:pStyle w:val="TableText"/>
              <w:jc w:val="center"/>
              <w:rPr>
                <w:noProof/>
              </w:rPr>
            </w:pPr>
          </w:p>
        </w:tc>
        <w:tc>
          <w:tcPr>
            <w:tcW w:w="567" w:type="dxa"/>
          </w:tcPr>
          <w:p w14:paraId="0F750665" w14:textId="77777777" w:rsidR="00AD4AF3" w:rsidRPr="003805E3" w:rsidRDefault="00AD4AF3" w:rsidP="00AD4AF3">
            <w:pPr>
              <w:pStyle w:val="TableText"/>
              <w:jc w:val="center"/>
              <w:rPr>
                <w:noProof/>
              </w:rPr>
            </w:pPr>
          </w:p>
        </w:tc>
        <w:tc>
          <w:tcPr>
            <w:tcW w:w="567" w:type="dxa"/>
          </w:tcPr>
          <w:p w14:paraId="17830FB5" w14:textId="77777777" w:rsidR="00AD4AF3" w:rsidRPr="003805E3" w:rsidRDefault="00AD4AF3" w:rsidP="00AD4AF3">
            <w:pPr>
              <w:pStyle w:val="TableText"/>
              <w:jc w:val="center"/>
              <w:rPr>
                <w:noProof/>
              </w:rPr>
            </w:pPr>
          </w:p>
        </w:tc>
        <w:tc>
          <w:tcPr>
            <w:tcW w:w="567" w:type="dxa"/>
          </w:tcPr>
          <w:p w14:paraId="19FE6361" w14:textId="77777777" w:rsidR="00AD4AF3" w:rsidRPr="003805E3" w:rsidRDefault="00AD4AF3" w:rsidP="00AD4AF3">
            <w:pPr>
              <w:pStyle w:val="TableText"/>
              <w:jc w:val="center"/>
              <w:rPr>
                <w:noProof/>
              </w:rPr>
            </w:pPr>
          </w:p>
        </w:tc>
        <w:tc>
          <w:tcPr>
            <w:tcW w:w="567" w:type="dxa"/>
          </w:tcPr>
          <w:p w14:paraId="4F3744CC" w14:textId="77777777" w:rsidR="00AD4AF3" w:rsidRPr="003805E3" w:rsidRDefault="00AD4AF3" w:rsidP="00AD4AF3">
            <w:pPr>
              <w:pStyle w:val="TableText"/>
              <w:jc w:val="center"/>
              <w:rPr>
                <w:noProof/>
              </w:rPr>
            </w:pPr>
            <w:r>
              <w:rPr>
                <w:noProof/>
              </w:rPr>
              <w:t>■</w:t>
            </w:r>
          </w:p>
        </w:tc>
        <w:tc>
          <w:tcPr>
            <w:tcW w:w="567" w:type="dxa"/>
          </w:tcPr>
          <w:p w14:paraId="165727AB" w14:textId="77777777" w:rsidR="00AD4AF3" w:rsidRPr="003805E3" w:rsidRDefault="00AD4AF3" w:rsidP="00AD4AF3">
            <w:pPr>
              <w:pStyle w:val="TableText"/>
              <w:jc w:val="center"/>
              <w:rPr>
                <w:noProof/>
              </w:rPr>
            </w:pPr>
            <w:r>
              <w:rPr>
                <w:noProof/>
              </w:rPr>
              <w:t>■</w:t>
            </w:r>
          </w:p>
        </w:tc>
        <w:tc>
          <w:tcPr>
            <w:tcW w:w="1276" w:type="dxa"/>
          </w:tcPr>
          <w:p w14:paraId="289991A1" w14:textId="77777777" w:rsidR="00AD4AF3" w:rsidRPr="003805E3" w:rsidRDefault="00AD4AF3" w:rsidP="00AD4AF3">
            <w:pPr>
              <w:pStyle w:val="TableText"/>
              <w:rPr>
                <w:noProof/>
              </w:rPr>
            </w:pPr>
            <w:r>
              <w:rPr>
                <w:noProof/>
              </w:rPr>
              <w:t>Feampa</w:t>
            </w:r>
          </w:p>
        </w:tc>
        <w:tc>
          <w:tcPr>
            <w:tcW w:w="992" w:type="dxa"/>
          </w:tcPr>
          <w:p w14:paraId="2674A468" w14:textId="77777777" w:rsidR="00AD4AF3" w:rsidRPr="003805E3" w:rsidRDefault="00AD4AF3" w:rsidP="00AD4AF3">
            <w:pPr>
              <w:pStyle w:val="TableText"/>
              <w:jc w:val="center"/>
              <w:rPr>
                <w:noProof/>
              </w:rPr>
            </w:pPr>
            <w:r>
              <w:rPr>
                <w:noProof/>
              </w:rPr>
              <w:t>0,75</w:t>
            </w:r>
          </w:p>
        </w:tc>
        <w:tc>
          <w:tcPr>
            <w:tcW w:w="2765" w:type="dxa"/>
          </w:tcPr>
          <w:p w14:paraId="63D3F83B" w14:textId="77777777" w:rsidR="00AD4AF3" w:rsidRPr="003805E3" w:rsidRDefault="00AD4AF3" w:rsidP="00AD4AF3">
            <w:pPr>
              <w:pStyle w:val="TableText"/>
              <w:rPr>
                <w:noProof/>
              </w:rPr>
            </w:pPr>
            <w:r>
              <w:rPr>
                <w:noProof/>
              </w:rPr>
              <w:t xml:space="preserve">Préparation face à la pollution civile et militaire </w:t>
            </w:r>
          </w:p>
        </w:tc>
      </w:tr>
      <w:tr w:rsidR="00FB22F2" w:rsidRPr="003805E3" w14:paraId="466AD44D" w14:textId="77777777" w:rsidTr="00FB22F2">
        <w:tc>
          <w:tcPr>
            <w:tcW w:w="3403" w:type="dxa"/>
          </w:tcPr>
          <w:p w14:paraId="044D55CF" w14:textId="237FCCE3" w:rsidR="00AD4AF3" w:rsidRPr="003805E3" w:rsidRDefault="00AD4AF3" w:rsidP="00AD4AF3">
            <w:pPr>
              <w:pStyle w:val="TableText"/>
              <w:rPr>
                <w:noProof/>
              </w:rPr>
            </w:pPr>
            <w:r>
              <w:rPr>
                <w:noProof/>
              </w:rPr>
              <w:t>RESPONSE</w:t>
            </w:r>
          </w:p>
        </w:tc>
        <w:tc>
          <w:tcPr>
            <w:tcW w:w="1279" w:type="dxa"/>
          </w:tcPr>
          <w:p w14:paraId="25E1A73D" w14:textId="083E8DEC" w:rsidR="00AD4AF3" w:rsidRPr="003805E3" w:rsidRDefault="00AD4AF3" w:rsidP="00AD4AF3">
            <w:pPr>
              <w:pStyle w:val="TableText"/>
              <w:rPr>
                <w:noProof/>
              </w:rPr>
            </w:pPr>
            <w:r>
              <w:rPr>
                <w:noProof/>
              </w:rPr>
              <w:t>10.2023 – 09.2026</w:t>
            </w:r>
          </w:p>
        </w:tc>
        <w:tc>
          <w:tcPr>
            <w:tcW w:w="555" w:type="dxa"/>
          </w:tcPr>
          <w:p w14:paraId="5CD99C1C" w14:textId="03A4F9AB" w:rsidR="00AD4AF3" w:rsidRPr="003805E3" w:rsidRDefault="00AD4AF3" w:rsidP="00AD4AF3">
            <w:pPr>
              <w:pStyle w:val="TableText"/>
              <w:jc w:val="center"/>
              <w:rPr>
                <w:noProof/>
              </w:rPr>
            </w:pPr>
            <w:r>
              <w:rPr>
                <w:noProof/>
              </w:rPr>
              <w:t>■</w:t>
            </w:r>
          </w:p>
        </w:tc>
        <w:tc>
          <w:tcPr>
            <w:tcW w:w="567" w:type="dxa"/>
          </w:tcPr>
          <w:p w14:paraId="2346CCEB" w14:textId="6B0AD3C2" w:rsidR="00AD4AF3" w:rsidRPr="003805E3" w:rsidRDefault="00AD4AF3" w:rsidP="00AD4AF3">
            <w:pPr>
              <w:pStyle w:val="TableText"/>
              <w:jc w:val="center"/>
              <w:rPr>
                <w:noProof/>
              </w:rPr>
            </w:pPr>
            <w:r>
              <w:rPr>
                <w:noProof/>
              </w:rPr>
              <w:t>■</w:t>
            </w:r>
          </w:p>
        </w:tc>
        <w:tc>
          <w:tcPr>
            <w:tcW w:w="567" w:type="dxa"/>
          </w:tcPr>
          <w:p w14:paraId="6E3018AD" w14:textId="196AB3FD" w:rsidR="00AD4AF3" w:rsidRPr="003805E3" w:rsidRDefault="00AD4AF3" w:rsidP="00AD4AF3">
            <w:pPr>
              <w:pStyle w:val="TableText"/>
              <w:jc w:val="center"/>
              <w:rPr>
                <w:noProof/>
              </w:rPr>
            </w:pPr>
            <w:r>
              <w:rPr>
                <w:noProof/>
              </w:rPr>
              <w:t>■</w:t>
            </w:r>
          </w:p>
        </w:tc>
        <w:tc>
          <w:tcPr>
            <w:tcW w:w="567" w:type="dxa"/>
          </w:tcPr>
          <w:p w14:paraId="462FA5B9" w14:textId="77777777" w:rsidR="00AD4AF3" w:rsidRPr="003805E3" w:rsidRDefault="00AD4AF3" w:rsidP="00AD4AF3">
            <w:pPr>
              <w:pStyle w:val="TableText"/>
              <w:jc w:val="center"/>
              <w:rPr>
                <w:noProof/>
              </w:rPr>
            </w:pPr>
          </w:p>
        </w:tc>
        <w:tc>
          <w:tcPr>
            <w:tcW w:w="567" w:type="dxa"/>
          </w:tcPr>
          <w:p w14:paraId="2CF5943B" w14:textId="77777777" w:rsidR="00AD4AF3" w:rsidRPr="003805E3" w:rsidRDefault="00AD4AF3" w:rsidP="00AD4AF3">
            <w:pPr>
              <w:pStyle w:val="TableText"/>
              <w:jc w:val="center"/>
              <w:rPr>
                <w:noProof/>
              </w:rPr>
            </w:pPr>
          </w:p>
        </w:tc>
        <w:tc>
          <w:tcPr>
            <w:tcW w:w="567" w:type="dxa"/>
          </w:tcPr>
          <w:p w14:paraId="64447618" w14:textId="2D87A3CA" w:rsidR="00AD4AF3" w:rsidRPr="003805E3" w:rsidRDefault="00AD4AF3" w:rsidP="00AD4AF3">
            <w:pPr>
              <w:pStyle w:val="TableText"/>
              <w:jc w:val="center"/>
              <w:rPr>
                <w:noProof/>
              </w:rPr>
            </w:pPr>
            <w:r>
              <w:rPr>
                <w:noProof/>
              </w:rPr>
              <w:t>■</w:t>
            </w:r>
          </w:p>
        </w:tc>
        <w:tc>
          <w:tcPr>
            <w:tcW w:w="567" w:type="dxa"/>
          </w:tcPr>
          <w:p w14:paraId="31736EAE" w14:textId="77777777" w:rsidR="00AD4AF3" w:rsidRPr="003805E3" w:rsidRDefault="00AD4AF3" w:rsidP="00AD4AF3">
            <w:pPr>
              <w:pStyle w:val="TableText"/>
              <w:jc w:val="center"/>
              <w:rPr>
                <w:noProof/>
              </w:rPr>
            </w:pPr>
          </w:p>
        </w:tc>
        <w:tc>
          <w:tcPr>
            <w:tcW w:w="567" w:type="dxa"/>
          </w:tcPr>
          <w:p w14:paraId="3469DBA2" w14:textId="77777777" w:rsidR="00AD4AF3" w:rsidRPr="003805E3" w:rsidRDefault="00AD4AF3" w:rsidP="00AD4AF3">
            <w:pPr>
              <w:pStyle w:val="TableText"/>
              <w:jc w:val="center"/>
              <w:rPr>
                <w:noProof/>
              </w:rPr>
            </w:pPr>
          </w:p>
        </w:tc>
        <w:tc>
          <w:tcPr>
            <w:tcW w:w="567" w:type="dxa"/>
          </w:tcPr>
          <w:p w14:paraId="5C1BA832" w14:textId="47A33CAC" w:rsidR="00AD4AF3" w:rsidRPr="003805E3" w:rsidRDefault="00AD4AF3" w:rsidP="00AD4AF3">
            <w:pPr>
              <w:pStyle w:val="TableText"/>
              <w:jc w:val="center"/>
              <w:rPr>
                <w:noProof/>
              </w:rPr>
            </w:pPr>
            <w:r>
              <w:rPr>
                <w:noProof/>
              </w:rPr>
              <w:t>■</w:t>
            </w:r>
          </w:p>
        </w:tc>
        <w:tc>
          <w:tcPr>
            <w:tcW w:w="1276" w:type="dxa"/>
          </w:tcPr>
          <w:p w14:paraId="2C1077E8" w14:textId="5F515D9D" w:rsidR="00AD4AF3" w:rsidRPr="003805E3" w:rsidRDefault="00AD4AF3" w:rsidP="00AD4AF3">
            <w:pPr>
              <w:pStyle w:val="TableText"/>
              <w:rPr>
                <w:noProof/>
              </w:rPr>
            </w:pPr>
            <w:r>
              <w:rPr>
                <w:noProof/>
              </w:rPr>
              <w:t>Feampa</w:t>
            </w:r>
          </w:p>
        </w:tc>
        <w:tc>
          <w:tcPr>
            <w:tcW w:w="992" w:type="dxa"/>
          </w:tcPr>
          <w:p w14:paraId="0ED4CEC9" w14:textId="5EF0BCD8" w:rsidR="00AD4AF3" w:rsidRPr="003805E3" w:rsidRDefault="00AD4AF3" w:rsidP="00AD4AF3">
            <w:pPr>
              <w:pStyle w:val="TableText"/>
              <w:jc w:val="center"/>
              <w:rPr>
                <w:noProof/>
              </w:rPr>
            </w:pPr>
            <w:r>
              <w:rPr>
                <w:noProof/>
              </w:rPr>
              <w:t>0,60</w:t>
            </w:r>
          </w:p>
        </w:tc>
        <w:tc>
          <w:tcPr>
            <w:tcW w:w="2765" w:type="dxa"/>
          </w:tcPr>
          <w:p w14:paraId="150D9DC9" w14:textId="0A35F11C" w:rsidR="00AD4AF3" w:rsidRPr="003805E3" w:rsidRDefault="00AD4AF3" w:rsidP="00AD4AF3">
            <w:pPr>
              <w:pStyle w:val="TableText"/>
              <w:rPr>
                <w:noProof/>
              </w:rPr>
            </w:pPr>
            <w:r>
              <w:rPr>
                <w:noProof/>
              </w:rPr>
              <w:t>Formation et programmes pour la surveillance, l’établissement de rapports, la gestion et l’atténuation de la pollution marine, en mettant l’accent sur la pollution causée par les conflits armés</w:t>
            </w:r>
          </w:p>
        </w:tc>
      </w:tr>
      <w:tr w:rsidR="00FB22F2" w:rsidRPr="003805E3" w14:paraId="4E2BDA22" w14:textId="77777777" w:rsidTr="00FB22F2">
        <w:tc>
          <w:tcPr>
            <w:tcW w:w="3403" w:type="dxa"/>
          </w:tcPr>
          <w:p w14:paraId="12F7986C" w14:textId="77777777" w:rsidR="00AD4AF3" w:rsidRPr="003805E3" w:rsidRDefault="00AD4AF3" w:rsidP="00AD4AF3">
            <w:pPr>
              <w:pStyle w:val="TableText"/>
              <w:rPr>
                <w:noProof/>
              </w:rPr>
            </w:pPr>
            <w:r>
              <w:rPr>
                <w:noProof/>
              </w:rPr>
              <w:t>ANEMONE PLUS</w:t>
            </w:r>
          </w:p>
        </w:tc>
        <w:tc>
          <w:tcPr>
            <w:tcW w:w="1279" w:type="dxa"/>
          </w:tcPr>
          <w:p w14:paraId="3F9F2D5E" w14:textId="77777777" w:rsidR="00AD4AF3" w:rsidRPr="003805E3" w:rsidRDefault="00AD4AF3" w:rsidP="00AD4AF3">
            <w:pPr>
              <w:pStyle w:val="TableText"/>
              <w:rPr>
                <w:noProof/>
              </w:rPr>
            </w:pPr>
            <w:r>
              <w:rPr>
                <w:noProof/>
              </w:rPr>
              <w:t>09.2025 – 03.2028</w:t>
            </w:r>
          </w:p>
        </w:tc>
        <w:tc>
          <w:tcPr>
            <w:tcW w:w="555" w:type="dxa"/>
          </w:tcPr>
          <w:p w14:paraId="589C4996" w14:textId="77777777" w:rsidR="00AD4AF3" w:rsidRPr="003805E3" w:rsidRDefault="00AD4AF3" w:rsidP="00AD4AF3">
            <w:pPr>
              <w:pStyle w:val="TableText"/>
              <w:jc w:val="center"/>
              <w:rPr>
                <w:noProof/>
              </w:rPr>
            </w:pPr>
            <w:r>
              <w:rPr>
                <w:noProof/>
              </w:rPr>
              <w:t>■</w:t>
            </w:r>
          </w:p>
        </w:tc>
        <w:tc>
          <w:tcPr>
            <w:tcW w:w="567" w:type="dxa"/>
          </w:tcPr>
          <w:p w14:paraId="7EBFE28B" w14:textId="77777777" w:rsidR="00AD4AF3" w:rsidRPr="003805E3" w:rsidRDefault="00AD4AF3" w:rsidP="00AD4AF3">
            <w:pPr>
              <w:pStyle w:val="TableText"/>
              <w:jc w:val="center"/>
              <w:rPr>
                <w:noProof/>
              </w:rPr>
            </w:pPr>
          </w:p>
        </w:tc>
        <w:tc>
          <w:tcPr>
            <w:tcW w:w="567" w:type="dxa"/>
          </w:tcPr>
          <w:p w14:paraId="2262F3A5" w14:textId="77777777" w:rsidR="00AD4AF3" w:rsidRPr="003805E3" w:rsidRDefault="00AD4AF3" w:rsidP="00AD4AF3">
            <w:pPr>
              <w:pStyle w:val="TableText"/>
              <w:jc w:val="center"/>
              <w:rPr>
                <w:noProof/>
              </w:rPr>
            </w:pPr>
            <w:r>
              <w:rPr>
                <w:noProof/>
              </w:rPr>
              <w:t>■</w:t>
            </w:r>
          </w:p>
        </w:tc>
        <w:tc>
          <w:tcPr>
            <w:tcW w:w="567" w:type="dxa"/>
          </w:tcPr>
          <w:p w14:paraId="4929D23D" w14:textId="77777777" w:rsidR="00AD4AF3" w:rsidRPr="003805E3" w:rsidRDefault="00AD4AF3" w:rsidP="00AD4AF3">
            <w:pPr>
              <w:pStyle w:val="TableText"/>
              <w:jc w:val="center"/>
              <w:rPr>
                <w:noProof/>
              </w:rPr>
            </w:pPr>
          </w:p>
        </w:tc>
        <w:tc>
          <w:tcPr>
            <w:tcW w:w="567" w:type="dxa"/>
          </w:tcPr>
          <w:p w14:paraId="64734B12" w14:textId="77777777" w:rsidR="00AD4AF3" w:rsidRPr="003805E3" w:rsidRDefault="00AD4AF3" w:rsidP="00AD4AF3">
            <w:pPr>
              <w:pStyle w:val="TableText"/>
              <w:jc w:val="center"/>
              <w:rPr>
                <w:noProof/>
              </w:rPr>
            </w:pPr>
          </w:p>
        </w:tc>
        <w:tc>
          <w:tcPr>
            <w:tcW w:w="567" w:type="dxa"/>
          </w:tcPr>
          <w:p w14:paraId="3613D45F" w14:textId="77777777" w:rsidR="00AD4AF3" w:rsidRPr="003805E3" w:rsidRDefault="00AD4AF3" w:rsidP="00AD4AF3">
            <w:pPr>
              <w:pStyle w:val="TableText"/>
              <w:jc w:val="center"/>
              <w:rPr>
                <w:noProof/>
              </w:rPr>
            </w:pPr>
          </w:p>
        </w:tc>
        <w:tc>
          <w:tcPr>
            <w:tcW w:w="567" w:type="dxa"/>
          </w:tcPr>
          <w:p w14:paraId="31C70A64" w14:textId="77777777" w:rsidR="00AD4AF3" w:rsidRPr="003805E3" w:rsidRDefault="00AD4AF3" w:rsidP="00AD4AF3">
            <w:pPr>
              <w:pStyle w:val="TableText"/>
              <w:jc w:val="center"/>
              <w:rPr>
                <w:noProof/>
              </w:rPr>
            </w:pPr>
          </w:p>
        </w:tc>
        <w:tc>
          <w:tcPr>
            <w:tcW w:w="567" w:type="dxa"/>
          </w:tcPr>
          <w:p w14:paraId="3BE67BEA" w14:textId="77777777" w:rsidR="00AD4AF3" w:rsidRPr="003805E3" w:rsidRDefault="00AD4AF3" w:rsidP="00AD4AF3">
            <w:pPr>
              <w:pStyle w:val="TableText"/>
              <w:jc w:val="center"/>
              <w:rPr>
                <w:noProof/>
              </w:rPr>
            </w:pPr>
            <w:r>
              <w:rPr>
                <w:noProof/>
              </w:rPr>
              <w:t>■</w:t>
            </w:r>
          </w:p>
        </w:tc>
        <w:tc>
          <w:tcPr>
            <w:tcW w:w="567" w:type="dxa"/>
          </w:tcPr>
          <w:p w14:paraId="142C94D4" w14:textId="77777777" w:rsidR="00AD4AF3" w:rsidRPr="003805E3" w:rsidRDefault="00AD4AF3" w:rsidP="00AD4AF3">
            <w:pPr>
              <w:pStyle w:val="TableText"/>
              <w:jc w:val="center"/>
              <w:rPr>
                <w:noProof/>
              </w:rPr>
            </w:pPr>
            <w:r>
              <w:rPr>
                <w:noProof/>
              </w:rPr>
              <w:t>■</w:t>
            </w:r>
          </w:p>
        </w:tc>
        <w:tc>
          <w:tcPr>
            <w:tcW w:w="1276" w:type="dxa"/>
          </w:tcPr>
          <w:p w14:paraId="0D56542C" w14:textId="273B2E8C" w:rsidR="00AD4AF3" w:rsidRPr="003805E3" w:rsidRDefault="00AD4AF3" w:rsidP="00AD4AF3">
            <w:pPr>
              <w:pStyle w:val="TableText"/>
              <w:rPr>
                <w:noProof/>
              </w:rPr>
            </w:pPr>
            <w:r>
              <w:rPr>
                <w:noProof/>
              </w:rPr>
              <w:t>Interreg NEXT BSB</w:t>
            </w:r>
          </w:p>
        </w:tc>
        <w:tc>
          <w:tcPr>
            <w:tcW w:w="992" w:type="dxa"/>
          </w:tcPr>
          <w:p w14:paraId="43E7D694" w14:textId="77777777" w:rsidR="00AD4AF3" w:rsidRPr="003805E3" w:rsidRDefault="00AD4AF3" w:rsidP="00AD4AF3">
            <w:pPr>
              <w:pStyle w:val="TableText"/>
              <w:jc w:val="center"/>
              <w:rPr>
                <w:noProof/>
              </w:rPr>
            </w:pPr>
            <w:r>
              <w:rPr>
                <w:noProof/>
              </w:rPr>
              <w:t>1,48</w:t>
            </w:r>
          </w:p>
        </w:tc>
        <w:tc>
          <w:tcPr>
            <w:tcW w:w="2765" w:type="dxa"/>
          </w:tcPr>
          <w:p w14:paraId="301FC741" w14:textId="62D73A53" w:rsidR="00AD4AF3" w:rsidRPr="003805E3" w:rsidRDefault="00AD4AF3" w:rsidP="00AD4AF3">
            <w:pPr>
              <w:pStyle w:val="TableText"/>
              <w:rPr>
                <w:noProof/>
              </w:rPr>
            </w:pPr>
            <w:r>
              <w:rPr>
                <w:noProof/>
              </w:rPr>
              <w:t>Évaluation de la vulnérabilité de l’écosystème marin de la mer Noire face aux pressions humaines</w:t>
            </w:r>
          </w:p>
        </w:tc>
      </w:tr>
      <w:tr w:rsidR="00FB22F2" w:rsidRPr="003805E3" w14:paraId="37EA99F6" w14:textId="77777777" w:rsidTr="00FB22F2">
        <w:tc>
          <w:tcPr>
            <w:tcW w:w="3403" w:type="dxa"/>
          </w:tcPr>
          <w:p w14:paraId="035C3C2C" w14:textId="77777777" w:rsidR="00AD4AF3" w:rsidRPr="003805E3" w:rsidRDefault="00AD4AF3" w:rsidP="00AD4AF3">
            <w:pPr>
              <w:pStyle w:val="TableText"/>
              <w:rPr>
                <w:noProof/>
              </w:rPr>
            </w:pPr>
            <w:r>
              <w:rPr>
                <w:noProof/>
              </w:rPr>
              <w:t>ALGAEREVIVE</w:t>
            </w:r>
          </w:p>
        </w:tc>
        <w:tc>
          <w:tcPr>
            <w:tcW w:w="1279" w:type="dxa"/>
          </w:tcPr>
          <w:p w14:paraId="047D1418" w14:textId="77777777" w:rsidR="00AD4AF3" w:rsidRPr="003805E3" w:rsidRDefault="00AD4AF3" w:rsidP="00AD4AF3">
            <w:pPr>
              <w:pStyle w:val="TableText"/>
              <w:rPr>
                <w:noProof/>
              </w:rPr>
            </w:pPr>
            <w:r>
              <w:rPr>
                <w:noProof/>
              </w:rPr>
              <w:t>09.2024 – 03.2027</w:t>
            </w:r>
          </w:p>
        </w:tc>
        <w:tc>
          <w:tcPr>
            <w:tcW w:w="555" w:type="dxa"/>
          </w:tcPr>
          <w:p w14:paraId="4D78815C" w14:textId="77777777" w:rsidR="00AD4AF3" w:rsidRPr="003805E3" w:rsidRDefault="00AD4AF3" w:rsidP="00AD4AF3">
            <w:pPr>
              <w:pStyle w:val="TableText"/>
              <w:jc w:val="center"/>
              <w:rPr>
                <w:noProof/>
              </w:rPr>
            </w:pPr>
            <w:r>
              <w:rPr>
                <w:noProof/>
              </w:rPr>
              <w:t>■</w:t>
            </w:r>
          </w:p>
        </w:tc>
        <w:tc>
          <w:tcPr>
            <w:tcW w:w="567" w:type="dxa"/>
          </w:tcPr>
          <w:p w14:paraId="23077972" w14:textId="77777777" w:rsidR="00AD4AF3" w:rsidRPr="003805E3" w:rsidRDefault="00AD4AF3" w:rsidP="00AD4AF3">
            <w:pPr>
              <w:pStyle w:val="TableText"/>
              <w:jc w:val="center"/>
              <w:rPr>
                <w:noProof/>
              </w:rPr>
            </w:pPr>
          </w:p>
        </w:tc>
        <w:tc>
          <w:tcPr>
            <w:tcW w:w="567" w:type="dxa"/>
          </w:tcPr>
          <w:p w14:paraId="70CAC7C7" w14:textId="77777777" w:rsidR="00AD4AF3" w:rsidRPr="003805E3" w:rsidRDefault="00AD4AF3" w:rsidP="00AD4AF3">
            <w:pPr>
              <w:pStyle w:val="TableText"/>
              <w:jc w:val="center"/>
              <w:rPr>
                <w:noProof/>
              </w:rPr>
            </w:pPr>
            <w:r>
              <w:rPr>
                <w:noProof/>
              </w:rPr>
              <w:t>■</w:t>
            </w:r>
          </w:p>
        </w:tc>
        <w:tc>
          <w:tcPr>
            <w:tcW w:w="567" w:type="dxa"/>
          </w:tcPr>
          <w:p w14:paraId="2E5F146E" w14:textId="77777777" w:rsidR="00AD4AF3" w:rsidRPr="003805E3" w:rsidRDefault="00AD4AF3" w:rsidP="00AD4AF3">
            <w:pPr>
              <w:pStyle w:val="TableText"/>
              <w:jc w:val="center"/>
              <w:rPr>
                <w:noProof/>
              </w:rPr>
            </w:pPr>
          </w:p>
        </w:tc>
        <w:tc>
          <w:tcPr>
            <w:tcW w:w="567" w:type="dxa"/>
          </w:tcPr>
          <w:p w14:paraId="109F929C" w14:textId="77777777" w:rsidR="00AD4AF3" w:rsidRPr="003805E3" w:rsidRDefault="00AD4AF3" w:rsidP="00AD4AF3">
            <w:pPr>
              <w:pStyle w:val="TableText"/>
              <w:jc w:val="center"/>
              <w:rPr>
                <w:noProof/>
              </w:rPr>
            </w:pPr>
          </w:p>
        </w:tc>
        <w:tc>
          <w:tcPr>
            <w:tcW w:w="567" w:type="dxa"/>
          </w:tcPr>
          <w:p w14:paraId="54C82B8F" w14:textId="77777777" w:rsidR="00AD4AF3" w:rsidRPr="003805E3" w:rsidRDefault="00AD4AF3" w:rsidP="00AD4AF3">
            <w:pPr>
              <w:pStyle w:val="TableText"/>
              <w:jc w:val="center"/>
              <w:rPr>
                <w:noProof/>
              </w:rPr>
            </w:pPr>
            <w:r>
              <w:rPr>
                <w:noProof/>
              </w:rPr>
              <w:t>■</w:t>
            </w:r>
          </w:p>
        </w:tc>
        <w:tc>
          <w:tcPr>
            <w:tcW w:w="567" w:type="dxa"/>
          </w:tcPr>
          <w:p w14:paraId="1E3BF254" w14:textId="77777777" w:rsidR="00AD4AF3" w:rsidRPr="003805E3" w:rsidRDefault="00AD4AF3" w:rsidP="00AD4AF3">
            <w:pPr>
              <w:pStyle w:val="TableText"/>
              <w:jc w:val="center"/>
              <w:rPr>
                <w:noProof/>
              </w:rPr>
            </w:pPr>
          </w:p>
        </w:tc>
        <w:tc>
          <w:tcPr>
            <w:tcW w:w="567" w:type="dxa"/>
          </w:tcPr>
          <w:p w14:paraId="7CCC5123" w14:textId="77777777" w:rsidR="00AD4AF3" w:rsidRPr="003805E3" w:rsidRDefault="00AD4AF3" w:rsidP="00AD4AF3">
            <w:pPr>
              <w:pStyle w:val="TableText"/>
              <w:jc w:val="center"/>
              <w:rPr>
                <w:noProof/>
              </w:rPr>
            </w:pPr>
          </w:p>
        </w:tc>
        <w:tc>
          <w:tcPr>
            <w:tcW w:w="567" w:type="dxa"/>
          </w:tcPr>
          <w:p w14:paraId="455196A3" w14:textId="77777777" w:rsidR="00AD4AF3" w:rsidRPr="003805E3" w:rsidRDefault="00AD4AF3" w:rsidP="00AD4AF3">
            <w:pPr>
              <w:pStyle w:val="TableText"/>
              <w:jc w:val="center"/>
              <w:rPr>
                <w:noProof/>
              </w:rPr>
            </w:pPr>
            <w:r>
              <w:rPr>
                <w:noProof/>
              </w:rPr>
              <w:t>■</w:t>
            </w:r>
          </w:p>
        </w:tc>
        <w:tc>
          <w:tcPr>
            <w:tcW w:w="1276" w:type="dxa"/>
          </w:tcPr>
          <w:p w14:paraId="660CCCD8" w14:textId="24758681" w:rsidR="00AD4AF3" w:rsidRPr="003805E3" w:rsidRDefault="00AD4AF3" w:rsidP="00AD4AF3">
            <w:pPr>
              <w:pStyle w:val="TableText"/>
              <w:rPr>
                <w:noProof/>
              </w:rPr>
            </w:pPr>
            <w:r>
              <w:rPr>
                <w:noProof/>
              </w:rPr>
              <w:t>Interreg NEXT BSB</w:t>
            </w:r>
          </w:p>
        </w:tc>
        <w:tc>
          <w:tcPr>
            <w:tcW w:w="992" w:type="dxa"/>
          </w:tcPr>
          <w:p w14:paraId="141B6E50" w14:textId="77777777" w:rsidR="00AD4AF3" w:rsidRPr="003805E3" w:rsidRDefault="00AD4AF3" w:rsidP="00AD4AF3">
            <w:pPr>
              <w:pStyle w:val="TableText"/>
              <w:jc w:val="center"/>
              <w:rPr>
                <w:noProof/>
              </w:rPr>
            </w:pPr>
            <w:r>
              <w:rPr>
                <w:noProof/>
              </w:rPr>
              <w:t>1,47</w:t>
            </w:r>
          </w:p>
        </w:tc>
        <w:tc>
          <w:tcPr>
            <w:tcW w:w="2765" w:type="dxa"/>
          </w:tcPr>
          <w:p w14:paraId="7B639F7E" w14:textId="6DAB73BE" w:rsidR="00AD4AF3" w:rsidRPr="003805E3" w:rsidRDefault="00AD4AF3" w:rsidP="00AD4AF3">
            <w:pPr>
              <w:pStyle w:val="TableText"/>
              <w:rPr>
                <w:noProof/>
              </w:rPr>
            </w:pPr>
            <w:r>
              <w:rPr>
                <w:noProof/>
              </w:rPr>
              <w:t>Exploitation du potentiel des algues pour réduire la pollution et favoriser la croissance bleue</w:t>
            </w:r>
          </w:p>
        </w:tc>
      </w:tr>
      <w:tr w:rsidR="00FB22F2" w:rsidRPr="003805E3" w14:paraId="371188AF" w14:textId="77777777" w:rsidTr="00FB22F2">
        <w:tc>
          <w:tcPr>
            <w:tcW w:w="3403" w:type="dxa"/>
          </w:tcPr>
          <w:p w14:paraId="3E214F81" w14:textId="77777777" w:rsidR="00AD4AF3" w:rsidRPr="003805E3" w:rsidRDefault="00AD4AF3" w:rsidP="00AD4AF3">
            <w:pPr>
              <w:pStyle w:val="TableText"/>
              <w:rPr>
                <w:noProof/>
              </w:rPr>
            </w:pPr>
            <w:r>
              <w:rPr>
                <w:noProof/>
              </w:rPr>
              <w:t>AIRQUEST</w:t>
            </w:r>
          </w:p>
        </w:tc>
        <w:tc>
          <w:tcPr>
            <w:tcW w:w="1279" w:type="dxa"/>
          </w:tcPr>
          <w:p w14:paraId="1EF3D93D" w14:textId="77777777" w:rsidR="00AD4AF3" w:rsidRPr="003805E3" w:rsidRDefault="00AD4AF3" w:rsidP="00AD4AF3">
            <w:pPr>
              <w:pStyle w:val="TableText"/>
              <w:rPr>
                <w:noProof/>
              </w:rPr>
            </w:pPr>
            <w:r>
              <w:rPr>
                <w:noProof/>
              </w:rPr>
              <w:t>07.2024 – 07.2026</w:t>
            </w:r>
          </w:p>
        </w:tc>
        <w:tc>
          <w:tcPr>
            <w:tcW w:w="555" w:type="dxa"/>
          </w:tcPr>
          <w:p w14:paraId="0BE1B6AE" w14:textId="77777777" w:rsidR="00AD4AF3" w:rsidRPr="003805E3" w:rsidRDefault="00AD4AF3" w:rsidP="00AD4AF3">
            <w:pPr>
              <w:pStyle w:val="TableText"/>
              <w:jc w:val="center"/>
              <w:rPr>
                <w:noProof/>
              </w:rPr>
            </w:pPr>
            <w:r>
              <w:rPr>
                <w:noProof/>
              </w:rPr>
              <w:t>■</w:t>
            </w:r>
          </w:p>
        </w:tc>
        <w:tc>
          <w:tcPr>
            <w:tcW w:w="567" w:type="dxa"/>
          </w:tcPr>
          <w:p w14:paraId="6D29E98E" w14:textId="77777777" w:rsidR="00AD4AF3" w:rsidRPr="003805E3" w:rsidRDefault="00AD4AF3" w:rsidP="00AD4AF3">
            <w:pPr>
              <w:pStyle w:val="TableText"/>
              <w:jc w:val="center"/>
              <w:rPr>
                <w:noProof/>
              </w:rPr>
            </w:pPr>
          </w:p>
        </w:tc>
        <w:tc>
          <w:tcPr>
            <w:tcW w:w="567" w:type="dxa"/>
          </w:tcPr>
          <w:p w14:paraId="7BF1DD33" w14:textId="77777777" w:rsidR="00AD4AF3" w:rsidRPr="003805E3" w:rsidRDefault="00AD4AF3" w:rsidP="00AD4AF3">
            <w:pPr>
              <w:pStyle w:val="TableText"/>
              <w:jc w:val="center"/>
              <w:rPr>
                <w:noProof/>
              </w:rPr>
            </w:pPr>
            <w:r>
              <w:rPr>
                <w:noProof/>
              </w:rPr>
              <w:t>■</w:t>
            </w:r>
          </w:p>
        </w:tc>
        <w:tc>
          <w:tcPr>
            <w:tcW w:w="567" w:type="dxa"/>
          </w:tcPr>
          <w:p w14:paraId="08BFEE08" w14:textId="77777777" w:rsidR="00AD4AF3" w:rsidRPr="003805E3" w:rsidRDefault="00AD4AF3" w:rsidP="00AD4AF3">
            <w:pPr>
              <w:pStyle w:val="TableText"/>
              <w:jc w:val="center"/>
              <w:rPr>
                <w:noProof/>
              </w:rPr>
            </w:pPr>
          </w:p>
        </w:tc>
        <w:tc>
          <w:tcPr>
            <w:tcW w:w="567" w:type="dxa"/>
          </w:tcPr>
          <w:p w14:paraId="461B702A" w14:textId="77777777" w:rsidR="00AD4AF3" w:rsidRPr="003805E3" w:rsidRDefault="00AD4AF3" w:rsidP="00AD4AF3">
            <w:pPr>
              <w:pStyle w:val="TableText"/>
              <w:jc w:val="center"/>
              <w:rPr>
                <w:noProof/>
              </w:rPr>
            </w:pPr>
          </w:p>
        </w:tc>
        <w:tc>
          <w:tcPr>
            <w:tcW w:w="567" w:type="dxa"/>
          </w:tcPr>
          <w:p w14:paraId="25AACB22" w14:textId="77777777" w:rsidR="00AD4AF3" w:rsidRPr="003805E3" w:rsidRDefault="00AD4AF3" w:rsidP="00AD4AF3">
            <w:pPr>
              <w:pStyle w:val="TableText"/>
              <w:jc w:val="center"/>
              <w:rPr>
                <w:noProof/>
              </w:rPr>
            </w:pPr>
          </w:p>
        </w:tc>
        <w:tc>
          <w:tcPr>
            <w:tcW w:w="567" w:type="dxa"/>
          </w:tcPr>
          <w:p w14:paraId="243FA2F5" w14:textId="77777777" w:rsidR="00AD4AF3" w:rsidRPr="003805E3" w:rsidRDefault="00AD4AF3" w:rsidP="00AD4AF3">
            <w:pPr>
              <w:pStyle w:val="TableText"/>
              <w:jc w:val="center"/>
              <w:rPr>
                <w:noProof/>
              </w:rPr>
            </w:pPr>
          </w:p>
        </w:tc>
        <w:tc>
          <w:tcPr>
            <w:tcW w:w="567" w:type="dxa"/>
          </w:tcPr>
          <w:p w14:paraId="385B4F0C" w14:textId="77777777" w:rsidR="00AD4AF3" w:rsidRPr="003805E3" w:rsidRDefault="00AD4AF3" w:rsidP="00AD4AF3">
            <w:pPr>
              <w:pStyle w:val="TableText"/>
              <w:jc w:val="center"/>
              <w:rPr>
                <w:noProof/>
              </w:rPr>
            </w:pPr>
            <w:r>
              <w:rPr>
                <w:noProof/>
              </w:rPr>
              <w:t>■</w:t>
            </w:r>
          </w:p>
        </w:tc>
        <w:tc>
          <w:tcPr>
            <w:tcW w:w="567" w:type="dxa"/>
          </w:tcPr>
          <w:p w14:paraId="21F4421F" w14:textId="77777777" w:rsidR="00AD4AF3" w:rsidRPr="003805E3" w:rsidRDefault="00AD4AF3" w:rsidP="00AD4AF3">
            <w:pPr>
              <w:pStyle w:val="TableText"/>
              <w:jc w:val="center"/>
              <w:rPr>
                <w:noProof/>
              </w:rPr>
            </w:pPr>
            <w:r>
              <w:rPr>
                <w:noProof/>
              </w:rPr>
              <w:t>■</w:t>
            </w:r>
          </w:p>
        </w:tc>
        <w:tc>
          <w:tcPr>
            <w:tcW w:w="1276" w:type="dxa"/>
          </w:tcPr>
          <w:p w14:paraId="32997308" w14:textId="4BB5CDF1" w:rsidR="00AD4AF3" w:rsidRPr="003805E3" w:rsidRDefault="00AD4AF3" w:rsidP="00AD4AF3">
            <w:pPr>
              <w:pStyle w:val="TableText"/>
              <w:rPr>
                <w:noProof/>
              </w:rPr>
            </w:pPr>
            <w:r>
              <w:rPr>
                <w:noProof/>
              </w:rPr>
              <w:t>Interreg NEXT BSB</w:t>
            </w:r>
          </w:p>
        </w:tc>
        <w:tc>
          <w:tcPr>
            <w:tcW w:w="992" w:type="dxa"/>
          </w:tcPr>
          <w:p w14:paraId="43DED698" w14:textId="77777777" w:rsidR="00AD4AF3" w:rsidRPr="003805E3" w:rsidRDefault="00AD4AF3" w:rsidP="00AD4AF3">
            <w:pPr>
              <w:pStyle w:val="TableText"/>
              <w:jc w:val="center"/>
              <w:rPr>
                <w:noProof/>
              </w:rPr>
            </w:pPr>
            <w:r>
              <w:rPr>
                <w:noProof/>
              </w:rPr>
              <w:t>1,20</w:t>
            </w:r>
          </w:p>
        </w:tc>
        <w:tc>
          <w:tcPr>
            <w:tcW w:w="2765" w:type="dxa"/>
          </w:tcPr>
          <w:p w14:paraId="56DB5325" w14:textId="65842480" w:rsidR="00AD4AF3" w:rsidRPr="003805E3" w:rsidRDefault="00AD4AF3" w:rsidP="00AD4AF3">
            <w:pPr>
              <w:pStyle w:val="TableText"/>
              <w:rPr>
                <w:noProof/>
              </w:rPr>
            </w:pPr>
            <w:r>
              <w:rPr>
                <w:noProof/>
              </w:rPr>
              <w:t>Mobilisation des communautés en faveur de la qualité de l’air</w:t>
            </w:r>
          </w:p>
        </w:tc>
      </w:tr>
      <w:tr w:rsidR="00FB22F2" w:rsidRPr="003805E3" w14:paraId="0338B837" w14:textId="77777777" w:rsidTr="00FB22F2">
        <w:tc>
          <w:tcPr>
            <w:tcW w:w="3403" w:type="dxa"/>
          </w:tcPr>
          <w:p w14:paraId="36B57E09" w14:textId="77777777" w:rsidR="00AD4AF3" w:rsidRPr="003805E3" w:rsidRDefault="00AD4AF3" w:rsidP="00AD4AF3">
            <w:pPr>
              <w:pStyle w:val="TableText"/>
              <w:rPr>
                <w:noProof/>
              </w:rPr>
            </w:pPr>
            <w:r>
              <w:rPr>
                <w:noProof/>
              </w:rPr>
              <w:t>IASON+</w:t>
            </w:r>
          </w:p>
        </w:tc>
        <w:tc>
          <w:tcPr>
            <w:tcW w:w="1279" w:type="dxa"/>
          </w:tcPr>
          <w:p w14:paraId="6BB0FEA7" w14:textId="77777777" w:rsidR="00AD4AF3" w:rsidRPr="003805E3" w:rsidRDefault="00AD4AF3" w:rsidP="00AD4AF3">
            <w:pPr>
              <w:pStyle w:val="TableText"/>
              <w:rPr>
                <w:noProof/>
              </w:rPr>
            </w:pPr>
            <w:r>
              <w:rPr>
                <w:noProof/>
              </w:rPr>
              <w:t>06.2024 – 12.2026</w:t>
            </w:r>
          </w:p>
        </w:tc>
        <w:tc>
          <w:tcPr>
            <w:tcW w:w="555" w:type="dxa"/>
          </w:tcPr>
          <w:p w14:paraId="00262F47" w14:textId="77777777" w:rsidR="00AD4AF3" w:rsidRPr="003805E3" w:rsidRDefault="00AD4AF3" w:rsidP="00AD4AF3">
            <w:pPr>
              <w:pStyle w:val="TableText"/>
              <w:jc w:val="center"/>
              <w:rPr>
                <w:noProof/>
              </w:rPr>
            </w:pPr>
          </w:p>
        </w:tc>
        <w:tc>
          <w:tcPr>
            <w:tcW w:w="567" w:type="dxa"/>
          </w:tcPr>
          <w:p w14:paraId="53F06BC4" w14:textId="77777777" w:rsidR="00AD4AF3" w:rsidRPr="003805E3" w:rsidRDefault="00AD4AF3" w:rsidP="00AD4AF3">
            <w:pPr>
              <w:pStyle w:val="TableText"/>
              <w:jc w:val="center"/>
              <w:rPr>
                <w:noProof/>
              </w:rPr>
            </w:pPr>
            <w:r>
              <w:rPr>
                <w:noProof/>
              </w:rPr>
              <w:t>■</w:t>
            </w:r>
          </w:p>
        </w:tc>
        <w:tc>
          <w:tcPr>
            <w:tcW w:w="567" w:type="dxa"/>
          </w:tcPr>
          <w:p w14:paraId="49632827" w14:textId="77777777" w:rsidR="00AD4AF3" w:rsidRPr="003805E3" w:rsidRDefault="00AD4AF3" w:rsidP="00AD4AF3">
            <w:pPr>
              <w:pStyle w:val="TableText"/>
              <w:jc w:val="center"/>
              <w:rPr>
                <w:noProof/>
              </w:rPr>
            </w:pPr>
            <w:r>
              <w:rPr>
                <w:noProof/>
              </w:rPr>
              <w:t>■</w:t>
            </w:r>
          </w:p>
        </w:tc>
        <w:tc>
          <w:tcPr>
            <w:tcW w:w="567" w:type="dxa"/>
          </w:tcPr>
          <w:p w14:paraId="7C08423F" w14:textId="77777777" w:rsidR="00AD4AF3" w:rsidRPr="003805E3" w:rsidRDefault="00AD4AF3" w:rsidP="00AD4AF3">
            <w:pPr>
              <w:pStyle w:val="TableText"/>
              <w:jc w:val="center"/>
              <w:rPr>
                <w:noProof/>
              </w:rPr>
            </w:pPr>
          </w:p>
        </w:tc>
        <w:tc>
          <w:tcPr>
            <w:tcW w:w="567" w:type="dxa"/>
          </w:tcPr>
          <w:p w14:paraId="63E2622C" w14:textId="77777777" w:rsidR="00AD4AF3" w:rsidRPr="003805E3" w:rsidRDefault="00AD4AF3" w:rsidP="00AD4AF3">
            <w:pPr>
              <w:pStyle w:val="TableText"/>
              <w:jc w:val="center"/>
              <w:rPr>
                <w:noProof/>
              </w:rPr>
            </w:pPr>
          </w:p>
        </w:tc>
        <w:tc>
          <w:tcPr>
            <w:tcW w:w="567" w:type="dxa"/>
          </w:tcPr>
          <w:p w14:paraId="7EDD126A" w14:textId="77777777" w:rsidR="00AD4AF3" w:rsidRPr="003805E3" w:rsidRDefault="00AD4AF3" w:rsidP="00AD4AF3">
            <w:pPr>
              <w:pStyle w:val="TableText"/>
              <w:jc w:val="center"/>
              <w:rPr>
                <w:noProof/>
              </w:rPr>
            </w:pPr>
            <w:r>
              <w:rPr>
                <w:noProof/>
              </w:rPr>
              <w:t>■</w:t>
            </w:r>
          </w:p>
        </w:tc>
        <w:tc>
          <w:tcPr>
            <w:tcW w:w="567" w:type="dxa"/>
          </w:tcPr>
          <w:p w14:paraId="021863F3" w14:textId="77777777" w:rsidR="00AD4AF3" w:rsidRPr="003805E3" w:rsidRDefault="00AD4AF3" w:rsidP="00AD4AF3">
            <w:pPr>
              <w:pStyle w:val="TableText"/>
              <w:jc w:val="center"/>
              <w:rPr>
                <w:noProof/>
              </w:rPr>
            </w:pPr>
          </w:p>
        </w:tc>
        <w:tc>
          <w:tcPr>
            <w:tcW w:w="567" w:type="dxa"/>
          </w:tcPr>
          <w:p w14:paraId="7CBF0311" w14:textId="77777777" w:rsidR="00AD4AF3" w:rsidRPr="003805E3" w:rsidRDefault="00AD4AF3" w:rsidP="00AD4AF3">
            <w:pPr>
              <w:pStyle w:val="TableText"/>
              <w:jc w:val="center"/>
              <w:rPr>
                <w:noProof/>
              </w:rPr>
            </w:pPr>
            <w:r>
              <w:rPr>
                <w:noProof/>
              </w:rPr>
              <w:t>■</w:t>
            </w:r>
          </w:p>
        </w:tc>
        <w:tc>
          <w:tcPr>
            <w:tcW w:w="567" w:type="dxa"/>
          </w:tcPr>
          <w:p w14:paraId="46E5A04F" w14:textId="77777777" w:rsidR="00AD4AF3" w:rsidRPr="003805E3" w:rsidRDefault="00AD4AF3" w:rsidP="00AD4AF3">
            <w:pPr>
              <w:pStyle w:val="TableText"/>
              <w:jc w:val="center"/>
              <w:rPr>
                <w:noProof/>
              </w:rPr>
            </w:pPr>
            <w:r>
              <w:rPr>
                <w:noProof/>
              </w:rPr>
              <w:t>■</w:t>
            </w:r>
          </w:p>
        </w:tc>
        <w:tc>
          <w:tcPr>
            <w:tcW w:w="1276" w:type="dxa"/>
          </w:tcPr>
          <w:p w14:paraId="7243CE4A" w14:textId="18AA708B" w:rsidR="00AD4AF3" w:rsidRPr="003805E3" w:rsidRDefault="00AD4AF3" w:rsidP="00AD4AF3">
            <w:pPr>
              <w:pStyle w:val="TableText"/>
              <w:rPr>
                <w:noProof/>
              </w:rPr>
            </w:pPr>
            <w:r>
              <w:rPr>
                <w:noProof/>
              </w:rPr>
              <w:t>Interreg NEXT BSB</w:t>
            </w:r>
          </w:p>
        </w:tc>
        <w:tc>
          <w:tcPr>
            <w:tcW w:w="992" w:type="dxa"/>
          </w:tcPr>
          <w:p w14:paraId="2E4DD3B0" w14:textId="77777777" w:rsidR="00AD4AF3" w:rsidRPr="003805E3" w:rsidRDefault="00AD4AF3" w:rsidP="00AD4AF3">
            <w:pPr>
              <w:pStyle w:val="TableText"/>
              <w:jc w:val="center"/>
              <w:rPr>
                <w:noProof/>
              </w:rPr>
            </w:pPr>
            <w:r>
              <w:rPr>
                <w:noProof/>
              </w:rPr>
              <w:t>1,40</w:t>
            </w:r>
          </w:p>
        </w:tc>
        <w:tc>
          <w:tcPr>
            <w:tcW w:w="2765" w:type="dxa"/>
          </w:tcPr>
          <w:p w14:paraId="7ABEC281" w14:textId="77777777" w:rsidR="00AD4AF3" w:rsidRPr="003805E3" w:rsidRDefault="00AD4AF3" w:rsidP="00AD4AF3">
            <w:pPr>
              <w:pStyle w:val="TableText"/>
              <w:rPr>
                <w:noProof/>
              </w:rPr>
            </w:pPr>
            <w:r>
              <w:rPr>
                <w:noProof/>
              </w:rPr>
              <w:t xml:space="preserve">Observatoire des espèces exotiques envahissantes et évaluation des incidences du changement climatique et des services écosystémiques </w:t>
            </w:r>
          </w:p>
        </w:tc>
      </w:tr>
      <w:tr w:rsidR="00FB22F2" w:rsidRPr="003805E3" w14:paraId="35BF26DD" w14:textId="77777777" w:rsidTr="00FB22F2">
        <w:tc>
          <w:tcPr>
            <w:tcW w:w="3403" w:type="dxa"/>
          </w:tcPr>
          <w:p w14:paraId="31FFD871" w14:textId="77777777" w:rsidR="00AD4AF3" w:rsidRPr="003805E3" w:rsidRDefault="00AD4AF3" w:rsidP="00AD4AF3">
            <w:pPr>
              <w:pStyle w:val="TableText"/>
              <w:rPr>
                <w:noProof/>
              </w:rPr>
            </w:pPr>
            <w:r>
              <w:rPr>
                <w:noProof/>
              </w:rPr>
              <w:t>BS-SEOS</w:t>
            </w:r>
          </w:p>
        </w:tc>
        <w:tc>
          <w:tcPr>
            <w:tcW w:w="1279" w:type="dxa"/>
          </w:tcPr>
          <w:p w14:paraId="3F1F4550" w14:textId="77777777" w:rsidR="00AD4AF3" w:rsidRPr="003805E3" w:rsidRDefault="00AD4AF3" w:rsidP="00AD4AF3">
            <w:pPr>
              <w:pStyle w:val="TableText"/>
              <w:rPr>
                <w:noProof/>
              </w:rPr>
            </w:pPr>
            <w:r>
              <w:rPr>
                <w:noProof/>
              </w:rPr>
              <w:t>10.2024 – 03.2027</w:t>
            </w:r>
          </w:p>
        </w:tc>
        <w:tc>
          <w:tcPr>
            <w:tcW w:w="555" w:type="dxa"/>
          </w:tcPr>
          <w:p w14:paraId="2DB2EBE0" w14:textId="77777777" w:rsidR="00AD4AF3" w:rsidRPr="003805E3" w:rsidRDefault="00AD4AF3" w:rsidP="00AD4AF3">
            <w:pPr>
              <w:pStyle w:val="TableText"/>
              <w:jc w:val="center"/>
              <w:rPr>
                <w:noProof/>
              </w:rPr>
            </w:pPr>
          </w:p>
        </w:tc>
        <w:tc>
          <w:tcPr>
            <w:tcW w:w="567" w:type="dxa"/>
          </w:tcPr>
          <w:p w14:paraId="440FB3BC" w14:textId="77777777" w:rsidR="00AD4AF3" w:rsidRPr="003805E3" w:rsidRDefault="00AD4AF3" w:rsidP="00AD4AF3">
            <w:pPr>
              <w:pStyle w:val="TableText"/>
              <w:jc w:val="center"/>
              <w:rPr>
                <w:noProof/>
              </w:rPr>
            </w:pPr>
          </w:p>
        </w:tc>
        <w:tc>
          <w:tcPr>
            <w:tcW w:w="567" w:type="dxa"/>
          </w:tcPr>
          <w:p w14:paraId="296F1874" w14:textId="77777777" w:rsidR="00AD4AF3" w:rsidRPr="003805E3" w:rsidRDefault="00AD4AF3" w:rsidP="00AD4AF3">
            <w:pPr>
              <w:pStyle w:val="TableText"/>
              <w:jc w:val="center"/>
              <w:rPr>
                <w:noProof/>
              </w:rPr>
            </w:pPr>
            <w:r>
              <w:rPr>
                <w:noProof/>
              </w:rPr>
              <w:t>■</w:t>
            </w:r>
          </w:p>
        </w:tc>
        <w:tc>
          <w:tcPr>
            <w:tcW w:w="567" w:type="dxa"/>
          </w:tcPr>
          <w:p w14:paraId="2609D5DC" w14:textId="77777777" w:rsidR="00AD4AF3" w:rsidRPr="003805E3" w:rsidRDefault="00AD4AF3" w:rsidP="00AD4AF3">
            <w:pPr>
              <w:pStyle w:val="TableText"/>
              <w:jc w:val="center"/>
              <w:rPr>
                <w:noProof/>
              </w:rPr>
            </w:pPr>
          </w:p>
        </w:tc>
        <w:tc>
          <w:tcPr>
            <w:tcW w:w="567" w:type="dxa"/>
          </w:tcPr>
          <w:p w14:paraId="625E29D8" w14:textId="77777777" w:rsidR="00AD4AF3" w:rsidRPr="003805E3" w:rsidRDefault="00AD4AF3" w:rsidP="00AD4AF3">
            <w:pPr>
              <w:pStyle w:val="TableText"/>
              <w:jc w:val="center"/>
              <w:rPr>
                <w:noProof/>
              </w:rPr>
            </w:pPr>
          </w:p>
        </w:tc>
        <w:tc>
          <w:tcPr>
            <w:tcW w:w="567" w:type="dxa"/>
          </w:tcPr>
          <w:p w14:paraId="517823E7" w14:textId="77777777" w:rsidR="00AD4AF3" w:rsidRPr="003805E3" w:rsidRDefault="00AD4AF3" w:rsidP="00AD4AF3">
            <w:pPr>
              <w:pStyle w:val="TableText"/>
              <w:jc w:val="center"/>
              <w:rPr>
                <w:noProof/>
              </w:rPr>
            </w:pPr>
            <w:r>
              <w:rPr>
                <w:noProof/>
              </w:rPr>
              <w:t>■</w:t>
            </w:r>
          </w:p>
        </w:tc>
        <w:tc>
          <w:tcPr>
            <w:tcW w:w="567" w:type="dxa"/>
          </w:tcPr>
          <w:p w14:paraId="090625FE" w14:textId="77777777" w:rsidR="00AD4AF3" w:rsidRPr="003805E3" w:rsidRDefault="00AD4AF3" w:rsidP="00AD4AF3">
            <w:pPr>
              <w:pStyle w:val="TableText"/>
              <w:jc w:val="center"/>
              <w:rPr>
                <w:noProof/>
              </w:rPr>
            </w:pPr>
          </w:p>
        </w:tc>
        <w:tc>
          <w:tcPr>
            <w:tcW w:w="567" w:type="dxa"/>
          </w:tcPr>
          <w:p w14:paraId="4BEC4947" w14:textId="77777777" w:rsidR="00AD4AF3" w:rsidRPr="003805E3" w:rsidRDefault="00AD4AF3" w:rsidP="00AD4AF3">
            <w:pPr>
              <w:pStyle w:val="TableText"/>
              <w:jc w:val="center"/>
              <w:rPr>
                <w:noProof/>
              </w:rPr>
            </w:pPr>
            <w:r>
              <w:rPr>
                <w:noProof/>
              </w:rPr>
              <w:t>■</w:t>
            </w:r>
          </w:p>
        </w:tc>
        <w:tc>
          <w:tcPr>
            <w:tcW w:w="567" w:type="dxa"/>
          </w:tcPr>
          <w:p w14:paraId="42C417FD" w14:textId="77777777" w:rsidR="00AD4AF3" w:rsidRPr="003805E3" w:rsidRDefault="00AD4AF3" w:rsidP="00AD4AF3">
            <w:pPr>
              <w:pStyle w:val="TableText"/>
              <w:jc w:val="center"/>
              <w:rPr>
                <w:noProof/>
              </w:rPr>
            </w:pPr>
          </w:p>
        </w:tc>
        <w:tc>
          <w:tcPr>
            <w:tcW w:w="1276" w:type="dxa"/>
          </w:tcPr>
          <w:p w14:paraId="77D90DAA" w14:textId="5DAC3DBD" w:rsidR="00AD4AF3" w:rsidRPr="003805E3" w:rsidRDefault="00AD4AF3" w:rsidP="00AD4AF3">
            <w:pPr>
              <w:pStyle w:val="TableText"/>
              <w:rPr>
                <w:noProof/>
              </w:rPr>
            </w:pPr>
            <w:r>
              <w:rPr>
                <w:noProof/>
              </w:rPr>
              <w:t>Interreg NEXT BSB</w:t>
            </w:r>
          </w:p>
        </w:tc>
        <w:tc>
          <w:tcPr>
            <w:tcW w:w="992" w:type="dxa"/>
          </w:tcPr>
          <w:p w14:paraId="5CEE1AE8" w14:textId="77777777" w:rsidR="00AD4AF3" w:rsidRPr="003805E3" w:rsidRDefault="00AD4AF3" w:rsidP="00AD4AF3">
            <w:pPr>
              <w:pStyle w:val="TableText"/>
              <w:jc w:val="center"/>
              <w:rPr>
                <w:noProof/>
              </w:rPr>
            </w:pPr>
            <w:r>
              <w:rPr>
                <w:noProof/>
              </w:rPr>
              <w:t>1,29</w:t>
            </w:r>
          </w:p>
        </w:tc>
        <w:tc>
          <w:tcPr>
            <w:tcW w:w="2765" w:type="dxa"/>
          </w:tcPr>
          <w:p w14:paraId="358B22B4" w14:textId="77777777" w:rsidR="00AD4AF3" w:rsidRPr="003805E3" w:rsidRDefault="00AD4AF3" w:rsidP="00AD4AF3">
            <w:pPr>
              <w:pStyle w:val="TableText"/>
              <w:rPr>
                <w:noProof/>
              </w:rPr>
            </w:pPr>
            <w:r>
              <w:rPr>
                <w:noProof/>
              </w:rPr>
              <w:t>Système intelligent de suivi des résultats environnementaux marins de la mer Noire</w:t>
            </w:r>
          </w:p>
        </w:tc>
      </w:tr>
      <w:tr w:rsidR="00FB22F2" w:rsidRPr="003805E3" w14:paraId="62C87C9E" w14:textId="77777777" w:rsidTr="00FB22F2">
        <w:tc>
          <w:tcPr>
            <w:tcW w:w="3403" w:type="dxa"/>
          </w:tcPr>
          <w:p w14:paraId="0142AD1A" w14:textId="77777777" w:rsidR="00AD4AF3" w:rsidRPr="003805E3" w:rsidRDefault="00AD4AF3" w:rsidP="00AD4AF3">
            <w:pPr>
              <w:pStyle w:val="TableText"/>
              <w:rPr>
                <w:noProof/>
              </w:rPr>
            </w:pPr>
            <w:r>
              <w:rPr>
                <w:noProof/>
              </w:rPr>
              <w:t>LAP-BACK</w:t>
            </w:r>
          </w:p>
        </w:tc>
        <w:tc>
          <w:tcPr>
            <w:tcW w:w="1279" w:type="dxa"/>
          </w:tcPr>
          <w:p w14:paraId="75F7767D" w14:textId="77777777" w:rsidR="00AD4AF3" w:rsidRPr="003805E3" w:rsidRDefault="00AD4AF3" w:rsidP="00AD4AF3">
            <w:pPr>
              <w:pStyle w:val="TableText"/>
              <w:rPr>
                <w:noProof/>
              </w:rPr>
            </w:pPr>
            <w:r>
              <w:rPr>
                <w:noProof/>
              </w:rPr>
              <w:t>09.2024 – 09.2026</w:t>
            </w:r>
          </w:p>
        </w:tc>
        <w:tc>
          <w:tcPr>
            <w:tcW w:w="555" w:type="dxa"/>
          </w:tcPr>
          <w:p w14:paraId="31899485" w14:textId="77777777" w:rsidR="00AD4AF3" w:rsidRPr="003805E3" w:rsidRDefault="00AD4AF3" w:rsidP="00AD4AF3">
            <w:pPr>
              <w:pStyle w:val="TableText"/>
              <w:jc w:val="center"/>
              <w:rPr>
                <w:noProof/>
              </w:rPr>
            </w:pPr>
          </w:p>
        </w:tc>
        <w:tc>
          <w:tcPr>
            <w:tcW w:w="567" w:type="dxa"/>
          </w:tcPr>
          <w:p w14:paraId="0613821E" w14:textId="77777777" w:rsidR="00AD4AF3" w:rsidRPr="003805E3" w:rsidRDefault="00AD4AF3" w:rsidP="00AD4AF3">
            <w:pPr>
              <w:pStyle w:val="TableText"/>
              <w:jc w:val="center"/>
              <w:rPr>
                <w:noProof/>
              </w:rPr>
            </w:pPr>
            <w:r>
              <w:rPr>
                <w:noProof/>
              </w:rPr>
              <w:t>■</w:t>
            </w:r>
          </w:p>
        </w:tc>
        <w:tc>
          <w:tcPr>
            <w:tcW w:w="567" w:type="dxa"/>
          </w:tcPr>
          <w:p w14:paraId="35737D89" w14:textId="77777777" w:rsidR="00AD4AF3" w:rsidRPr="003805E3" w:rsidRDefault="00AD4AF3" w:rsidP="00AD4AF3">
            <w:pPr>
              <w:pStyle w:val="TableText"/>
              <w:jc w:val="center"/>
              <w:rPr>
                <w:noProof/>
              </w:rPr>
            </w:pPr>
          </w:p>
        </w:tc>
        <w:tc>
          <w:tcPr>
            <w:tcW w:w="567" w:type="dxa"/>
          </w:tcPr>
          <w:p w14:paraId="2AA3B2EF" w14:textId="77777777" w:rsidR="00AD4AF3" w:rsidRPr="003805E3" w:rsidRDefault="00AD4AF3" w:rsidP="00AD4AF3">
            <w:pPr>
              <w:pStyle w:val="TableText"/>
              <w:jc w:val="center"/>
              <w:rPr>
                <w:noProof/>
              </w:rPr>
            </w:pPr>
          </w:p>
        </w:tc>
        <w:tc>
          <w:tcPr>
            <w:tcW w:w="567" w:type="dxa"/>
          </w:tcPr>
          <w:p w14:paraId="65143D35" w14:textId="77777777" w:rsidR="00AD4AF3" w:rsidRPr="003805E3" w:rsidRDefault="00AD4AF3" w:rsidP="00AD4AF3">
            <w:pPr>
              <w:pStyle w:val="TableText"/>
              <w:jc w:val="center"/>
              <w:rPr>
                <w:noProof/>
              </w:rPr>
            </w:pPr>
          </w:p>
        </w:tc>
        <w:tc>
          <w:tcPr>
            <w:tcW w:w="567" w:type="dxa"/>
          </w:tcPr>
          <w:p w14:paraId="547D17E8" w14:textId="77777777" w:rsidR="00AD4AF3" w:rsidRPr="003805E3" w:rsidRDefault="00AD4AF3" w:rsidP="00AD4AF3">
            <w:pPr>
              <w:pStyle w:val="TableText"/>
              <w:jc w:val="center"/>
              <w:rPr>
                <w:noProof/>
              </w:rPr>
            </w:pPr>
            <w:r>
              <w:rPr>
                <w:noProof/>
              </w:rPr>
              <w:t>■</w:t>
            </w:r>
          </w:p>
        </w:tc>
        <w:tc>
          <w:tcPr>
            <w:tcW w:w="567" w:type="dxa"/>
          </w:tcPr>
          <w:p w14:paraId="5E0B1092" w14:textId="77777777" w:rsidR="00AD4AF3" w:rsidRPr="003805E3" w:rsidRDefault="00AD4AF3" w:rsidP="00AD4AF3">
            <w:pPr>
              <w:pStyle w:val="TableText"/>
              <w:jc w:val="center"/>
              <w:rPr>
                <w:noProof/>
              </w:rPr>
            </w:pPr>
          </w:p>
        </w:tc>
        <w:tc>
          <w:tcPr>
            <w:tcW w:w="567" w:type="dxa"/>
          </w:tcPr>
          <w:p w14:paraId="6987A374" w14:textId="77777777" w:rsidR="00AD4AF3" w:rsidRPr="003805E3" w:rsidRDefault="00AD4AF3" w:rsidP="00AD4AF3">
            <w:pPr>
              <w:pStyle w:val="TableText"/>
              <w:jc w:val="center"/>
              <w:rPr>
                <w:noProof/>
              </w:rPr>
            </w:pPr>
            <w:r>
              <w:rPr>
                <w:noProof/>
              </w:rPr>
              <w:t>■</w:t>
            </w:r>
          </w:p>
        </w:tc>
        <w:tc>
          <w:tcPr>
            <w:tcW w:w="567" w:type="dxa"/>
          </w:tcPr>
          <w:p w14:paraId="139680FF" w14:textId="77777777" w:rsidR="00AD4AF3" w:rsidRPr="003805E3" w:rsidRDefault="00AD4AF3" w:rsidP="00AD4AF3">
            <w:pPr>
              <w:pStyle w:val="TableText"/>
              <w:jc w:val="center"/>
              <w:rPr>
                <w:noProof/>
              </w:rPr>
            </w:pPr>
            <w:r>
              <w:rPr>
                <w:noProof/>
              </w:rPr>
              <w:t>■</w:t>
            </w:r>
          </w:p>
        </w:tc>
        <w:tc>
          <w:tcPr>
            <w:tcW w:w="1276" w:type="dxa"/>
          </w:tcPr>
          <w:p w14:paraId="0FDF60AD" w14:textId="33C9732C" w:rsidR="00AD4AF3" w:rsidRPr="003805E3" w:rsidRDefault="00AD4AF3" w:rsidP="00AD4AF3">
            <w:pPr>
              <w:pStyle w:val="TableText"/>
              <w:rPr>
                <w:noProof/>
              </w:rPr>
            </w:pPr>
            <w:r>
              <w:rPr>
                <w:noProof/>
              </w:rPr>
              <w:t>Interreg NEXT BSB</w:t>
            </w:r>
          </w:p>
        </w:tc>
        <w:tc>
          <w:tcPr>
            <w:tcW w:w="992" w:type="dxa"/>
          </w:tcPr>
          <w:p w14:paraId="078C7C81" w14:textId="77777777" w:rsidR="00AD4AF3" w:rsidRPr="003805E3" w:rsidRDefault="00AD4AF3" w:rsidP="00AD4AF3">
            <w:pPr>
              <w:pStyle w:val="TableText"/>
              <w:jc w:val="center"/>
              <w:rPr>
                <w:noProof/>
              </w:rPr>
            </w:pPr>
            <w:r>
              <w:rPr>
                <w:noProof/>
              </w:rPr>
              <w:t>1,46</w:t>
            </w:r>
          </w:p>
        </w:tc>
        <w:tc>
          <w:tcPr>
            <w:tcW w:w="2765" w:type="dxa"/>
          </w:tcPr>
          <w:p w14:paraId="3391286C" w14:textId="197932AC" w:rsidR="00AD4AF3" w:rsidRPr="003805E3" w:rsidRDefault="00AD4AF3" w:rsidP="00AD4AF3">
            <w:pPr>
              <w:pStyle w:val="TableText"/>
              <w:rPr>
                <w:noProof/>
              </w:rPr>
            </w:pPr>
            <w:r>
              <w:rPr>
                <w:noProof/>
              </w:rPr>
              <w:t xml:space="preserve">Renforcement des capacités locales d’intervention en matière de changement climatique </w:t>
            </w:r>
          </w:p>
        </w:tc>
      </w:tr>
      <w:tr w:rsidR="00FB22F2" w:rsidRPr="003805E3" w14:paraId="2BA059AD" w14:textId="77777777" w:rsidTr="00FB22F2">
        <w:tc>
          <w:tcPr>
            <w:tcW w:w="3403" w:type="dxa"/>
          </w:tcPr>
          <w:p w14:paraId="40619AE1" w14:textId="77777777" w:rsidR="00AD4AF3" w:rsidRPr="003805E3" w:rsidRDefault="00AD4AF3" w:rsidP="00AD4AF3">
            <w:pPr>
              <w:pStyle w:val="TableText"/>
              <w:rPr>
                <w:noProof/>
              </w:rPr>
            </w:pPr>
            <w:r>
              <w:rPr>
                <w:noProof/>
              </w:rPr>
              <w:t>MACRO-CLEAN</w:t>
            </w:r>
          </w:p>
        </w:tc>
        <w:tc>
          <w:tcPr>
            <w:tcW w:w="1279" w:type="dxa"/>
          </w:tcPr>
          <w:p w14:paraId="7B7F8FA3" w14:textId="77777777" w:rsidR="00AD4AF3" w:rsidRPr="003805E3" w:rsidRDefault="00AD4AF3" w:rsidP="00AD4AF3">
            <w:pPr>
              <w:pStyle w:val="TableText"/>
              <w:rPr>
                <w:noProof/>
              </w:rPr>
            </w:pPr>
            <w:r>
              <w:rPr>
                <w:noProof/>
              </w:rPr>
              <w:t>09.2024 – 03.2027</w:t>
            </w:r>
          </w:p>
        </w:tc>
        <w:tc>
          <w:tcPr>
            <w:tcW w:w="555" w:type="dxa"/>
          </w:tcPr>
          <w:p w14:paraId="67B6619D" w14:textId="77777777" w:rsidR="00AD4AF3" w:rsidRPr="003805E3" w:rsidRDefault="00AD4AF3" w:rsidP="00AD4AF3">
            <w:pPr>
              <w:pStyle w:val="TableText"/>
              <w:jc w:val="center"/>
              <w:rPr>
                <w:noProof/>
              </w:rPr>
            </w:pPr>
            <w:r>
              <w:rPr>
                <w:noProof/>
              </w:rPr>
              <w:t>■</w:t>
            </w:r>
          </w:p>
        </w:tc>
        <w:tc>
          <w:tcPr>
            <w:tcW w:w="567" w:type="dxa"/>
          </w:tcPr>
          <w:p w14:paraId="5ACBB88C" w14:textId="77777777" w:rsidR="00AD4AF3" w:rsidRPr="003805E3" w:rsidRDefault="00AD4AF3" w:rsidP="00AD4AF3">
            <w:pPr>
              <w:pStyle w:val="TableText"/>
              <w:jc w:val="center"/>
              <w:rPr>
                <w:noProof/>
              </w:rPr>
            </w:pPr>
          </w:p>
        </w:tc>
        <w:tc>
          <w:tcPr>
            <w:tcW w:w="567" w:type="dxa"/>
          </w:tcPr>
          <w:p w14:paraId="5473BE02" w14:textId="77777777" w:rsidR="00AD4AF3" w:rsidRPr="003805E3" w:rsidRDefault="00AD4AF3" w:rsidP="00AD4AF3">
            <w:pPr>
              <w:pStyle w:val="TableText"/>
              <w:jc w:val="center"/>
              <w:rPr>
                <w:noProof/>
              </w:rPr>
            </w:pPr>
          </w:p>
        </w:tc>
        <w:tc>
          <w:tcPr>
            <w:tcW w:w="567" w:type="dxa"/>
          </w:tcPr>
          <w:p w14:paraId="774D22D2" w14:textId="77777777" w:rsidR="00AD4AF3" w:rsidRPr="003805E3" w:rsidRDefault="00AD4AF3" w:rsidP="00AD4AF3">
            <w:pPr>
              <w:pStyle w:val="TableText"/>
              <w:jc w:val="center"/>
              <w:rPr>
                <w:noProof/>
              </w:rPr>
            </w:pPr>
          </w:p>
        </w:tc>
        <w:tc>
          <w:tcPr>
            <w:tcW w:w="567" w:type="dxa"/>
          </w:tcPr>
          <w:p w14:paraId="653DD928" w14:textId="77777777" w:rsidR="00AD4AF3" w:rsidRPr="003805E3" w:rsidRDefault="00AD4AF3" w:rsidP="00AD4AF3">
            <w:pPr>
              <w:pStyle w:val="TableText"/>
              <w:jc w:val="center"/>
              <w:rPr>
                <w:noProof/>
              </w:rPr>
            </w:pPr>
          </w:p>
        </w:tc>
        <w:tc>
          <w:tcPr>
            <w:tcW w:w="567" w:type="dxa"/>
          </w:tcPr>
          <w:p w14:paraId="10C0D1F0" w14:textId="77777777" w:rsidR="00AD4AF3" w:rsidRPr="003805E3" w:rsidRDefault="00AD4AF3" w:rsidP="00AD4AF3">
            <w:pPr>
              <w:pStyle w:val="TableText"/>
              <w:jc w:val="center"/>
              <w:rPr>
                <w:noProof/>
              </w:rPr>
            </w:pPr>
            <w:r>
              <w:rPr>
                <w:noProof/>
              </w:rPr>
              <w:t>■</w:t>
            </w:r>
          </w:p>
        </w:tc>
        <w:tc>
          <w:tcPr>
            <w:tcW w:w="567" w:type="dxa"/>
          </w:tcPr>
          <w:p w14:paraId="5042A812" w14:textId="77777777" w:rsidR="00AD4AF3" w:rsidRPr="003805E3" w:rsidRDefault="00AD4AF3" w:rsidP="00AD4AF3">
            <w:pPr>
              <w:pStyle w:val="TableText"/>
              <w:jc w:val="center"/>
              <w:rPr>
                <w:noProof/>
              </w:rPr>
            </w:pPr>
          </w:p>
        </w:tc>
        <w:tc>
          <w:tcPr>
            <w:tcW w:w="567" w:type="dxa"/>
          </w:tcPr>
          <w:p w14:paraId="2836AA1C" w14:textId="77777777" w:rsidR="00AD4AF3" w:rsidRPr="003805E3" w:rsidRDefault="00AD4AF3" w:rsidP="00AD4AF3">
            <w:pPr>
              <w:pStyle w:val="TableText"/>
              <w:jc w:val="center"/>
              <w:rPr>
                <w:noProof/>
              </w:rPr>
            </w:pPr>
            <w:r>
              <w:rPr>
                <w:noProof/>
              </w:rPr>
              <w:t>■</w:t>
            </w:r>
          </w:p>
        </w:tc>
        <w:tc>
          <w:tcPr>
            <w:tcW w:w="567" w:type="dxa"/>
          </w:tcPr>
          <w:p w14:paraId="5428B968" w14:textId="77777777" w:rsidR="00AD4AF3" w:rsidRPr="003805E3" w:rsidRDefault="00AD4AF3" w:rsidP="00AD4AF3">
            <w:pPr>
              <w:pStyle w:val="TableText"/>
              <w:jc w:val="center"/>
              <w:rPr>
                <w:noProof/>
              </w:rPr>
            </w:pPr>
          </w:p>
        </w:tc>
        <w:tc>
          <w:tcPr>
            <w:tcW w:w="1276" w:type="dxa"/>
          </w:tcPr>
          <w:p w14:paraId="395D9E54" w14:textId="52542DF5" w:rsidR="00AD4AF3" w:rsidRPr="003805E3" w:rsidRDefault="00AD4AF3" w:rsidP="00AD4AF3">
            <w:pPr>
              <w:pStyle w:val="TableText"/>
              <w:rPr>
                <w:noProof/>
              </w:rPr>
            </w:pPr>
            <w:r>
              <w:rPr>
                <w:noProof/>
              </w:rPr>
              <w:t>Interreg NEXT BSB</w:t>
            </w:r>
          </w:p>
        </w:tc>
        <w:tc>
          <w:tcPr>
            <w:tcW w:w="992" w:type="dxa"/>
          </w:tcPr>
          <w:p w14:paraId="578FC44C" w14:textId="77777777" w:rsidR="00AD4AF3" w:rsidRPr="003805E3" w:rsidRDefault="00AD4AF3" w:rsidP="00AD4AF3">
            <w:pPr>
              <w:pStyle w:val="TableText"/>
              <w:jc w:val="center"/>
              <w:rPr>
                <w:noProof/>
              </w:rPr>
            </w:pPr>
            <w:r>
              <w:rPr>
                <w:noProof/>
              </w:rPr>
              <w:t>1,51</w:t>
            </w:r>
          </w:p>
        </w:tc>
        <w:tc>
          <w:tcPr>
            <w:tcW w:w="2765" w:type="dxa"/>
          </w:tcPr>
          <w:p w14:paraId="416A71E6" w14:textId="77777777" w:rsidR="00AD4AF3" w:rsidRPr="003805E3" w:rsidRDefault="00AD4AF3" w:rsidP="00AD4AF3">
            <w:pPr>
              <w:pStyle w:val="TableText"/>
              <w:rPr>
                <w:noProof/>
              </w:rPr>
            </w:pPr>
            <w:r>
              <w:rPr>
                <w:noProof/>
              </w:rPr>
              <w:t>Recherche et application pilote de méthodes de nettoyage pour gérer les proliférations de macroalgues</w:t>
            </w:r>
          </w:p>
        </w:tc>
      </w:tr>
      <w:tr w:rsidR="00FB22F2" w:rsidRPr="003805E3" w14:paraId="632DEC71" w14:textId="77777777" w:rsidTr="00FB22F2">
        <w:tc>
          <w:tcPr>
            <w:tcW w:w="3403" w:type="dxa"/>
          </w:tcPr>
          <w:p w14:paraId="419D0283" w14:textId="77777777" w:rsidR="00AD4AF3" w:rsidRPr="003805E3" w:rsidRDefault="00AD4AF3" w:rsidP="00AD4AF3">
            <w:pPr>
              <w:pStyle w:val="TableText"/>
              <w:rPr>
                <w:noProof/>
              </w:rPr>
            </w:pPr>
            <w:r>
              <w:rPr>
                <w:noProof/>
              </w:rPr>
              <w:t>MicroDanger</w:t>
            </w:r>
          </w:p>
        </w:tc>
        <w:tc>
          <w:tcPr>
            <w:tcW w:w="1279" w:type="dxa"/>
          </w:tcPr>
          <w:p w14:paraId="3F762C10" w14:textId="77777777" w:rsidR="00AD4AF3" w:rsidRPr="003805E3" w:rsidRDefault="00AD4AF3" w:rsidP="00AD4AF3">
            <w:pPr>
              <w:pStyle w:val="TableText"/>
              <w:rPr>
                <w:noProof/>
              </w:rPr>
            </w:pPr>
            <w:r>
              <w:rPr>
                <w:noProof/>
              </w:rPr>
              <w:t>12.2025 – 06.2028</w:t>
            </w:r>
          </w:p>
        </w:tc>
        <w:tc>
          <w:tcPr>
            <w:tcW w:w="555" w:type="dxa"/>
          </w:tcPr>
          <w:p w14:paraId="33853ECD" w14:textId="77777777" w:rsidR="00AD4AF3" w:rsidRPr="003805E3" w:rsidRDefault="00AD4AF3" w:rsidP="00AD4AF3">
            <w:pPr>
              <w:pStyle w:val="TableText"/>
              <w:jc w:val="center"/>
              <w:rPr>
                <w:noProof/>
              </w:rPr>
            </w:pPr>
          </w:p>
        </w:tc>
        <w:tc>
          <w:tcPr>
            <w:tcW w:w="567" w:type="dxa"/>
          </w:tcPr>
          <w:p w14:paraId="19C701E9" w14:textId="77777777" w:rsidR="00AD4AF3" w:rsidRPr="003805E3" w:rsidRDefault="00AD4AF3" w:rsidP="00AD4AF3">
            <w:pPr>
              <w:pStyle w:val="TableText"/>
              <w:jc w:val="center"/>
              <w:rPr>
                <w:noProof/>
              </w:rPr>
            </w:pPr>
          </w:p>
        </w:tc>
        <w:tc>
          <w:tcPr>
            <w:tcW w:w="567" w:type="dxa"/>
          </w:tcPr>
          <w:p w14:paraId="02A10D68" w14:textId="77777777" w:rsidR="00AD4AF3" w:rsidRPr="003805E3" w:rsidRDefault="00AD4AF3" w:rsidP="00AD4AF3">
            <w:pPr>
              <w:pStyle w:val="TableText"/>
              <w:jc w:val="center"/>
              <w:rPr>
                <w:noProof/>
              </w:rPr>
            </w:pPr>
            <w:r>
              <w:rPr>
                <w:noProof/>
              </w:rPr>
              <w:t>■</w:t>
            </w:r>
          </w:p>
        </w:tc>
        <w:tc>
          <w:tcPr>
            <w:tcW w:w="567" w:type="dxa"/>
          </w:tcPr>
          <w:p w14:paraId="778C0660" w14:textId="77777777" w:rsidR="00AD4AF3" w:rsidRPr="003805E3" w:rsidRDefault="00AD4AF3" w:rsidP="00AD4AF3">
            <w:pPr>
              <w:pStyle w:val="TableText"/>
              <w:jc w:val="center"/>
              <w:rPr>
                <w:noProof/>
              </w:rPr>
            </w:pPr>
          </w:p>
        </w:tc>
        <w:tc>
          <w:tcPr>
            <w:tcW w:w="567" w:type="dxa"/>
          </w:tcPr>
          <w:p w14:paraId="51DD8889" w14:textId="77777777" w:rsidR="00AD4AF3" w:rsidRPr="003805E3" w:rsidRDefault="00AD4AF3" w:rsidP="00AD4AF3">
            <w:pPr>
              <w:pStyle w:val="TableText"/>
              <w:jc w:val="center"/>
              <w:rPr>
                <w:noProof/>
              </w:rPr>
            </w:pPr>
          </w:p>
        </w:tc>
        <w:tc>
          <w:tcPr>
            <w:tcW w:w="567" w:type="dxa"/>
          </w:tcPr>
          <w:p w14:paraId="3ACBE3AF" w14:textId="77777777" w:rsidR="00AD4AF3" w:rsidRPr="003805E3" w:rsidRDefault="00AD4AF3" w:rsidP="00AD4AF3">
            <w:pPr>
              <w:pStyle w:val="TableText"/>
              <w:jc w:val="center"/>
              <w:rPr>
                <w:noProof/>
              </w:rPr>
            </w:pPr>
            <w:r>
              <w:rPr>
                <w:noProof/>
              </w:rPr>
              <w:t>■</w:t>
            </w:r>
          </w:p>
        </w:tc>
        <w:tc>
          <w:tcPr>
            <w:tcW w:w="567" w:type="dxa"/>
          </w:tcPr>
          <w:p w14:paraId="3AEA8A57" w14:textId="77777777" w:rsidR="00AD4AF3" w:rsidRPr="003805E3" w:rsidRDefault="00AD4AF3" w:rsidP="00AD4AF3">
            <w:pPr>
              <w:pStyle w:val="TableText"/>
              <w:jc w:val="center"/>
              <w:rPr>
                <w:noProof/>
              </w:rPr>
            </w:pPr>
          </w:p>
        </w:tc>
        <w:tc>
          <w:tcPr>
            <w:tcW w:w="567" w:type="dxa"/>
          </w:tcPr>
          <w:p w14:paraId="52C9F64F" w14:textId="77777777" w:rsidR="00AD4AF3" w:rsidRPr="003805E3" w:rsidRDefault="00AD4AF3" w:rsidP="00AD4AF3">
            <w:pPr>
              <w:pStyle w:val="TableText"/>
              <w:jc w:val="center"/>
              <w:rPr>
                <w:noProof/>
              </w:rPr>
            </w:pPr>
            <w:r>
              <w:rPr>
                <w:noProof/>
              </w:rPr>
              <w:t>■</w:t>
            </w:r>
          </w:p>
        </w:tc>
        <w:tc>
          <w:tcPr>
            <w:tcW w:w="567" w:type="dxa"/>
          </w:tcPr>
          <w:p w14:paraId="28FB1236" w14:textId="77777777" w:rsidR="00AD4AF3" w:rsidRPr="003805E3" w:rsidRDefault="00AD4AF3" w:rsidP="00AD4AF3">
            <w:pPr>
              <w:pStyle w:val="TableText"/>
              <w:jc w:val="center"/>
              <w:rPr>
                <w:noProof/>
              </w:rPr>
            </w:pPr>
            <w:r>
              <w:rPr>
                <w:noProof/>
              </w:rPr>
              <w:t>■</w:t>
            </w:r>
          </w:p>
        </w:tc>
        <w:tc>
          <w:tcPr>
            <w:tcW w:w="1276" w:type="dxa"/>
          </w:tcPr>
          <w:p w14:paraId="42F66F78" w14:textId="19E6C253" w:rsidR="00AD4AF3" w:rsidRPr="003805E3" w:rsidRDefault="00AD4AF3" w:rsidP="00AD4AF3">
            <w:pPr>
              <w:pStyle w:val="TableText"/>
              <w:rPr>
                <w:noProof/>
              </w:rPr>
            </w:pPr>
            <w:r>
              <w:rPr>
                <w:noProof/>
              </w:rPr>
              <w:t>Interreg NEXT BSB</w:t>
            </w:r>
          </w:p>
        </w:tc>
        <w:tc>
          <w:tcPr>
            <w:tcW w:w="992" w:type="dxa"/>
          </w:tcPr>
          <w:p w14:paraId="031F1DDF" w14:textId="77777777" w:rsidR="00AD4AF3" w:rsidRPr="003805E3" w:rsidRDefault="00AD4AF3" w:rsidP="00AD4AF3">
            <w:pPr>
              <w:pStyle w:val="TableText"/>
              <w:jc w:val="center"/>
              <w:rPr>
                <w:noProof/>
              </w:rPr>
            </w:pPr>
            <w:r>
              <w:rPr>
                <w:noProof/>
              </w:rPr>
              <w:t>1,45</w:t>
            </w:r>
          </w:p>
        </w:tc>
        <w:tc>
          <w:tcPr>
            <w:tcW w:w="2765" w:type="dxa"/>
          </w:tcPr>
          <w:p w14:paraId="5BC9AE3B" w14:textId="77777777" w:rsidR="00AD4AF3" w:rsidRPr="003805E3" w:rsidRDefault="00AD4AF3" w:rsidP="00AD4AF3">
            <w:pPr>
              <w:pStyle w:val="TableText"/>
              <w:rPr>
                <w:noProof/>
              </w:rPr>
            </w:pPr>
            <w:r>
              <w:rPr>
                <w:noProof/>
              </w:rPr>
              <w:t>Sensibilisation du public à la réduction de la pollution par les microplastiques</w:t>
            </w:r>
          </w:p>
        </w:tc>
      </w:tr>
      <w:tr w:rsidR="00FB22F2" w:rsidRPr="003805E3" w14:paraId="42F8B38E" w14:textId="77777777" w:rsidTr="00FB22F2">
        <w:tc>
          <w:tcPr>
            <w:tcW w:w="3403" w:type="dxa"/>
          </w:tcPr>
          <w:p w14:paraId="73D4A82E" w14:textId="77777777" w:rsidR="00AD4AF3" w:rsidRPr="003805E3" w:rsidRDefault="00AD4AF3" w:rsidP="00AD4AF3">
            <w:pPr>
              <w:pStyle w:val="TableText"/>
              <w:rPr>
                <w:noProof/>
              </w:rPr>
            </w:pPr>
            <w:r>
              <w:rPr>
                <w:noProof/>
              </w:rPr>
              <w:t>HERO</w:t>
            </w:r>
          </w:p>
        </w:tc>
        <w:tc>
          <w:tcPr>
            <w:tcW w:w="1279" w:type="dxa"/>
          </w:tcPr>
          <w:p w14:paraId="4044D396" w14:textId="77777777" w:rsidR="00AD4AF3" w:rsidRPr="003805E3" w:rsidRDefault="00AD4AF3" w:rsidP="00AD4AF3">
            <w:pPr>
              <w:pStyle w:val="TableText"/>
              <w:rPr>
                <w:noProof/>
              </w:rPr>
            </w:pPr>
            <w:r>
              <w:rPr>
                <w:noProof/>
              </w:rPr>
              <w:t>12.2025 – 12.2027</w:t>
            </w:r>
          </w:p>
        </w:tc>
        <w:tc>
          <w:tcPr>
            <w:tcW w:w="555" w:type="dxa"/>
          </w:tcPr>
          <w:p w14:paraId="2B760A78" w14:textId="77777777" w:rsidR="00AD4AF3" w:rsidRPr="003805E3" w:rsidRDefault="00AD4AF3" w:rsidP="00AD4AF3">
            <w:pPr>
              <w:pStyle w:val="TableText"/>
              <w:jc w:val="center"/>
              <w:rPr>
                <w:noProof/>
              </w:rPr>
            </w:pPr>
            <w:r>
              <w:rPr>
                <w:noProof/>
              </w:rPr>
              <w:t>■</w:t>
            </w:r>
          </w:p>
        </w:tc>
        <w:tc>
          <w:tcPr>
            <w:tcW w:w="567" w:type="dxa"/>
          </w:tcPr>
          <w:p w14:paraId="6A7C636D" w14:textId="77777777" w:rsidR="00AD4AF3" w:rsidRPr="003805E3" w:rsidRDefault="00AD4AF3" w:rsidP="00AD4AF3">
            <w:pPr>
              <w:pStyle w:val="TableText"/>
              <w:jc w:val="center"/>
              <w:rPr>
                <w:noProof/>
              </w:rPr>
            </w:pPr>
          </w:p>
        </w:tc>
        <w:tc>
          <w:tcPr>
            <w:tcW w:w="567" w:type="dxa"/>
          </w:tcPr>
          <w:p w14:paraId="40FF3187" w14:textId="77777777" w:rsidR="00AD4AF3" w:rsidRPr="003805E3" w:rsidRDefault="00AD4AF3" w:rsidP="00AD4AF3">
            <w:pPr>
              <w:pStyle w:val="TableText"/>
              <w:jc w:val="center"/>
              <w:rPr>
                <w:noProof/>
              </w:rPr>
            </w:pPr>
          </w:p>
        </w:tc>
        <w:tc>
          <w:tcPr>
            <w:tcW w:w="567" w:type="dxa"/>
          </w:tcPr>
          <w:p w14:paraId="191BD539" w14:textId="77777777" w:rsidR="00AD4AF3" w:rsidRPr="003805E3" w:rsidRDefault="00AD4AF3" w:rsidP="00AD4AF3">
            <w:pPr>
              <w:pStyle w:val="TableText"/>
              <w:jc w:val="center"/>
              <w:rPr>
                <w:noProof/>
              </w:rPr>
            </w:pPr>
          </w:p>
        </w:tc>
        <w:tc>
          <w:tcPr>
            <w:tcW w:w="567" w:type="dxa"/>
          </w:tcPr>
          <w:p w14:paraId="5BCFA2A1" w14:textId="77777777" w:rsidR="00AD4AF3" w:rsidRPr="003805E3" w:rsidRDefault="00AD4AF3" w:rsidP="00AD4AF3">
            <w:pPr>
              <w:pStyle w:val="TableText"/>
              <w:jc w:val="center"/>
              <w:rPr>
                <w:noProof/>
              </w:rPr>
            </w:pPr>
          </w:p>
        </w:tc>
        <w:tc>
          <w:tcPr>
            <w:tcW w:w="567" w:type="dxa"/>
          </w:tcPr>
          <w:p w14:paraId="479ED9CC" w14:textId="77777777" w:rsidR="00AD4AF3" w:rsidRPr="003805E3" w:rsidRDefault="00AD4AF3" w:rsidP="00AD4AF3">
            <w:pPr>
              <w:pStyle w:val="TableText"/>
              <w:jc w:val="center"/>
              <w:rPr>
                <w:noProof/>
              </w:rPr>
            </w:pPr>
            <w:r>
              <w:rPr>
                <w:noProof/>
              </w:rPr>
              <w:t>■</w:t>
            </w:r>
          </w:p>
        </w:tc>
        <w:tc>
          <w:tcPr>
            <w:tcW w:w="567" w:type="dxa"/>
          </w:tcPr>
          <w:p w14:paraId="341642BF" w14:textId="77777777" w:rsidR="00AD4AF3" w:rsidRPr="003805E3" w:rsidRDefault="00AD4AF3" w:rsidP="00AD4AF3">
            <w:pPr>
              <w:pStyle w:val="TableText"/>
              <w:jc w:val="center"/>
              <w:rPr>
                <w:noProof/>
              </w:rPr>
            </w:pPr>
          </w:p>
        </w:tc>
        <w:tc>
          <w:tcPr>
            <w:tcW w:w="567" w:type="dxa"/>
          </w:tcPr>
          <w:p w14:paraId="550B78D8" w14:textId="77777777" w:rsidR="00AD4AF3" w:rsidRPr="003805E3" w:rsidRDefault="00AD4AF3" w:rsidP="00AD4AF3">
            <w:pPr>
              <w:pStyle w:val="TableText"/>
              <w:jc w:val="center"/>
              <w:rPr>
                <w:noProof/>
              </w:rPr>
            </w:pPr>
            <w:r>
              <w:rPr>
                <w:noProof/>
              </w:rPr>
              <w:t>■</w:t>
            </w:r>
          </w:p>
        </w:tc>
        <w:tc>
          <w:tcPr>
            <w:tcW w:w="567" w:type="dxa"/>
          </w:tcPr>
          <w:p w14:paraId="3427E00B" w14:textId="77777777" w:rsidR="00AD4AF3" w:rsidRPr="003805E3" w:rsidRDefault="00AD4AF3" w:rsidP="00AD4AF3">
            <w:pPr>
              <w:pStyle w:val="TableText"/>
              <w:jc w:val="center"/>
              <w:rPr>
                <w:noProof/>
              </w:rPr>
            </w:pPr>
            <w:r>
              <w:rPr>
                <w:noProof/>
              </w:rPr>
              <w:t>■</w:t>
            </w:r>
          </w:p>
        </w:tc>
        <w:tc>
          <w:tcPr>
            <w:tcW w:w="1276" w:type="dxa"/>
          </w:tcPr>
          <w:p w14:paraId="78CADD36" w14:textId="55872AE3" w:rsidR="00AD4AF3" w:rsidRPr="003805E3" w:rsidRDefault="00AD4AF3" w:rsidP="00AD4AF3">
            <w:pPr>
              <w:pStyle w:val="TableText"/>
              <w:rPr>
                <w:noProof/>
              </w:rPr>
            </w:pPr>
            <w:r>
              <w:rPr>
                <w:noProof/>
              </w:rPr>
              <w:t>Interreg NEXT BSB</w:t>
            </w:r>
          </w:p>
        </w:tc>
        <w:tc>
          <w:tcPr>
            <w:tcW w:w="992" w:type="dxa"/>
          </w:tcPr>
          <w:p w14:paraId="19954AF1" w14:textId="77777777" w:rsidR="00AD4AF3" w:rsidRPr="003805E3" w:rsidRDefault="00AD4AF3" w:rsidP="00AD4AF3">
            <w:pPr>
              <w:pStyle w:val="TableText"/>
              <w:jc w:val="center"/>
              <w:rPr>
                <w:noProof/>
              </w:rPr>
            </w:pPr>
            <w:r>
              <w:rPr>
                <w:noProof/>
              </w:rPr>
              <w:t>1,64</w:t>
            </w:r>
          </w:p>
        </w:tc>
        <w:tc>
          <w:tcPr>
            <w:tcW w:w="2765" w:type="dxa"/>
          </w:tcPr>
          <w:p w14:paraId="0F68CFCD" w14:textId="5999A0BD" w:rsidR="00AD4AF3" w:rsidRPr="003805E3" w:rsidRDefault="00AD4AF3" w:rsidP="00AD4AF3">
            <w:pPr>
              <w:pStyle w:val="TableText"/>
              <w:rPr>
                <w:noProof/>
              </w:rPr>
            </w:pPr>
            <w:r>
              <w:rPr>
                <w:noProof/>
              </w:rPr>
              <w:t>Lutte contre les incidences environnementales sur les récifs</w:t>
            </w:r>
          </w:p>
        </w:tc>
      </w:tr>
      <w:tr w:rsidR="00FB22F2" w:rsidRPr="003805E3" w14:paraId="393FE27B" w14:textId="77777777" w:rsidTr="00FB22F2">
        <w:tc>
          <w:tcPr>
            <w:tcW w:w="3403" w:type="dxa"/>
          </w:tcPr>
          <w:p w14:paraId="5A0D1E62" w14:textId="77777777" w:rsidR="00AD4AF3" w:rsidRPr="003805E3" w:rsidRDefault="00AD4AF3" w:rsidP="00AD4AF3">
            <w:pPr>
              <w:pStyle w:val="TableText"/>
              <w:rPr>
                <w:noProof/>
              </w:rPr>
            </w:pPr>
            <w:r>
              <w:rPr>
                <w:noProof/>
              </w:rPr>
              <w:t>AGRIPERMA</w:t>
            </w:r>
          </w:p>
        </w:tc>
        <w:tc>
          <w:tcPr>
            <w:tcW w:w="1279" w:type="dxa"/>
          </w:tcPr>
          <w:p w14:paraId="44538099" w14:textId="77777777" w:rsidR="00AD4AF3" w:rsidRPr="003805E3" w:rsidRDefault="00AD4AF3" w:rsidP="00AD4AF3">
            <w:pPr>
              <w:pStyle w:val="TableText"/>
              <w:rPr>
                <w:noProof/>
              </w:rPr>
            </w:pPr>
            <w:r>
              <w:rPr>
                <w:noProof/>
              </w:rPr>
              <w:t>12.2025 – 06.2027</w:t>
            </w:r>
          </w:p>
        </w:tc>
        <w:tc>
          <w:tcPr>
            <w:tcW w:w="555" w:type="dxa"/>
          </w:tcPr>
          <w:p w14:paraId="5279561B" w14:textId="77777777" w:rsidR="00AD4AF3" w:rsidRPr="003805E3" w:rsidRDefault="00AD4AF3" w:rsidP="00AD4AF3">
            <w:pPr>
              <w:pStyle w:val="TableText"/>
              <w:jc w:val="center"/>
              <w:rPr>
                <w:noProof/>
              </w:rPr>
            </w:pPr>
            <w:r>
              <w:rPr>
                <w:noProof/>
              </w:rPr>
              <w:t>■</w:t>
            </w:r>
          </w:p>
        </w:tc>
        <w:tc>
          <w:tcPr>
            <w:tcW w:w="567" w:type="dxa"/>
          </w:tcPr>
          <w:p w14:paraId="13E93290" w14:textId="77777777" w:rsidR="00AD4AF3" w:rsidRPr="003805E3" w:rsidRDefault="00AD4AF3" w:rsidP="00AD4AF3">
            <w:pPr>
              <w:pStyle w:val="TableText"/>
              <w:jc w:val="center"/>
              <w:rPr>
                <w:noProof/>
              </w:rPr>
            </w:pPr>
          </w:p>
        </w:tc>
        <w:tc>
          <w:tcPr>
            <w:tcW w:w="567" w:type="dxa"/>
          </w:tcPr>
          <w:p w14:paraId="74456F3D" w14:textId="77777777" w:rsidR="00AD4AF3" w:rsidRPr="003805E3" w:rsidRDefault="00AD4AF3" w:rsidP="00AD4AF3">
            <w:pPr>
              <w:pStyle w:val="TableText"/>
              <w:jc w:val="center"/>
              <w:rPr>
                <w:noProof/>
              </w:rPr>
            </w:pPr>
          </w:p>
        </w:tc>
        <w:tc>
          <w:tcPr>
            <w:tcW w:w="567" w:type="dxa"/>
          </w:tcPr>
          <w:p w14:paraId="26C96874" w14:textId="77777777" w:rsidR="00AD4AF3" w:rsidRPr="003805E3" w:rsidRDefault="00AD4AF3" w:rsidP="00AD4AF3">
            <w:pPr>
              <w:pStyle w:val="TableText"/>
              <w:jc w:val="center"/>
              <w:rPr>
                <w:noProof/>
              </w:rPr>
            </w:pPr>
          </w:p>
        </w:tc>
        <w:tc>
          <w:tcPr>
            <w:tcW w:w="567" w:type="dxa"/>
          </w:tcPr>
          <w:p w14:paraId="17B8F632" w14:textId="77777777" w:rsidR="00AD4AF3" w:rsidRPr="003805E3" w:rsidRDefault="00AD4AF3" w:rsidP="00AD4AF3">
            <w:pPr>
              <w:pStyle w:val="TableText"/>
              <w:jc w:val="center"/>
              <w:rPr>
                <w:noProof/>
              </w:rPr>
            </w:pPr>
          </w:p>
        </w:tc>
        <w:tc>
          <w:tcPr>
            <w:tcW w:w="567" w:type="dxa"/>
          </w:tcPr>
          <w:p w14:paraId="2DC99DA7" w14:textId="77777777" w:rsidR="00AD4AF3" w:rsidRPr="003805E3" w:rsidRDefault="00AD4AF3" w:rsidP="00AD4AF3">
            <w:pPr>
              <w:pStyle w:val="TableText"/>
              <w:jc w:val="center"/>
              <w:rPr>
                <w:noProof/>
              </w:rPr>
            </w:pPr>
            <w:r>
              <w:rPr>
                <w:noProof/>
              </w:rPr>
              <w:t>■</w:t>
            </w:r>
          </w:p>
        </w:tc>
        <w:tc>
          <w:tcPr>
            <w:tcW w:w="567" w:type="dxa"/>
          </w:tcPr>
          <w:p w14:paraId="2AB1E011" w14:textId="77777777" w:rsidR="00AD4AF3" w:rsidRPr="003805E3" w:rsidRDefault="00AD4AF3" w:rsidP="00AD4AF3">
            <w:pPr>
              <w:pStyle w:val="TableText"/>
              <w:jc w:val="center"/>
              <w:rPr>
                <w:noProof/>
              </w:rPr>
            </w:pPr>
            <w:r>
              <w:rPr>
                <w:noProof/>
              </w:rPr>
              <w:t>■</w:t>
            </w:r>
          </w:p>
        </w:tc>
        <w:tc>
          <w:tcPr>
            <w:tcW w:w="567" w:type="dxa"/>
          </w:tcPr>
          <w:p w14:paraId="04EDC233" w14:textId="77777777" w:rsidR="00AD4AF3" w:rsidRPr="003805E3" w:rsidRDefault="00AD4AF3" w:rsidP="00AD4AF3">
            <w:pPr>
              <w:pStyle w:val="TableText"/>
              <w:jc w:val="center"/>
              <w:rPr>
                <w:noProof/>
              </w:rPr>
            </w:pPr>
          </w:p>
        </w:tc>
        <w:tc>
          <w:tcPr>
            <w:tcW w:w="567" w:type="dxa"/>
          </w:tcPr>
          <w:p w14:paraId="303FBFB9" w14:textId="77777777" w:rsidR="00AD4AF3" w:rsidRPr="003805E3" w:rsidRDefault="00AD4AF3" w:rsidP="00AD4AF3">
            <w:pPr>
              <w:pStyle w:val="TableText"/>
              <w:jc w:val="center"/>
              <w:rPr>
                <w:noProof/>
              </w:rPr>
            </w:pPr>
            <w:r>
              <w:rPr>
                <w:noProof/>
              </w:rPr>
              <w:t>■</w:t>
            </w:r>
          </w:p>
        </w:tc>
        <w:tc>
          <w:tcPr>
            <w:tcW w:w="1276" w:type="dxa"/>
          </w:tcPr>
          <w:p w14:paraId="18AAE198" w14:textId="706FC70B" w:rsidR="00AD4AF3" w:rsidRPr="003805E3" w:rsidRDefault="00AD4AF3" w:rsidP="00AD4AF3">
            <w:pPr>
              <w:pStyle w:val="TableText"/>
              <w:rPr>
                <w:noProof/>
              </w:rPr>
            </w:pPr>
            <w:r>
              <w:rPr>
                <w:noProof/>
              </w:rPr>
              <w:t>Interreg NEXT BSB</w:t>
            </w:r>
          </w:p>
        </w:tc>
        <w:tc>
          <w:tcPr>
            <w:tcW w:w="992" w:type="dxa"/>
          </w:tcPr>
          <w:p w14:paraId="6E9D3F56" w14:textId="77777777" w:rsidR="00AD4AF3" w:rsidRPr="003805E3" w:rsidRDefault="00AD4AF3" w:rsidP="00AD4AF3">
            <w:pPr>
              <w:pStyle w:val="TableText"/>
              <w:jc w:val="center"/>
              <w:rPr>
                <w:noProof/>
              </w:rPr>
            </w:pPr>
            <w:r>
              <w:rPr>
                <w:noProof/>
              </w:rPr>
              <w:t>0,44</w:t>
            </w:r>
          </w:p>
        </w:tc>
        <w:tc>
          <w:tcPr>
            <w:tcW w:w="2765" w:type="dxa"/>
          </w:tcPr>
          <w:p w14:paraId="2193AC26" w14:textId="77777777" w:rsidR="00AD4AF3" w:rsidRPr="003805E3" w:rsidRDefault="00AD4AF3" w:rsidP="00AD4AF3">
            <w:pPr>
              <w:pStyle w:val="TableText"/>
              <w:rPr>
                <w:noProof/>
              </w:rPr>
            </w:pPr>
            <w:r>
              <w:rPr>
                <w:noProof/>
              </w:rPr>
              <w:t xml:space="preserve">Échange de bonnes pratiques et de connaissances sur l’agriculture régénératrice et la permaculture </w:t>
            </w:r>
          </w:p>
        </w:tc>
      </w:tr>
      <w:tr w:rsidR="00FB22F2" w:rsidRPr="003805E3" w14:paraId="11270BB3" w14:textId="77777777" w:rsidTr="00FB22F2">
        <w:tc>
          <w:tcPr>
            <w:tcW w:w="3403" w:type="dxa"/>
          </w:tcPr>
          <w:p w14:paraId="62E056C2" w14:textId="77777777" w:rsidR="00AD4AF3" w:rsidRPr="003805E3" w:rsidRDefault="00AD4AF3" w:rsidP="00AD4AF3">
            <w:pPr>
              <w:pStyle w:val="TableText"/>
              <w:rPr>
                <w:noProof/>
              </w:rPr>
            </w:pPr>
            <w:r>
              <w:rPr>
                <w:noProof/>
              </w:rPr>
              <w:t>STEP2CleanPlan</w:t>
            </w:r>
          </w:p>
        </w:tc>
        <w:tc>
          <w:tcPr>
            <w:tcW w:w="1279" w:type="dxa"/>
          </w:tcPr>
          <w:p w14:paraId="536D34A8" w14:textId="77777777" w:rsidR="00AD4AF3" w:rsidRPr="003805E3" w:rsidRDefault="00AD4AF3" w:rsidP="00AD4AF3">
            <w:pPr>
              <w:pStyle w:val="TableText"/>
              <w:rPr>
                <w:noProof/>
              </w:rPr>
            </w:pPr>
            <w:r>
              <w:rPr>
                <w:noProof/>
              </w:rPr>
              <w:t>07.2024 – 01.2026</w:t>
            </w:r>
          </w:p>
        </w:tc>
        <w:tc>
          <w:tcPr>
            <w:tcW w:w="555" w:type="dxa"/>
          </w:tcPr>
          <w:p w14:paraId="1F89E541" w14:textId="77777777" w:rsidR="00AD4AF3" w:rsidRPr="003805E3" w:rsidRDefault="00AD4AF3" w:rsidP="00AD4AF3">
            <w:pPr>
              <w:pStyle w:val="TableText"/>
              <w:jc w:val="center"/>
              <w:rPr>
                <w:noProof/>
              </w:rPr>
            </w:pPr>
            <w:r>
              <w:rPr>
                <w:noProof/>
              </w:rPr>
              <w:t>■</w:t>
            </w:r>
          </w:p>
        </w:tc>
        <w:tc>
          <w:tcPr>
            <w:tcW w:w="567" w:type="dxa"/>
          </w:tcPr>
          <w:p w14:paraId="082CA863" w14:textId="77777777" w:rsidR="00AD4AF3" w:rsidRPr="003805E3" w:rsidRDefault="00AD4AF3" w:rsidP="00AD4AF3">
            <w:pPr>
              <w:pStyle w:val="TableText"/>
              <w:jc w:val="center"/>
              <w:rPr>
                <w:noProof/>
              </w:rPr>
            </w:pPr>
            <w:r>
              <w:rPr>
                <w:noProof/>
              </w:rPr>
              <w:t>■</w:t>
            </w:r>
          </w:p>
        </w:tc>
        <w:tc>
          <w:tcPr>
            <w:tcW w:w="567" w:type="dxa"/>
          </w:tcPr>
          <w:p w14:paraId="3444932A" w14:textId="77777777" w:rsidR="00AD4AF3" w:rsidRPr="003805E3" w:rsidRDefault="00AD4AF3" w:rsidP="00AD4AF3">
            <w:pPr>
              <w:pStyle w:val="TableText"/>
              <w:jc w:val="center"/>
              <w:rPr>
                <w:noProof/>
              </w:rPr>
            </w:pPr>
          </w:p>
        </w:tc>
        <w:tc>
          <w:tcPr>
            <w:tcW w:w="567" w:type="dxa"/>
          </w:tcPr>
          <w:p w14:paraId="45CE8AC0" w14:textId="77777777" w:rsidR="00AD4AF3" w:rsidRPr="003805E3" w:rsidRDefault="00AD4AF3" w:rsidP="00AD4AF3">
            <w:pPr>
              <w:pStyle w:val="TableText"/>
              <w:jc w:val="center"/>
              <w:rPr>
                <w:noProof/>
              </w:rPr>
            </w:pPr>
          </w:p>
        </w:tc>
        <w:tc>
          <w:tcPr>
            <w:tcW w:w="567" w:type="dxa"/>
          </w:tcPr>
          <w:p w14:paraId="1FADAF16" w14:textId="77777777" w:rsidR="00AD4AF3" w:rsidRPr="003805E3" w:rsidRDefault="00AD4AF3" w:rsidP="00AD4AF3">
            <w:pPr>
              <w:pStyle w:val="TableText"/>
              <w:jc w:val="center"/>
              <w:rPr>
                <w:noProof/>
              </w:rPr>
            </w:pPr>
          </w:p>
        </w:tc>
        <w:tc>
          <w:tcPr>
            <w:tcW w:w="567" w:type="dxa"/>
          </w:tcPr>
          <w:p w14:paraId="65228F78" w14:textId="77777777" w:rsidR="00AD4AF3" w:rsidRPr="003805E3" w:rsidRDefault="00AD4AF3" w:rsidP="00AD4AF3">
            <w:pPr>
              <w:pStyle w:val="TableText"/>
              <w:jc w:val="center"/>
              <w:rPr>
                <w:noProof/>
              </w:rPr>
            </w:pPr>
          </w:p>
        </w:tc>
        <w:tc>
          <w:tcPr>
            <w:tcW w:w="567" w:type="dxa"/>
          </w:tcPr>
          <w:p w14:paraId="79E6DC6F" w14:textId="77777777" w:rsidR="00AD4AF3" w:rsidRPr="003805E3" w:rsidRDefault="00AD4AF3" w:rsidP="00AD4AF3">
            <w:pPr>
              <w:pStyle w:val="TableText"/>
              <w:jc w:val="center"/>
              <w:rPr>
                <w:noProof/>
              </w:rPr>
            </w:pPr>
          </w:p>
        </w:tc>
        <w:tc>
          <w:tcPr>
            <w:tcW w:w="567" w:type="dxa"/>
          </w:tcPr>
          <w:p w14:paraId="28A39978" w14:textId="77777777" w:rsidR="00AD4AF3" w:rsidRPr="003805E3" w:rsidRDefault="00AD4AF3" w:rsidP="00AD4AF3">
            <w:pPr>
              <w:pStyle w:val="TableText"/>
              <w:jc w:val="center"/>
              <w:rPr>
                <w:noProof/>
              </w:rPr>
            </w:pPr>
            <w:r>
              <w:rPr>
                <w:noProof/>
              </w:rPr>
              <w:t>■</w:t>
            </w:r>
          </w:p>
        </w:tc>
        <w:tc>
          <w:tcPr>
            <w:tcW w:w="567" w:type="dxa"/>
          </w:tcPr>
          <w:p w14:paraId="27434FE9" w14:textId="77777777" w:rsidR="00AD4AF3" w:rsidRPr="003805E3" w:rsidRDefault="00AD4AF3" w:rsidP="00AD4AF3">
            <w:pPr>
              <w:pStyle w:val="TableText"/>
              <w:jc w:val="center"/>
              <w:rPr>
                <w:noProof/>
              </w:rPr>
            </w:pPr>
          </w:p>
        </w:tc>
        <w:tc>
          <w:tcPr>
            <w:tcW w:w="1276" w:type="dxa"/>
          </w:tcPr>
          <w:p w14:paraId="5C5D63C7" w14:textId="0B33E7E9" w:rsidR="00AD4AF3" w:rsidRPr="003805E3" w:rsidRDefault="00AD4AF3" w:rsidP="00AD4AF3">
            <w:pPr>
              <w:pStyle w:val="TableText"/>
              <w:rPr>
                <w:noProof/>
              </w:rPr>
            </w:pPr>
            <w:r>
              <w:rPr>
                <w:noProof/>
              </w:rPr>
              <w:t>Interreg NEXT BSB</w:t>
            </w:r>
          </w:p>
        </w:tc>
        <w:tc>
          <w:tcPr>
            <w:tcW w:w="992" w:type="dxa"/>
          </w:tcPr>
          <w:p w14:paraId="05C9A3BC" w14:textId="77777777" w:rsidR="00AD4AF3" w:rsidRPr="003805E3" w:rsidRDefault="00AD4AF3" w:rsidP="00AD4AF3">
            <w:pPr>
              <w:pStyle w:val="TableText"/>
              <w:jc w:val="center"/>
              <w:rPr>
                <w:noProof/>
              </w:rPr>
            </w:pPr>
            <w:r>
              <w:rPr>
                <w:noProof/>
              </w:rPr>
              <w:t>0,50</w:t>
            </w:r>
          </w:p>
        </w:tc>
        <w:tc>
          <w:tcPr>
            <w:tcW w:w="2765" w:type="dxa"/>
          </w:tcPr>
          <w:p w14:paraId="239B1FFE" w14:textId="77777777" w:rsidR="00AD4AF3" w:rsidRPr="003805E3" w:rsidRDefault="00AD4AF3" w:rsidP="00AD4AF3">
            <w:pPr>
              <w:pStyle w:val="TableText"/>
              <w:rPr>
                <w:noProof/>
              </w:rPr>
            </w:pPr>
            <w:r>
              <w:rPr>
                <w:noProof/>
              </w:rPr>
              <w:t>Planification et suivi de la coopération en matière d’énergie durable et d’actions pour le climat</w:t>
            </w:r>
          </w:p>
        </w:tc>
      </w:tr>
      <w:tr w:rsidR="00FB22F2" w:rsidRPr="003805E3" w14:paraId="7BEECA51" w14:textId="77777777" w:rsidTr="00FB22F2">
        <w:tc>
          <w:tcPr>
            <w:tcW w:w="3403" w:type="dxa"/>
          </w:tcPr>
          <w:p w14:paraId="21F87CE3" w14:textId="77777777" w:rsidR="00AD4AF3" w:rsidRPr="003805E3" w:rsidRDefault="00AD4AF3" w:rsidP="00AD4AF3">
            <w:pPr>
              <w:pStyle w:val="TableText"/>
              <w:rPr>
                <w:noProof/>
              </w:rPr>
            </w:pPr>
            <w:r>
              <w:rPr>
                <w:noProof/>
              </w:rPr>
              <w:t>SG4Y-CLIMATE</w:t>
            </w:r>
          </w:p>
        </w:tc>
        <w:tc>
          <w:tcPr>
            <w:tcW w:w="1279" w:type="dxa"/>
          </w:tcPr>
          <w:p w14:paraId="54DBE668" w14:textId="77777777" w:rsidR="00AD4AF3" w:rsidRPr="003805E3" w:rsidRDefault="00AD4AF3" w:rsidP="00AD4AF3">
            <w:pPr>
              <w:pStyle w:val="TableText"/>
              <w:rPr>
                <w:noProof/>
              </w:rPr>
            </w:pPr>
            <w:r>
              <w:rPr>
                <w:noProof/>
              </w:rPr>
              <w:t>11.2025 – 05.2027</w:t>
            </w:r>
          </w:p>
        </w:tc>
        <w:tc>
          <w:tcPr>
            <w:tcW w:w="555" w:type="dxa"/>
          </w:tcPr>
          <w:p w14:paraId="13230ABC" w14:textId="77777777" w:rsidR="00AD4AF3" w:rsidRPr="003805E3" w:rsidRDefault="00AD4AF3" w:rsidP="00AD4AF3">
            <w:pPr>
              <w:pStyle w:val="TableText"/>
              <w:jc w:val="center"/>
              <w:rPr>
                <w:noProof/>
              </w:rPr>
            </w:pPr>
          </w:p>
        </w:tc>
        <w:tc>
          <w:tcPr>
            <w:tcW w:w="567" w:type="dxa"/>
          </w:tcPr>
          <w:p w14:paraId="425F97CD" w14:textId="77777777" w:rsidR="00AD4AF3" w:rsidRPr="003805E3" w:rsidRDefault="00AD4AF3" w:rsidP="00AD4AF3">
            <w:pPr>
              <w:pStyle w:val="TableText"/>
              <w:jc w:val="center"/>
              <w:rPr>
                <w:noProof/>
              </w:rPr>
            </w:pPr>
          </w:p>
        </w:tc>
        <w:tc>
          <w:tcPr>
            <w:tcW w:w="567" w:type="dxa"/>
          </w:tcPr>
          <w:p w14:paraId="684F7494" w14:textId="77777777" w:rsidR="00AD4AF3" w:rsidRPr="003805E3" w:rsidRDefault="00AD4AF3" w:rsidP="00AD4AF3">
            <w:pPr>
              <w:pStyle w:val="TableText"/>
              <w:jc w:val="center"/>
              <w:rPr>
                <w:noProof/>
              </w:rPr>
            </w:pPr>
            <w:r>
              <w:rPr>
                <w:noProof/>
              </w:rPr>
              <w:t>■</w:t>
            </w:r>
          </w:p>
        </w:tc>
        <w:tc>
          <w:tcPr>
            <w:tcW w:w="567" w:type="dxa"/>
          </w:tcPr>
          <w:p w14:paraId="4B383B30" w14:textId="77777777" w:rsidR="00AD4AF3" w:rsidRPr="003805E3" w:rsidRDefault="00AD4AF3" w:rsidP="00AD4AF3">
            <w:pPr>
              <w:pStyle w:val="TableText"/>
              <w:jc w:val="center"/>
              <w:rPr>
                <w:noProof/>
              </w:rPr>
            </w:pPr>
          </w:p>
        </w:tc>
        <w:tc>
          <w:tcPr>
            <w:tcW w:w="567" w:type="dxa"/>
          </w:tcPr>
          <w:p w14:paraId="47439015" w14:textId="77777777" w:rsidR="00AD4AF3" w:rsidRPr="003805E3" w:rsidRDefault="00AD4AF3" w:rsidP="00AD4AF3">
            <w:pPr>
              <w:pStyle w:val="TableText"/>
              <w:jc w:val="center"/>
              <w:rPr>
                <w:noProof/>
              </w:rPr>
            </w:pPr>
          </w:p>
        </w:tc>
        <w:tc>
          <w:tcPr>
            <w:tcW w:w="567" w:type="dxa"/>
          </w:tcPr>
          <w:p w14:paraId="05FB41D6" w14:textId="77777777" w:rsidR="00AD4AF3" w:rsidRPr="003805E3" w:rsidRDefault="00AD4AF3" w:rsidP="00AD4AF3">
            <w:pPr>
              <w:pStyle w:val="TableText"/>
              <w:jc w:val="center"/>
              <w:rPr>
                <w:noProof/>
              </w:rPr>
            </w:pPr>
          </w:p>
        </w:tc>
        <w:tc>
          <w:tcPr>
            <w:tcW w:w="567" w:type="dxa"/>
          </w:tcPr>
          <w:p w14:paraId="131957CE" w14:textId="77777777" w:rsidR="00AD4AF3" w:rsidRPr="003805E3" w:rsidRDefault="00AD4AF3" w:rsidP="00AD4AF3">
            <w:pPr>
              <w:pStyle w:val="TableText"/>
              <w:jc w:val="center"/>
              <w:rPr>
                <w:noProof/>
              </w:rPr>
            </w:pPr>
            <w:r>
              <w:rPr>
                <w:noProof/>
              </w:rPr>
              <w:t>■</w:t>
            </w:r>
          </w:p>
        </w:tc>
        <w:tc>
          <w:tcPr>
            <w:tcW w:w="567" w:type="dxa"/>
          </w:tcPr>
          <w:p w14:paraId="4E4A41FE" w14:textId="77777777" w:rsidR="00AD4AF3" w:rsidRPr="003805E3" w:rsidRDefault="00AD4AF3" w:rsidP="00AD4AF3">
            <w:pPr>
              <w:pStyle w:val="TableText"/>
              <w:jc w:val="center"/>
              <w:rPr>
                <w:noProof/>
              </w:rPr>
            </w:pPr>
            <w:r>
              <w:rPr>
                <w:noProof/>
              </w:rPr>
              <w:t>■</w:t>
            </w:r>
          </w:p>
        </w:tc>
        <w:tc>
          <w:tcPr>
            <w:tcW w:w="567" w:type="dxa"/>
          </w:tcPr>
          <w:p w14:paraId="11D2840B" w14:textId="77777777" w:rsidR="00AD4AF3" w:rsidRPr="003805E3" w:rsidRDefault="00AD4AF3" w:rsidP="00AD4AF3">
            <w:pPr>
              <w:pStyle w:val="TableText"/>
              <w:jc w:val="center"/>
              <w:rPr>
                <w:noProof/>
              </w:rPr>
            </w:pPr>
          </w:p>
        </w:tc>
        <w:tc>
          <w:tcPr>
            <w:tcW w:w="1276" w:type="dxa"/>
          </w:tcPr>
          <w:p w14:paraId="54205A82" w14:textId="28F95A58" w:rsidR="00AD4AF3" w:rsidRPr="003805E3" w:rsidRDefault="00AD4AF3" w:rsidP="00AD4AF3">
            <w:pPr>
              <w:pStyle w:val="TableText"/>
              <w:rPr>
                <w:noProof/>
              </w:rPr>
            </w:pPr>
            <w:r>
              <w:rPr>
                <w:noProof/>
              </w:rPr>
              <w:t>Interreg NEXT BSB</w:t>
            </w:r>
          </w:p>
        </w:tc>
        <w:tc>
          <w:tcPr>
            <w:tcW w:w="992" w:type="dxa"/>
          </w:tcPr>
          <w:p w14:paraId="783D1620" w14:textId="77777777" w:rsidR="00AD4AF3" w:rsidRPr="003805E3" w:rsidRDefault="00AD4AF3" w:rsidP="00AD4AF3">
            <w:pPr>
              <w:pStyle w:val="TableText"/>
              <w:jc w:val="center"/>
              <w:rPr>
                <w:noProof/>
              </w:rPr>
            </w:pPr>
            <w:r>
              <w:rPr>
                <w:noProof/>
              </w:rPr>
              <w:t>0,55</w:t>
            </w:r>
          </w:p>
        </w:tc>
        <w:tc>
          <w:tcPr>
            <w:tcW w:w="2765" w:type="dxa"/>
          </w:tcPr>
          <w:p w14:paraId="5A86AEDA" w14:textId="77777777" w:rsidR="00AD4AF3" w:rsidRPr="003805E3" w:rsidRDefault="00AD4AF3" w:rsidP="00AD4AF3">
            <w:pPr>
              <w:pStyle w:val="TableText"/>
              <w:rPr>
                <w:noProof/>
              </w:rPr>
            </w:pPr>
            <w:r>
              <w:rPr>
                <w:noProof/>
              </w:rPr>
              <w:t>Participation des jeunes à l’action pour le climat</w:t>
            </w:r>
          </w:p>
        </w:tc>
      </w:tr>
      <w:tr w:rsidR="00FB22F2" w:rsidRPr="003805E3" w14:paraId="79C518F1" w14:textId="77777777" w:rsidTr="00FB22F2">
        <w:tc>
          <w:tcPr>
            <w:tcW w:w="3403" w:type="dxa"/>
            <w:shd w:val="clear" w:color="auto" w:fill="FFFFFF" w:themeFill="background1"/>
          </w:tcPr>
          <w:p w14:paraId="12D47F90" w14:textId="77777777" w:rsidR="00AD4AF3" w:rsidRPr="003805E3" w:rsidRDefault="00AD4AF3" w:rsidP="00AD4AF3">
            <w:pPr>
              <w:pStyle w:val="TableText"/>
              <w:rPr>
                <w:noProof/>
              </w:rPr>
            </w:pPr>
            <w:r>
              <w:rPr>
                <w:noProof/>
              </w:rPr>
              <w:t>NAT-RES</w:t>
            </w:r>
          </w:p>
        </w:tc>
        <w:tc>
          <w:tcPr>
            <w:tcW w:w="1279" w:type="dxa"/>
          </w:tcPr>
          <w:p w14:paraId="7D2E6DC8" w14:textId="77777777" w:rsidR="00AD4AF3" w:rsidRPr="003805E3" w:rsidRDefault="00AD4AF3" w:rsidP="00AD4AF3">
            <w:pPr>
              <w:pStyle w:val="TableText"/>
              <w:rPr>
                <w:noProof/>
              </w:rPr>
            </w:pPr>
            <w:r>
              <w:rPr>
                <w:noProof/>
              </w:rPr>
              <w:t>11.2025 – 11.2027</w:t>
            </w:r>
          </w:p>
        </w:tc>
        <w:tc>
          <w:tcPr>
            <w:tcW w:w="555" w:type="dxa"/>
          </w:tcPr>
          <w:p w14:paraId="793693E1" w14:textId="77777777" w:rsidR="00AD4AF3" w:rsidRPr="003805E3" w:rsidRDefault="00AD4AF3" w:rsidP="00AD4AF3">
            <w:pPr>
              <w:pStyle w:val="TableText"/>
              <w:jc w:val="center"/>
              <w:rPr>
                <w:noProof/>
              </w:rPr>
            </w:pPr>
          </w:p>
        </w:tc>
        <w:tc>
          <w:tcPr>
            <w:tcW w:w="567" w:type="dxa"/>
          </w:tcPr>
          <w:p w14:paraId="3DD41341" w14:textId="77777777" w:rsidR="00AD4AF3" w:rsidRPr="003805E3" w:rsidRDefault="00AD4AF3" w:rsidP="00AD4AF3">
            <w:pPr>
              <w:pStyle w:val="TableText"/>
              <w:jc w:val="center"/>
              <w:rPr>
                <w:noProof/>
              </w:rPr>
            </w:pPr>
            <w:r>
              <w:rPr>
                <w:noProof/>
              </w:rPr>
              <w:t>■</w:t>
            </w:r>
          </w:p>
        </w:tc>
        <w:tc>
          <w:tcPr>
            <w:tcW w:w="567" w:type="dxa"/>
          </w:tcPr>
          <w:p w14:paraId="0BF3697A" w14:textId="77777777" w:rsidR="00AD4AF3" w:rsidRPr="003805E3" w:rsidRDefault="00AD4AF3" w:rsidP="00AD4AF3">
            <w:pPr>
              <w:pStyle w:val="TableText"/>
              <w:jc w:val="center"/>
              <w:rPr>
                <w:noProof/>
              </w:rPr>
            </w:pPr>
          </w:p>
        </w:tc>
        <w:tc>
          <w:tcPr>
            <w:tcW w:w="567" w:type="dxa"/>
          </w:tcPr>
          <w:p w14:paraId="14221E07" w14:textId="77777777" w:rsidR="00AD4AF3" w:rsidRPr="003805E3" w:rsidRDefault="00AD4AF3" w:rsidP="00AD4AF3">
            <w:pPr>
              <w:pStyle w:val="TableText"/>
              <w:jc w:val="center"/>
              <w:rPr>
                <w:noProof/>
              </w:rPr>
            </w:pPr>
          </w:p>
        </w:tc>
        <w:tc>
          <w:tcPr>
            <w:tcW w:w="567" w:type="dxa"/>
          </w:tcPr>
          <w:p w14:paraId="7BE6A890" w14:textId="77777777" w:rsidR="00AD4AF3" w:rsidRPr="003805E3" w:rsidRDefault="00AD4AF3" w:rsidP="00AD4AF3">
            <w:pPr>
              <w:pStyle w:val="TableText"/>
              <w:jc w:val="center"/>
              <w:rPr>
                <w:noProof/>
              </w:rPr>
            </w:pPr>
          </w:p>
        </w:tc>
        <w:tc>
          <w:tcPr>
            <w:tcW w:w="567" w:type="dxa"/>
          </w:tcPr>
          <w:p w14:paraId="5ADD9B17" w14:textId="77777777" w:rsidR="00AD4AF3" w:rsidRPr="003805E3" w:rsidRDefault="00AD4AF3" w:rsidP="00AD4AF3">
            <w:pPr>
              <w:pStyle w:val="TableText"/>
              <w:jc w:val="center"/>
              <w:rPr>
                <w:noProof/>
              </w:rPr>
            </w:pPr>
          </w:p>
        </w:tc>
        <w:tc>
          <w:tcPr>
            <w:tcW w:w="567" w:type="dxa"/>
          </w:tcPr>
          <w:p w14:paraId="0293A816" w14:textId="77777777" w:rsidR="00AD4AF3" w:rsidRPr="003805E3" w:rsidRDefault="00AD4AF3" w:rsidP="00AD4AF3">
            <w:pPr>
              <w:pStyle w:val="TableText"/>
              <w:jc w:val="center"/>
              <w:rPr>
                <w:noProof/>
              </w:rPr>
            </w:pPr>
          </w:p>
        </w:tc>
        <w:tc>
          <w:tcPr>
            <w:tcW w:w="567" w:type="dxa"/>
          </w:tcPr>
          <w:p w14:paraId="75A40897" w14:textId="77777777" w:rsidR="00AD4AF3" w:rsidRPr="003805E3" w:rsidRDefault="00AD4AF3" w:rsidP="00AD4AF3">
            <w:pPr>
              <w:pStyle w:val="TableText"/>
              <w:jc w:val="center"/>
              <w:rPr>
                <w:noProof/>
              </w:rPr>
            </w:pPr>
            <w:r>
              <w:rPr>
                <w:noProof/>
              </w:rPr>
              <w:t>■</w:t>
            </w:r>
          </w:p>
        </w:tc>
        <w:tc>
          <w:tcPr>
            <w:tcW w:w="567" w:type="dxa"/>
          </w:tcPr>
          <w:p w14:paraId="30EA7654" w14:textId="77777777" w:rsidR="00AD4AF3" w:rsidRPr="003805E3" w:rsidRDefault="00AD4AF3" w:rsidP="00AD4AF3">
            <w:pPr>
              <w:pStyle w:val="TableText"/>
              <w:jc w:val="center"/>
              <w:rPr>
                <w:noProof/>
              </w:rPr>
            </w:pPr>
            <w:r>
              <w:rPr>
                <w:noProof/>
              </w:rPr>
              <w:t>■</w:t>
            </w:r>
          </w:p>
        </w:tc>
        <w:tc>
          <w:tcPr>
            <w:tcW w:w="1276" w:type="dxa"/>
          </w:tcPr>
          <w:p w14:paraId="2DCA4D75" w14:textId="010BBCC9" w:rsidR="00AD4AF3" w:rsidRPr="003805E3" w:rsidRDefault="00AD4AF3" w:rsidP="00AD4AF3">
            <w:pPr>
              <w:pStyle w:val="TableText"/>
              <w:rPr>
                <w:noProof/>
              </w:rPr>
            </w:pPr>
            <w:r>
              <w:rPr>
                <w:noProof/>
              </w:rPr>
              <w:t>Interreg NEXT BSB</w:t>
            </w:r>
          </w:p>
        </w:tc>
        <w:tc>
          <w:tcPr>
            <w:tcW w:w="992" w:type="dxa"/>
          </w:tcPr>
          <w:p w14:paraId="450A4C48" w14:textId="77777777" w:rsidR="00AD4AF3" w:rsidRPr="003805E3" w:rsidRDefault="00AD4AF3" w:rsidP="00AD4AF3">
            <w:pPr>
              <w:pStyle w:val="TableText"/>
              <w:jc w:val="center"/>
              <w:rPr>
                <w:noProof/>
              </w:rPr>
            </w:pPr>
            <w:r>
              <w:rPr>
                <w:noProof/>
              </w:rPr>
              <w:t>1,64</w:t>
            </w:r>
          </w:p>
        </w:tc>
        <w:tc>
          <w:tcPr>
            <w:tcW w:w="2765" w:type="dxa"/>
          </w:tcPr>
          <w:p w14:paraId="371D4AA3" w14:textId="2034D96A" w:rsidR="00AD4AF3" w:rsidRPr="003805E3" w:rsidRDefault="00AD4AF3" w:rsidP="00AD4AF3">
            <w:pPr>
              <w:pStyle w:val="TableText"/>
              <w:rPr>
                <w:noProof/>
              </w:rPr>
            </w:pPr>
            <w:r>
              <w:rPr>
                <w:noProof/>
              </w:rPr>
              <w:t>Technologies avancées permettant d’anticiper et d’atténuer les catastrophes industrielles et technologiques déclenchées par des risques naturels</w:t>
            </w:r>
          </w:p>
        </w:tc>
      </w:tr>
      <w:tr w:rsidR="00FB22F2" w:rsidRPr="003805E3" w14:paraId="592387B8" w14:textId="77777777" w:rsidTr="00FB22F2">
        <w:tc>
          <w:tcPr>
            <w:tcW w:w="3403" w:type="dxa"/>
            <w:shd w:val="clear" w:color="auto" w:fill="FFFFFF" w:themeFill="background1"/>
          </w:tcPr>
          <w:p w14:paraId="195ACB91" w14:textId="77777777" w:rsidR="00AD4AF3" w:rsidRPr="003805E3" w:rsidRDefault="00AD4AF3" w:rsidP="00AD4AF3">
            <w:pPr>
              <w:pStyle w:val="TableText"/>
              <w:rPr>
                <w:noProof/>
              </w:rPr>
            </w:pPr>
            <w:r>
              <w:rPr>
                <w:noProof/>
              </w:rPr>
              <w:t>BSB-BSUAND</w:t>
            </w:r>
          </w:p>
        </w:tc>
        <w:tc>
          <w:tcPr>
            <w:tcW w:w="1279" w:type="dxa"/>
          </w:tcPr>
          <w:p w14:paraId="4B403073" w14:textId="77777777" w:rsidR="00AD4AF3" w:rsidRPr="003805E3" w:rsidRDefault="00AD4AF3" w:rsidP="00AD4AF3">
            <w:pPr>
              <w:pStyle w:val="TableText"/>
              <w:rPr>
                <w:noProof/>
              </w:rPr>
            </w:pPr>
            <w:r>
              <w:rPr>
                <w:noProof/>
              </w:rPr>
              <w:t>09.2025 – 03.2027</w:t>
            </w:r>
          </w:p>
        </w:tc>
        <w:tc>
          <w:tcPr>
            <w:tcW w:w="555" w:type="dxa"/>
          </w:tcPr>
          <w:p w14:paraId="788F7D25" w14:textId="77777777" w:rsidR="00AD4AF3" w:rsidRPr="003805E3" w:rsidRDefault="00AD4AF3" w:rsidP="00AD4AF3">
            <w:pPr>
              <w:pStyle w:val="TableText"/>
              <w:jc w:val="center"/>
              <w:rPr>
                <w:noProof/>
              </w:rPr>
            </w:pPr>
            <w:r>
              <w:rPr>
                <w:noProof/>
              </w:rPr>
              <w:t>■</w:t>
            </w:r>
          </w:p>
        </w:tc>
        <w:tc>
          <w:tcPr>
            <w:tcW w:w="567" w:type="dxa"/>
          </w:tcPr>
          <w:p w14:paraId="33C0FEAF" w14:textId="77777777" w:rsidR="00AD4AF3" w:rsidRPr="003805E3" w:rsidRDefault="00AD4AF3" w:rsidP="00AD4AF3">
            <w:pPr>
              <w:pStyle w:val="TableText"/>
              <w:jc w:val="center"/>
              <w:rPr>
                <w:noProof/>
              </w:rPr>
            </w:pPr>
            <w:r>
              <w:rPr>
                <w:noProof/>
              </w:rPr>
              <w:t>■</w:t>
            </w:r>
          </w:p>
        </w:tc>
        <w:tc>
          <w:tcPr>
            <w:tcW w:w="567" w:type="dxa"/>
          </w:tcPr>
          <w:p w14:paraId="0DF75E5D" w14:textId="77777777" w:rsidR="00AD4AF3" w:rsidRPr="003805E3" w:rsidRDefault="00AD4AF3" w:rsidP="00AD4AF3">
            <w:pPr>
              <w:pStyle w:val="TableText"/>
              <w:jc w:val="center"/>
              <w:rPr>
                <w:noProof/>
              </w:rPr>
            </w:pPr>
          </w:p>
        </w:tc>
        <w:tc>
          <w:tcPr>
            <w:tcW w:w="567" w:type="dxa"/>
          </w:tcPr>
          <w:p w14:paraId="65EBC0A4" w14:textId="77777777" w:rsidR="00AD4AF3" w:rsidRPr="003805E3" w:rsidRDefault="00AD4AF3" w:rsidP="00AD4AF3">
            <w:pPr>
              <w:pStyle w:val="TableText"/>
              <w:jc w:val="center"/>
              <w:rPr>
                <w:noProof/>
              </w:rPr>
            </w:pPr>
          </w:p>
        </w:tc>
        <w:tc>
          <w:tcPr>
            <w:tcW w:w="567" w:type="dxa"/>
          </w:tcPr>
          <w:p w14:paraId="204A4FE3" w14:textId="77777777" w:rsidR="00AD4AF3" w:rsidRPr="003805E3" w:rsidRDefault="00AD4AF3" w:rsidP="00AD4AF3">
            <w:pPr>
              <w:pStyle w:val="TableText"/>
              <w:jc w:val="center"/>
              <w:rPr>
                <w:noProof/>
              </w:rPr>
            </w:pPr>
          </w:p>
        </w:tc>
        <w:tc>
          <w:tcPr>
            <w:tcW w:w="567" w:type="dxa"/>
          </w:tcPr>
          <w:p w14:paraId="5DE7780D" w14:textId="77777777" w:rsidR="00AD4AF3" w:rsidRPr="003805E3" w:rsidRDefault="00AD4AF3" w:rsidP="00AD4AF3">
            <w:pPr>
              <w:pStyle w:val="TableText"/>
              <w:jc w:val="center"/>
              <w:rPr>
                <w:noProof/>
              </w:rPr>
            </w:pPr>
          </w:p>
        </w:tc>
        <w:tc>
          <w:tcPr>
            <w:tcW w:w="567" w:type="dxa"/>
          </w:tcPr>
          <w:p w14:paraId="13F57A98" w14:textId="77777777" w:rsidR="00AD4AF3" w:rsidRPr="003805E3" w:rsidRDefault="00AD4AF3" w:rsidP="00AD4AF3">
            <w:pPr>
              <w:pStyle w:val="TableText"/>
              <w:jc w:val="center"/>
              <w:rPr>
                <w:noProof/>
              </w:rPr>
            </w:pPr>
          </w:p>
        </w:tc>
        <w:tc>
          <w:tcPr>
            <w:tcW w:w="567" w:type="dxa"/>
          </w:tcPr>
          <w:p w14:paraId="4B6CD3F6" w14:textId="77777777" w:rsidR="00AD4AF3" w:rsidRPr="003805E3" w:rsidRDefault="00AD4AF3" w:rsidP="00AD4AF3">
            <w:pPr>
              <w:pStyle w:val="TableText"/>
              <w:jc w:val="center"/>
              <w:rPr>
                <w:noProof/>
              </w:rPr>
            </w:pPr>
            <w:r>
              <w:rPr>
                <w:noProof/>
              </w:rPr>
              <w:t>■</w:t>
            </w:r>
          </w:p>
        </w:tc>
        <w:tc>
          <w:tcPr>
            <w:tcW w:w="567" w:type="dxa"/>
          </w:tcPr>
          <w:p w14:paraId="290C6DCB" w14:textId="77777777" w:rsidR="00AD4AF3" w:rsidRPr="003805E3" w:rsidRDefault="00AD4AF3" w:rsidP="00AD4AF3">
            <w:pPr>
              <w:pStyle w:val="TableText"/>
              <w:jc w:val="center"/>
              <w:rPr>
                <w:noProof/>
              </w:rPr>
            </w:pPr>
          </w:p>
        </w:tc>
        <w:tc>
          <w:tcPr>
            <w:tcW w:w="1276" w:type="dxa"/>
          </w:tcPr>
          <w:p w14:paraId="5CDCCE06" w14:textId="3A562431" w:rsidR="00AD4AF3" w:rsidRPr="003805E3" w:rsidRDefault="00AD4AF3" w:rsidP="00AD4AF3">
            <w:pPr>
              <w:pStyle w:val="TableText"/>
              <w:rPr>
                <w:noProof/>
              </w:rPr>
            </w:pPr>
            <w:r>
              <w:rPr>
                <w:noProof/>
              </w:rPr>
              <w:t>Interreg NEXT BSB</w:t>
            </w:r>
          </w:p>
        </w:tc>
        <w:tc>
          <w:tcPr>
            <w:tcW w:w="992" w:type="dxa"/>
          </w:tcPr>
          <w:p w14:paraId="1DD8AEBF" w14:textId="77777777" w:rsidR="00AD4AF3" w:rsidRPr="003805E3" w:rsidRDefault="00AD4AF3" w:rsidP="00AD4AF3">
            <w:pPr>
              <w:pStyle w:val="TableText"/>
              <w:jc w:val="center"/>
              <w:rPr>
                <w:noProof/>
              </w:rPr>
            </w:pPr>
            <w:r>
              <w:rPr>
                <w:noProof/>
              </w:rPr>
              <w:t>0,50</w:t>
            </w:r>
          </w:p>
        </w:tc>
        <w:tc>
          <w:tcPr>
            <w:tcW w:w="2765" w:type="dxa"/>
          </w:tcPr>
          <w:p w14:paraId="1CB4A4D0" w14:textId="77777777" w:rsidR="00AD4AF3" w:rsidRPr="003805E3" w:rsidRDefault="00AD4AF3" w:rsidP="00AD4AF3">
            <w:pPr>
              <w:pStyle w:val="TableText"/>
              <w:rPr>
                <w:noProof/>
              </w:rPr>
            </w:pPr>
            <w:r>
              <w:rPr>
                <w:noProof/>
              </w:rPr>
              <w:t>Action commune contre les catastrophes naturelles</w:t>
            </w:r>
          </w:p>
        </w:tc>
      </w:tr>
      <w:tr w:rsidR="00FB22F2" w:rsidRPr="003805E3" w14:paraId="116AD849" w14:textId="77777777" w:rsidTr="00FB22F2">
        <w:tc>
          <w:tcPr>
            <w:tcW w:w="3403" w:type="dxa"/>
            <w:shd w:val="clear" w:color="auto" w:fill="FFFFFF" w:themeFill="background1"/>
          </w:tcPr>
          <w:p w14:paraId="431A749C" w14:textId="77777777" w:rsidR="00AD4AF3" w:rsidRPr="003805E3" w:rsidRDefault="00AD4AF3" w:rsidP="00AD4AF3">
            <w:pPr>
              <w:pStyle w:val="TableText"/>
              <w:rPr>
                <w:noProof/>
              </w:rPr>
            </w:pPr>
            <w:r>
              <w:rPr>
                <w:noProof/>
              </w:rPr>
              <w:t>RISCARE</w:t>
            </w:r>
          </w:p>
        </w:tc>
        <w:tc>
          <w:tcPr>
            <w:tcW w:w="1279" w:type="dxa"/>
          </w:tcPr>
          <w:p w14:paraId="68F86B8C" w14:textId="77777777" w:rsidR="00AD4AF3" w:rsidRPr="003805E3" w:rsidRDefault="00AD4AF3" w:rsidP="00AD4AF3">
            <w:pPr>
              <w:pStyle w:val="TableText"/>
              <w:rPr>
                <w:noProof/>
              </w:rPr>
            </w:pPr>
            <w:r>
              <w:rPr>
                <w:noProof/>
              </w:rPr>
              <w:t>09.2025 – 09.2027</w:t>
            </w:r>
          </w:p>
        </w:tc>
        <w:tc>
          <w:tcPr>
            <w:tcW w:w="555" w:type="dxa"/>
          </w:tcPr>
          <w:p w14:paraId="1D42C2C3" w14:textId="77777777" w:rsidR="00AD4AF3" w:rsidRPr="003805E3" w:rsidRDefault="00AD4AF3" w:rsidP="00AD4AF3">
            <w:pPr>
              <w:pStyle w:val="TableText"/>
              <w:jc w:val="center"/>
              <w:rPr>
                <w:noProof/>
              </w:rPr>
            </w:pPr>
            <w:r>
              <w:rPr>
                <w:noProof/>
              </w:rPr>
              <w:t>■</w:t>
            </w:r>
          </w:p>
        </w:tc>
        <w:tc>
          <w:tcPr>
            <w:tcW w:w="567" w:type="dxa"/>
          </w:tcPr>
          <w:p w14:paraId="253671B5" w14:textId="77777777" w:rsidR="00AD4AF3" w:rsidRPr="003805E3" w:rsidRDefault="00AD4AF3" w:rsidP="00AD4AF3">
            <w:pPr>
              <w:pStyle w:val="TableText"/>
              <w:jc w:val="center"/>
              <w:rPr>
                <w:noProof/>
              </w:rPr>
            </w:pPr>
          </w:p>
        </w:tc>
        <w:tc>
          <w:tcPr>
            <w:tcW w:w="567" w:type="dxa"/>
          </w:tcPr>
          <w:p w14:paraId="34B4EF71" w14:textId="77777777" w:rsidR="00AD4AF3" w:rsidRPr="003805E3" w:rsidRDefault="00AD4AF3" w:rsidP="00AD4AF3">
            <w:pPr>
              <w:pStyle w:val="TableText"/>
              <w:jc w:val="center"/>
              <w:rPr>
                <w:noProof/>
              </w:rPr>
            </w:pPr>
            <w:r>
              <w:rPr>
                <w:noProof/>
              </w:rPr>
              <w:t>■</w:t>
            </w:r>
          </w:p>
        </w:tc>
        <w:tc>
          <w:tcPr>
            <w:tcW w:w="567" w:type="dxa"/>
          </w:tcPr>
          <w:p w14:paraId="1C528EDB" w14:textId="77777777" w:rsidR="00AD4AF3" w:rsidRPr="003805E3" w:rsidRDefault="00AD4AF3" w:rsidP="00AD4AF3">
            <w:pPr>
              <w:pStyle w:val="TableText"/>
              <w:jc w:val="center"/>
              <w:rPr>
                <w:noProof/>
              </w:rPr>
            </w:pPr>
          </w:p>
        </w:tc>
        <w:tc>
          <w:tcPr>
            <w:tcW w:w="567" w:type="dxa"/>
          </w:tcPr>
          <w:p w14:paraId="263F2201" w14:textId="77777777" w:rsidR="00AD4AF3" w:rsidRPr="003805E3" w:rsidRDefault="00AD4AF3" w:rsidP="00AD4AF3">
            <w:pPr>
              <w:pStyle w:val="TableText"/>
              <w:jc w:val="center"/>
              <w:rPr>
                <w:noProof/>
              </w:rPr>
            </w:pPr>
          </w:p>
        </w:tc>
        <w:tc>
          <w:tcPr>
            <w:tcW w:w="567" w:type="dxa"/>
          </w:tcPr>
          <w:p w14:paraId="5F084DEA" w14:textId="77777777" w:rsidR="00AD4AF3" w:rsidRPr="003805E3" w:rsidRDefault="00AD4AF3" w:rsidP="00AD4AF3">
            <w:pPr>
              <w:pStyle w:val="TableText"/>
              <w:jc w:val="center"/>
              <w:rPr>
                <w:noProof/>
              </w:rPr>
            </w:pPr>
          </w:p>
        </w:tc>
        <w:tc>
          <w:tcPr>
            <w:tcW w:w="567" w:type="dxa"/>
          </w:tcPr>
          <w:p w14:paraId="5CA1E3C5" w14:textId="77777777" w:rsidR="00AD4AF3" w:rsidRPr="003805E3" w:rsidRDefault="00AD4AF3" w:rsidP="00AD4AF3">
            <w:pPr>
              <w:pStyle w:val="TableText"/>
              <w:jc w:val="center"/>
              <w:rPr>
                <w:noProof/>
              </w:rPr>
            </w:pPr>
          </w:p>
        </w:tc>
        <w:tc>
          <w:tcPr>
            <w:tcW w:w="567" w:type="dxa"/>
          </w:tcPr>
          <w:p w14:paraId="49ABEDA2" w14:textId="77777777" w:rsidR="00AD4AF3" w:rsidRPr="003805E3" w:rsidRDefault="00AD4AF3" w:rsidP="00AD4AF3">
            <w:pPr>
              <w:pStyle w:val="TableText"/>
              <w:jc w:val="center"/>
              <w:rPr>
                <w:noProof/>
              </w:rPr>
            </w:pPr>
            <w:r>
              <w:rPr>
                <w:noProof/>
              </w:rPr>
              <w:t>■</w:t>
            </w:r>
          </w:p>
        </w:tc>
        <w:tc>
          <w:tcPr>
            <w:tcW w:w="567" w:type="dxa"/>
          </w:tcPr>
          <w:p w14:paraId="63C83D5C" w14:textId="77777777" w:rsidR="00AD4AF3" w:rsidRPr="003805E3" w:rsidRDefault="00AD4AF3" w:rsidP="00AD4AF3">
            <w:pPr>
              <w:pStyle w:val="TableText"/>
              <w:jc w:val="center"/>
              <w:rPr>
                <w:noProof/>
              </w:rPr>
            </w:pPr>
          </w:p>
        </w:tc>
        <w:tc>
          <w:tcPr>
            <w:tcW w:w="1276" w:type="dxa"/>
          </w:tcPr>
          <w:p w14:paraId="13E6E6A3" w14:textId="15B735FC" w:rsidR="00AD4AF3" w:rsidRPr="003805E3" w:rsidRDefault="00AD4AF3" w:rsidP="00AD4AF3">
            <w:pPr>
              <w:pStyle w:val="TableText"/>
              <w:rPr>
                <w:noProof/>
              </w:rPr>
            </w:pPr>
            <w:r>
              <w:rPr>
                <w:noProof/>
              </w:rPr>
              <w:t>Interreg NEXT BSB</w:t>
            </w:r>
          </w:p>
        </w:tc>
        <w:tc>
          <w:tcPr>
            <w:tcW w:w="992" w:type="dxa"/>
          </w:tcPr>
          <w:p w14:paraId="1C2ACA7E" w14:textId="77777777" w:rsidR="00AD4AF3" w:rsidRPr="003805E3" w:rsidRDefault="00AD4AF3" w:rsidP="00AD4AF3">
            <w:pPr>
              <w:pStyle w:val="TableText"/>
              <w:jc w:val="center"/>
              <w:rPr>
                <w:noProof/>
              </w:rPr>
            </w:pPr>
            <w:r>
              <w:rPr>
                <w:noProof/>
              </w:rPr>
              <w:t>1,64</w:t>
            </w:r>
          </w:p>
        </w:tc>
        <w:tc>
          <w:tcPr>
            <w:tcW w:w="2765" w:type="dxa"/>
          </w:tcPr>
          <w:p w14:paraId="30A6FDFE" w14:textId="77777777" w:rsidR="00AD4AF3" w:rsidRPr="003805E3" w:rsidRDefault="00AD4AF3" w:rsidP="00AD4AF3">
            <w:pPr>
              <w:pStyle w:val="TableText"/>
              <w:rPr>
                <w:noProof/>
              </w:rPr>
            </w:pPr>
            <w:r>
              <w:rPr>
                <w:noProof/>
              </w:rPr>
              <w:t>Procédures et formations conjointes pour une intervention rapide</w:t>
            </w:r>
          </w:p>
        </w:tc>
      </w:tr>
      <w:tr w:rsidR="00FB22F2" w:rsidRPr="003805E3" w14:paraId="1FD06388" w14:textId="77777777" w:rsidTr="00FB22F2">
        <w:tc>
          <w:tcPr>
            <w:tcW w:w="3403" w:type="dxa"/>
            <w:shd w:val="clear" w:color="auto" w:fill="FFFFFF" w:themeFill="background1"/>
          </w:tcPr>
          <w:p w14:paraId="4AF82848" w14:textId="77777777" w:rsidR="00AD4AF3" w:rsidRPr="003805E3" w:rsidRDefault="00AD4AF3" w:rsidP="00AD4AF3">
            <w:pPr>
              <w:pStyle w:val="TableText"/>
              <w:rPr>
                <w:noProof/>
              </w:rPr>
            </w:pPr>
            <w:r>
              <w:rPr>
                <w:noProof/>
              </w:rPr>
              <w:t>ISTROS</w:t>
            </w:r>
          </w:p>
        </w:tc>
        <w:tc>
          <w:tcPr>
            <w:tcW w:w="1279" w:type="dxa"/>
          </w:tcPr>
          <w:p w14:paraId="2D2E421A" w14:textId="77777777" w:rsidR="00AD4AF3" w:rsidRPr="003805E3" w:rsidRDefault="00AD4AF3" w:rsidP="00AD4AF3">
            <w:pPr>
              <w:pStyle w:val="TableText"/>
              <w:rPr>
                <w:noProof/>
              </w:rPr>
            </w:pPr>
            <w:r>
              <w:rPr>
                <w:noProof/>
              </w:rPr>
              <w:t>09.2025 – 03.2028</w:t>
            </w:r>
          </w:p>
        </w:tc>
        <w:tc>
          <w:tcPr>
            <w:tcW w:w="555" w:type="dxa"/>
          </w:tcPr>
          <w:p w14:paraId="62AAA128" w14:textId="77777777" w:rsidR="00AD4AF3" w:rsidRPr="003805E3" w:rsidRDefault="00AD4AF3" w:rsidP="00AD4AF3">
            <w:pPr>
              <w:pStyle w:val="TableText"/>
              <w:jc w:val="center"/>
              <w:rPr>
                <w:noProof/>
              </w:rPr>
            </w:pPr>
          </w:p>
        </w:tc>
        <w:tc>
          <w:tcPr>
            <w:tcW w:w="567" w:type="dxa"/>
          </w:tcPr>
          <w:p w14:paraId="46F560D6" w14:textId="77777777" w:rsidR="00AD4AF3" w:rsidRPr="003805E3" w:rsidRDefault="00AD4AF3" w:rsidP="00AD4AF3">
            <w:pPr>
              <w:pStyle w:val="TableText"/>
              <w:jc w:val="center"/>
              <w:rPr>
                <w:noProof/>
              </w:rPr>
            </w:pPr>
          </w:p>
        </w:tc>
        <w:tc>
          <w:tcPr>
            <w:tcW w:w="567" w:type="dxa"/>
          </w:tcPr>
          <w:p w14:paraId="4E90BB65" w14:textId="77777777" w:rsidR="00AD4AF3" w:rsidRPr="003805E3" w:rsidRDefault="00AD4AF3" w:rsidP="00AD4AF3">
            <w:pPr>
              <w:pStyle w:val="TableText"/>
              <w:jc w:val="center"/>
              <w:rPr>
                <w:noProof/>
              </w:rPr>
            </w:pPr>
            <w:r>
              <w:rPr>
                <w:noProof/>
              </w:rPr>
              <w:t>■</w:t>
            </w:r>
          </w:p>
        </w:tc>
        <w:tc>
          <w:tcPr>
            <w:tcW w:w="567" w:type="dxa"/>
          </w:tcPr>
          <w:p w14:paraId="217200BD" w14:textId="77777777" w:rsidR="00AD4AF3" w:rsidRPr="003805E3" w:rsidRDefault="00AD4AF3" w:rsidP="00AD4AF3">
            <w:pPr>
              <w:pStyle w:val="TableText"/>
              <w:jc w:val="center"/>
              <w:rPr>
                <w:noProof/>
              </w:rPr>
            </w:pPr>
          </w:p>
        </w:tc>
        <w:tc>
          <w:tcPr>
            <w:tcW w:w="567" w:type="dxa"/>
          </w:tcPr>
          <w:p w14:paraId="2D930D7B" w14:textId="77777777" w:rsidR="00AD4AF3" w:rsidRPr="003805E3" w:rsidRDefault="00AD4AF3" w:rsidP="00AD4AF3">
            <w:pPr>
              <w:pStyle w:val="TableText"/>
              <w:jc w:val="center"/>
              <w:rPr>
                <w:noProof/>
              </w:rPr>
            </w:pPr>
          </w:p>
        </w:tc>
        <w:tc>
          <w:tcPr>
            <w:tcW w:w="567" w:type="dxa"/>
          </w:tcPr>
          <w:p w14:paraId="7D78F1B6" w14:textId="77777777" w:rsidR="00AD4AF3" w:rsidRPr="003805E3" w:rsidRDefault="00AD4AF3" w:rsidP="00AD4AF3">
            <w:pPr>
              <w:pStyle w:val="TableText"/>
              <w:jc w:val="center"/>
              <w:rPr>
                <w:noProof/>
              </w:rPr>
            </w:pPr>
          </w:p>
        </w:tc>
        <w:tc>
          <w:tcPr>
            <w:tcW w:w="567" w:type="dxa"/>
          </w:tcPr>
          <w:p w14:paraId="23DDBEA4" w14:textId="77777777" w:rsidR="00AD4AF3" w:rsidRPr="003805E3" w:rsidRDefault="00AD4AF3" w:rsidP="00AD4AF3">
            <w:pPr>
              <w:pStyle w:val="TableText"/>
              <w:jc w:val="center"/>
              <w:rPr>
                <w:noProof/>
              </w:rPr>
            </w:pPr>
            <w:r>
              <w:rPr>
                <w:noProof/>
              </w:rPr>
              <w:t>■</w:t>
            </w:r>
          </w:p>
        </w:tc>
        <w:tc>
          <w:tcPr>
            <w:tcW w:w="567" w:type="dxa"/>
          </w:tcPr>
          <w:p w14:paraId="0CE7663C" w14:textId="77777777" w:rsidR="00AD4AF3" w:rsidRPr="003805E3" w:rsidRDefault="00AD4AF3" w:rsidP="00AD4AF3">
            <w:pPr>
              <w:pStyle w:val="TableText"/>
              <w:jc w:val="center"/>
              <w:rPr>
                <w:noProof/>
              </w:rPr>
            </w:pPr>
          </w:p>
        </w:tc>
        <w:tc>
          <w:tcPr>
            <w:tcW w:w="567" w:type="dxa"/>
          </w:tcPr>
          <w:p w14:paraId="2449B84E" w14:textId="77777777" w:rsidR="00AD4AF3" w:rsidRPr="003805E3" w:rsidRDefault="00AD4AF3" w:rsidP="00AD4AF3">
            <w:pPr>
              <w:pStyle w:val="TableText"/>
              <w:jc w:val="center"/>
              <w:rPr>
                <w:noProof/>
              </w:rPr>
            </w:pPr>
            <w:r>
              <w:rPr>
                <w:noProof/>
              </w:rPr>
              <w:t>■</w:t>
            </w:r>
          </w:p>
        </w:tc>
        <w:tc>
          <w:tcPr>
            <w:tcW w:w="1276" w:type="dxa"/>
          </w:tcPr>
          <w:p w14:paraId="3B305E21" w14:textId="309EBCBF" w:rsidR="00AD4AF3" w:rsidRPr="003805E3" w:rsidRDefault="00AD4AF3" w:rsidP="00AD4AF3">
            <w:pPr>
              <w:pStyle w:val="TableText"/>
              <w:rPr>
                <w:noProof/>
              </w:rPr>
            </w:pPr>
            <w:r>
              <w:rPr>
                <w:noProof/>
              </w:rPr>
              <w:t>Interreg NEXT BSB</w:t>
            </w:r>
          </w:p>
        </w:tc>
        <w:tc>
          <w:tcPr>
            <w:tcW w:w="992" w:type="dxa"/>
          </w:tcPr>
          <w:p w14:paraId="4997F101" w14:textId="77777777" w:rsidR="00AD4AF3" w:rsidRPr="003805E3" w:rsidRDefault="00AD4AF3" w:rsidP="00AD4AF3">
            <w:pPr>
              <w:pStyle w:val="TableText"/>
              <w:jc w:val="center"/>
              <w:rPr>
                <w:noProof/>
              </w:rPr>
            </w:pPr>
            <w:r>
              <w:rPr>
                <w:noProof/>
              </w:rPr>
              <w:t>1,28</w:t>
            </w:r>
          </w:p>
        </w:tc>
        <w:tc>
          <w:tcPr>
            <w:tcW w:w="2765" w:type="dxa"/>
          </w:tcPr>
          <w:p w14:paraId="6505851C" w14:textId="75B84B99" w:rsidR="00AD4AF3" w:rsidRPr="003805E3" w:rsidRDefault="00AD4AF3" w:rsidP="00AD4AF3">
            <w:pPr>
              <w:pStyle w:val="TableText"/>
              <w:rPr>
                <w:noProof/>
              </w:rPr>
            </w:pPr>
            <w:r>
              <w:rPr>
                <w:noProof/>
              </w:rPr>
              <w:t xml:space="preserve">Renforcement de la protection de la biodiversité </w:t>
            </w:r>
          </w:p>
        </w:tc>
      </w:tr>
      <w:tr w:rsidR="00FB22F2" w:rsidRPr="003805E3" w14:paraId="12CAEBB8" w14:textId="77777777" w:rsidTr="00FB22F2">
        <w:tc>
          <w:tcPr>
            <w:tcW w:w="3403" w:type="dxa"/>
            <w:shd w:val="clear" w:color="auto" w:fill="FFFFFF" w:themeFill="background1"/>
          </w:tcPr>
          <w:p w14:paraId="18872283" w14:textId="77777777" w:rsidR="00AD4AF3" w:rsidRPr="003805E3" w:rsidRDefault="00AD4AF3" w:rsidP="00AD4AF3">
            <w:pPr>
              <w:pStyle w:val="TableText"/>
              <w:rPr>
                <w:noProof/>
              </w:rPr>
            </w:pPr>
            <w:r>
              <w:rPr>
                <w:noProof/>
              </w:rPr>
              <w:t>CO-RESILIENCE</w:t>
            </w:r>
          </w:p>
        </w:tc>
        <w:tc>
          <w:tcPr>
            <w:tcW w:w="1279" w:type="dxa"/>
          </w:tcPr>
          <w:p w14:paraId="1343C7B8" w14:textId="77777777" w:rsidR="00AD4AF3" w:rsidRPr="003805E3" w:rsidRDefault="00AD4AF3" w:rsidP="00AD4AF3">
            <w:pPr>
              <w:pStyle w:val="TableText"/>
              <w:rPr>
                <w:noProof/>
              </w:rPr>
            </w:pPr>
            <w:r>
              <w:rPr>
                <w:noProof/>
              </w:rPr>
              <w:t>06.2024 – 08.2026</w:t>
            </w:r>
          </w:p>
        </w:tc>
        <w:tc>
          <w:tcPr>
            <w:tcW w:w="555" w:type="dxa"/>
          </w:tcPr>
          <w:p w14:paraId="2A51A64D" w14:textId="77777777" w:rsidR="00AD4AF3" w:rsidRPr="003805E3" w:rsidRDefault="00AD4AF3" w:rsidP="00AD4AF3">
            <w:pPr>
              <w:pStyle w:val="TableText"/>
              <w:jc w:val="center"/>
              <w:rPr>
                <w:noProof/>
              </w:rPr>
            </w:pPr>
            <w:r>
              <w:rPr>
                <w:noProof/>
              </w:rPr>
              <w:t>■</w:t>
            </w:r>
          </w:p>
        </w:tc>
        <w:tc>
          <w:tcPr>
            <w:tcW w:w="567" w:type="dxa"/>
          </w:tcPr>
          <w:p w14:paraId="1965A441" w14:textId="77777777" w:rsidR="00AD4AF3" w:rsidRPr="003805E3" w:rsidRDefault="00AD4AF3" w:rsidP="00AD4AF3">
            <w:pPr>
              <w:pStyle w:val="TableText"/>
              <w:jc w:val="center"/>
              <w:rPr>
                <w:noProof/>
              </w:rPr>
            </w:pPr>
          </w:p>
        </w:tc>
        <w:tc>
          <w:tcPr>
            <w:tcW w:w="567" w:type="dxa"/>
          </w:tcPr>
          <w:p w14:paraId="6B5B01A4" w14:textId="77777777" w:rsidR="00AD4AF3" w:rsidRPr="003805E3" w:rsidRDefault="00AD4AF3" w:rsidP="00AD4AF3">
            <w:pPr>
              <w:pStyle w:val="TableText"/>
              <w:jc w:val="center"/>
              <w:rPr>
                <w:noProof/>
              </w:rPr>
            </w:pPr>
          </w:p>
        </w:tc>
        <w:tc>
          <w:tcPr>
            <w:tcW w:w="567" w:type="dxa"/>
          </w:tcPr>
          <w:p w14:paraId="1D5ADAFB" w14:textId="77777777" w:rsidR="00AD4AF3" w:rsidRPr="003805E3" w:rsidRDefault="00AD4AF3" w:rsidP="00AD4AF3">
            <w:pPr>
              <w:pStyle w:val="TableText"/>
              <w:jc w:val="center"/>
              <w:rPr>
                <w:noProof/>
              </w:rPr>
            </w:pPr>
          </w:p>
        </w:tc>
        <w:tc>
          <w:tcPr>
            <w:tcW w:w="567" w:type="dxa"/>
          </w:tcPr>
          <w:p w14:paraId="418F7FF6" w14:textId="77777777" w:rsidR="00AD4AF3" w:rsidRPr="003805E3" w:rsidRDefault="00AD4AF3" w:rsidP="00AD4AF3">
            <w:pPr>
              <w:pStyle w:val="TableText"/>
              <w:jc w:val="center"/>
              <w:rPr>
                <w:noProof/>
              </w:rPr>
            </w:pPr>
          </w:p>
        </w:tc>
        <w:tc>
          <w:tcPr>
            <w:tcW w:w="567" w:type="dxa"/>
          </w:tcPr>
          <w:p w14:paraId="392CE3B9" w14:textId="77777777" w:rsidR="00AD4AF3" w:rsidRPr="003805E3" w:rsidRDefault="00AD4AF3" w:rsidP="00AD4AF3">
            <w:pPr>
              <w:pStyle w:val="TableText"/>
              <w:jc w:val="center"/>
              <w:rPr>
                <w:noProof/>
              </w:rPr>
            </w:pPr>
          </w:p>
        </w:tc>
        <w:tc>
          <w:tcPr>
            <w:tcW w:w="567" w:type="dxa"/>
          </w:tcPr>
          <w:p w14:paraId="0A290481" w14:textId="77777777" w:rsidR="00AD4AF3" w:rsidRPr="003805E3" w:rsidRDefault="00AD4AF3" w:rsidP="00AD4AF3">
            <w:pPr>
              <w:pStyle w:val="TableText"/>
              <w:jc w:val="center"/>
              <w:rPr>
                <w:noProof/>
              </w:rPr>
            </w:pPr>
            <w:r>
              <w:rPr>
                <w:noProof/>
              </w:rPr>
              <w:t>■</w:t>
            </w:r>
          </w:p>
        </w:tc>
        <w:tc>
          <w:tcPr>
            <w:tcW w:w="567" w:type="dxa"/>
          </w:tcPr>
          <w:p w14:paraId="629E8999" w14:textId="77777777" w:rsidR="00AD4AF3" w:rsidRPr="003805E3" w:rsidRDefault="00AD4AF3" w:rsidP="00AD4AF3">
            <w:pPr>
              <w:pStyle w:val="TableText"/>
              <w:jc w:val="center"/>
              <w:rPr>
                <w:noProof/>
              </w:rPr>
            </w:pPr>
            <w:r>
              <w:rPr>
                <w:noProof/>
              </w:rPr>
              <w:t>■</w:t>
            </w:r>
          </w:p>
        </w:tc>
        <w:tc>
          <w:tcPr>
            <w:tcW w:w="567" w:type="dxa"/>
          </w:tcPr>
          <w:p w14:paraId="7711B062" w14:textId="77777777" w:rsidR="00AD4AF3" w:rsidRPr="003805E3" w:rsidRDefault="00AD4AF3" w:rsidP="00AD4AF3">
            <w:pPr>
              <w:pStyle w:val="TableText"/>
              <w:jc w:val="center"/>
              <w:rPr>
                <w:noProof/>
              </w:rPr>
            </w:pPr>
            <w:r>
              <w:rPr>
                <w:noProof/>
              </w:rPr>
              <w:t>■</w:t>
            </w:r>
          </w:p>
        </w:tc>
        <w:tc>
          <w:tcPr>
            <w:tcW w:w="1276" w:type="dxa"/>
          </w:tcPr>
          <w:p w14:paraId="7CA89ED4" w14:textId="54BBA7B4" w:rsidR="00AD4AF3" w:rsidRPr="003805E3" w:rsidRDefault="00AD4AF3" w:rsidP="00AD4AF3">
            <w:pPr>
              <w:pStyle w:val="TableText"/>
              <w:rPr>
                <w:noProof/>
              </w:rPr>
            </w:pPr>
            <w:r>
              <w:rPr>
                <w:noProof/>
              </w:rPr>
              <w:t>Interreg NEXT BSB</w:t>
            </w:r>
          </w:p>
        </w:tc>
        <w:tc>
          <w:tcPr>
            <w:tcW w:w="992" w:type="dxa"/>
          </w:tcPr>
          <w:p w14:paraId="6BE21556" w14:textId="77777777" w:rsidR="00AD4AF3" w:rsidRPr="003805E3" w:rsidRDefault="00AD4AF3" w:rsidP="00AD4AF3">
            <w:pPr>
              <w:pStyle w:val="TableText"/>
              <w:jc w:val="center"/>
              <w:rPr>
                <w:noProof/>
              </w:rPr>
            </w:pPr>
            <w:r>
              <w:rPr>
                <w:noProof/>
              </w:rPr>
              <w:t>1,48</w:t>
            </w:r>
          </w:p>
        </w:tc>
        <w:tc>
          <w:tcPr>
            <w:tcW w:w="2765" w:type="dxa"/>
          </w:tcPr>
          <w:p w14:paraId="5B597ADA" w14:textId="3C3626D6" w:rsidR="00AD4AF3" w:rsidRPr="003805E3" w:rsidRDefault="00AD4AF3" w:rsidP="00AD4AF3">
            <w:pPr>
              <w:pStyle w:val="TableText"/>
              <w:rPr>
                <w:noProof/>
              </w:rPr>
            </w:pPr>
            <w:r>
              <w:rPr>
                <w:noProof/>
              </w:rPr>
              <w:t>Coopération en matière de renforcement des capacités pour la résilience des communautés face aux feux de forêt et les systèmes d’alerte précoce</w:t>
            </w:r>
          </w:p>
        </w:tc>
      </w:tr>
      <w:tr w:rsidR="00FB22F2" w:rsidRPr="003805E3" w14:paraId="23056858" w14:textId="77777777" w:rsidTr="00FB22F2">
        <w:tc>
          <w:tcPr>
            <w:tcW w:w="3403" w:type="dxa"/>
            <w:shd w:val="clear" w:color="auto" w:fill="FFFFFF" w:themeFill="background1"/>
          </w:tcPr>
          <w:p w14:paraId="0DC1A240" w14:textId="77777777" w:rsidR="00AD4AF3" w:rsidRPr="003805E3" w:rsidRDefault="00AD4AF3" w:rsidP="00AD4AF3">
            <w:pPr>
              <w:pStyle w:val="TableText"/>
              <w:rPr>
                <w:noProof/>
              </w:rPr>
            </w:pPr>
            <w:r>
              <w:rPr>
                <w:noProof/>
              </w:rPr>
              <w:t>IMPACT+</w:t>
            </w:r>
          </w:p>
        </w:tc>
        <w:tc>
          <w:tcPr>
            <w:tcW w:w="1279" w:type="dxa"/>
          </w:tcPr>
          <w:p w14:paraId="587A31C3" w14:textId="77777777" w:rsidR="00AD4AF3" w:rsidRPr="003805E3" w:rsidRDefault="00AD4AF3" w:rsidP="00AD4AF3">
            <w:pPr>
              <w:pStyle w:val="TableText"/>
              <w:rPr>
                <w:noProof/>
              </w:rPr>
            </w:pPr>
            <w:r>
              <w:rPr>
                <w:noProof/>
              </w:rPr>
              <w:t>07.2024 – 01.2026</w:t>
            </w:r>
          </w:p>
        </w:tc>
        <w:tc>
          <w:tcPr>
            <w:tcW w:w="555" w:type="dxa"/>
          </w:tcPr>
          <w:p w14:paraId="62D3EEBD" w14:textId="77777777" w:rsidR="00AD4AF3" w:rsidRPr="003805E3" w:rsidRDefault="00AD4AF3" w:rsidP="00AD4AF3">
            <w:pPr>
              <w:pStyle w:val="TableText"/>
              <w:jc w:val="center"/>
              <w:rPr>
                <w:noProof/>
              </w:rPr>
            </w:pPr>
            <w:r>
              <w:rPr>
                <w:noProof/>
              </w:rPr>
              <w:t>■</w:t>
            </w:r>
          </w:p>
        </w:tc>
        <w:tc>
          <w:tcPr>
            <w:tcW w:w="567" w:type="dxa"/>
          </w:tcPr>
          <w:p w14:paraId="777AADE3" w14:textId="77777777" w:rsidR="00AD4AF3" w:rsidRPr="003805E3" w:rsidRDefault="00AD4AF3" w:rsidP="00AD4AF3">
            <w:pPr>
              <w:pStyle w:val="TableText"/>
              <w:jc w:val="center"/>
              <w:rPr>
                <w:noProof/>
              </w:rPr>
            </w:pPr>
          </w:p>
        </w:tc>
        <w:tc>
          <w:tcPr>
            <w:tcW w:w="567" w:type="dxa"/>
          </w:tcPr>
          <w:p w14:paraId="386DC684" w14:textId="77777777" w:rsidR="00AD4AF3" w:rsidRPr="003805E3" w:rsidRDefault="00AD4AF3" w:rsidP="00AD4AF3">
            <w:pPr>
              <w:pStyle w:val="TableText"/>
              <w:jc w:val="center"/>
              <w:rPr>
                <w:noProof/>
              </w:rPr>
            </w:pPr>
            <w:r>
              <w:rPr>
                <w:noProof/>
              </w:rPr>
              <w:t>■</w:t>
            </w:r>
          </w:p>
        </w:tc>
        <w:tc>
          <w:tcPr>
            <w:tcW w:w="567" w:type="dxa"/>
          </w:tcPr>
          <w:p w14:paraId="666582E7" w14:textId="77777777" w:rsidR="00AD4AF3" w:rsidRPr="003805E3" w:rsidRDefault="00AD4AF3" w:rsidP="00AD4AF3">
            <w:pPr>
              <w:pStyle w:val="TableText"/>
              <w:jc w:val="center"/>
              <w:rPr>
                <w:noProof/>
              </w:rPr>
            </w:pPr>
          </w:p>
        </w:tc>
        <w:tc>
          <w:tcPr>
            <w:tcW w:w="567" w:type="dxa"/>
          </w:tcPr>
          <w:p w14:paraId="5F5BC6A9" w14:textId="77777777" w:rsidR="00AD4AF3" w:rsidRPr="003805E3" w:rsidRDefault="00AD4AF3" w:rsidP="00AD4AF3">
            <w:pPr>
              <w:pStyle w:val="TableText"/>
              <w:jc w:val="center"/>
              <w:rPr>
                <w:noProof/>
              </w:rPr>
            </w:pPr>
          </w:p>
        </w:tc>
        <w:tc>
          <w:tcPr>
            <w:tcW w:w="567" w:type="dxa"/>
          </w:tcPr>
          <w:p w14:paraId="5EE12D11" w14:textId="77777777" w:rsidR="00AD4AF3" w:rsidRPr="003805E3" w:rsidRDefault="00AD4AF3" w:rsidP="00AD4AF3">
            <w:pPr>
              <w:pStyle w:val="TableText"/>
              <w:jc w:val="center"/>
              <w:rPr>
                <w:noProof/>
              </w:rPr>
            </w:pPr>
            <w:r>
              <w:rPr>
                <w:noProof/>
              </w:rPr>
              <w:t>■</w:t>
            </w:r>
          </w:p>
        </w:tc>
        <w:tc>
          <w:tcPr>
            <w:tcW w:w="567" w:type="dxa"/>
          </w:tcPr>
          <w:p w14:paraId="7F8ABFB0" w14:textId="77777777" w:rsidR="00AD4AF3" w:rsidRPr="003805E3" w:rsidRDefault="00AD4AF3" w:rsidP="00AD4AF3">
            <w:pPr>
              <w:pStyle w:val="TableText"/>
              <w:jc w:val="center"/>
              <w:rPr>
                <w:noProof/>
              </w:rPr>
            </w:pPr>
            <w:r>
              <w:rPr>
                <w:noProof/>
              </w:rPr>
              <w:t>■</w:t>
            </w:r>
          </w:p>
        </w:tc>
        <w:tc>
          <w:tcPr>
            <w:tcW w:w="567" w:type="dxa"/>
          </w:tcPr>
          <w:p w14:paraId="08E8ACF7" w14:textId="77777777" w:rsidR="00AD4AF3" w:rsidRPr="003805E3" w:rsidRDefault="00AD4AF3" w:rsidP="00AD4AF3">
            <w:pPr>
              <w:pStyle w:val="TableText"/>
              <w:jc w:val="center"/>
              <w:rPr>
                <w:noProof/>
              </w:rPr>
            </w:pPr>
          </w:p>
        </w:tc>
        <w:tc>
          <w:tcPr>
            <w:tcW w:w="567" w:type="dxa"/>
          </w:tcPr>
          <w:p w14:paraId="6140341B" w14:textId="77777777" w:rsidR="00AD4AF3" w:rsidRPr="003805E3" w:rsidRDefault="00AD4AF3" w:rsidP="00AD4AF3">
            <w:pPr>
              <w:pStyle w:val="TableText"/>
              <w:jc w:val="center"/>
              <w:rPr>
                <w:noProof/>
              </w:rPr>
            </w:pPr>
          </w:p>
        </w:tc>
        <w:tc>
          <w:tcPr>
            <w:tcW w:w="1276" w:type="dxa"/>
          </w:tcPr>
          <w:p w14:paraId="771BC85F" w14:textId="3E1D86B2" w:rsidR="00AD4AF3" w:rsidRPr="003805E3" w:rsidRDefault="00AD4AF3" w:rsidP="00AD4AF3">
            <w:pPr>
              <w:pStyle w:val="TableText"/>
              <w:rPr>
                <w:noProof/>
              </w:rPr>
            </w:pPr>
            <w:r>
              <w:rPr>
                <w:noProof/>
              </w:rPr>
              <w:t>Interreg NEXT BSB</w:t>
            </w:r>
          </w:p>
        </w:tc>
        <w:tc>
          <w:tcPr>
            <w:tcW w:w="992" w:type="dxa"/>
          </w:tcPr>
          <w:p w14:paraId="7FE2D92C" w14:textId="77777777" w:rsidR="00AD4AF3" w:rsidRPr="003805E3" w:rsidRDefault="00AD4AF3" w:rsidP="00AD4AF3">
            <w:pPr>
              <w:pStyle w:val="TableText"/>
              <w:jc w:val="center"/>
              <w:rPr>
                <w:noProof/>
              </w:rPr>
            </w:pPr>
            <w:r>
              <w:rPr>
                <w:noProof/>
              </w:rPr>
              <w:t>0,55</w:t>
            </w:r>
          </w:p>
        </w:tc>
        <w:tc>
          <w:tcPr>
            <w:tcW w:w="2765" w:type="dxa"/>
          </w:tcPr>
          <w:p w14:paraId="3CB26625" w14:textId="047CB76A" w:rsidR="00AD4AF3" w:rsidRPr="003805E3" w:rsidRDefault="00AD4AF3" w:rsidP="00AD4AF3">
            <w:pPr>
              <w:pStyle w:val="TableText"/>
              <w:rPr>
                <w:noProof/>
              </w:rPr>
            </w:pPr>
            <w:r>
              <w:rPr>
                <w:noProof/>
              </w:rPr>
              <w:t xml:space="preserve">Amélioration de l’intervention d’urgence en cas de catastrophes naturelles et d’origine humaine dans les petites communautés </w:t>
            </w:r>
          </w:p>
        </w:tc>
      </w:tr>
      <w:tr w:rsidR="00FB22F2" w:rsidRPr="003805E3" w14:paraId="2A254034" w14:textId="77777777" w:rsidTr="00FB22F2">
        <w:tc>
          <w:tcPr>
            <w:tcW w:w="3403" w:type="dxa"/>
            <w:shd w:val="clear" w:color="auto" w:fill="FFFFFF" w:themeFill="background1"/>
          </w:tcPr>
          <w:p w14:paraId="2180B5B6" w14:textId="77777777" w:rsidR="00AD4AF3" w:rsidRPr="003805E3" w:rsidRDefault="00AD4AF3" w:rsidP="00AD4AF3">
            <w:pPr>
              <w:pStyle w:val="TableText"/>
              <w:rPr>
                <w:noProof/>
              </w:rPr>
            </w:pPr>
            <w:r>
              <w:rPr>
                <w:noProof/>
              </w:rPr>
              <w:t>SPEER-A</w:t>
            </w:r>
          </w:p>
        </w:tc>
        <w:tc>
          <w:tcPr>
            <w:tcW w:w="1279" w:type="dxa"/>
          </w:tcPr>
          <w:p w14:paraId="61C7D45E" w14:textId="77777777" w:rsidR="00AD4AF3" w:rsidRPr="003805E3" w:rsidRDefault="00AD4AF3" w:rsidP="00AD4AF3">
            <w:pPr>
              <w:pStyle w:val="TableText"/>
              <w:rPr>
                <w:noProof/>
              </w:rPr>
            </w:pPr>
            <w:r>
              <w:rPr>
                <w:noProof/>
              </w:rPr>
              <w:t>09.2025 – 01.2028</w:t>
            </w:r>
          </w:p>
        </w:tc>
        <w:tc>
          <w:tcPr>
            <w:tcW w:w="555" w:type="dxa"/>
          </w:tcPr>
          <w:p w14:paraId="4A2AFE67" w14:textId="77777777" w:rsidR="00AD4AF3" w:rsidRPr="003805E3" w:rsidRDefault="00AD4AF3" w:rsidP="00AD4AF3">
            <w:pPr>
              <w:pStyle w:val="TableText"/>
              <w:jc w:val="center"/>
              <w:rPr>
                <w:noProof/>
              </w:rPr>
            </w:pPr>
            <w:r>
              <w:rPr>
                <w:noProof/>
              </w:rPr>
              <w:t>■</w:t>
            </w:r>
          </w:p>
        </w:tc>
        <w:tc>
          <w:tcPr>
            <w:tcW w:w="567" w:type="dxa"/>
          </w:tcPr>
          <w:p w14:paraId="6E6E909A" w14:textId="77777777" w:rsidR="00AD4AF3" w:rsidRPr="003805E3" w:rsidRDefault="00AD4AF3" w:rsidP="00AD4AF3">
            <w:pPr>
              <w:pStyle w:val="TableText"/>
              <w:jc w:val="center"/>
              <w:rPr>
                <w:noProof/>
              </w:rPr>
            </w:pPr>
            <w:r>
              <w:rPr>
                <w:noProof/>
              </w:rPr>
              <w:t>■</w:t>
            </w:r>
          </w:p>
        </w:tc>
        <w:tc>
          <w:tcPr>
            <w:tcW w:w="567" w:type="dxa"/>
          </w:tcPr>
          <w:p w14:paraId="22AE6653" w14:textId="77777777" w:rsidR="00AD4AF3" w:rsidRPr="003805E3" w:rsidRDefault="00AD4AF3" w:rsidP="00AD4AF3">
            <w:pPr>
              <w:pStyle w:val="TableText"/>
              <w:jc w:val="center"/>
              <w:rPr>
                <w:noProof/>
              </w:rPr>
            </w:pPr>
            <w:r>
              <w:rPr>
                <w:noProof/>
              </w:rPr>
              <w:t>■</w:t>
            </w:r>
          </w:p>
        </w:tc>
        <w:tc>
          <w:tcPr>
            <w:tcW w:w="567" w:type="dxa"/>
          </w:tcPr>
          <w:p w14:paraId="179833BB" w14:textId="77777777" w:rsidR="00AD4AF3" w:rsidRPr="003805E3" w:rsidRDefault="00AD4AF3" w:rsidP="00AD4AF3">
            <w:pPr>
              <w:pStyle w:val="TableText"/>
              <w:jc w:val="center"/>
              <w:rPr>
                <w:noProof/>
              </w:rPr>
            </w:pPr>
          </w:p>
        </w:tc>
        <w:tc>
          <w:tcPr>
            <w:tcW w:w="567" w:type="dxa"/>
          </w:tcPr>
          <w:p w14:paraId="45053B8A" w14:textId="77777777" w:rsidR="00AD4AF3" w:rsidRPr="003805E3" w:rsidRDefault="00AD4AF3" w:rsidP="00AD4AF3">
            <w:pPr>
              <w:pStyle w:val="TableText"/>
              <w:jc w:val="center"/>
              <w:rPr>
                <w:noProof/>
              </w:rPr>
            </w:pPr>
          </w:p>
        </w:tc>
        <w:tc>
          <w:tcPr>
            <w:tcW w:w="567" w:type="dxa"/>
          </w:tcPr>
          <w:p w14:paraId="74C9F638" w14:textId="77777777" w:rsidR="00AD4AF3" w:rsidRPr="003805E3" w:rsidRDefault="00AD4AF3" w:rsidP="00AD4AF3">
            <w:pPr>
              <w:pStyle w:val="TableText"/>
              <w:jc w:val="center"/>
              <w:rPr>
                <w:noProof/>
              </w:rPr>
            </w:pPr>
          </w:p>
        </w:tc>
        <w:tc>
          <w:tcPr>
            <w:tcW w:w="567" w:type="dxa"/>
          </w:tcPr>
          <w:p w14:paraId="02F7C16D" w14:textId="77777777" w:rsidR="00AD4AF3" w:rsidRPr="003805E3" w:rsidRDefault="00AD4AF3" w:rsidP="00AD4AF3">
            <w:pPr>
              <w:pStyle w:val="TableText"/>
              <w:jc w:val="center"/>
              <w:rPr>
                <w:noProof/>
              </w:rPr>
            </w:pPr>
          </w:p>
        </w:tc>
        <w:tc>
          <w:tcPr>
            <w:tcW w:w="567" w:type="dxa"/>
          </w:tcPr>
          <w:p w14:paraId="75C42878" w14:textId="77777777" w:rsidR="00AD4AF3" w:rsidRPr="003805E3" w:rsidRDefault="00AD4AF3" w:rsidP="00AD4AF3">
            <w:pPr>
              <w:pStyle w:val="TableText"/>
              <w:jc w:val="center"/>
              <w:rPr>
                <w:noProof/>
              </w:rPr>
            </w:pPr>
            <w:r>
              <w:rPr>
                <w:noProof/>
              </w:rPr>
              <w:t>■</w:t>
            </w:r>
          </w:p>
        </w:tc>
        <w:tc>
          <w:tcPr>
            <w:tcW w:w="567" w:type="dxa"/>
          </w:tcPr>
          <w:p w14:paraId="01517471" w14:textId="77777777" w:rsidR="00AD4AF3" w:rsidRPr="003805E3" w:rsidRDefault="00AD4AF3" w:rsidP="00AD4AF3">
            <w:pPr>
              <w:pStyle w:val="TableText"/>
              <w:jc w:val="center"/>
              <w:rPr>
                <w:noProof/>
              </w:rPr>
            </w:pPr>
          </w:p>
        </w:tc>
        <w:tc>
          <w:tcPr>
            <w:tcW w:w="1276" w:type="dxa"/>
          </w:tcPr>
          <w:p w14:paraId="2CECCC5F" w14:textId="0DC5407F" w:rsidR="00AD4AF3" w:rsidRPr="003805E3" w:rsidRDefault="00AD4AF3" w:rsidP="00AD4AF3">
            <w:pPr>
              <w:pStyle w:val="TableText"/>
              <w:rPr>
                <w:noProof/>
              </w:rPr>
            </w:pPr>
            <w:r>
              <w:rPr>
                <w:noProof/>
              </w:rPr>
              <w:t>Interreg NEXT BSB</w:t>
            </w:r>
          </w:p>
        </w:tc>
        <w:tc>
          <w:tcPr>
            <w:tcW w:w="992" w:type="dxa"/>
          </w:tcPr>
          <w:p w14:paraId="136930A2" w14:textId="77777777" w:rsidR="00AD4AF3" w:rsidRPr="003805E3" w:rsidRDefault="00AD4AF3" w:rsidP="00AD4AF3">
            <w:pPr>
              <w:pStyle w:val="TableText"/>
              <w:jc w:val="center"/>
              <w:rPr>
                <w:noProof/>
              </w:rPr>
            </w:pPr>
            <w:r>
              <w:rPr>
                <w:noProof/>
              </w:rPr>
              <w:t>0,76</w:t>
            </w:r>
          </w:p>
        </w:tc>
        <w:tc>
          <w:tcPr>
            <w:tcW w:w="2765" w:type="dxa"/>
          </w:tcPr>
          <w:p w14:paraId="457B66D8" w14:textId="3F94FE8D" w:rsidR="00AD4AF3" w:rsidRPr="003805E3" w:rsidRDefault="00AD4AF3" w:rsidP="00AD4AF3">
            <w:pPr>
              <w:pStyle w:val="TableText"/>
              <w:rPr>
                <w:noProof/>
              </w:rPr>
            </w:pPr>
            <w:r>
              <w:rPr>
                <w:noProof/>
              </w:rPr>
              <w:t xml:space="preserve">Renforcement des capacités d’intervention d’urgence et de sauvetage en cas de séisme </w:t>
            </w:r>
          </w:p>
        </w:tc>
      </w:tr>
      <w:tr w:rsidR="00FB22F2" w:rsidRPr="003805E3" w14:paraId="57CA0B79" w14:textId="77777777" w:rsidTr="00FB22F2">
        <w:tc>
          <w:tcPr>
            <w:tcW w:w="3403" w:type="dxa"/>
            <w:shd w:val="clear" w:color="auto" w:fill="FFFFFF" w:themeFill="background1"/>
          </w:tcPr>
          <w:p w14:paraId="721CD0DF" w14:textId="77777777" w:rsidR="00AD4AF3" w:rsidRPr="003805E3" w:rsidRDefault="00AD4AF3" w:rsidP="00AD4AF3">
            <w:pPr>
              <w:pStyle w:val="TableText"/>
              <w:rPr>
                <w:noProof/>
              </w:rPr>
            </w:pPr>
            <w:r>
              <w:rPr>
                <w:noProof/>
              </w:rPr>
              <w:t>DARE-EU</w:t>
            </w:r>
          </w:p>
        </w:tc>
        <w:tc>
          <w:tcPr>
            <w:tcW w:w="1279" w:type="dxa"/>
          </w:tcPr>
          <w:p w14:paraId="5685EDE0" w14:textId="77777777" w:rsidR="00AD4AF3" w:rsidRPr="003805E3" w:rsidRDefault="00AD4AF3" w:rsidP="00AD4AF3">
            <w:pPr>
              <w:pStyle w:val="TableText"/>
              <w:rPr>
                <w:noProof/>
              </w:rPr>
            </w:pPr>
            <w:r>
              <w:rPr>
                <w:noProof/>
              </w:rPr>
              <w:t>12.2025 – 12.2027</w:t>
            </w:r>
          </w:p>
        </w:tc>
        <w:tc>
          <w:tcPr>
            <w:tcW w:w="555" w:type="dxa"/>
          </w:tcPr>
          <w:p w14:paraId="6B0395BF" w14:textId="77777777" w:rsidR="00AD4AF3" w:rsidRPr="003805E3" w:rsidRDefault="00AD4AF3" w:rsidP="00AD4AF3">
            <w:pPr>
              <w:pStyle w:val="TableText"/>
              <w:jc w:val="center"/>
              <w:rPr>
                <w:noProof/>
              </w:rPr>
            </w:pPr>
            <w:r>
              <w:rPr>
                <w:noProof/>
              </w:rPr>
              <w:t>■</w:t>
            </w:r>
          </w:p>
        </w:tc>
        <w:tc>
          <w:tcPr>
            <w:tcW w:w="567" w:type="dxa"/>
          </w:tcPr>
          <w:p w14:paraId="0394A565" w14:textId="77777777" w:rsidR="00AD4AF3" w:rsidRPr="003805E3" w:rsidRDefault="00AD4AF3" w:rsidP="00AD4AF3">
            <w:pPr>
              <w:pStyle w:val="TableText"/>
              <w:jc w:val="center"/>
              <w:rPr>
                <w:noProof/>
              </w:rPr>
            </w:pPr>
          </w:p>
        </w:tc>
        <w:tc>
          <w:tcPr>
            <w:tcW w:w="567" w:type="dxa"/>
          </w:tcPr>
          <w:p w14:paraId="7899C178" w14:textId="77777777" w:rsidR="00AD4AF3" w:rsidRPr="003805E3" w:rsidRDefault="00AD4AF3" w:rsidP="00AD4AF3">
            <w:pPr>
              <w:pStyle w:val="TableText"/>
              <w:jc w:val="center"/>
              <w:rPr>
                <w:noProof/>
              </w:rPr>
            </w:pPr>
          </w:p>
        </w:tc>
        <w:tc>
          <w:tcPr>
            <w:tcW w:w="567" w:type="dxa"/>
          </w:tcPr>
          <w:p w14:paraId="3DA0181F" w14:textId="77777777" w:rsidR="00AD4AF3" w:rsidRPr="003805E3" w:rsidRDefault="00AD4AF3" w:rsidP="00AD4AF3">
            <w:pPr>
              <w:pStyle w:val="TableText"/>
              <w:jc w:val="center"/>
              <w:rPr>
                <w:noProof/>
              </w:rPr>
            </w:pPr>
          </w:p>
        </w:tc>
        <w:tc>
          <w:tcPr>
            <w:tcW w:w="567" w:type="dxa"/>
          </w:tcPr>
          <w:p w14:paraId="41CA3D18" w14:textId="77777777" w:rsidR="00AD4AF3" w:rsidRPr="003805E3" w:rsidRDefault="00AD4AF3" w:rsidP="00AD4AF3">
            <w:pPr>
              <w:pStyle w:val="TableText"/>
              <w:jc w:val="center"/>
              <w:rPr>
                <w:noProof/>
              </w:rPr>
            </w:pPr>
          </w:p>
        </w:tc>
        <w:tc>
          <w:tcPr>
            <w:tcW w:w="567" w:type="dxa"/>
          </w:tcPr>
          <w:p w14:paraId="0696A7C6" w14:textId="77777777" w:rsidR="00AD4AF3" w:rsidRPr="003805E3" w:rsidRDefault="00AD4AF3" w:rsidP="00AD4AF3">
            <w:pPr>
              <w:pStyle w:val="TableText"/>
              <w:jc w:val="center"/>
              <w:rPr>
                <w:noProof/>
              </w:rPr>
            </w:pPr>
          </w:p>
        </w:tc>
        <w:tc>
          <w:tcPr>
            <w:tcW w:w="567" w:type="dxa"/>
          </w:tcPr>
          <w:p w14:paraId="5CAF198A" w14:textId="77777777" w:rsidR="00AD4AF3" w:rsidRPr="003805E3" w:rsidRDefault="00AD4AF3" w:rsidP="00AD4AF3">
            <w:pPr>
              <w:pStyle w:val="TableText"/>
              <w:jc w:val="center"/>
              <w:rPr>
                <w:noProof/>
              </w:rPr>
            </w:pPr>
            <w:r>
              <w:rPr>
                <w:noProof/>
              </w:rPr>
              <w:t>■</w:t>
            </w:r>
          </w:p>
        </w:tc>
        <w:tc>
          <w:tcPr>
            <w:tcW w:w="567" w:type="dxa"/>
          </w:tcPr>
          <w:p w14:paraId="4473AF54" w14:textId="77777777" w:rsidR="00AD4AF3" w:rsidRPr="003805E3" w:rsidRDefault="00AD4AF3" w:rsidP="00AD4AF3">
            <w:pPr>
              <w:pStyle w:val="TableText"/>
              <w:jc w:val="center"/>
              <w:rPr>
                <w:noProof/>
              </w:rPr>
            </w:pPr>
            <w:r>
              <w:rPr>
                <w:noProof/>
              </w:rPr>
              <w:t>■</w:t>
            </w:r>
          </w:p>
        </w:tc>
        <w:tc>
          <w:tcPr>
            <w:tcW w:w="567" w:type="dxa"/>
          </w:tcPr>
          <w:p w14:paraId="251A0E72" w14:textId="77777777" w:rsidR="00AD4AF3" w:rsidRPr="003805E3" w:rsidRDefault="00AD4AF3" w:rsidP="00AD4AF3">
            <w:pPr>
              <w:pStyle w:val="TableText"/>
              <w:jc w:val="center"/>
              <w:rPr>
                <w:noProof/>
              </w:rPr>
            </w:pPr>
          </w:p>
        </w:tc>
        <w:tc>
          <w:tcPr>
            <w:tcW w:w="1276" w:type="dxa"/>
          </w:tcPr>
          <w:p w14:paraId="73A8F896" w14:textId="0E112A91" w:rsidR="00AD4AF3" w:rsidRPr="003805E3" w:rsidRDefault="00AD4AF3" w:rsidP="00AD4AF3">
            <w:pPr>
              <w:pStyle w:val="TableText"/>
              <w:rPr>
                <w:noProof/>
              </w:rPr>
            </w:pPr>
            <w:r>
              <w:rPr>
                <w:noProof/>
              </w:rPr>
              <w:t>Interreg NEXT BSB</w:t>
            </w:r>
          </w:p>
        </w:tc>
        <w:tc>
          <w:tcPr>
            <w:tcW w:w="992" w:type="dxa"/>
          </w:tcPr>
          <w:p w14:paraId="34559624" w14:textId="77777777" w:rsidR="00AD4AF3" w:rsidRPr="003805E3" w:rsidRDefault="00AD4AF3" w:rsidP="00AD4AF3">
            <w:pPr>
              <w:pStyle w:val="TableText"/>
              <w:jc w:val="center"/>
              <w:rPr>
                <w:noProof/>
              </w:rPr>
            </w:pPr>
            <w:r>
              <w:rPr>
                <w:noProof/>
              </w:rPr>
              <w:t>2,33</w:t>
            </w:r>
          </w:p>
        </w:tc>
        <w:tc>
          <w:tcPr>
            <w:tcW w:w="2765" w:type="dxa"/>
          </w:tcPr>
          <w:p w14:paraId="526DC276" w14:textId="22F5FD90" w:rsidR="00AD4AF3" w:rsidRPr="003805E3" w:rsidRDefault="00AD4AF3" w:rsidP="00AD4AF3">
            <w:pPr>
              <w:pStyle w:val="TableText"/>
              <w:rPr>
                <w:noProof/>
              </w:rPr>
            </w:pPr>
            <w:r>
              <w:rPr>
                <w:noProof/>
              </w:rPr>
              <w:t>Assistance et intervention en cas de catastrophe en Moldavie, en Bulgarie et en Turquie</w:t>
            </w:r>
          </w:p>
        </w:tc>
      </w:tr>
      <w:tr w:rsidR="00FB22F2" w:rsidRPr="003805E3" w14:paraId="080DBEE0" w14:textId="77777777" w:rsidTr="00FB22F2">
        <w:tc>
          <w:tcPr>
            <w:tcW w:w="3403" w:type="dxa"/>
            <w:shd w:val="clear" w:color="auto" w:fill="FFFFFF" w:themeFill="background1"/>
          </w:tcPr>
          <w:p w14:paraId="7D26FC4B" w14:textId="77777777" w:rsidR="00AD4AF3" w:rsidRPr="003805E3" w:rsidRDefault="00AD4AF3" w:rsidP="00AD4AF3">
            <w:pPr>
              <w:pStyle w:val="TableText"/>
              <w:rPr>
                <w:noProof/>
              </w:rPr>
            </w:pPr>
            <w:r>
              <w:rPr>
                <w:noProof/>
              </w:rPr>
              <w:t>REDA_NEXt</w:t>
            </w:r>
          </w:p>
        </w:tc>
        <w:tc>
          <w:tcPr>
            <w:tcW w:w="1279" w:type="dxa"/>
          </w:tcPr>
          <w:p w14:paraId="5BA9B331" w14:textId="77777777" w:rsidR="00AD4AF3" w:rsidRPr="003805E3" w:rsidRDefault="00AD4AF3" w:rsidP="00AD4AF3">
            <w:pPr>
              <w:pStyle w:val="TableText"/>
              <w:rPr>
                <w:noProof/>
              </w:rPr>
            </w:pPr>
            <w:r>
              <w:rPr>
                <w:noProof/>
              </w:rPr>
              <w:t>10.2025 – 03.2027</w:t>
            </w:r>
          </w:p>
        </w:tc>
        <w:tc>
          <w:tcPr>
            <w:tcW w:w="555" w:type="dxa"/>
          </w:tcPr>
          <w:p w14:paraId="184C5903" w14:textId="77777777" w:rsidR="00AD4AF3" w:rsidRPr="003805E3" w:rsidRDefault="00AD4AF3" w:rsidP="00AD4AF3">
            <w:pPr>
              <w:pStyle w:val="TableText"/>
              <w:jc w:val="center"/>
              <w:rPr>
                <w:noProof/>
              </w:rPr>
            </w:pPr>
          </w:p>
        </w:tc>
        <w:tc>
          <w:tcPr>
            <w:tcW w:w="567" w:type="dxa"/>
          </w:tcPr>
          <w:p w14:paraId="43FF8562" w14:textId="77777777" w:rsidR="00AD4AF3" w:rsidRPr="003805E3" w:rsidRDefault="00AD4AF3" w:rsidP="00AD4AF3">
            <w:pPr>
              <w:pStyle w:val="TableText"/>
              <w:jc w:val="center"/>
              <w:rPr>
                <w:noProof/>
              </w:rPr>
            </w:pPr>
            <w:r>
              <w:rPr>
                <w:noProof/>
              </w:rPr>
              <w:t>■</w:t>
            </w:r>
          </w:p>
        </w:tc>
        <w:tc>
          <w:tcPr>
            <w:tcW w:w="567" w:type="dxa"/>
          </w:tcPr>
          <w:p w14:paraId="3CACCA68" w14:textId="77777777" w:rsidR="00AD4AF3" w:rsidRPr="003805E3" w:rsidRDefault="00AD4AF3" w:rsidP="00AD4AF3">
            <w:pPr>
              <w:pStyle w:val="TableText"/>
              <w:jc w:val="center"/>
              <w:rPr>
                <w:noProof/>
              </w:rPr>
            </w:pPr>
            <w:r>
              <w:rPr>
                <w:noProof/>
              </w:rPr>
              <w:t>■</w:t>
            </w:r>
          </w:p>
        </w:tc>
        <w:tc>
          <w:tcPr>
            <w:tcW w:w="567" w:type="dxa"/>
          </w:tcPr>
          <w:p w14:paraId="4BDDCE66" w14:textId="77777777" w:rsidR="00AD4AF3" w:rsidRPr="003805E3" w:rsidRDefault="00AD4AF3" w:rsidP="00AD4AF3">
            <w:pPr>
              <w:pStyle w:val="TableText"/>
              <w:jc w:val="center"/>
              <w:rPr>
                <w:noProof/>
              </w:rPr>
            </w:pPr>
          </w:p>
        </w:tc>
        <w:tc>
          <w:tcPr>
            <w:tcW w:w="567" w:type="dxa"/>
          </w:tcPr>
          <w:p w14:paraId="1743F7FF" w14:textId="77777777" w:rsidR="00AD4AF3" w:rsidRPr="003805E3" w:rsidRDefault="00AD4AF3" w:rsidP="00AD4AF3">
            <w:pPr>
              <w:pStyle w:val="TableText"/>
              <w:jc w:val="center"/>
              <w:rPr>
                <w:noProof/>
              </w:rPr>
            </w:pPr>
          </w:p>
        </w:tc>
        <w:tc>
          <w:tcPr>
            <w:tcW w:w="567" w:type="dxa"/>
          </w:tcPr>
          <w:p w14:paraId="258DBC6B" w14:textId="77777777" w:rsidR="00AD4AF3" w:rsidRPr="003805E3" w:rsidRDefault="00AD4AF3" w:rsidP="00AD4AF3">
            <w:pPr>
              <w:pStyle w:val="TableText"/>
              <w:jc w:val="center"/>
              <w:rPr>
                <w:noProof/>
              </w:rPr>
            </w:pPr>
          </w:p>
        </w:tc>
        <w:tc>
          <w:tcPr>
            <w:tcW w:w="567" w:type="dxa"/>
          </w:tcPr>
          <w:p w14:paraId="498212FD" w14:textId="77777777" w:rsidR="00AD4AF3" w:rsidRPr="003805E3" w:rsidRDefault="00AD4AF3" w:rsidP="00AD4AF3">
            <w:pPr>
              <w:pStyle w:val="TableText"/>
              <w:jc w:val="center"/>
              <w:rPr>
                <w:noProof/>
              </w:rPr>
            </w:pPr>
          </w:p>
        </w:tc>
        <w:tc>
          <w:tcPr>
            <w:tcW w:w="567" w:type="dxa"/>
          </w:tcPr>
          <w:p w14:paraId="1E1F3DA4" w14:textId="77777777" w:rsidR="00AD4AF3" w:rsidRPr="003805E3" w:rsidRDefault="00AD4AF3" w:rsidP="00AD4AF3">
            <w:pPr>
              <w:pStyle w:val="TableText"/>
              <w:jc w:val="center"/>
              <w:rPr>
                <w:noProof/>
              </w:rPr>
            </w:pPr>
            <w:r>
              <w:rPr>
                <w:noProof/>
              </w:rPr>
              <w:t>■</w:t>
            </w:r>
          </w:p>
        </w:tc>
        <w:tc>
          <w:tcPr>
            <w:tcW w:w="567" w:type="dxa"/>
          </w:tcPr>
          <w:p w14:paraId="2F8C8C3A" w14:textId="77777777" w:rsidR="00AD4AF3" w:rsidRPr="003805E3" w:rsidRDefault="00AD4AF3" w:rsidP="00AD4AF3">
            <w:pPr>
              <w:pStyle w:val="TableText"/>
              <w:jc w:val="center"/>
              <w:rPr>
                <w:noProof/>
              </w:rPr>
            </w:pPr>
          </w:p>
        </w:tc>
        <w:tc>
          <w:tcPr>
            <w:tcW w:w="1276" w:type="dxa"/>
          </w:tcPr>
          <w:p w14:paraId="3DEC6A22" w14:textId="3EBB118F" w:rsidR="00AD4AF3" w:rsidRPr="003805E3" w:rsidRDefault="00AD4AF3" w:rsidP="00AD4AF3">
            <w:pPr>
              <w:pStyle w:val="TableText"/>
              <w:rPr>
                <w:noProof/>
              </w:rPr>
            </w:pPr>
            <w:r>
              <w:rPr>
                <w:noProof/>
              </w:rPr>
              <w:t>Interreg NEXT BSB</w:t>
            </w:r>
          </w:p>
        </w:tc>
        <w:tc>
          <w:tcPr>
            <w:tcW w:w="992" w:type="dxa"/>
          </w:tcPr>
          <w:p w14:paraId="31B064C2" w14:textId="77777777" w:rsidR="00AD4AF3" w:rsidRPr="003805E3" w:rsidRDefault="00AD4AF3" w:rsidP="00AD4AF3">
            <w:pPr>
              <w:pStyle w:val="TableText"/>
              <w:jc w:val="center"/>
              <w:rPr>
                <w:noProof/>
              </w:rPr>
            </w:pPr>
            <w:r>
              <w:rPr>
                <w:noProof/>
              </w:rPr>
              <w:t>0,50</w:t>
            </w:r>
          </w:p>
        </w:tc>
        <w:tc>
          <w:tcPr>
            <w:tcW w:w="2765" w:type="dxa"/>
          </w:tcPr>
          <w:p w14:paraId="5716281D" w14:textId="3BC01D4B" w:rsidR="00AD4AF3" w:rsidRPr="003805E3" w:rsidRDefault="00AD4AF3" w:rsidP="00AD4AF3">
            <w:pPr>
              <w:pStyle w:val="TableText"/>
              <w:rPr>
                <w:noProof/>
              </w:rPr>
            </w:pPr>
            <w:r>
              <w:rPr>
                <w:noProof/>
              </w:rPr>
              <w:t>Évaluation rapide des dommages causés par un séisme – élargi</w:t>
            </w:r>
          </w:p>
        </w:tc>
      </w:tr>
      <w:tr w:rsidR="00FB22F2" w:rsidRPr="003805E3" w14:paraId="747399EA" w14:textId="77777777" w:rsidTr="00FB22F2">
        <w:tc>
          <w:tcPr>
            <w:tcW w:w="3403" w:type="dxa"/>
            <w:shd w:val="clear" w:color="auto" w:fill="FFFFFF" w:themeFill="background1"/>
          </w:tcPr>
          <w:p w14:paraId="12603ECA" w14:textId="77777777" w:rsidR="00AD4AF3" w:rsidRPr="003805E3" w:rsidRDefault="00AD4AF3" w:rsidP="00AD4AF3">
            <w:pPr>
              <w:pStyle w:val="TableText"/>
              <w:rPr>
                <w:noProof/>
              </w:rPr>
            </w:pPr>
            <w:r>
              <w:rPr>
                <w:noProof/>
              </w:rPr>
              <w:t>GREEN URBAN RESILIENCE</w:t>
            </w:r>
          </w:p>
        </w:tc>
        <w:tc>
          <w:tcPr>
            <w:tcW w:w="1279" w:type="dxa"/>
          </w:tcPr>
          <w:p w14:paraId="115593B1" w14:textId="77777777" w:rsidR="00AD4AF3" w:rsidRPr="003805E3" w:rsidRDefault="00AD4AF3" w:rsidP="00AD4AF3">
            <w:pPr>
              <w:pStyle w:val="TableText"/>
              <w:rPr>
                <w:noProof/>
              </w:rPr>
            </w:pPr>
            <w:r>
              <w:rPr>
                <w:noProof/>
              </w:rPr>
              <w:t>07.2024 – 09.2026</w:t>
            </w:r>
          </w:p>
        </w:tc>
        <w:tc>
          <w:tcPr>
            <w:tcW w:w="555" w:type="dxa"/>
          </w:tcPr>
          <w:p w14:paraId="1B0FABA5" w14:textId="77777777" w:rsidR="00AD4AF3" w:rsidRPr="003805E3" w:rsidRDefault="00AD4AF3" w:rsidP="00AD4AF3">
            <w:pPr>
              <w:pStyle w:val="TableText"/>
              <w:jc w:val="center"/>
              <w:rPr>
                <w:noProof/>
              </w:rPr>
            </w:pPr>
            <w:r>
              <w:rPr>
                <w:noProof/>
              </w:rPr>
              <w:t>■</w:t>
            </w:r>
          </w:p>
        </w:tc>
        <w:tc>
          <w:tcPr>
            <w:tcW w:w="567" w:type="dxa"/>
          </w:tcPr>
          <w:p w14:paraId="43389136" w14:textId="77777777" w:rsidR="00AD4AF3" w:rsidRPr="003805E3" w:rsidRDefault="00AD4AF3" w:rsidP="00AD4AF3">
            <w:pPr>
              <w:pStyle w:val="TableText"/>
              <w:jc w:val="center"/>
              <w:rPr>
                <w:noProof/>
              </w:rPr>
            </w:pPr>
            <w:r>
              <w:rPr>
                <w:noProof/>
              </w:rPr>
              <w:t>■</w:t>
            </w:r>
          </w:p>
        </w:tc>
        <w:tc>
          <w:tcPr>
            <w:tcW w:w="567" w:type="dxa"/>
          </w:tcPr>
          <w:p w14:paraId="6C27AE44" w14:textId="77777777" w:rsidR="00AD4AF3" w:rsidRPr="003805E3" w:rsidRDefault="00AD4AF3" w:rsidP="00AD4AF3">
            <w:pPr>
              <w:pStyle w:val="TableText"/>
              <w:jc w:val="center"/>
              <w:rPr>
                <w:noProof/>
              </w:rPr>
            </w:pPr>
          </w:p>
        </w:tc>
        <w:tc>
          <w:tcPr>
            <w:tcW w:w="567" w:type="dxa"/>
          </w:tcPr>
          <w:p w14:paraId="495544E3" w14:textId="77777777" w:rsidR="00AD4AF3" w:rsidRPr="003805E3" w:rsidRDefault="00AD4AF3" w:rsidP="00AD4AF3">
            <w:pPr>
              <w:pStyle w:val="TableText"/>
              <w:jc w:val="center"/>
              <w:rPr>
                <w:noProof/>
              </w:rPr>
            </w:pPr>
          </w:p>
        </w:tc>
        <w:tc>
          <w:tcPr>
            <w:tcW w:w="567" w:type="dxa"/>
          </w:tcPr>
          <w:p w14:paraId="67409EBD" w14:textId="77777777" w:rsidR="00AD4AF3" w:rsidRPr="003805E3" w:rsidRDefault="00AD4AF3" w:rsidP="00AD4AF3">
            <w:pPr>
              <w:pStyle w:val="TableText"/>
              <w:jc w:val="center"/>
              <w:rPr>
                <w:noProof/>
              </w:rPr>
            </w:pPr>
          </w:p>
        </w:tc>
        <w:tc>
          <w:tcPr>
            <w:tcW w:w="567" w:type="dxa"/>
          </w:tcPr>
          <w:p w14:paraId="3516B68A" w14:textId="77777777" w:rsidR="00AD4AF3" w:rsidRPr="003805E3" w:rsidRDefault="00AD4AF3" w:rsidP="00AD4AF3">
            <w:pPr>
              <w:pStyle w:val="TableText"/>
              <w:jc w:val="center"/>
              <w:rPr>
                <w:noProof/>
              </w:rPr>
            </w:pPr>
            <w:r>
              <w:rPr>
                <w:noProof/>
              </w:rPr>
              <w:t>■</w:t>
            </w:r>
          </w:p>
        </w:tc>
        <w:tc>
          <w:tcPr>
            <w:tcW w:w="567" w:type="dxa"/>
          </w:tcPr>
          <w:p w14:paraId="4365ABF7" w14:textId="77777777" w:rsidR="00AD4AF3" w:rsidRPr="003805E3" w:rsidRDefault="00AD4AF3" w:rsidP="00AD4AF3">
            <w:pPr>
              <w:pStyle w:val="TableText"/>
              <w:jc w:val="center"/>
              <w:rPr>
                <w:noProof/>
              </w:rPr>
            </w:pPr>
          </w:p>
        </w:tc>
        <w:tc>
          <w:tcPr>
            <w:tcW w:w="567" w:type="dxa"/>
          </w:tcPr>
          <w:p w14:paraId="2E8308C9" w14:textId="77777777" w:rsidR="00AD4AF3" w:rsidRPr="003805E3" w:rsidRDefault="00AD4AF3" w:rsidP="00AD4AF3">
            <w:pPr>
              <w:pStyle w:val="TableText"/>
              <w:jc w:val="center"/>
              <w:rPr>
                <w:noProof/>
              </w:rPr>
            </w:pPr>
            <w:r>
              <w:rPr>
                <w:noProof/>
              </w:rPr>
              <w:t>■</w:t>
            </w:r>
          </w:p>
        </w:tc>
        <w:tc>
          <w:tcPr>
            <w:tcW w:w="567" w:type="dxa"/>
          </w:tcPr>
          <w:p w14:paraId="73F4C9A1" w14:textId="77777777" w:rsidR="00AD4AF3" w:rsidRPr="003805E3" w:rsidRDefault="00AD4AF3" w:rsidP="00AD4AF3">
            <w:pPr>
              <w:pStyle w:val="TableText"/>
              <w:jc w:val="center"/>
              <w:rPr>
                <w:noProof/>
              </w:rPr>
            </w:pPr>
          </w:p>
        </w:tc>
        <w:tc>
          <w:tcPr>
            <w:tcW w:w="1276" w:type="dxa"/>
          </w:tcPr>
          <w:p w14:paraId="10E811B0" w14:textId="299D5EB0" w:rsidR="00AD4AF3" w:rsidRPr="003805E3" w:rsidRDefault="00AD4AF3" w:rsidP="00AD4AF3">
            <w:pPr>
              <w:pStyle w:val="TableText"/>
              <w:rPr>
                <w:noProof/>
              </w:rPr>
            </w:pPr>
            <w:r>
              <w:rPr>
                <w:noProof/>
              </w:rPr>
              <w:t>Interreg NEXT BSB</w:t>
            </w:r>
          </w:p>
        </w:tc>
        <w:tc>
          <w:tcPr>
            <w:tcW w:w="992" w:type="dxa"/>
          </w:tcPr>
          <w:p w14:paraId="31FB4B81" w14:textId="77777777" w:rsidR="00AD4AF3" w:rsidRPr="003805E3" w:rsidRDefault="00AD4AF3" w:rsidP="00AD4AF3">
            <w:pPr>
              <w:pStyle w:val="TableText"/>
              <w:jc w:val="center"/>
              <w:rPr>
                <w:noProof/>
              </w:rPr>
            </w:pPr>
            <w:r>
              <w:rPr>
                <w:noProof/>
              </w:rPr>
              <w:t>1,29</w:t>
            </w:r>
          </w:p>
        </w:tc>
        <w:tc>
          <w:tcPr>
            <w:tcW w:w="2765" w:type="dxa"/>
          </w:tcPr>
          <w:p w14:paraId="108C610B" w14:textId="77777777" w:rsidR="00AD4AF3" w:rsidRPr="003805E3" w:rsidRDefault="00AD4AF3" w:rsidP="00AD4AF3">
            <w:pPr>
              <w:pStyle w:val="TableText"/>
              <w:rPr>
                <w:noProof/>
              </w:rPr>
            </w:pPr>
            <w:r>
              <w:rPr>
                <w:noProof/>
              </w:rPr>
              <w:t xml:space="preserve">Solutions écologiques pour les zones urbaines face au changement climatique, au stress thermique et aux inconforts thermiques </w:t>
            </w:r>
          </w:p>
        </w:tc>
      </w:tr>
      <w:tr w:rsidR="00FB22F2" w:rsidRPr="003805E3" w14:paraId="548BCAB7" w14:textId="77777777" w:rsidTr="00FB22F2">
        <w:tc>
          <w:tcPr>
            <w:tcW w:w="3403" w:type="dxa"/>
          </w:tcPr>
          <w:p w14:paraId="11E4ABAF" w14:textId="77777777" w:rsidR="00AD4AF3" w:rsidRPr="003805E3" w:rsidRDefault="00AD4AF3" w:rsidP="00AD4AF3">
            <w:pPr>
              <w:pStyle w:val="TableText"/>
              <w:rPr>
                <w:noProof/>
              </w:rPr>
            </w:pPr>
            <w:r>
              <w:rPr>
                <w:noProof/>
              </w:rPr>
              <w:t>LEARN4SEA</w:t>
            </w:r>
          </w:p>
        </w:tc>
        <w:tc>
          <w:tcPr>
            <w:tcW w:w="1279" w:type="dxa"/>
          </w:tcPr>
          <w:p w14:paraId="0C9B0DDA" w14:textId="77777777" w:rsidR="00AD4AF3" w:rsidRPr="003805E3" w:rsidRDefault="00AD4AF3" w:rsidP="00AD4AF3">
            <w:pPr>
              <w:pStyle w:val="TableText"/>
              <w:rPr>
                <w:noProof/>
              </w:rPr>
            </w:pPr>
            <w:r>
              <w:rPr>
                <w:noProof/>
              </w:rPr>
              <w:t>06.2024 – 08.2026</w:t>
            </w:r>
          </w:p>
        </w:tc>
        <w:tc>
          <w:tcPr>
            <w:tcW w:w="555" w:type="dxa"/>
          </w:tcPr>
          <w:p w14:paraId="336F1D4B" w14:textId="77777777" w:rsidR="00AD4AF3" w:rsidRPr="003805E3" w:rsidRDefault="00AD4AF3" w:rsidP="00AD4AF3">
            <w:pPr>
              <w:pStyle w:val="TableText"/>
              <w:jc w:val="center"/>
              <w:rPr>
                <w:noProof/>
              </w:rPr>
            </w:pPr>
            <w:r>
              <w:rPr>
                <w:noProof/>
              </w:rPr>
              <w:t>■</w:t>
            </w:r>
          </w:p>
        </w:tc>
        <w:tc>
          <w:tcPr>
            <w:tcW w:w="567" w:type="dxa"/>
          </w:tcPr>
          <w:p w14:paraId="48C38975" w14:textId="77777777" w:rsidR="00AD4AF3" w:rsidRPr="003805E3" w:rsidRDefault="00AD4AF3" w:rsidP="00AD4AF3">
            <w:pPr>
              <w:pStyle w:val="TableText"/>
              <w:jc w:val="center"/>
              <w:rPr>
                <w:noProof/>
              </w:rPr>
            </w:pPr>
          </w:p>
        </w:tc>
        <w:tc>
          <w:tcPr>
            <w:tcW w:w="567" w:type="dxa"/>
          </w:tcPr>
          <w:p w14:paraId="107D24B9" w14:textId="77777777" w:rsidR="00AD4AF3" w:rsidRPr="003805E3" w:rsidRDefault="00AD4AF3" w:rsidP="00AD4AF3">
            <w:pPr>
              <w:pStyle w:val="TableText"/>
              <w:jc w:val="center"/>
              <w:rPr>
                <w:noProof/>
              </w:rPr>
            </w:pPr>
            <w:r>
              <w:rPr>
                <w:noProof/>
              </w:rPr>
              <w:t>■</w:t>
            </w:r>
          </w:p>
        </w:tc>
        <w:tc>
          <w:tcPr>
            <w:tcW w:w="567" w:type="dxa"/>
          </w:tcPr>
          <w:p w14:paraId="2BF6912B" w14:textId="77777777" w:rsidR="00AD4AF3" w:rsidRPr="003805E3" w:rsidRDefault="00AD4AF3" w:rsidP="00AD4AF3">
            <w:pPr>
              <w:pStyle w:val="TableText"/>
              <w:jc w:val="center"/>
              <w:rPr>
                <w:noProof/>
              </w:rPr>
            </w:pPr>
          </w:p>
        </w:tc>
        <w:tc>
          <w:tcPr>
            <w:tcW w:w="567" w:type="dxa"/>
          </w:tcPr>
          <w:p w14:paraId="2D2BEECC" w14:textId="77777777" w:rsidR="00AD4AF3" w:rsidRPr="003805E3" w:rsidRDefault="00AD4AF3" w:rsidP="00AD4AF3">
            <w:pPr>
              <w:pStyle w:val="TableText"/>
              <w:jc w:val="center"/>
              <w:rPr>
                <w:noProof/>
              </w:rPr>
            </w:pPr>
          </w:p>
        </w:tc>
        <w:tc>
          <w:tcPr>
            <w:tcW w:w="567" w:type="dxa"/>
          </w:tcPr>
          <w:p w14:paraId="0974C93A" w14:textId="77777777" w:rsidR="00AD4AF3" w:rsidRPr="003805E3" w:rsidRDefault="00AD4AF3" w:rsidP="00AD4AF3">
            <w:pPr>
              <w:pStyle w:val="TableText"/>
              <w:jc w:val="center"/>
              <w:rPr>
                <w:noProof/>
              </w:rPr>
            </w:pPr>
            <w:r>
              <w:rPr>
                <w:noProof/>
              </w:rPr>
              <w:t>■</w:t>
            </w:r>
          </w:p>
        </w:tc>
        <w:tc>
          <w:tcPr>
            <w:tcW w:w="567" w:type="dxa"/>
          </w:tcPr>
          <w:p w14:paraId="605863A0" w14:textId="77777777" w:rsidR="00AD4AF3" w:rsidRPr="003805E3" w:rsidRDefault="00AD4AF3" w:rsidP="00AD4AF3">
            <w:pPr>
              <w:pStyle w:val="TableText"/>
              <w:jc w:val="center"/>
              <w:rPr>
                <w:noProof/>
              </w:rPr>
            </w:pPr>
          </w:p>
        </w:tc>
        <w:tc>
          <w:tcPr>
            <w:tcW w:w="567" w:type="dxa"/>
          </w:tcPr>
          <w:p w14:paraId="39F2DBC0" w14:textId="77777777" w:rsidR="00AD4AF3" w:rsidRPr="003805E3" w:rsidRDefault="00AD4AF3" w:rsidP="00AD4AF3">
            <w:pPr>
              <w:pStyle w:val="TableText"/>
              <w:jc w:val="center"/>
              <w:rPr>
                <w:noProof/>
              </w:rPr>
            </w:pPr>
            <w:r>
              <w:rPr>
                <w:noProof/>
              </w:rPr>
              <w:t>■</w:t>
            </w:r>
          </w:p>
        </w:tc>
        <w:tc>
          <w:tcPr>
            <w:tcW w:w="567" w:type="dxa"/>
          </w:tcPr>
          <w:p w14:paraId="34E51A6F" w14:textId="77777777" w:rsidR="00AD4AF3" w:rsidRPr="003805E3" w:rsidRDefault="00AD4AF3" w:rsidP="00AD4AF3">
            <w:pPr>
              <w:pStyle w:val="TableText"/>
              <w:jc w:val="center"/>
              <w:rPr>
                <w:noProof/>
              </w:rPr>
            </w:pPr>
          </w:p>
        </w:tc>
        <w:tc>
          <w:tcPr>
            <w:tcW w:w="1276" w:type="dxa"/>
          </w:tcPr>
          <w:p w14:paraId="5433EB51" w14:textId="15464135" w:rsidR="00AD4AF3" w:rsidRPr="003805E3" w:rsidRDefault="00AD4AF3" w:rsidP="00AD4AF3">
            <w:pPr>
              <w:pStyle w:val="TableText"/>
              <w:rPr>
                <w:noProof/>
              </w:rPr>
            </w:pPr>
            <w:r>
              <w:rPr>
                <w:noProof/>
              </w:rPr>
              <w:t>Interreg NEXT BSB</w:t>
            </w:r>
          </w:p>
        </w:tc>
        <w:tc>
          <w:tcPr>
            <w:tcW w:w="992" w:type="dxa"/>
          </w:tcPr>
          <w:p w14:paraId="66D757D8" w14:textId="77777777" w:rsidR="00AD4AF3" w:rsidRPr="003805E3" w:rsidRDefault="00AD4AF3" w:rsidP="00AD4AF3">
            <w:pPr>
              <w:pStyle w:val="TableText"/>
              <w:jc w:val="center"/>
              <w:rPr>
                <w:noProof/>
              </w:rPr>
            </w:pPr>
            <w:r>
              <w:rPr>
                <w:noProof/>
              </w:rPr>
              <w:t>0,82</w:t>
            </w:r>
          </w:p>
        </w:tc>
        <w:tc>
          <w:tcPr>
            <w:tcW w:w="2765" w:type="dxa"/>
          </w:tcPr>
          <w:p w14:paraId="6E51D601" w14:textId="3ABA8EA5" w:rsidR="00AD4AF3" w:rsidRPr="003805E3" w:rsidRDefault="00AD4AF3" w:rsidP="00AD4AF3">
            <w:pPr>
              <w:pStyle w:val="TableText"/>
              <w:rPr>
                <w:noProof/>
              </w:rPr>
            </w:pPr>
            <w:r>
              <w:rPr>
                <w:noProof/>
              </w:rPr>
              <w:t>Apprentissage conjoint pour un comportement respectueux de l’environnement au niveau communautaire</w:t>
            </w:r>
          </w:p>
        </w:tc>
      </w:tr>
      <w:tr w:rsidR="00FB22F2" w:rsidRPr="003805E3" w14:paraId="570A0E88" w14:textId="77777777" w:rsidTr="00FB22F2">
        <w:tc>
          <w:tcPr>
            <w:tcW w:w="3403" w:type="dxa"/>
          </w:tcPr>
          <w:p w14:paraId="11ECAD1E" w14:textId="77777777" w:rsidR="00AD4AF3" w:rsidRPr="003805E3" w:rsidRDefault="00AD4AF3" w:rsidP="00AD4AF3">
            <w:pPr>
              <w:pStyle w:val="TableText"/>
              <w:rPr>
                <w:noProof/>
              </w:rPr>
            </w:pPr>
            <w:r>
              <w:rPr>
                <w:noProof/>
              </w:rPr>
              <w:t>CAGOS</w:t>
            </w:r>
          </w:p>
        </w:tc>
        <w:tc>
          <w:tcPr>
            <w:tcW w:w="1279" w:type="dxa"/>
          </w:tcPr>
          <w:p w14:paraId="3FBA1B2F" w14:textId="77777777" w:rsidR="00AD4AF3" w:rsidRPr="003805E3" w:rsidRDefault="00AD4AF3" w:rsidP="00AD4AF3">
            <w:pPr>
              <w:pStyle w:val="TableText"/>
              <w:rPr>
                <w:noProof/>
              </w:rPr>
            </w:pPr>
            <w:r>
              <w:rPr>
                <w:noProof/>
              </w:rPr>
              <w:t>06.2024 – 12.2026</w:t>
            </w:r>
          </w:p>
        </w:tc>
        <w:tc>
          <w:tcPr>
            <w:tcW w:w="555" w:type="dxa"/>
          </w:tcPr>
          <w:p w14:paraId="61B1B842" w14:textId="77777777" w:rsidR="00AD4AF3" w:rsidRPr="003805E3" w:rsidRDefault="00AD4AF3" w:rsidP="00AD4AF3">
            <w:pPr>
              <w:pStyle w:val="TableText"/>
              <w:jc w:val="center"/>
              <w:rPr>
                <w:noProof/>
              </w:rPr>
            </w:pPr>
            <w:r>
              <w:rPr>
                <w:noProof/>
              </w:rPr>
              <w:t>■</w:t>
            </w:r>
          </w:p>
        </w:tc>
        <w:tc>
          <w:tcPr>
            <w:tcW w:w="567" w:type="dxa"/>
          </w:tcPr>
          <w:p w14:paraId="79F6A22D" w14:textId="77777777" w:rsidR="00AD4AF3" w:rsidRPr="003805E3" w:rsidRDefault="00AD4AF3" w:rsidP="00AD4AF3">
            <w:pPr>
              <w:pStyle w:val="TableText"/>
              <w:jc w:val="center"/>
              <w:rPr>
                <w:noProof/>
              </w:rPr>
            </w:pPr>
          </w:p>
        </w:tc>
        <w:tc>
          <w:tcPr>
            <w:tcW w:w="567" w:type="dxa"/>
          </w:tcPr>
          <w:p w14:paraId="05B88F43" w14:textId="77777777" w:rsidR="00AD4AF3" w:rsidRPr="003805E3" w:rsidRDefault="00AD4AF3" w:rsidP="00AD4AF3">
            <w:pPr>
              <w:pStyle w:val="TableText"/>
              <w:jc w:val="center"/>
              <w:rPr>
                <w:noProof/>
              </w:rPr>
            </w:pPr>
            <w:r>
              <w:rPr>
                <w:noProof/>
              </w:rPr>
              <w:t>■</w:t>
            </w:r>
          </w:p>
        </w:tc>
        <w:tc>
          <w:tcPr>
            <w:tcW w:w="567" w:type="dxa"/>
          </w:tcPr>
          <w:p w14:paraId="145CBB02" w14:textId="77777777" w:rsidR="00AD4AF3" w:rsidRPr="003805E3" w:rsidRDefault="00AD4AF3" w:rsidP="00AD4AF3">
            <w:pPr>
              <w:pStyle w:val="TableText"/>
              <w:jc w:val="center"/>
              <w:rPr>
                <w:noProof/>
              </w:rPr>
            </w:pPr>
          </w:p>
        </w:tc>
        <w:tc>
          <w:tcPr>
            <w:tcW w:w="567" w:type="dxa"/>
          </w:tcPr>
          <w:p w14:paraId="447F0202" w14:textId="77777777" w:rsidR="00AD4AF3" w:rsidRPr="003805E3" w:rsidRDefault="00AD4AF3" w:rsidP="00AD4AF3">
            <w:pPr>
              <w:pStyle w:val="TableText"/>
              <w:jc w:val="center"/>
              <w:rPr>
                <w:noProof/>
              </w:rPr>
            </w:pPr>
          </w:p>
        </w:tc>
        <w:tc>
          <w:tcPr>
            <w:tcW w:w="567" w:type="dxa"/>
          </w:tcPr>
          <w:p w14:paraId="577CEF1A" w14:textId="77777777" w:rsidR="00AD4AF3" w:rsidRPr="003805E3" w:rsidRDefault="00AD4AF3" w:rsidP="00AD4AF3">
            <w:pPr>
              <w:pStyle w:val="TableText"/>
              <w:jc w:val="center"/>
              <w:rPr>
                <w:noProof/>
              </w:rPr>
            </w:pPr>
          </w:p>
        </w:tc>
        <w:tc>
          <w:tcPr>
            <w:tcW w:w="567" w:type="dxa"/>
          </w:tcPr>
          <w:p w14:paraId="6EED9342" w14:textId="77777777" w:rsidR="00AD4AF3" w:rsidRPr="003805E3" w:rsidRDefault="00AD4AF3" w:rsidP="00AD4AF3">
            <w:pPr>
              <w:pStyle w:val="TableText"/>
              <w:jc w:val="center"/>
              <w:rPr>
                <w:noProof/>
              </w:rPr>
            </w:pPr>
            <w:r>
              <w:rPr>
                <w:noProof/>
              </w:rPr>
              <w:t>■</w:t>
            </w:r>
          </w:p>
        </w:tc>
        <w:tc>
          <w:tcPr>
            <w:tcW w:w="567" w:type="dxa"/>
          </w:tcPr>
          <w:p w14:paraId="2B372A83" w14:textId="77777777" w:rsidR="00AD4AF3" w:rsidRPr="003805E3" w:rsidRDefault="00AD4AF3" w:rsidP="00AD4AF3">
            <w:pPr>
              <w:pStyle w:val="TableText"/>
              <w:jc w:val="center"/>
              <w:rPr>
                <w:noProof/>
              </w:rPr>
            </w:pPr>
          </w:p>
        </w:tc>
        <w:tc>
          <w:tcPr>
            <w:tcW w:w="567" w:type="dxa"/>
          </w:tcPr>
          <w:p w14:paraId="7E66ADD7" w14:textId="77777777" w:rsidR="00AD4AF3" w:rsidRPr="003805E3" w:rsidRDefault="00AD4AF3" w:rsidP="00AD4AF3">
            <w:pPr>
              <w:pStyle w:val="TableText"/>
              <w:jc w:val="center"/>
              <w:rPr>
                <w:noProof/>
              </w:rPr>
            </w:pPr>
            <w:r>
              <w:rPr>
                <w:noProof/>
              </w:rPr>
              <w:t>■</w:t>
            </w:r>
          </w:p>
        </w:tc>
        <w:tc>
          <w:tcPr>
            <w:tcW w:w="1276" w:type="dxa"/>
          </w:tcPr>
          <w:p w14:paraId="44281188" w14:textId="43405BBB" w:rsidR="00AD4AF3" w:rsidRPr="003805E3" w:rsidRDefault="00AD4AF3" w:rsidP="00AD4AF3">
            <w:pPr>
              <w:pStyle w:val="TableText"/>
              <w:rPr>
                <w:noProof/>
              </w:rPr>
            </w:pPr>
            <w:r>
              <w:rPr>
                <w:noProof/>
              </w:rPr>
              <w:t>Interreg NEXT BSB</w:t>
            </w:r>
          </w:p>
        </w:tc>
        <w:tc>
          <w:tcPr>
            <w:tcW w:w="992" w:type="dxa"/>
          </w:tcPr>
          <w:p w14:paraId="50357522" w14:textId="77777777" w:rsidR="00AD4AF3" w:rsidRPr="003805E3" w:rsidRDefault="00AD4AF3" w:rsidP="00AD4AF3">
            <w:pPr>
              <w:pStyle w:val="TableText"/>
              <w:jc w:val="center"/>
              <w:rPr>
                <w:noProof/>
              </w:rPr>
            </w:pPr>
            <w:r>
              <w:rPr>
                <w:noProof/>
              </w:rPr>
              <w:t>1,49</w:t>
            </w:r>
          </w:p>
        </w:tc>
        <w:tc>
          <w:tcPr>
            <w:tcW w:w="2765" w:type="dxa"/>
          </w:tcPr>
          <w:p w14:paraId="2DDB7451" w14:textId="77777777" w:rsidR="00AD4AF3" w:rsidRPr="003805E3" w:rsidRDefault="00AD4AF3" w:rsidP="00AD4AF3">
            <w:pPr>
              <w:pStyle w:val="TableText"/>
              <w:rPr>
                <w:noProof/>
              </w:rPr>
            </w:pPr>
            <w:r>
              <w:rPr>
                <w:noProof/>
              </w:rPr>
              <w:t>Espaces propres, rues vertes et ouvertes</w:t>
            </w:r>
          </w:p>
        </w:tc>
      </w:tr>
      <w:tr w:rsidR="00FB22F2" w:rsidRPr="003805E3" w14:paraId="40384E75" w14:textId="77777777" w:rsidTr="00FB22F2">
        <w:tc>
          <w:tcPr>
            <w:tcW w:w="3403" w:type="dxa"/>
          </w:tcPr>
          <w:p w14:paraId="37DC5FB5" w14:textId="77777777" w:rsidR="00AD4AF3" w:rsidRPr="003805E3" w:rsidRDefault="00AD4AF3" w:rsidP="00AD4AF3">
            <w:pPr>
              <w:pStyle w:val="TableText"/>
              <w:rPr>
                <w:noProof/>
              </w:rPr>
            </w:pPr>
            <w:r>
              <w:rPr>
                <w:noProof/>
              </w:rPr>
              <w:t>EcosySTEM</w:t>
            </w:r>
          </w:p>
        </w:tc>
        <w:tc>
          <w:tcPr>
            <w:tcW w:w="1279" w:type="dxa"/>
          </w:tcPr>
          <w:p w14:paraId="1C50769A" w14:textId="77777777" w:rsidR="00AD4AF3" w:rsidRPr="003805E3" w:rsidRDefault="00AD4AF3" w:rsidP="00AD4AF3">
            <w:pPr>
              <w:pStyle w:val="TableText"/>
              <w:rPr>
                <w:noProof/>
              </w:rPr>
            </w:pPr>
            <w:r>
              <w:rPr>
                <w:noProof/>
              </w:rPr>
              <w:t>07.2024 – 07.2026</w:t>
            </w:r>
          </w:p>
        </w:tc>
        <w:tc>
          <w:tcPr>
            <w:tcW w:w="555" w:type="dxa"/>
          </w:tcPr>
          <w:p w14:paraId="55E2AF3C" w14:textId="77777777" w:rsidR="00AD4AF3" w:rsidRPr="003805E3" w:rsidRDefault="00AD4AF3" w:rsidP="00AD4AF3">
            <w:pPr>
              <w:pStyle w:val="TableText"/>
              <w:jc w:val="center"/>
              <w:rPr>
                <w:noProof/>
              </w:rPr>
            </w:pPr>
            <w:r>
              <w:rPr>
                <w:noProof/>
              </w:rPr>
              <w:t>■</w:t>
            </w:r>
          </w:p>
        </w:tc>
        <w:tc>
          <w:tcPr>
            <w:tcW w:w="567" w:type="dxa"/>
          </w:tcPr>
          <w:p w14:paraId="746980F6" w14:textId="77777777" w:rsidR="00AD4AF3" w:rsidRPr="003805E3" w:rsidRDefault="00AD4AF3" w:rsidP="00AD4AF3">
            <w:pPr>
              <w:pStyle w:val="TableText"/>
              <w:jc w:val="center"/>
              <w:rPr>
                <w:noProof/>
              </w:rPr>
            </w:pPr>
            <w:r>
              <w:rPr>
                <w:noProof/>
              </w:rPr>
              <w:t>■</w:t>
            </w:r>
          </w:p>
        </w:tc>
        <w:tc>
          <w:tcPr>
            <w:tcW w:w="567" w:type="dxa"/>
          </w:tcPr>
          <w:p w14:paraId="0E855A5A" w14:textId="77777777" w:rsidR="00AD4AF3" w:rsidRPr="003805E3" w:rsidRDefault="00AD4AF3" w:rsidP="00AD4AF3">
            <w:pPr>
              <w:pStyle w:val="TableText"/>
              <w:jc w:val="center"/>
              <w:rPr>
                <w:noProof/>
              </w:rPr>
            </w:pPr>
          </w:p>
        </w:tc>
        <w:tc>
          <w:tcPr>
            <w:tcW w:w="567" w:type="dxa"/>
          </w:tcPr>
          <w:p w14:paraId="2CE7E146" w14:textId="77777777" w:rsidR="00AD4AF3" w:rsidRPr="003805E3" w:rsidRDefault="00AD4AF3" w:rsidP="00AD4AF3">
            <w:pPr>
              <w:pStyle w:val="TableText"/>
              <w:jc w:val="center"/>
              <w:rPr>
                <w:noProof/>
              </w:rPr>
            </w:pPr>
          </w:p>
        </w:tc>
        <w:tc>
          <w:tcPr>
            <w:tcW w:w="567" w:type="dxa"/>
          </w:tcPr>
          <w:p w14:paraId="56BA0535" w14:textId="77777777" w:rsidR="00AD4AF3" w:rsidRPr="003805E3" w:rsidRDefault="00AD4AF3" w:rsidP="00AD4AF3">
            <w:pPr>
              <w:pStyle w:val="TableText"/>
              <w:jc w:val="center"/>
              <w:rPr>
                <w:noProof/>
              </w:rPr>
            </w:pPr>
          </w:p>
        </w:tc>
        <w:tc>
          <w:tcPr>
            <w:tcW w:w="567" w:type="dxa"/>
          </w:tcPr>
          <w:p w14:paraId="3966A6BC" w14:textId="77777777" w:rsidR="00AD4AF3" w:rsidRPr="003805E3" w:rsidRDefault="00AD4AF3" w:rsidP="00AD4AF3">
            <w:pPr>
              <w:pStyle w:val="TableText"/>
              <w:jc w:val="center"/>
              <w:rPr>
                <w:noProof/>
              </w:rPr>
            </w:pPr>
          </w:p>
        </w:tc>
        <w:tc>
          <w:tcPr>
            <w:tcW w:w="567" w:type="dxa"/>
          </w:tcPr>
          <w:p w14:paraId="32174407" w14:textId="77777777" w:rsidR="00AD4AF3" w:rsidRPr="003805E3" w:rsidRDefault="00AD4AF3" w:rsidP="00AD4AF3">
            <w:pPr>
              <w:pStyle w:val="TableText"/>
              <w:jc w:val="center"/>
              <w:rPr>
                <w:noProof/>
              </w:rPr>
            </w:pPr>
          </w:p>
        </w:tc>
        <w:tc>
          <w:tcPr>
            <w:tcW w:w="567" w:type="dxa"/>
          </w:tcPr>
          <w:p w14:paraId="41999031" w14:textId="77777777" w:rsidR="00AD4AF3" w:rsidRPr="003805E3" w:rsidRDefault="00AD4AF3" w:rsidP="00AD4AF3">
            <w:pPr>
              <w:pStyle w:val="TableText"/>
              <w:jc w:val="center"/>
              <w:rPr>
                <w:noProof/>
              </w:rPr>
            </w:pPr>
            <w:r>
              <w:rPr>
                <w:noProof/>
              </w:rPr>
              <w:t>■</w:t>
            </w:r>
          </w:p>
        </w:tc>
        <w:tc>
          <w:tcPr>
            <w:tcW w:w="567" w:type="dxa"/>
          </w:tcPr>
          <w:p w14:paraId="3B3D84DD" w14:textId="77777777" w:rsidR="00AD4AF3" w:rsidRPr="003805E3" w:rsidRDefault="00AD4AF3" w:rsidP="00AD4AF3">
            <w:pPr>
              <w:pStyle w:val="TableText"/>
              <w:jc w:val="center"/>
              <w:rPr>
                <w:noProof/>
              </w:rPr>
            </w:pPr>
            <w:r>
              <w:rPr>
                <w:noProof/>
              </w:rPr>
              <w:t>■</w:t>
            </w:r>
          </w:p>
        </w:tc>
        <w:tc>
          <w:tcPr>
            <w:tcW w:w="1276" w:type="dxa"/>
          </w:tcPr>
          <w:p w14:paraId="421EDCB0" w14:textId="170BE7BB" w:rsidR="00AD4AF3" w:rsidRPr="003805E3" w:rsidRDefault="00AD4AF3" w:rsidP="00AD4AF3">
            <w:pPr>
              <w:pStyle w:val="TableText"/>
              <w:rPr>
                <w:noProof/>
              </w:rPr>
            </w:pPr>
            <w:r>
              <w:rPr>
                <w:noProof/>
              </w:rPr>
              <w:t>Interreg NEXT BSB</w:t>
            </w:r>
          </w:p>
        </w:tc>
        <w:tc>
          <w:tcPr>
            <w:tcW w:w="992" w:type="dxa"/>
          </w:tcPr>
          <w:p w14:paraId="350533F0" w14:textId="77777777" w:rsidR="00AD4AF3" w:rsidRPr="003805E3" w:rsidRDefault="00AD4AF3" w:rsidP="00AD4AF3">
            <w:pPr>
              <w:pStyle w:val="TableText"/>
              <w:jc w:val="center"/>
              <w:rPr>
                <w:noProof/>
              </w:rPr>
            </w:pPr>
            <w:r>
              <w:rPr>
                <w:noProof/>
              </w:rPr>
              <w:t>1,63</w:t>
            </w:r>
          </w:p>
        </w:tc>
        <w:tc>
          <w:tcPr>
            <w:tcW w:w="2765" w:type="dxa"/>
          </w:tcPr>
          <w:p w14:paraId="23A65C86" w14:textId="51F64508" w:rsidR="00AD4AF3" w:rsidRPr="003805E3" w:rsidRDefault="00AD4AF3" w:rsidP="00AD4AF3">
            <w:pPr>
              <w:pStyle w:val="TableText"/>
              <w:rPr>
                <w:noProof/>
              </w:rPr>
            </w:pPr>
            <w:r>
              <w:rPr>
                <w:noProof/>
              </w:rPr>
              <w:t>Donner aux enfants les moyens d’agir en faveur de la durabilité environnementale grâce aux STIM appliquées à l’environnement</w:t>
            </w:r>
          </w:p>
        </w:tc>
      </w:tr>
      <w:tr w:rsidR="00FB22F2" w:rsidRPr="003805E3" w14:paraId="69526D63" w14:textId="77777777" w:rsidTr="00FB22F2">
        <w:tc>
          <w:tcPr>
            <w:tcW w:w="3403" w:type="dxa"/>
          </w:tcPr>
          <w:p w14:paraId="4B26A6CF" w14:textId="77777777" w:rsidR="00AD4AF3" w:rsidRPr="003805E3" w:rsidRDefault="00AD4AF3" w:rsidP="00AD4AF3">
            <w:pPr>
              <w:pStyle w:val="TableText"/>
              <w:rPr>
                <w:noProof/>
              </w:rPr>
            </w:pPr>
            <w:r>
              <w:rPr>
                <w:noProof/>
              </w:rPr>
              <w:t>EcoYOU</w:t>
            </w:r>
          </w:p>
        </w:tc>
        <w:tc>
          <w:tcPr>
            <w:tcW w:w="1279" w:type="dxa"/>
          </w:tcPr>
          <w:p w14:paraId="24DA37E8" w14:textId="77777777" w:rsidR="00AD4AF3" w:rsidRPr="003805E3" w:rsidRDefault="00AD4AF3" w:rsidP="00AD4AF3">
            <w:pPr>
              <w:pStyle w:val="TableText"/>
              <w:rPr>
                <w:noProof/>
              </w:rPr>
            </w:pPr>
            <w:r>
              <w:rPr>
                <w:noProof/>
              </w:rPr>
              <w:t>06.2024 – 12.2025</w:t>
            </w:r>
          </w:p>
        </w:tc>
        <w:tc>
          <w:tcPr>
            <w:tcW w:w="555" w:type="dxa"/>
          </w:tcPr>
          <w:p w14:paraId="629F778D" w14:textId="77777777" w:rsidR="00AD4AF3" w:rsidRPr="003805E3" w:rsidRDefault="00AD4AF3" w:rsidP="00AD4AF3">
            <w:pPr>
              <w:pStyle w:val="TableText"/>
              <w:jc w:val="center"/>
              <w:rPr>
                <w:noProof/>
              </w:rPr>
            </w:pPr>
          </w:p>
        </w:tc>
        <w:tc>
          <w:tcPr>
            <w:tcW w:w="567" w:type="dxa"/>
          </w:tcPr>
          <w:p w14:paraId="1ABA45E0" w14:textId="77777777" w:rsidR="00AD4AF3" w:rsidRPr="003805E3" w:rsidRDefault="00AD4AF3" w:rsidP="00AD4AF3">
            <w:pPr>
              <w:pStyle w:val="TableText"/>
              <w:jc w:val="center"/>
              <w:rPr>
                <w:noProof/>
              </w:rPr>
            </w:pPr>
          </w:p>
        </w:tc>
        <w:tc>
          <w:tcPr>
            <w:tcW w:w="567" w:type="dxa"/>
          </w:tcPr>
          <w:p w14:paraId="77175A32" w14:textId="77777777" w:rsidR="00AD4AF3" w:rsidRPr="003805E3" w:rsidRDefault="00AD4AF3" w:rsidP="00AD4AF3">
            <w:pPr>
              <w:pStyle w:val="TableText"/>
              <w:jc w:val="center"/>
              <w:rPr>
                <w:noProof/>
              </w:rPr>
            </w:pPr>
            <w:r>
              <w:rPr>
                <w:noProof/>
              </w:rPr>
              <w:t>■</w:t>
            </w:r>
          </w:p>
        </w:tc>
        <w:tc>
          <w:tcPr>
            <w:tcW w:w="567" w:type="dxa"/>
          </w:tcPr>
          <w:p w14:paraId="55EC165E" w14:textId="77777777" w:rsidR="00AD4AF3" w:rsidRPr="003805E3" w:rsidRDefault="00AD4AF3" w:rsidP="00AD4AF3">
            <w:pPr>
              <w:pStyle w:val="TableText"/>
              <w:jc w:val="center"/>
              <w:rPr>
                <w:noProof/>
              </w:rPr>
            </w:pPr>
          </w:p>
        </w:tc>
        <w:tc>
          <w:tcPr>
            <w:tcW w:w="567" w:type="dxa"/>
          </w:tcPr>
          <w:p w14:paraId="5D22E4B2" w14:textId="77777777" w:rsidR="00AD4AF3" w:rsidRPr="003805E3" w:rsidRDefault="00AD4AF3" w:rsidP="00AD4AF3">
            <w:pPr>
              <w:pStyle w:val="TableText"/>
              <w:jc w:val="center"/>
              <w:rPr>
                <w:noProof/>
              </w:rPr>
            </w:pPr>
          </w:p>
        </w:tc>
        <w:tc>
          <w:tcPr>
            <w:tcW w:w="567" w:type="dxa"/>
          </w:tcPr>
          <w:p w14:paraId="1EAC649F" w14:textId="77777777" w:rsidR="00AD4AF3" w:rsidRPr="003805E3" w:rsidRDefault="00AD4AF3" w:rsidP="00AD4AF3">
            <w:pPr>
              <w:pStyle w:val="TableText"/>
              <w:jc w:val="center"/>
              <w:rPr>
                <w:noProof/>
              </w:rPr>
            </w:pPr>
            <w:r>
              <w:rPr>
                <w:noProof/>
              </w:rPr>
              <w:t>■</w:t>
            </w:r>
          </w:p>
        </w:tc>
        <w:tc>
          <w:tcPr>
            <w:tcW w:w="567" w:type="dxa"/>
          </w:tcPr>
          <w:p w14:paraId="569CE713" w14:textId="77777777" w:rsidR="00AD4AF3" w:rsidRPr="003805E3" w:rsidRDefault="00AD4AF3" w:rsidP="00AD4AF3">
            <w:pPr>
              <w:pStyle w:val="TableText"/>
              <w:jc w:val="center"/>
              <w:rPr>
                <w:noProof/>
              </w:rPr>
            </w:pPr>
            <w:r>
              <w:rPr>
                <w:noProof/>
              </w:rPr>
              <w:t>■</w:t>
            </w:r>
          </w:p>
        </w:tc>
        <w:tc>
          <w:tcPr>
            <w:tcW w:w="567" w:type="dxa"/>
          </w:tcPr>
          <w:p w14:paraId="5C59B066" w14:textId="77777777" w:rsidR="00AD4AF3" w:rsidRPr="003805E3" w:rsidRDefault="00AD4AF3" w:rsidP="00AD4AF3">
            <w:pPr>
              <w:pStyle w:val="TableText"/>
              <w:jc w:val="center"/>
              <w:rPr>
                <w:noProof/>
              </w:rPr>
            </w:pPr>
          </w:p>
        </w:tc>
        <w:tc>
          <w:tcPr>
            <w:tcW w:w="567" w:type="dxa"/>
          </w:tcPr>
          <w:p w14:paraId="77D1137D" w14:textId="77777777" w:rsidR="00AD4AF3" w:rsidRPr="003805E3" w:rsidRDefault="00AD4AF3" w:rsidP="00AD4AF3">
            <w:pPr>
              <w:pStyle w:val="TableText"/>
              <w:jc w:val="center"/>
              <w:rPr>
                <w:noProof/>
              </w:rPr>
            </w:pPr>
          </w:p>
        </w:tc>
        <w:tc>
          <w:tcPr>
            <w:tcW w:w="1276" w:type="dxa"/>
          </w:tcPr>
          <w:p w14:paraId="2AE5ABD5" w14:textId="3EC5BFC2" w:rsidR="00AD4AF3" w:rsidRPr="003805E3" w:rsidRDefault="00AD4AF3" w:rsidP="00AD4AF3">
            <w:pPr>
              <w:pStyle w:val="TableText"/>
              <w:rPr>
                <w:noProof/>
              </w:rPr>
            </w:pPr>
            <w:r>
              <w:rPr>
                <w:noProof/>
              </w:rPr>
              <w:t>Interreg NEXT BSB</w:t>
            </w:r>
          </w:p>
        </w:tc>
        <w:tc>
          <w:tcPr>
            <w:tcW w:w="992" w:type="dxa"/>
          </w:tcPr>
          <w:p w14:paraId="47FDC2F3" w14:textId="77777777" w:rsidR="00AD4AF3" w:rsidRPr="003805E3" w:rsidRDefault="00AD4AF3" w:rsidP="00AD4AF3">
            <w:pPr>
              <w:pStyle w:val="TableText"/>
              <w:jc w:val="center"/>
              <w:rPr>
                <w:noProof/>
              </w:rPr>
            </w:pPr>
            <w:r>
              <w:rPr>
                <w:noProof/>
              </w:rPr>
              <w:t>0,43</w:t>
            </w:r>
          </w:p>
        </w:tc>
        <w:tc>
          <w:tcPr>
            <w:tcW w:w="2765" w:type="dxa"/>
          </w:tcPr>
          <w:p w14:paraId="6D2CC36F" w14:textId="2DBA5EA5" w:rsidR="00AD4AF3" w:rsidRPr="003805E3" w:rsidRDefault="00AD4AF3" w:rsidP="00AD4AF3">
            <w:pPr>
              <w:pStyle w:val="TableText"/>
              <w:rPr>
                <w:noProof/>
              </w:rPr>
            </w:pPr>
            <w:r>
              <w:rPr>
                <w:noProof/>
              </w:rPr>
              <w:t>Des esprits écoresponsables pour des comportements respectueux de l’environnement</w:t>
            </w:r>
          </w:p>
        </w:tc>
      </w:tr>
      <w:tr w:rsidR="00FB22F2" w:rsidRPr="003805E3" w14:paraId="427328F1" w14:textId="77777777" w:rsidTr="00FB22F2">
        <w:tc>
          <w:tcPr>
            <w:tcW w:w="3403" w:type="dxa"/>
          </w:tcPr>
          <w:p w14:paraId="1A3B56BE" w14:textId="77777777" w:rsidR="00AD4AF3" w:rsidRPr="003805E3" w:rsidRDefault="00AD4AF3" w:rsidP="00AD4AF3">
            <w:pPr>
              <w:pStyle w:val="TableText"/>
              <w:rPr>
                <w:noProof/>
              </w:rPr>
            </w:pPr>
            <w:r>
              <w:rPr>
                <w:noProof/>
              </w:rPr>
              <w:t>UCare</w:t>
            </w:r>
          </w:p>
        </w:tc>
        <w:tc>
          <w:tcPr>
            <w:tcW w:w="1279" w:type="dxa"/>
          </w:tcPr>
          <w:p w14:paraId="717B8073" w14:textId="77777777" w:rsidR="00AD4AF3" w:rsidRPr="003805E3" w:rsidRDefault="00AD4AF3" w:rsidP="00AD4AF3">
            <w:pPr>
              <w:pStyle w:val="TableText"/>
              <w:rPr>
                <w:noProof/>
              </w:rPr>
            </w:pPr>
            <w:r>
              <w:rPr>
                <w:noProof/>
              </w:rPr>
              <w:t>08.2025 – 08.2027</w:t>
            </w:r>
          </w:p>
        </w:tc>
        <w:tc>
          <w:tcPr>
            <w:tcW w:w="555" w:type="dxa"/>
          </w:tcPr>
          <w:p w14:paraId="29FBBC48" w14:textId="77777777" w:rsidR="00AD4AF3" w:rsidRPr="003805E3" w:rsidRDefault="00AD4AF3" w:rsidP="00AD4AF3">
            <w:pPr>
              <w:pStyle w:val="TableText"/>
              <w:jc w:val="center"/>
              <w:rPr>
                <w:noProof/>
              </w:rPr>
            </w:pPr>
          </w:p>
        </w:tc>
        <w:tc>
          <w:tcPr>
            <w:tcW w:w="567" w:type="dxa"/>
          </w:tcPr>
          <w:p w14:paraId="3972DD6A" w14:textId="77777777" w:rsidR="00AD4AF3" w:rsidRPr="003805E3" w:rsidRDefault="00AD4AF3" w:rsidP="00AD4AF3">
            <w:pPr>
              <w:pStyle w:val="TableText"/>
              <w:jc w:val="center"/>
              <w:rPr>
                <w:noProof/>
              </w:rPr>
            </w:pPr>
            <w:r>
              <w:rPr>
                <w:noProof/>
              </w:rPr>
              <w:t>■</w:t>
            </w:r>
          </w:p>
        </w:tc>
        <w:tc>
          <w:tcPr>
            <w:tcW w:w="567" w:type="dxa"/>
          </w:tcPr>
          <w:p w14:paraId="06A4FB63" w14:textId="77777777" w:rsidR="00AD4AF3" w:rsidRPr="003805E3" w:rsidRDefault="00AD4AF3" w:rsidP="00AD4AF3">
            <w:pPr>
              <w:pStyle w:val="TableText"/>
              <w:jc w:val="center"/>
              <w:rPr>
                <w:noProof/>
              </w:rPr>
            </w:pPr>
            <w:r>
              <w:rPr>
                <w:noProof/>
              </w:rPr>
              <w:t>■</w:t>
            </w:r>
          </w:p>
        </w:tc>
        <w:tc>
          <w:tcPr>
            <w:tcW w:w="567" w:type="dxa"/>
          </w:tcPr>
          <w:p w14:paraId="024CAA35" w14:textId="77777777" w:rsidR="00AD4AF3" w:rsidRPr="003805E3" w:rsidRDefault="00AD4AF3" w:rsidP="00AD4AF3">
            <w:pPr>
              <w:pStyle w:val="TableText"/>
              <w:jc w:val="center"/>
              <w:rPr>
                <w:noProof/>
              </w:rPr>
            </w:pPr>
          </w:p>
        </w:tc>
        <w:tc>
          <w:tcPr>
            <w:tcW w:w="567" w:type="dxa"/>
          </w:tcPr>
          <w:p w14:paraId="522A714B" w14:textId="77777777" w:rsidR="00AD4AF3" w:rsidRPr="003805E3" w:rsidRDefault="00AD4AF3" w:rsidP="00AD4AF3">
            <w:pPr>
              <w:pStyle w:val="TableText"/>
              <w:jc w:val="center"/>
              <w:rPr>
                <w:noProof/>
              </w:rPr>
            </w:pPr>
          </w:p>
        </w:tc>
        <w:tc>
          <w:tcPr>
            <w:tcW w:w="567" w:type="dxa"/>
          </w:tcPr>
          <w:p w14:paraId="41493360" w14:textId="77777777" w:rsidR="00AD4AF3" w:rsidRPr="003805E3" w:rsidRDefault="00AD4AF3" w:rsidP="00AD4AF3">
            <w:pPr>
              <w:pStyle w:val="TableText"/>
              <w:jc w:val="center"/>
              <w:rPr>
                <w:noProof/>
              </w:rPr>
            </w:pPr>
          </w:p>
        </w:tc>
        <w:tc>
          <w:tcPr>
            <w:tcW w:w="567" w:type="dxa"/>
          </w:tcPr>
          <w:p w14:paraId="3044AE49" w14:textId="77777777" w:rsidR="00AD4AF3" w:rsidRPr="003805E3" w:rsidRDefault="00AD4AF3" w:rsidP="00AD4AF3">
            <w:pPr>
              <w:pStyle w:val="TableText"/>
              <w:jc w:val="center"/>
              <w:rPr>
                <w:noProof/>
              </w:rPr>
            </w:pPr>
            <w:r>
              <w:rPr>
                <w:noProof/>
              </w:rPr>
              <w:t>■</w:t>
            </w:r>
          </w:p>
        </w:tc>
        <w:tc>
          <w:tcPr>
            <w:tcW w:w="567" w:type="dxa"/>
          </w:tcPr>
          <w:p w14:paraId="55DEFA23" w14:textId="77777777" w:rsidR="00AD4AF3" w:rsidRPr="003805E3" w:rsidRDefault="00AD4AF3" w:rsidP="00AD4AF3">
            <w:pPr>
              <w:pStyle w:val="TableText"/>
              <w:jc w:val="center"/>
              <w:rPr>
                <w:noProof/>
              </w:rPr>
            </w:pPr>
          </w:p>
        </w:tc>
        <w:tc>
          <w:tcPr>
            <w:tcW w:w="567" w:type="dxa"/>
          </w:tcPr>
          <w:p w14:paraId="662F05D3" w14:textId="77777777" w:rsidR="00AD4AF3" w:rsidRPr="003805E3" w:rsidRDefault="00AD4AF3" w:rsidP="00AD4AF3">
            <w:pPr>
              <w:pStyle w:val="TableText"/>
              <w:jc w:val="center"/>
              <w:rPr>
                <w:noProof/>
              </w:rPr>
            </w:pPr>
          </w:p>
        </w:tc>
        <w:tc>
          <w:tcPr>
            <w:tcW w:w="1276" w:type="dxa"/>
          </w:tcPr>
          <w:p w14:paraId="34FF6C2F" w14:textId="435A529D" w:rsidR="00AD4AF3" w:rsidRPr="003805E3" w:rsidRDefault="00AD4AF3" w:rsidP="00AD4AF3">
            <w:pPr>
              <w:pStyle w:val="TableText"/>
              <w:rPr>
                <w:noProof/>
              </w:rPr>
            </w:pPr>
            <w:r>
              <w:rPr>
                <w:noProof/>
              </w:rPr>
              <w:t>Interreg NEXT BSB</w:t>
            </w:r>
          </w:p>
        </w:tc>
        <w:tc>
          <w:tcPr>
            <w:tcW w:w="992" w:type="dxa"/>
          </w:tcPr>
          <w:p w14:paraId="45E61C91" w14:textId="77777777" w:rsidR="00AD4AF3" w:rsidRPr="003805E3" w:rsidRDefault="00AD4AF3" w:rsidP="00AD4AF3">
            <w:pPr>
              <w:pStyle w:val="TableText"/>
              <w:jc w:val="center"/>
              <w:rPr>
                <w:noProof/>
              </w:rPr>
            </w:pPr>
            <w:r>
              <w:rPr>
                <w:noProof/>
              </w:rPr>
              <w:t>1,47</w:t>
            </w:r>
          </w:p>
        </w:tc>
        <w:tc>
          <w:tcPr>
            <w:tcW w:w="2765" w:type="dxa"/>
          </w:tcPr>
          <w:p w14:paraId="27E2CA2F" w14:textId="5DF21E1E" w:rsidR="00AD4AF3" w:rsidRPr="003805E3" w:rsidRDefault="00AD4AF3" w:rsidP="00AD4AF3">
            <w:pPr>
              <w:pStyle w:val="TableText"/>
              <w:rPr>
                <w:noProof/>
              </w:rPr>
            </w:pPr>
            <w:r>
              <w:rPr>
                <w:noProof/>
              </w:rPr>
              <w:t xml:space="preserve">Infrastructures vertes pour l’adaptation des villes au changement climatique et leur rétablissement </w:t>
            </w:r>
          </w:p>
        </w:tc>
      </w:tr>
      <w:tr w:rsidR="00FB22F2" w:rsidRPr="003805E3" w14:paraId="739431FC" w14:textId="77777777" w:rsidTr="00FB22F2">
        <w:tc>
          <w:tcPr>
            <w:tcW w:w="3403" w:type="dxa"/>
          </w:tcPr>
          <w:p w14:paraId="56F68469" w14:textId="77777777" w:rsidR="00AD4AF3" w:rsidRPr="003805E3" w:rsidRDefault="00AD4AF3" w:rsidP="00AD4AF3">
            <w:pPr>
              <w:pStyle w:val="TableText"/>
              <w:rPr>
                <w:noProof/>
              </w:rPr>
            </w:pPr>
            <w:r>
              <w:rPr>
                <w:noProof/>
              </w:rPr>
              <w:t>DIALOGUE</w:t>
            </w:r>
          </w:p>
        </w:tc>
        <w:tc>
          <w:tcPr>
            <w:tcW w:w="1279" w:type="dxa"/>
          </w:tcPr>
          <w:p w14:paraId="4A428856" w14:textId="77777777" w:rsidR="00AD4AF3" w:rsidRPr="003805E3" w:rsidRDefault="00AD4AF3" w:rsidP="00AD4AF3">
            <w:pPr>
              <w:pStyle w:val="TableText"/>
              <w:rPr>
                <w:noProof/>
              </w:rPr>
            </w:pPr>
            <w:r>
              <w:rPr>
                <w:noProof/>
              </w:rPr>
              <w:t>09.2025 – 12.2026</w:t>
            </w:r>
          </w:p>
        </w:tc>
        <w:tc>
          <w:tcPr>
            <w:tcW w:w="555" w:type="dxa"/>
          </w:tcPr>
          <w:p w14:paraId="75751D10" w14:textId="77777777" w:rsidR="00AD4AF3" w:rsidRPr="003805E3" w:rsidRDefault="00AD4AF3" w:rsidP="00AD4AF3">
            <w:pPr>
              <w:pStyle w:val="TableText"/>
              <w:jc w:val="center"/>
              <w:rPr>
                <w:noProof/>
              </w:rPr>
            </w:pPr>
          </w:p>
        </w:tc>
        <w:tc>
          <w:tcPr>
            <w:tcW w:w="567" w:type="dxa"/>
          </w:tcPr>
          <w:p w14:paraId="28E8D624" w14:textId="77777777" w:rsidR="00AD4AF3" w:rsidRPr="003805E3" w:rsidRDefault="00AD4AF3" w:rsidP="00AD4AF3">
            <w:pPr>
              <w:pStyle w:val="TableText"/>
              <w:jc w:val="center"/>
              <w:rPr>
                <w:noProof/>
              </w:rPr>
            </w:pPr>
          </w:p>
        </w:tc>
        <w:tc>
          <w:tcPr>
            <w:tcW w:w="567" w:type="dxa"/>
          </w:tcPr>
          <w:p w14:paraId="076BE924" w14:textId="77777777" w:rsidR="00AD4AF3" w:rsidRPr="003805E3" w:rsidRDefault="00AD4AF3" w:rsidP="00AD4AF3">
            <w:pPr>
              <w:pStyle w:val="TableText"/>
              <w:jc w:val="center"/>
              <w:rPr>
                <w:noProof/>
              </w:rPr>
            </w:pPr>
          </w:p>
        </w:tc>
        <w:tc>
          <w:tcPr>
            <w:tcW w:w="567" w:type="dxa"/>
          </w:tcPr>
          <w:p w14:paraId="51DBB72F" w14:textId="77777777" w:rsidR="00AD4AF3" w:rsidRPr="003805E3" w:rsidRDefault="00AD4AF3" w:rsidP="00AD4AF3">
            <w:pPr>
              <w:pStyle w:val="TableText"/>
              <w:jc w:val="center"/>
              <w:rPr>
                <w:noProof/>
              </w:rPr>
            </w:pPr>
          </w:p>
        </w:tc>
        <w:tc>
          <w:tcPr>
            <w:tcW w:w="567" w:type="dxa"/>
          </w:tcPr>
          <w:p w14:paraId="750F6D3F" w14:textId="77777777" w:rsidR="00AD4AF3" w:rsidRPr="003805E3" w:rsidRDefault="00AD4AF3" w:rsidP="00AD4AF3">
            <w:pPr>
              <w:pStyle w:val="TableText"/>
              <w:jc w:val="center"/>
              <w:rPr>
                <w:noProof/>
              </w:rPr>
            </w:pPr>
          </w:p>
        </w:tc>
        <w:tc>
          <w:tcPr>
            <w:tcW w:w="567" w:type="dxa"/>
          </w:tcPr>
          <w:p w14:paraId="6BDF0EA8" w14:textId="77777777" w:rsidR="00AD4AF3" w:rsidRPr="003805E3" w:rsidRDefault="00AD4AF3" w:rsidP="00AD4AF3">
            <w:pPr>
              <w:pStyle w:val="TableText"/>
              <w:jc w:val="center"/>
              <w:rPr>
                <w:noProof/>
              </w:rPr>
            </w:pPr>
          </w:p>
        </w:tc>
        <w:tc>
          <w:tcPr>
            <w:tcW w:w="567" w:type="dxa"/>
          </w:tcPr>
          <w:p w14:paraId="67423E23" w14:textId="77777777" w:rsidR="00AD4AF3" w:rsidRPr="003805E3" w:rsidRDefault="00AD4AF3" w:rsidP="00AD4AF3">
            <w:pPr>
              <w:pStyle w:val="TableText"/>
              <w:jc w:val="center"/>
              <w:rPr>
                <w:noProof/>
              </w:rPr>
            </w:pPr>
          </w:p>
        </w:tc>
        <w:tc>
          <w:tcPr>
            <w:tcW w:w="567" w:type="dxa"/>
          </w:tcPr>
          <w:p w14:paraId="7356AF56" w14:textId="77777777" w:rsidR="00AD4AF3" w:rsidRPr="003805E3" w:rsidRDefault="00AD4AF3" w:rsidP="00AD4AF3">
            <w:pPr>
              <w:pStyle w:val="TableText"/>
              <w:jc w:val="center"/>
              <w:rPr>
                <w:noProof/>
              </w:rPr>
            </w:pPr>
          </w:p>
        </w:tc>
        <w:tc>
          <w:tcPr>
            <w:tcW w:w="567" w:type="dxa"/>
          </w:tcPr>
          <w:p w14:paraId="5F91624A" w14:textId="77777777" w:rsidR="00AD4AF3" w:rsidRPr="003805E3" w:rsidRDefault="00AD4AF3" w:rsidP="00AD4AF3">
            <w:pPr>
              <w:pStyle w:val="TableText"/>
              <w:jc w:val="center"/>
              <w:rPr>
                <w:noProof/>
              </w:rPr>
            </w:pPr>
          </w:p>
        </w:tc>
        <w:tc>
          <w:tcPr>
            <w:tcW w:w="1276" w:type="dxa"/>
          </w:tcPr>
          <w:p w14:paraId="67748806" w14:textId="7B202267" w:rsidR="00AD4AF3" w:rsidRPr="003805E3" w:rsidRDefault="00AD4AF3" w:rsidP="00AD4AF3">
            <w:pPr>
              <w:pStyle w:val="TableText"/>
              <w:rPr>
                <w:noProof/>
              </w:rPr>
            </w:pPr>
            <w:r>
              <w:rPr>
                <w:noProof/>
              </w:rPr>
              <w:t>Interreg NEXT BSB</w:t>
            </w:r>
          </w:p>
        </w:tc>
        <w:tc>
          <w:tcPr>
            <w:tcW w:w="992" w:type="dxa"/>
          </w:tcPr>
          <w:p w14:paraId="7C933188" w14:textId="77777777" w:rsidR="00AD4AF3" w:rsidRPr="003805E3" w:rsidRDefault="00AD4AF3" w:rsidP="00AD4AF3">
            <w:pPr>
              <w:pStyle w:val="TableText"/>
              <w:jc w:val="center"/>
              <w:rPr>
                <w:noProof/>
              </w:rPr>
            </w:pPr>
            <w:r>
              <w:rPr>
                <w:noProof/>
              </w:rPr>
              <w:t>0,54</w:t>
            </w:r>
          </w:p>
        </w:tc>
        <w:tc>
          <w:tcPr>
            <w:tcW w:w="2765" w:type="dxa"/>
          </w:tcPr>
          <w:p w14:paraId="35E02911" w14:textId="77777777" w:rsidR="00AD4AF3" w:rsidRPr="003805E3" w:rsidRDefault="00AD4AF3" w:rsidP="00AD4AF3">
            <w:pPr>
              <w:pStyle w:val="TableText"/>
              <w:rPr>
                <w:noProof/>
              </w:rPr>
            </w:pPr>
            <w:r>
              <w:rPr>
                <w:noProof/>
              </w:rPr>
              <w:t>Dialogue en faveur de l’innovation et d’une meilleure gouvernance</w:t>
            </w:r>
          </w:p>
        </w:tc>
      </w:tr>
      <w:tr w:rsidR="00FB22F2" w:rsidRPr="003805E3" w14:paraId="69C11BB7" w14:textId="77777777" w:rsidTr="00FB22F2">
        <w:tc>
          <w:tcPr>
            <w:tcW w:w="3403" w:type="dxa"/>
          </w:tcPr>
          <w:p w14:paraId="174E9553" w14:textId="77777777" w:rsidR="00AD4AF3" w:rsidRPr="003805E3" w:rsidRDefault="00AD4AF3" w:rsidP="00AD4AF3">
            <w:pPr>
              <w:pStyle w:val="TableText"/>
              <w:rPr>
                <w:noProof/>
              </w:rPr>
            </w:pPr>
            <w:r>
              <w:rPr>
                <w:noProof/>
              </w:rPr>
              <w:t>easyPEST </w:t>
            </w:r>
          </w:p>
        </w:tc>
        <w:tc>
          <w:tcPr>
            <w:tcW w:w="1279" w:type="dxa"/>
          </w:tcPr>
          <w:p w14:paraId="3CC33F89" w14:textId="77777777" w:rsidR="00AD4AF3" w:rsidRPr="003805E3" w:rsidRDefault="00AD4AF3" w:rsidP="00AD4AF3">
            <w:pPr>
              <w:pStyle w:val="TableText"/>
              <w:rPr>
                <w:noProof/>
              </w:rPr>
            </w:pPr>
            <w:r>
              <w:rPr>
                <w:noProof/>
              </w:rPr>
              <w:t>12.2025 – 06.2027</w:t>
            </w:r>
          </w:p>
        </w:tc>
        <w:tc>
          <w:tcPr>
            <w:tcW w:w="555" w:type="dxa"/>
          </w:tcPr>
          <w:p w14:paraId="29692EF5" w14:textId="77777777" w:rsidR="00AD4AF3" w:rsidRPr="003805E3" w:rsidRDefault="00AD4AF3" w:rsidP="00AD4AF3">
            <w:pPr>
              <w:pStyle w:val="TableText"/>
              <w:jc w:val="center"/>
              <w:rPr>
                <w:noProof/>
              </w:rPr>
            </w:pPr>
          </w:p>
        </w:tc>
        <w:tc>
          <w:tcPr>
            <w:tcW w:w="567" w:type="dxa"/>
          </w:tcPr>
          <w:p w14:paraId="433B2BB8" w14:textId="77777777" w:rsidR="00AD4AF3" w:rsidRPr="003805E3" w:rsidRDefault="00AD4AF3" w:rsidP="00AD4AF3">
            <w:pPr>
              <w:pStyle w:val="TableText"/>
              <w:jc w:val="center"/>
              <w:rPr>
                <w:noProof/>
              </w:rPr>
            </w:pPr>
            <w:r>
              <w:rPr>
                <w:noProof/>
              </w:rPr>
              <w:t>■</w:t>
            </w:r>
          </w:p>
        </w:tc>
        <w:tc>
          <w:tcPr>
            <w:tcW w:w="567" w:type="dxa"/>
          </w:tcPr>
          <w:p w14:paraId="50090CF5" w14:textId="77777777" w:rsidR="00AD4AF3" w:rsidRPr="003805E3" w:rsidRDefault="00AD4AF3" w:rsidP="00AD4AF3">
            <w:pPr>
              <w:pStyle w:val="TableText"/>
              <w:jc w:val="center"/>
              <w:rPr>
                <w:noProof/>
              </w:rPr>
            </w:pPr>
          </w:p>
        </w:tc>
        <w:tc>
          <w:tcPr>
            <w:tcW w:w="567" w:type="dxa"/>
          </w:tcPr>
          <w:p w14:paraId="0642E80D" w14:textId="77777777" w:rsidR="00AD4AF3" w:rsidRPr="003805E3" w:rsidRDefault="00AD4AF3" w:rsidP="00AD4AF3">
            <w:pPr>
              <w:pStyle w:val="TableText"/>
              <w:jc w:val="center"/>
              <w:rPr>
                <w:noProof/>
              </w:rPr>
            </w:pPr>
          </w:p>
        </w:tc>
        <w:tc>
          <w:tcPr>
            <w:tcW w:w="567" w:type="dxa"/>
          </w:tcPr>
          <w:p w14:paraId="4FCCF46B" w14:textId="77777777" w:rsidR="00AD4AF3" w:rsidRPr="003805E3" w:rsidRDefault="00AD4AF3" w:rsidP="00AD4AF3">
            <w:pPr>
              <w:pStyle w:val="TableText"/>
              <w:jc w:val="center"/>
              <w:rPr>
                <w:noProof/>
              </w:rPr>
            </w:pPr>
          </w:p>
        </w:tc>
        <w:tc>
          <w:tcPr>
            <w:tcW w:w="567" w:type="dxa"/>
          </w:tcPr>
          <w:p w14:paraId="04C98178" w14:textId="77777777" w:rsidR="00AD4AF3" w:rsidRPr="003805E3" w:rsidRDefault="00AD4AF3" w:rsidP="00AD4AF3">
            <w:pPr>
              <w:pStyle w:val="TableText"/>
              <w:jc w:val="center"/>
              <w:rPr>
                <w:noProof/>
              </w:rPr>
            </w:pPr>
            <w:r>
              <w:rPr>
                <w:noProof/>
              </w:rPr>
              <w:t>■</w:t>
            </w:r>
          </w:p>
        </w:tc>
        <w:tc>
          <w:tcPr>
            <w:tcW w:w="567" w:type="dxa"/>
          </w:tcPr>
          <w:p w14:paraId="41788ED8" w14:textId="77777777" w:rsidR="00AD4AF3" w:rsidRPr="003805E3" w:rsidRDefault="00AD4AF3" w:rsidP="00AD4AF3">
            <w:pPr>
              <w:pStyle w:val="TableText"/>
              <w:jc w:val="center"/>
              <w:rPr>
                <w:noProof/>
              </w:rPr>
            </w:pPr>
          </w:p>
        </w:tc>
        <w:tc>
          <w:tcPr>
            <w:tcW w:w="567" w:type="dxa"/>
          </w:tcPr>
          <w:p w14:paraId="490CBB6D" w14:textId="77777777" w:rsidR="00AD4AF3" w:rsidRPr="003805E3" w:rsidRDefault="00AD4AF3" w:rsidP="00AD4AF3">
            <w:pPr>
              <w:pStyle w:val="TableText"/>
              <w:jc w:val="center"/>
              <w:rPr>
                <w:noProof/>
              </w:rPr>
            </w:pPr>
            <w:r>
              <w:rPr>
                <w:noProof/>
              </w:rPr>
              <w:t>■</w:t>
            </w:r>
          </w:p>
        </w:tc>
        <w:tc>
          <w:tcPr>
            <w:tcW w:w="567" w:type="dxa"/>
          </w:tcPr>
          <w:p w14:paraId="087F1EF7" w14:textId="77777777" w:rsidR="00AD4AF3" w:rsidRPr="003805E3" w:rsidRDefault="00AD4AF3" w:rsidP="00AD4AF3">
            <w:pPr>
              <w:pStyle w:val="TableText"/>
              <w:jc w:val="center"/>
              <w:rPr>
                <w:noProof/>
              </w:rPr>
            </w:pPr>
          </w:p>
        </w:tc>
        <w:tc>
          <w:tcPr>
            <w:tcW w:w="1276" w:type="dxa"/>
          </w:tcPr>
          <w:p w14:paraId="0FD39F75" w14:textId="1AD4D3AA" w:rsidR="00AD4AF3" w:rsidRPr="003805E3" w:rsidRDefault="00AD4AF3" w:rsidP="00AD4AF3">
            <w:pPr>
              <w:pStyle w:val="TableText"/>
              <w:rPr>
                <w:noProof/>
              </w:rPr>
            </w:pPr>
            <w:r>
              <w:rPr>
                <w:noProof/>
              </w:rPr>
              <w:t>Interreg NEXT BSB</w:t>
            </w:r>
          </w:p>
        </w:tc>
        <w:tc>
          <w:tcPr>
            <w:tcW w:w="992" w:type="dxa"/>
          </w:tcPr>
          <w:p w14:paraId="4499080C" w14:textId="77777777" w:rsidR="00AD4AF3" w:rsidRPr="003805E3" w:rsidRDefault="00AD4AF3" w:rsidP="00AD4AF3">
            <w:pPr>
              <w:pStyle w:val="TableText"/>
              <w:jc w:val="center"/>
              <w:rPr>
                <w:noProof/>
              </w:rPr>
            </w:pPr>
            <w:r>
              <w:rPr>
                <w:noProof/>
              </w:rPr>
              <w:t>0,52</w:t>
            </w:r>
          </w:p>
        </w:tc>
        <w:tc>
          <w:tcPr>
            <w:tcW w:w="2765" w:type="dxa"/>
          </w:tcPr>
          <w:p w14:paraId="3DD68535" w14:textId="61CD9BCF" w:rsidR="00AD4AF3" w:rsidRPr="003805E3" w:rsidRDefault="00AD4AF3" w:rsidP="00AD4AF3">
            <w:pPr>
              <w:pStyle w:val="TableText"/>
              <w:rPr>
                <w:noProof/>
              </w:rPr>
            </w:pPr>
            <w:r>
              <w:rPr>
                <w:noProof/>
              </w:rPr>
              <w:t xml:space="preserve">Mise en place d’un système de surveillance des organismes nuisibles pour les végétaux </w:t>
            </w:r>
          </w:p>
        </w:tc>
      </w:tr>
      <w:tr w:rsidR="00FB22F2" w:rsidRPr="003805E3" w14:paraId="4E16CC44" w14:textId="77777777" w:rsidTr="00FB22F2">
        <w:tc>
          <w:tcPr>
            <w:tcW w:w="3403" w:type="dxa"/>
          </w:tcPr>
          <w:p w14:paraId="3051370A" w14:textId="77777777" w:rsidR="00AD4AF3" w:rsidRPr="003805E3" w:rsidRDefault="00AD4AF3" w:rsidP="00AD4AF3">
            <w:pPr>
              <w:pStyle w:val="TableText"/>
              <w:rPr>
                <w:noProof/>
              </w:rPr>
            </w:pPr>
            <w:r>
              <w:rPr>
                <w:noProof/>
              </w:rPr>
              <w:t>GwB </w:t>
            </w:r>
          </w:p>
        </w:tc>
        <w:tc>
          <w:tcPr>
            <w:tcW w:w="1279" w:type="dxa"/>
          </w:tcPr>
          <w:p w14:paraId="36B94244" w14:textId="77777777" w:rsidR="00AD4AF3" w:rsidRPr="003805E3" w:rsidRDefault="00AD4AF3" w:rsidP="00AD4AF3">
            <w:pPr>
              <w:pStyle w:val="TableText"/>
              <w:rPr>
                <w:noProof/>
              </w:rPr>
            </w:pPr>
            <w:r>
              <w:rPr>
                <w:noProof/>
              </w:rPr>
              <w:t>12.2025 – 06.2028</w:t>
            </w:r>
          </w:p>
        </w:tc>
        <w:tc>
          <w:tcPr>
            <w:tcW w:w="555" w:type="dxa"/>
          </w:tcPr>
          <w:p w14:paraId="7C2FF70D" w14:textId="77777777" w:rsidR="00AD4AF3" w:rsidRPr="003805E3" w:rsidRDefault="00AD4AF3" w:rsidP="00AD4AF3">
            <w:pPr>
              <w:pStyle w:val="TableText"/>
              <w:jc w:val="center"/>
              <w:rPr>
                <w:noProof/>
              </w:rPr>
            </w:pPr>
            <w:r>
              <w:rPr>
                <w:noProof/>
              </w:rPr>
              <w:t>■</w:t>
            </w:r>
          </w:p>
        </w:tc>
        <w:tc>
          <w:tcPr>
            <w:tcW w:w="567" w:type="dxa"/>
          </w:tcPr>
          <w:p w14:paraId="5725B172" w14:textId="77777777" w:rsidR="00AD4AF3" w:rsidRPr="003805E3" w:rsidRDefault="00AD4AF3" w:rsidP="00AD4AF3">
            <w:pPr>
              <w:pStyle w:val="TableText"/>
              <w:jc w:val="center"/>
              <w:rPr>
                <w:noProof/>
              </w:rPr>
            </w:pPr>
            <w:r>
              <w:rPr>
                <w:noProof/>
              </w:rPr>
              <w:t>■</w:t>
            </w:r>
          </w:p>
        </w:tc>
        <w:tc>
          <w:tcPr>
            <w:tcW w:w="567" w:type="dxa"/>
          </w:tcPr>
          <w:p w14:paraId="5C1548D7" w14:textId="77777777" w:rsidR="00AD4AF3" w:rsidRPr="003805E3" w:rsidRDefault="00AD4AF3" w:rsidP="00AD4AF3">
            <w:pPr>
              <w:pStyle w:val="TableText"/>
              <w:jc w:val="center"/>
              <w:rPr>
                <w:noProof/>
              </w:rPr>
            </w:pPr>
          </w:p>
        </w:tc>
        <w:tc>
          <w:tcPr>
            <w:tcW w:w="567" w:type="dxa"/>
          </w:tcPr>
          <w:p w14:paraId="3798458F" w14:textId="77777777" w:rsidR="00AD4AF3" w:rsidRPr="003805E3" w:rsidRDefault="00AD4AF3" w:rsidP="00AD4AF3">
            <w:pPr>
              <w:pStyle w:val="TableText"/>
              <w:jc w:val="center"/>
              <w:rPr>
                <w:noProof/>
              </w:rPr>
            </w:pPr>
          </w:p>
        </w:tc>
        <w:tc>
          <w:tcPr>
            <w:tcW w:w="567" w:type="dxa"/>
          </w:tcPr>
          <w:p w14:paraId="67B1568A" w14:textId="77777777" w:rsidR="00AD4AF3" w:rsidRPr="003805E3" w:rsidRDefault="00AD4AF3" w:rsidP="00AD4AF3">
            <w:pPr>
              <w:pStyle w:val="TableText"/>
              <w:jc w:val="center"/>
              <w:rPr>
                <w:noProof/>
              </w:rPr>
            </w:pPr>
          </w:p>
        </w:tc>
        <w:tc>
          <w:tcPr>
            <w:tcW w:w="567" w:type="dxa"/>
          </w:tcPr>
          <w:p w14:paraId="1951D2F0" w14:textId="77777777" w:rsidR="00AD4AF3" w:rsidRPr="003805E3" w:rsidRDefault="00AD4AF3" w:rsidP="00AD4AF3">
            <w:pPr>
              <w:pStyle w:val="TableText"/>
              <w:jc w:val="center"/>
              <w:rPr>
                <w:noProof/>
              </w:rPr>
            </w:pPr>
            <w:r>
              <w:rPr>
                <w:noProof/>
              </w:rPr>
              <w:t>■</w:t>
            </w:r>
          </w:p>
        </w:tc>
        <w:tc>
          <w:tcPr>
            <w:tcW w:w="567" w:type="dxa"/>
          </w:tcPr>
          <w:p w14:paraId="7315FCC1" w14:textId="77777777" w:rsidR="00AD4AF3" w:rsidRPr="003805E3" w:rsidRDefault="00AD4AF3" w:rsidP="00AD4AF3">
            <w:pPr>
              <w:pStyle w:val="TableText"/>
              <w:jc w:val="center"/>
              <w:rPr>
                <w:noProof/>
              </w:rPr>
            </w:pPr>
          </w:p>
        </w:tc>
        <w:tc>
          <w:tcPr>
            <w:tcW w:w="567" w:type="dxa"/>
          </w:tcPr>
          <w:p w14:paraId="2D8E6177" w14:textId="77777777" w:rsidR="00AD4AF3" w:rsidRPr="003805E3" w:rsidRDefault="00AD4AF3" w:rsidP="00AD4AF3">
            <w:pPr>
              <w:pStyle w:val="TableText"/>
              <w:jc w:val="center"/>
              <w:rPr>
                <w:noProof/>
              </w:rPr>
            </w:pPr>
            <w:r>
              <w:rPr>
                <w:noProof/>
              </w:rPr>
              <w:t>■</w:t>
            </w:r>
          </w:p>
        </w:tc>
        <w:tc>
          <w:tcPr>
            <w:tcW w:w="567" w:type="dxa"/>
          </w:tcPr>
          <w:p w14:paraId="4A3DD4B1" w14:textId="77777777" w:rsidR="00AD4AF3" w:rsidRPr="003805E3" w:rsidRDefault="00AD4AF3" w:rsidP="00AD4AF3">
            <w:pPr>
              <w:pStyle w:val="TableText"/>
              <w:jc w:val="center"/>
              <w:rPr>
                <w:noProof/>
              </w:rPr>
            </w:pPr>
          </w:p>
        </w:tc>
        <w:tc>
          <w:tcPr>
            <w:tcW w:w="1276" w:type="dxa"/>
          </w:tcPr>
          <w:p w14:paraId="41156890" w14:textId="71C8D92D" w:rsidR="00AD4AF3" w:rsidRPr="003805E3" w:rsidRDefault="00AD4AF3" w:rsidP="00AD4AF3">
            <w:pPr>
              <w:pStyle w:val="TableText"/>
              <w:rPr>
                <w:noProof/>
              </w:rPr>
            </w:pPr>
            <w:r>
              <w:rPr>
                <w:noProof/>
              </w:rPr>
              <w:t>Interreg NEXT BSB</w:t>
            </w:r>
          </w:p>
        </w:tc>
        <w:tc>
          <w:tcPr>
            <w:tcW w:w="992" w:type="dxa"/>
          </w:tcPr>
          <w:p w14:paraId="6D59231E" w14:textId="77777777" w:rsidR="00AD4AF3" w:rsidRPr="003805E3" w:rsidRDefault="00AD4AF3" w:rsidP="00AD4AF3">
            <w:pPr>
              <w:pStyle w:val="TableText"/>
              <w:jc w:val="center"/>
              <w:rPr>
                <w:noProof/>
              </w:rPr>
            </w:pPr>
            <w:r>
              <w:rPr>
                <w:noProof/>
              </w:rPr>
              <w:t>0,95</w:t>
            </w:r>
          </w:p>
        </w:tc>
        <w:tc>
          <w:tcPr>
            <w:tcW w:w="2765" w:type="dxa"/>
          </w:tcPr>
          <w:p w14:paraId="0FA528B1" w14:textId="77777777" w:rsidR="00AD4AF3" w:rsidRPr="003805E3" w:rsidRDefault="00AD4AF3" w:rsidP="00AD4AF3">
            <w:pPr>
              <w:pStyle w:val="TableText"/>
              <w:rPr>
                <w:noProof/>
              </w:rPr>
            </w:pPr>
            <w:r>
              <w:rPr>
                <w:noProof/>
              </w:rPr>
              <w:t>Système d’aide à la prise de décision pour le bilan hydrologique mondial</w:t>
            </w:r>
          </w:p>
        </w:tc>
      </w:tr>
      <w:tr w:rsidR="00FB22F2" w:rsidRPr="003805E3" w14:paraId="7F5D187C" w14:textId="77777777" w:rsidTr="00FB22F2">
        <w:tc>
          <w:tcPr>
            <w:tcW w:w="3403" w:type="dxa"/>
          </w:tcPr>
          <w:p w14:paraId="5BA72EDC" w14:textId="77777777" w:rsidR="00AD4AF3" w:rsidRPr="003805E3" w:rsidRDefault="00AD4AF3" w:rsidP="00AD4AF3">
            <w:pPr>
              <w:pStyle w:val="TableText"/>
              <w:rPr>
                <w:noProof/>
              </w:rPr>
            </w:pPr>
            <w:r>
              <w:rPr>
                <w:noProof/>
              </w:rPr>
              <w:t>GreenS4BlackSea</w:t>
            </w:r>
          </w:p>
        </w:tc>
        <w:tc>
          <w:tcPr>
            <w:tcW w:w="1279" w:type="dxa"/>
          </w:tcPr>
          <w:p w14:paraId="37BD85D0" w14:textId="77777777" w:rsidR="00AD4AF3" w:rsidRPr="003805E3" w:rsidRDefault="00AD4AF3" w:rsidP="00AD4AF3">
            <w:pPr>
              <w:pStyle w:val="TableText"/>
              <w:rPr>
                <w:noProof/>
              </w:rPr>
            </w:pPr>
            <w:r>
              <w:rPr>
                <w:noProof/>
              </w:rPr>
              <w:t>12.2025 – 06.2027</w:t>
            </w:r>
          </w:p>
        </w:tc>
        <w:tc>
          <w:tcPr>
            <w:tcW w:w="555" w:type="dxa"/>
          </w:tcPr>
          <w:p w14:paraId="7CC358DF" w14:textId="77777777" w:rsidR="00AD4AF3" w:rsidRPr="003805E3" w:rsidRDefault="00AD4AF3" w:rsidP="00AD4AF3">
            <w:pPr>
              <w:pStyle w:val="TableText"/>
              <w:jc w:val="center"/>
              <w:rPr>
                <w:noProof/>
              </w:rPr>
            </w:pPr>
          </w:p>
        </w:tc>
        <w:tc>
          <w:tcPr>
            <w:tcW w:w="567" w:type="dxa"/>
          </w:tcPr>
          <w:p w14:paraId="6D355AD2" w14:textId="77777777" w:rsidR="00AD4AF3" w:rsidRPr="003805E3" w:rsidRDefault="00AD4AF3" w:rsidP="00AD4AF3">
            <w:pPr>
              <w:pStyle w:val="TableText"/>
              <w:jc w:val="center"/>
              <w:rPr>
                <w:noProof/>
              </w:rPr>
            </w:pPr>
            <w:r>
              <w:rPr>
                <w:noProof/>
              </w:rPr>
              <w:t>■</w:t>
            </w:r>
          </w:p>
        </w:tc>
        <w:tc>
          <w:tcPr>
            <w:tcW w:w="567" w:type="dxa"/>
          </w:tcPr>
          <w:p w14:paraId="32EA1536" w14:textId="77777777" w:rsidR="00AD4AF3" w:rsidRPr="003805E3" w:rsidRDefault="00AD4AF3" w:rsidP="00AD4AF3">
            <w:pPr>
              <w:pStyle w:val="TableText"/>
              <w:jc w:val="center"/>
              <w:rPr>
                <w:noProof/>
              </w:rPr>
            </w:pPr>
          </w:p>
        </w:tc>
        <w:tc>
          <w:tcPr>
            <w:tcW w:w="567" w:type="dxa"/>
          </w:tcPr>
          <w:p w14:paraId="593C9A3F" w14:textId="77777777" w:rsidR="00AD4AF3" w:rsidRPr="003805E3" w:rsidRDefault="00AD4AF3" w:rsidP="00AD4AF3">
            <w:pPr>
              <w:pStyle w:val="TableText"/>
              <w:jc w:val="center"/>
              <w:rPr>
                <w:noProof/>
              </w:rPr>
            </w:pPr>
          </w:p>
        </w:tc>
        <w:tc>
          <w:tcPr>
            <w:tcW w:w="567" w:type="dxa"/>
          </w:tcPr>
          <w:p w14:paraId="04F656BB" w14:textId="77777777" w:rsidR="00AD4AF3" w:rsidRPr="003805E3" w:rsidRDefault="00AD4AF3" w:rsidP="00AD4AF3">
            <w:pPr>
              <w:pStyle w:val="TableText"/>
              <w:jc w:val="center"/>
              <w:rPr>
                <w:noProof/>
              </w:rPr>
            </w:pPr>
          </w:p>
        </w:tc>
        <w:tc>
          <w:tcPr>
            <w:tcW w:w="567" w:type="dxa"/>
          </w:tcPr>
          <w:p w14:paraId="7969F05D" w14:textId="77777777" w:rsidR="00AD4AF3" w:rsidRPr="003805E3" w:rsidRDefault="00AD4AF3" w:rsidP="00AD4AF3">
            <w:pPr>
              <w:pStyle w:val="TableText"/>
              <w:jc w:val="center"/>
              <w:rPr>
                <w:noProof/>
              </w:rPr>
            </w:pPr>
            <w:r>
              <w:rPr>
                <w:noProof/>
              </w:rPr>
              <w:t>■</w:t>
            </w:r>
          </w:p>
        </w:tc>
        <w:tc>
          <w:tcPr>
            <w:tcW w:w="567" w:type="dxa"/>
          </w:tcPr>
          <w:p w14:paraId="703714F8" w14:textId="77777777" w:rsidR="00AD4AF3" w:rsidRPr="003805E3" w:rsidRDefault="00AD4AF3" w:rsidP="00AD4AF3">
            <w:pPr>
              <w:pStyle w:val="TableText"/>
              <w:jc w:val="center"/>
              <w:rPr>
                <w:noProof/>
              </w:rPr>
            </w:pPr>
          </w:p>
        </w:tc>
        <w:tc>
          <w:tcPr>
            <w:tcW w:w="567" w:type="dxa"/>
          </w:tcPr>
          <w:p w14:paraId="0C2C7199" w14:textId="77777777" w:rsidR="00AD4AF3" w:rsidRPr="003805E3" w:rsidRDefault="00AD4AF3" w:rsidP="00AD4AF3">
            <w:pPr>
              <w:pStyle w:val="TableText"/>
              <w:jc w:val="center"/>
              <w:rPr>
                <w:noProof/>
              </w:rPr>
            </w:pPr>
            <w:r>
              <w:rPr>
                <w:noProof/>
              </w:rPr>
              <w:t>■</w:t>
            </w:r>
          </w:p>
        </w:tc>
        <w:tc>
          <w:tcPr>
            <w:tcW w:w="567" w:type="dxa"/>
          </w:tcPr>
          <w:p w14:paraId="200EA5AB" w14:textId="77777777" w:rsidR="00AD4AF3" w:rsidRPr="003805E3" w:rsidRDefault="00AD4AF3" w:rsidP="00AD4AF3">
            <w:pPr>
              <w:pStyle w:val="TableText"/>
              <w:jc w:val="center"/>
              <w:rPr>
                <w:noProof/>
              </w:rPr>
            </w:pPr>
          </w:p>
        </w:tc>
        <w:tc>
          <w:tcPr>
            <w:tcW w:w="1276" w:type="dxa"/>
          </w:tcPr>
          <w:p w14:paraId="6CF6559A" w14:textId="41408AEF" w:rsidR="00AD4AF3" w:rsidRPr="003805E3" w:rsidRDefault="00AD4AF3" w:rsidP="00AD4AF3">
            <w:pPr>
              <w:pStyle w:val="TableText"/>
              <w:rPr>
                <w:noProof/>
              </w:rPr>
            </w:pPr>
            <w:r>
              <w:rPr>
                <w:noProof/>
              </w:rPr>
              <w:t>Interreg NEXT BSB</w:t>
            </w:r>
          </w:p>
        </w:tc>
        <w:tc>
          <w:tcPr>
            <w:tcW w:w="992" w:type="dxa"/>
          </w:tcPr>
          <w:p w14:paraId="413EF5E6" w14:textId="77777777" w:rsidR="00AD4AF3" w:rsidRPr="003805E3" w:rsidRDefault="00AD4AF3" w:rsidP="00AD4AF3">
            <w:pPr>
              <w:pStyle w:val="TableText"/>
              <w:jc w:val="center"/>
              <w:rPr>
                <w:noProof/>
              </w:rPr>
            </w:pPr>
            <w:r>
              <w:rPr>
                <w:noProof/>
              </w:rPr>
              <w:t>0,45</w:t>
            </w:r>
          </w:p>
        </w:tc>
        <w:tc>
          <w:tcPr>
            <w:tcW w:w="2765" w:type="dxa"/>
          </w:tcPr>
          <w:p w14:paraId="276C4343" w14:textId="77777777" w:rsidR="00AD4AF3" w:rsidRPr="003805E3" w:rsidRDefault="00AD4AF3" w:rsidP="00AD4AF3">
            <w:pPr>
              <w:pStyle w:val="TableText"/>
              <w:rPr>
                <w:noProof/>
              </w:rPr>
            </w:pPr>
            <w:r>
              <w:rPr>
                <w:noProof/>
              </w:rPr>
              <w:t>Protection des forêts vierges en tant que solution verte pour la mer Noire</w:t>
            </w:r>
          </w:p>
        </w:tc>
      </w:tr>
      <w:tr w:rsidR="00FB22F2" w:rsidRPr="003805E3" w14:paraId="6C566D0A" w14:textId="77777777" w:rsidTr="00FB22F2">
        <w:tc>
          <w:tcPr>
            <w:tcW w:w="3403" w:type="dxa"/>
          </w:tcPr>
          <w:p w14:paraId="31814143" w14:textId="77777777" w:rsidR="00AD4AF3" w:rsidRPr="003805E3" w:rsidRDefault="00AD4AF3" w:rsidP="00AD4AF3">
            <w:pPr>
              <w:pStyle w:val="TableText"/>
              <w:rPr>
                <w:noProof/>
              </w:rPr>
            </w:pPr>
            <w:r>
              <w:rPr>
                <w:noProof/>
              </w:rPr>
              <w:t>WISE-WASTE</w:t>
            </w:r>
          </w:p>
        </w:tc>
        <w:tc>
          <w:tcPr>
            <w:tcW w:w="1279" w:type="dxa"/>
          </w:tcPr>
          <w:p w14:paraId="46B176B0" w14:textId="77777777" w:rsidR="00AD4AF3" w:rsidRPr="003805E3" w:rsidRDefault="00AD4AF3" w:rsidP="00AD4AF3">
            <w:pPr>
              <w:pStyle w:val="TableText"/>
              <w:rPr>
                <w:noProof/>
              </w:rPr>
            </w:pPr>
            <w:r>
              <w:rPr>
                <w:noProof/>
              </w:rPr>
              <w:t>12.2025 – 12.2027</w:t>
            </w:r>
          </w:p>
        </w:tc>
        <w:tc>
          <w:tcPr>
            <w:tcW w:w="555" w:type="dxa"/>
          </w:tcPr>
          <w:p w14:paraId="2123257E" w14:textId="77777777" w:rsidR="00AD4AF3" w:rsidRPr="003805E3" w:rsidRDefault="00AD4AF3" w:rsidP="00AD4AF3">
            <w:pPr>
              <w:pStyle w:val="TableText"/>
              <w:jc w:val="center"/>
              <w:rPr>
                <w:noProof/>
              </w:rPr>
            </w:pPr>
            <w:r>
              <w:rPr>
                <w:noProof/>
              </w:rPr>
              <w:t>■</w:t>
            </w:r>
          </w:p>
        </w:tc>
        <w:tc>
          <w:tcPr>
            <w:tcW w:w="567" w:type="dxa"/>
          </w:tcPr>
          <w:p w14:paraId="5C62074C" w14:textId="77777777" w:rsidR="00AD4AF3" w:rsidRPr="003805E3" w:rsidRDefault="00AD4AF3" w:rsidP="00AD4AF3">
            <w:pPr>
              <w:pStyle w:val="TableText"/>
              <w:jc w:val="center"/>
              <w:rPr>
                <w:noProof/>
              </w:rPr>
            </w:pPr>
            <w:r>
              <w:rPr>
                <w:noProof/>
              </w:rPr>
              <w:t>■</w:t>
            </w:r>
          </w:p>
        </w:tc>
        <w:tc>
          <w:tcPr>
            <w:tcW w:w="567" w:type="dxa"/>
          </w:tcPr>
          <w:p w14:paraId="37BED51D" w14:textId="77777777" w:rsidR="00AD4AF3" w:rsidRPr="003805E3" w:rsidRDefault="00AD4AF3" w:rsidP="00AD4AF3">
            <w:pPr>
              <w:pStyle w:val="TableText"/>
              <w:jc w:val="center"/>
              <w:rPr>
                <w:noProof/>
              </w:rPr>
            </w:pPr>
          </w:p>
        </w:tc>
        <w:tc>
          <w:tcPr>
            <w:tcW w:w="567" w:type="dxa"/>
          </w:tcPr>
          <w:p w14:paraId="2F027F98" w14:textId="77777777" w:rsidR="00AD4AF3" w:rsidRPr="003805E3" w:rsidRDefault="00AD4AF3" w:rsidP="00AD4AF3">
            <w:pPr>
              <w:pStyle w:val="TableText"/>
              <w:jc w:val="center"/>
              <w:rPr>
                <w:noProof/>
              </w:rPr>
            </w:pPr>
          </w:p>
        </w:tc>
        <w:tc>
          <w:tcPr>
            <w:tcW w:w="567" w:type="dxa"/>
          </w:tcPr>
          <w:p w14:paraId="0DE5BDB1" w14:textId="77777777" w:rsidR="00AD4AF3" w:rsidRPr="003805E3" w:rsidRDefault="00AD4AF3" w:rsidP="00AD4AF3">
            <w:pPr>
              <w:pStyle w:val="TableText"/>
              <w:jc w:val="center"/>
              <w:rPr>
                <w:noProof/>
              </w:rPr>
            </w:pPr>
          </w:p>
        </w:tc>
        <w:tc>
          <w:tcPr>
            <w:tcW w:w="567" w:type="dxa"/>
          </w:tcPr>
          <w:p w14:paraId="41AAF01D" w14:textId="77777777" w:rsidR="00AD4AF3" w:rsidRPr="003805E3" w:rsidRDefault="00AD4AF3" w:rsidP="00AD4AF3">
            <w:pPr>
              <w:pStyle w:val="TableText"/>
              <w:jc w:val="center"/>
              <w:rPr>
                <w:noProof/>
              </w:rPr>
            </w:pPr>
            <w:r>
              <w:rPr>
                <w:noProof/>
              </w:rPr>
              <w:t>■</w:t>
            </w:r>
          </w:p>
        </w:tc>
        <w:tc>
          <w:tcPr>
            <w:tcW w:w="567" w:type="dxa"/>
          </w:tcPr>
          <w:p w14:paraId="55CA66F2" w14:textId="77777777" w:rsidR="00AD4AF3" w:rsidRPr="003805E3" w:rsidRDefault="00AD4AF3" w:rsidP="00AD4AF3">
            <w:pPr>
              <w:pStyle w:val="TableText"/>
              <w:jc w:val="center"/>
              <w:rPr>
                <w:noProof/>
              </w:rPr>
            </w:pPr>
          </w:p>
        </w:tc>
        <w:tc>
          <w:tcPr>
            <w:tcW w:w="567" w:type="dxa"/>
          </w:tcPr>
          <w:p w14:paraId="50DC26A8" w14:textId="77777777" w:rsidR="00AD4AF3" w:rsidRPr="003805E3" w:rsidRDefault="00AD4AF3" w:rsidP="00AD4AF3">
            <w:pPr>
              <w:pStyle w:val="TableText"/>
              <w:jc w:val="center"/>
              <w:rPr>
                <w:noProof/>
              </w:rPr>
            </w:pPr>
            <w:r>
              <w:rPr>
                <w:noProof/>
              </w:rPr>
              <w:t>■</w:t>
            </w:r>
          </w:p>
        </w:tc>
        <w:tc>
          <w:tcPr>
            <w:tcW w:w="567" w:type="dxa"/>
          </w:tcPr>
          <w:p w14:paraId="28C3E595" w14:textId="77777777" w:rsidR="00AD4AF3" w:rsidRPr="003805E3" w:rsidRDefault="00AD4AF3" w:rsidP="00AD4AF3">
            <w:pPr>
              <w:pStyle w:val="TableText"/>
              <w:jc w:val="center"/>
              <w:rPr>
                <w:noProof/>
              </w:rPr>
            </w:pPr>
          </w:p>
        </w:tc>
        <w:tc>
          <w:tcPr>
            <w:tcW w:w="1276" w:type="dxa"/>
          </w:tcPr>
          <w:p w14:paraId="7E4B43D7" w14:textId="641EC8C4" w:rsidR="00AD4AF3" w:rsidRPr="003805E3" w:rsidRDefault="00AD4AF3" w:rsidP="00AD4AF3">
            <w:pPr>
              <w:pStyle w:val="TableText"/>
              <w:rPr>
                <w:noProof/>
              </w:rPr>
            </w:pPr>
            <w:r>
              <w:rPr>
                <w:noProof/>
              </w:rPr>
              <w:t>Interreg NEXT BSB</w:t>
            </w:r>
          </w:p>
        </w:tc>
        <w:tc>
          <w:tcPr>
            <w:tcW w:w="992" w:type="dxa"/>
          </w:tcPr>
          <w:p w14:paraId="28769095" w14:textId="77777777" w:rsidR="00AD4AF3" w:rsidRPr="003805E3" w:rsidRDefault="00AD4AF3" w:rsidP="00AD4AF3">
            <w:pPr>
              <w:pStyle w:val="TableText"/>
              <w:jc w:val="center"/>
              <w:rPr>
                <w:noProof/>
              </w:rPr>
            </w:pPr>
            <w:r>
              <w:rPr>
                <w:noProof/>
              </w:rPr>
              <w:t>1,48</w:t>
            </w:r>
          </w:p>
        </w:tc>
        <w:tc>
          <w:tcPr>
            <w:tcW w:w="2765" w:type="dxa"/>
          </w:tcPr>
          <w:p w14:paraId="6795792C" w14:textId="27DF330F" w:rsidR="00AD4AF3" w:rsidRPr="003805E3" w:rsidRDefault="00AD4AF3" w:rsidP="00AD4AF3">
            <w:pPr>
              <w:pStyle w:val="TableText"/>
              <w:rPr>
                <w:noProof/>
              </w:rPr>
            </w:pPr>
            <w:r>
              <w:rPr>
                <w:noProof/>
              </w:rPr>
              <w:t>Coopération en matière de gestion des déchets et de réduction de la pollution</w:t>
            </w:r>
          </w:p>
        </w:tc>
      </w:tr>
      <w:tr w:rsidR="00FB22F2" w:rsidRPr="003805E3" w14:paraId="65313D11" w14:textId="77777777" w:rsidTr="00FB22F2">
        <w:tc>
          <w:tcPr>
            <w:tcW w:w="3403" w:type="dxa"/>
          </w:tcPr>
          <w:p w14:paraId="4AA21397" w14:textId="77777777" w:rsidR="00AD4AF3" w:rsidRPr="003805E3" w:rsidRDefault="00AD4AF3" w:rsidP="00AD4AF3">
            <w:pPr>
              <w:pStyle w:val="TableText"/>
              <w:rPr>
                <w:noProof/>
              </w:rPr>
            </w:pPr>
            <w:r>
              <w:rPr>
                <w:noProof/>
              </w:rPr>
              <w:t xml:space="preserve">Sustain BIO&amp;CLIMA </w:t>
            </w:r>
          </w:p>
        </w:tc>
        <w:tc>
          <w:tcPr>
            <w:tcW w:w="1279" w:type="dxa"/>
          </w:tcPr>
          <w:p w14:paraId="46D6648B" w14:textId="77777777" w:rsidR="00AD4AF3" w:rsidRPr="003805E3" w:rsidRDefault="00AD4AF3" w:rsidP="00AD4AF3">
            <w:pPr>
              <w:pStyle w:val="TableText"/>
              <w:rPr>
                <w:noProof/>
              </w:rPr>
            </w:pPr>
            <w:r>
              <w:rPr>
                <w:noProof/>
              </w:rPr>
              <w:t>12.2025 – 06.2028</w:t>
            </w:r>
          </w:p>
        </w:tc>
        <w:tc>
          <w:tcPr>
            <w:tcW w:w="555" w:type="dxa"/>
          </w:tcPr>
          <w:p w14:paraId="29DBF66C" w14:textId="77777777" w:rsidR="00AD4AF3" w:rsidRPr="003805E3" w:rsidRDefault="00AD4AF3" w:rsidP="00AD4AF3">
            <w:pPr>
              <w:pStyle w:val="TableText"/>
              <w:jc w:val="center"/>
              <w:rPr>
                <w:noProof/>
              </w:rPr>
            </w:pPr>
            <w:r>
              <w:rPr>
                <w:noProof/>
              </w:rPr>
              <w:t>■</w:t>
            </w:r>
          </w:p>
        </w:tc>
        <w:tc>
          <w:tcPr>
            <w:tcW w:w="567" w:type="dxa"/>
          </w:tcPr>
          <w:p w14:paraId="76896379" w14:textId="77777777" w:rsidR="00AD4AF3" w:rsidRPr="003805E3" w:rsidRDefault="00AD4AF3" w:rsidP="00AD4AF3">
            <w:pPr>
              <w:pStyle w:val="TableText"/>
              <w:jc w:val="center"/>
              <w:rPr>
                <w:noProof/>
              </w:rPr>
            </w:pPr>
            <w:r>
              <w:rPr>
                <w:noProof/>
              </w:rPr>
              <w:t>■</w:t>
            </w:r>
          </w:p>
        </w:tc>
        <w:tc>
          <w:tcPr>
            <w:tcW w:w="567" w:type="dxa"/>
          </w:tcPr>
          <w:p w14:paraId="0FBA1BC9" w14:textId="77777777" w:rsidR="00AD4AF3" w:rsidRPr="003805E3" w:rsidRDefault="00AD4AF3" w:rsidP="00AD4AF3">
            <w:pPr>
              <w:pStyle w:val="TableText"/>
              <w:jc w:val="center"/>
              <w:rPr>
                <w:noProof/>
              </w:rPr>
            </w:pPr>
            <w:r>
              <w:rPr>
                <w:noProof/>
              </w:rPr>
              <w:t>■</w:t>
            </w:r>
          </w:p>
        </w:tc>
        <w:tc>
          <w:tcPr>
            <w:tcW w:w="567" w:type="dxa"/>
          </w:tcPr>
          <w:p w14:paraId="71C8A730" w14:textId="77777777" w:rsidR="00AD4AF3" w:rsidRPr="003805E3" w:rsidRDefault="00AD4AF3" w:rsidP="00AD4AF3">
            <w:pPr>
              <w:pStyle w:val="TableText"/>
              <w:jc w:val="center"/>
              <w:rPr>
                <w:noProof/>
              </w:rPr>
            </w:pPr>
          </w:p>
        </w:tc>
        <w:tc>
          <w:tcPr>
            <w:tcW w:w="567" w:type="dxa"/>
          </w:tcPr>
          <w:p w14:paraId="39C2CCFB" w14:textId="77777777" w:rsidR="00AD4AF3" w:rsidRPr="003805E3" w:rsidRDefault="00AD4AF3" w:rsidP="00AD4AF3">
            <w:pPr>
              <w:pStyle w:val="TableText"/>
              <w:jc w:val="center"/>
              <w:rPr>
                <w:noProof/>
              </w:rPr>
            </w:pPr>
          </w:p>
        </w:tc>
        <w:tc>
          <w:tcPr>
            <w:tcW w:w="567" w:type="dxa"/>
          </w:tcPr>
          <w:p w14:paraId="013E8C6F" w14:textId="77777777" w:rsidR="00AD4AF3" w:rsidRPr="003805E3" w:rsidRDefault="00AD4AF3" w:rsidP="00AD4AF3">
            <w:pPr>
              <w:pStyle w:val="TableText"/>
              <w:jc w:val="center"/>
              <w:rPr>
                <w:noProof/>
              </w:rPr>
            </w:pPr>
          </w:p>
        </w:tc>
        <w:tc>
          <w:tcPr>
            <w:tcW w:w="567" w:type="dxa"/>
          </w:tcPr>
          <w:p w14:paraId="579E2A3B" w14:textId="77777777" w:rsidR="00AD4AF3" w:rsidRPr="003805E3" w:rsidRDefault="00AD4AF3" w:rsidP="00AD4AF3">
            <w:pPr>
              <w:pStyle w:val="TableText"/>
              <w:jc w:val="center"/>
              <w:rPr>
                <w:noProof/>
              </w:rPr>
            </w:pPr>
          </w:p>
        </w:tc>
        <w:tc>
          <w:tcPr>
            <w:tcW w:w="567" w:type="dxa"/>
          </w:tcPr>
          <w:p w14:paraId="69C70435" w14:textId="77777777" w:rsidR="00AD4AF3" w:rsidRPr="003805E3" w:rsidRDefault="00AD4AF3" w:rsidP="00AD4AF3">
            <w:pPr>
              <w:pStyle w:val="TableText"/>
              <w:jc w:val="center"/>
              <w:rPr>
                <w:noProof/>
              </w:rPr>
            </w:pPr>
            <w:r>
              <w:rPr>
                <w:noProof/>
              </w:rPr>
              <w:t>■</w:t>
            </w:r>
          </w:p>
        </w:tc>
        <w:tc>
          <w:tcPr>
            <w:tcW w:w="567" w:type="dxa"/>
          </w:tcPr>
          <w:p w14:paraId="12F94457" w14:textId="77777777" w:rsidR="00AD4AF3" w:rsidRPr="003805E3" w:rsidRDefault="00AD4AF3" w:rsidP="00AD4AF3">
            <w:pPr>
              <w:pStyle w:val="TableText"/>
              <w:jc w:val="center"/>
              <w:rPr>
                <w:noProof/>
              </w:rPr>
            </w:pPr>
          </w:p>
        </w:tc>
        <w:tc>
          <w:tcPr>
            <w:tcW w:w="1276" w:type="dxa"/>
          </w:tcPr>
          <w:p w14:paraId="7FBF8456" w14:textId="0C08EE28" w:rsidR="00AD4AF3" w:rsidRPr="003805E3" w:rsidRDefault="00AD4AF3" w:rsidP="00AD4AF3">
            <w:pPr>
              <w:pStyle w:val="TableText"/>
              <w:rPr>
                <w:noProof/>
              </w:rPr>
            </w:pPr>
            <w:r>
              <w:rPr>
                <w:noProof/>
              </w:rPr>
              <w:t>Interreg NEXT BSB</w:t>
            </w:r>
          </w:p>
        </w:tc>
        <w:tc>
          <w:tcPr>
            <w:tcW w:w="992" w:type="dxa"/>
          </w:tcPr>
          <w:p w14:paraId="7144C310" w14:textId="77777777" w:rsidR="00AD4AF3" w:rsidRPr="003805E3" w:rsidRDefault="00AD4AF3" w:rsidP="00AD4AF3">
            <w:pPr>
              <w:pStyle w:val="TableText"/>
              <w:jc w:val="center"/>
              <w:rPr>
                <w:noProof/>
              </w:rPr>
            </w:pPr>
            <w:r>
              <w:rPr>
                <w:noProof/>
              </w:rPr>
              <w:t>1,61</w:t>
            </w:r>
          </w:p>
        </w:tc>
        <w:tc>
          <w:tcPr>
            <w:tcW w:w="2765" w:type="dxa"/>
          </w:tcPr>
          <w:p w14:paraId="75FC2556" w14:textId="38B69EA4" w:rsidR="00AD4AF3" w:rsidRPr="003805E3" w:rsidRDefault="00AD4AF3" w:rsidP="00AD4AF3">
            <w:pPr>
              <w:pStyle w:val="TableText"/>
              <w:rPr>
                <w:noProof/>
              </w:rPr>
            </w:pPr>
            <w:r>
              <w:rPr>
                <w:noProof/>
              </w:rPr>
              <w:t>Amélioration de l’accessibilité, de la biodiversité et de la résilience au changement climatique grâce à des pratiques durables</w:t>
            </w:r>
          </w:p>
        </w:tc>
      </w:tr>
      <w:tr w:rsidR="00FB22F2" w:rsidRPr="003805E3" w14:paraId="72D2A06E" w14:textId="77777777" w:rsidTr="00FB22F2">
        <w:tc>
          <w:tcPr>
            <w:tcW w:w="3403" w:type="dxa"/>
          </w:tcPr>
          <w:p w14:paraId="05EADA37" w14:textId="2891ED7E" w:rsidR="00AD4AF3" w:rsidRPr="003805E3" w:rsidRDefault="00AD4AF3" w:rsidP="00AD4AF3">
            <w:pPr>
              <w:pStyle w:val="TableText"/>
              <w:rPr>
                <w:noProof/>
              </w:rPr>
            </w:pPr>
            <w:r>
              <w:rPr>
                <w:noProof/>
              </w:rPr>
              <w:t>EU4EMBLAS</w:t>
            </w:r>
          </w:p>
        </w:tc>
        <w:tc>
          <w:tcPr>
            <w:tcW w:w="1279" w:type="dxa"/>
          </w:tcPr>
          <w:p w14:paraId="1DC2276E" w14:textId="35FD1022" w:rsidR="00AD4AF3" w:rsidRPr="003805E3" w:rsidRDefault="00AD4AF3" w:rsidP="00AD4AF3">
            <w:pPr>
              <w:pStyle w:val="TableText"/>
              <w:rPr>
                <w:noProof/>
              </w:rPr>
            </w:pPr>
            <w:r>
              <w:rPr>
                <w:noProof/>
              </w:rPr>
              <w:t>04.2021 – 06.2026</w:t>
            </w:r>
          </w:p>
        </w:tc>
        <w:tc>
          <w:tcPr>
            <w:tcW w:w="555" w:type="dxa"/>
          </w:tcPr>
          <w:p w14:paraId="3C6F6A52" w14:textId="77777777" w:rsidR="00AD4AF3" w:rsidRPr="003805E3" w:rsidRDefault="00AD4AF3" w:rsidP="00AD4AF3">
            <w:pPr>
              <w:pStyle w:val="TableText"/>
              <w:jc w:val="center"/>
              <w:rPr>
                <w:noProof/>
              </w:rPr>
            </w:pPr>
          </w:p>
        </w:tc>
        <w:tc>
          <w:tcPr>
            <w:tcW w:w="567" w:type="dxa"/>
          </w:tcPr>
          <w:p w14:paraId="194EB0F2" w14:textId="77777777" w:rsidR="00AD4AF3" w:rsidRPr="003805E3" w:rsidRDefault="00AD4AF3" w:rsidP="00AD4AF3">
            <w:pPr>
              <w:pStyle w:val="TableText"/>
              <w:jc w:val="center"/>
              <w:rPr>
                <w:noProof/>
              </w:rPr>
            </w:pPr>
          </w:p>
        </w:tc>
        <w:tc>
          <w:tcPr>
            <w:tcW w:w="567" w:type="dxa"/>
          </w:tcPr>
          <w:p w14:paraId="7AE6EFA1" w14:textId="77777777" w:rsidR="00AD4AF3" w:rsidRPr="003805E3" w:rsidRDefault="00AD4AF3" w:rsidP="00AD4AF3">
            <w:pPr>
              <w:pStyle w:val="TableText"/>
              <w:jc w:val="center"/>
              <w:rPr>
                <w:noProof/>
              </w:rPr>
            </w:pPr>
          </w:p>
        </w:tc>
        <w:tc>
          <w:tcPr>
            <w:tcW w:w="567" w:type="dxa"/>
          </w:tcPr>
          <w:p w14:paraId="0883EAC7" w14:textId="77777777" w:rsidR="00AD4AF3" w:rsidRPr="003805E3" w:rsidRDefault="00AD4AF3" w:rsidP="00AD4AF3">
            <w:pPr>
              <w:pStyle w:val="TableText"/>
              <w:jc w:val="center"/>
              <w:rPr>
                <w:noProof/>
              </w:rPr>
            </w:pPr>
          </w:p>
        </w:tc>
        <w:tc>
          <w:tcPr>
            <w:tcW w:w="567" w:type="dxa"/>
          </w:tcPr>
          <w:p w14:paraId="47D28E5D" w14:textId="77777777" w:rsidR="00AD4AF3" w:rsidRPr="003805E3" w:rsidRDefault="00AD4AF3" w:rsidP="00AD4AF3">
            <w:pPr>
              <w:pStyle w:val="TableText"/>
              <w:jc w:val="center"/>
              <w:rPr>
                <w:noProof/>
              </w:rPr>
            </w:pPr>
          </w:p>
        </w:tc>
        <w:tc>
          <w:tcPr>
            <w:tcW w:w="567" w:type="dxa"/>
          </w:tcPr>
          <w:p w14:paraId="73AC56DB" w14:textId="35D3B2D5" w:rsidR="00AD4AF3" w:rsidRPr="003805E3" w:rsidRDefault="00AD4AF3" w:rsidP="00AD4AF3">
            <w:pPr>
              <w:pStyle w:val="TableText"/>
              <w:jc w:val="center"/>
              <w:rPr>
                <w:noProof/>
              </w:rPr>
            </w:pPr>
            <w:r>
              <w:rPr>
                <w:noProof/>
              </w:rPr>
              <w:t>■</w:t>
            </w:r>
          </w:p>
        </w:tc>
        <w:tc>
          <w:tcPr>
            <w:tcW w:w="567" w:type="dxa"/>
          </w:tcPr>
          <w:p w14:paraId="358CFDEE" w14:textId="77777777" w:rsidR="00AD4AF3" w:rsidRPr="003805E3" w:rsidRDefault="00AD4AF3" w:rsidP="00AD4AF3">
            <w:pPr>
              <w:pStyle w:val="TableText"/>
              <w:jc w:val="center"/>
              <w:rPr>
                <w:noProof/>
              </w:rPr>
            </w:pPr>
          </w:p>
        </w:tc>
        <w:tc>
          <w:tcPr>
            <w:tcW w:w="567" w:type="dxa"/>
          </w:tcPr>
          <w:p w14:paraId="7CF65C5D" w14:textId="77777777" w:rsidR="00AD4AF3" w:rsidRPr="003805E3" w:rsidRDefault="00AD4AF3" w:rsidP="00AD4AF3">
            <w:pPr>
              <w:pStyle w:val="TableText"/>
              <w:jc w:val="center"/>
              <w:rPr>
                <w:noProof/>
              </w:rPr>
            </w:pPr>
          </w:p>
        </w:tc>
        <w:tc>
          <w:tcPr>
            <w:tcW w:w="567" w:type="dxa"/>
          </w:tcPr>
          <w:p w14:paraId="124251E0" w14:textId="2C15555E" w:rsidR="00AD4AF3" w:rsidRPr="003805E3" w:rsidRDefault="00AD4AF3" w:rsidP="00AD4AF3">
            <w:pPr>
              <w:pStyle w:val="TableText"/>
              <w:jc w:val="center"/>
              <w:rPr>
                <w:noProof/>
              </w:rPr>
            </w:pPr>
            <w:r>
              <w:rPr>
                <w:noProof/>
              </w:rPr>
              <w:t>■</w:t>
            </w:r>
          </w:p>
        </w:tc>
        <w:tc>
          <w:tcPr>
            <w:tcW w:w="1276" w:type="dxa"/>
          </w:tcPr>
          <w:p w14:paraId="154BBC0B" w14:textId="5CE491D8" w:rsidR="00AD4AF3" w:rsidRPr="003805E3" w:rsidRDefault="00AD4AF3" w:rsidP="00AD4AF3">
            <w:pPr>
              <w:pStyle w:val="TableText"/>
              <w:rPr>
                <w:noProof/>
              </w:rPr>
            </w:pPr>
            <w:r>
              <w:rPr>
                <w:noProof/>
              </w:rPr>
              <w:t>IVCDCI</w:t>
            </w:r>
          </w:p>
        </w:tc>
        <w:tc>
          <w:tcPr>
            <w:tcW w:w="992" w:type="dxa"/>
          </w:tcPr>
          <w:p w14:paraId="1579B848" w14:textId="79D95C08" w:rsidR="00AD4AF3" w:rsidRPr="003805E3" w:rsidRDefault="00AD4AF3" w:rsidP="00AD4AF3">
            <w:pPr>
              <w:pStyle w:val="TableText"/>
              <w:jc w:val="center"/>
              <w:rPr>
                <w:noProof/>
              </w:rPr>
            </w:pPr>
            <w:r>
              <w:rPr>
                <w:noProof/>
              </w:rPr>
              <w:t>2,19</w:t>
            </w:r>
          </w:p>
        </w:tc>
        <w:tc>
          <w:tcPr>
            <w:tcW w:w="2765" w:type="dxa"/>
          </w:tcPr>
          <w:p w14:paraId="799F642A" w14:textId="0F44EC18" w:rsidR="00AD4AF3" w:rsidRPr="003805E3" w:rsidRDefault="00AD4AF3" w:rsidP="00AD4AF3">
            <w:pPr>
              <w:pStyle w:val="TableText"/>
              <w:rPr>
                <w:noProof/>
              </w:rPr>
            </w:pPr>
            <w:r>
              <w:rPr>
                <w:noProof/>
              </w:rPr>
              <w:t>Enquêtes et équipements de suivi, sensibilisation et participation du public</w:t>
            </w:r>
          </w:p>
        </w:tc>
      </w:tr>
      <w:tr w:rsidR="00FB22F2" w:rsidRPr="003805E3" w14:paraId="7C1D8B5E" w14:textId="77777777" w:rsidTr="00FB22F2">
        <w:tc>
          <w:tcPr>
            <w:tcW w:w="3403" w:type="dxa"/>
          </w:tcPr>
          <w:p w14:paraId="06D82CB3" w14:textId="04008B4B" w:rsidR="00AD4AF3" w:rsidRPr="003805E3" w:rsidRDefault="00AD4AF3" w:rsidP="00AD4AF3">
            <w:pPr>
              <w:pStyle w:val="TableText"/>
              <w:rPr>
                <w:noProof/>
              </w:rPr>
            </w:pPr>
            <w:r>
              <w:rPr>
                <w:noProof/>
              </w:rPr>
              <w:t>Renforcement de la résilience environnementale et de la sécurité maritime des États riverains de la mer Noire et de la mer Caspienne (BCSEA II)</w:t>
            </w:r>
          </w:p>
        </w:tc>
        <w:tc>
          <w:tcPr>
            <w:tcW w:w="1279" w:type="dxa"/>
          </w:tcPr>
          <w:p w14:paraId="2E3790BE" w14:textId="08F83556" w:rsidR="00AD4AF3" w:rsidRPr="003805E3" w:rsidRDefault="00AD4AF3" w:rsidP="00AD4AF3">
            <w:pPr>
              <w:pStyle w:val="TableText"/>
              <w:rPr>
                <w:noProof/>
              </w:rPr>
            </w:pPr>
            <w:r>
              <w:rPr>
                <w:noProof/>
              </w:rPr>
              <w:t>09.2026</w:t>
            </w:r>
          </w:p>
        </w:tc>
        <w:tc>
          <w:tcPr>
            <w:tcW w:w="555" w:type="dxa"/>
          </w:tcPr>
          <w:p w14:paraId="24B887F7" w14:textId="77777777" w:rsidR="00AD4AF3" w:rsidRPr="003805E3" w:rsidRDefault="00AD4AF3" w:rsidP="00AD4AF3">
            <w:pPr>
              <w:pStyle w:val="TableText"/>
              <w:jc w:val="center"/>
              <w:rPr>
                <w:noProof/>
              </w:rPr>
            </w:pPr>
          </w:p>
        </w:tc>
        <w:tc>
          <w:tcPr>
            <w:tcW w:w="567" w:type="dxa"/>
          </w:tcPr>
          <w:p w14:paraId="5644D862" w14:textId="77777777" w:rsidR="00AD4AF3" w:rsidRPr="003805E3" w:rsidRDefault="00AD4AF3" w:rsidP="00AD4AF3">
            <w:pPr>
              <w:pStyle w:val="TableText"/>
              <w:jc w:val="center"/>
              <w:rPr>
                <w:noProof/>
              </w:rPr>
            </w:pPr>
          </w:p>
        </w:tc>
        <w:tc>
          <w:tcPr>
            <w:tcW w:w="567" w:type="dxa"/>
          </w:tcPr>
          <w:p w14:paraId="2A2E16A6" w14:textId="77777777" w:rsidR="00AD4AF3" w:rsidRPr="003805E3" w:rsidRDefault="00AD4AF3" w:rsidP="00AD4AF3">
            <w:pPr>
              <w:pStyle w:val="TableText"/>
              <w:jc w:val="center"/>
              <w:rPr>
                <w:noProof/>
              </w:rPr>
            </w:pPr>
          </w:p>
        </w:tc>
        <w:tc>
          <w:tcPr>
            <w:tcW w:w="567" w:type="dxa"/>
          </w:tcPr>
          <w:p w14:paraId="45279920" w14:textId="77777777" w:rsidR="00AD4AF3" w:rsidRPr="003805E3" w:rsidRDefault="00AD4AF3" w:rsidP="00AD4AF3">
            <w:pPr>
              <w:pStyle w:val="TableText"/>
              <w:jc w:val="center"/>
              <w:rPr>
                <w:noProof/>
              </w:rPr>
            </w:pPr>
          </w:p>
        </w:tc>
        <w:tc>
          <w:tcPr>
            <w:tcW w:w="567" w:type="dxa"/>
          </w:tcPr>
          <w:p w14:paraId="1B2A2AA8" w14:textId="08FD48BD" w:rsidR="00AD4AF3" w:rsidRPr="003805E3" w:rsidRDefault="00AD4AF3" w:rsidP="00AD4AF3">
            <w:pPr>
              <w:pStyle w:val="TableText"/>
              <w:jc w:val="center"/>
              <w:rPr>
                <w:noProof/>
              </w:rPr>
            </w:pPr>
            <w:r>
              <w:rPr>
                <w:noProof/>
              </w:rPr>
              <w:t>■</w:t>
            </w:r>
          </w:p>
        </w:tc>
        <w:tc>
          <w:tcPr>
            <w:tcW w:w="567" w:type="dxa"/>
          </w:tcPr>
          <w:p w14:paraId="3BB33431" w14:textId="0C637A33" w:rsidR="00AD4AF3" w:rsidRPr="003805E3" w:rsidRDefault="00AD4AF3" w:rsidP="00AD4AF3">
            <w:pPr>
              <w:pStyle w:val="TableText"/>
              <w:jc w:val="center"/>
              <w:rPr>
                <w:noProof/>
              </w:rPr>
            </w:pPr>
            <w:r>
              <w:rPr>
                <w:noProof/>
              </w:rPr>
              <w:t>■</w:t>
            </w:r>
          </w:p>
        </w:tc>
        <w:tc>
          <w:tcPr>
            <w:tcW w:w="567" w:type="dxa"/>
          </w:tcPr>
          <w:p w14:paraId="64E60860" w14:textId="5DD0B34F" w:rsidR="00AD4AF3" w:rsidRPr="003805E3" w:rsidRDefault="00AD4AF3" w:rsidP="00AD4AF3">
            <w:pPr>
              <w:pStyle w:val="TableText"/>
              <w:jc w:val="center"/>
              <w:rPr>
                <w:noProof/>
              </w:rPr>
            </w:pPr>
            <w:r>
              <w:rPr>
                <w:noProof/>
              </w:rPr>
              <w:t>■</w:t>
            </w:r>
          </w:p>
        </w:tc>
        <w:tc>
          <w:tcPr>
            <w:tcW w:w="567" w:type="dxa"/>
          </w:tcPr>
          <w:p w14:paraId="67DC3D23" w14:textId="0E2AD625" w:rsidR="00AD4AF3" w:rsidRPr="003805E3" w:rsidRDefault="00AD4AF3" w:rsidP="00AD4AF3">
            <w:pPr>
              <w:pStyle w:val="TableText"/>
              <w:jc w:val="center"/>
              <w:rPr>
                <w:noProof/>
              </w:rPr>
            </w:pPr>
            <w:r>
              <w:rPr>
                <w:noProof/>
              </w:rPr>
              <w:t>■</w:t>
            </w:r>
          </w:p>
        </w:tc>
        <w:tc>
          <w:tcPr>
            <w:tcW w:w="567" w:type="dxa"/>
          </w:tcPr>
          <w:p w14:paraId="072267FF" w14:textId="622EFDAE" w:rsidR="00AD4AF3" w:rsidRPr="003805E3" w:rsidRDefault="00AD4AF3" w:rsidP="00AD4AF3">
            <w:pPr>
              <w:pStyle w:val="TableText"/>
              <w:jc w:val="center"/>
              <w:rPr>
                <w:noProof/>
              </w:rPr>
            </w:pPr>
            <w:r>
              <w:rPr>
                <w:noProof/>
              </w:rPr>
              <w:t>■</w:t>
            </w:r>
          </w:p>
        </w:tc>
        <w:tc>
          <w:tcPr>
            <w:tcW w:w="1276" w:type="dxa"/>
          </w:tcPr>
          <w:p w14:paraId="4DFC53EA" w14:textId="23ED3A97" w:rsidR="00AD4AF3" w:rsidRPr="003805E3" w:rsidRDefault="00AD4AF3" w:rsidP="00AD4AF3">
            <w:pPr>
              <w:pStyle w:val="TableText"/>
              <w:rPr>
                <w:noProof/>
              </w:rPr>
            </w:pPr>
            <w:r>
              <w:rPr>
                <w:noProof/>
              </w:rPr>
              <w:t>IVCDCI</w:t>
            </w:r>
          </w:p>
        </w:tc>
        <w:tc>
          <w:tcPr>
            <w:tcW w:w="992" w:type="dxa"/>
          </w:tcPr>
          <w:p w14:paraId="642C0D46" w14:textId="375C9C74" w:rsidR="00AD4AF3" w:rsidRPr="003805E3" w:rsidRDefault="00AD4AF3" w:rsidP="00AD4AF3">
            <w:pPr>
              <w:pStyle w:val="TableText"/>
              <w:jc w:val="center"/>
              <w:rPr>
                <w:noProof/>
              </w:rPr>
            </w:pPr>
            <w:r>
              <w:rPr>
                <w:noProof/>
              </w:rPr>
              <w:t>4,50</w:t>
            </w:r>
          </w:p>
        </w:tc>
        <w:tc>
          <w:tcPr>
            <w:tcW w:w="2765" w:type="dxa"/>
          </w:tcPr>
          <w:p w14:paraId="09062B65" w14:textId="50F0CB66" w:rsidR="00AD4AF3" w:rsidRPr="003805E3" w:rsidRDefault="00AD4AF3" w:rsidP="00AD4AF3">
            <w:pPr>
              <w:pStyle w:val="TableText"/>
              <w:rPr>
                <w:noProof/>
              </w:rPr>
            </w:pPr>
            <w:r>
              <w:rPr>
                <w:noProof/>
              </w:rPr>
              <w:t>Renforcement de la sécurité maritime et de la protection de l’environnement par la formation, l’amélioration de la surveillance du trafic maritime et la lutte contre la pollution</w:t>
            </w:r>
          </w:p>
        </w:tc>
      </w:tr>
      <w:tr w:rsidR="00FB22F2" w:rsidRPr="003805E3" w14:paraId="06C2692E" w14:textId="77777777" w:rsidTr="00FB22F2">
        <w:tc>
          <w:tcPr>
            <w:tcW w:w="3403" w:type="dxa"/>
          </w:tcPr>
          <w:p w14:paraId="5548C9EB" w14:textId="23DA127A" w:rsidR="00AD4AF3" w:rsidRPr="003805E3" w:rsidRDefault="00AD4AF3" w:rsidP="00AD4AF3">
            <w:pPr>
              <w:pStyle w:val="TableText"/>
              <w:rPr>
                <w:noProof/>
              </w:rPr>
            </w:pPr>
            <w:r>
              <w:rPr>
                <w:noProof/>
              </w:rPr>
              <w:t>EU4ClimateResilience</w:t>
            </w:r>
          </w:p>
        </w:tc>
        <w:tc>
          <w:tcPr>
            <w:tcW w:w="1279" w:type="dxa"/>
          </w:tcPr>
          <w:p w14:paraId="64772498" w14:textId="7BF1C865" w:rsidR="00AD4AF3" w:rsidRPr="003805E3" w:rsidRDefault="00AD4AF3" w:rsidP="00AD4AF3">
            <w:pPr>
              <w:pStyle w:val="TableText"/>
              <w:rPr>
                <w:noProof/>
              </w:rPr>
            </w:pPr>
            <w:r>
              <w:rPr>
                <w:noProof/>
              </w:rPr>
              <w:t>01.2024 – 12.2027</w:t>
            </w:r>
          </w:p>
        </w:tc>
        <w:tc>
          <w:tcPr>
            <w:tcW w:w="555" w:type="dxa"/>
          </w:tcPr>
          <w:p w14:paraId="49C3CE75" w14:textId="77777777" w:rsidR="00AD4AF3" w:rsidRPr="003805E3" w:rsidRDefault="00AD4AF3" w:rsidP="00AD4AF3">
            <w:pPr>
              <w:pStyle w:val="TableText"/>
              <w:jc w:val="center"/>
              <w:rPr>
                <w:noProof/>
              </w:rPr>
            </w:pPr>
          </w:p>
        </w:tc>
        <w:tc>
          <w:tcPr>
            <w:tcW w:w="567" w:type="dxa"/>
          </w:tcPr>
          <w:p w14:paraId="77D44647" w14:textId="77777777" w:rsidR="00AD4AF3" w:rsidRPr="003805E3" w:rsidRDefault="00AD4AF3" w:rsidP="00AD4AF3">
            <w:pPr>
              <w:pStyle w:val="TableText"/>
              <w:jc w:val="center"/>
              <w:rPr>
                <w:noProof/>
              </w:rPr>
            </w:pPr>
          </w:p>
        </w:tc>
        <w:tc>
          <w:tcPr>
            <w:tcW w:w="567" w:type="dxa"/>
          </w:tcPr>
          <w:p w14:paraId="25990197" w14:textId="77777777" w:rsidR="00AD4AF3" w:rsidRPr="003805E3" w:rsidRDefault="00AD4AF3" w:rsidP="00AD4AF3">
            <w:pPr>
              <w:pStyle w:val="TableText"/>
              <w:jc w:val="center"/>
              <w:rPr>
                <w:noProof/>
              </w:rPr>
            </w:pPr>
          </w:p>
        </w:tc>
        <w:tc>
          <w:tcPr>
            <w:tcW w:w="567" w:type="dxa"/>
          </w:tcPr>
          <w:p w14:paraId="79DEB1A1" w14:textId="63EE1E27" w:rsidR="00AD4AF3" w:rsidRPr="003805E3" w:rsidRDefault="00AD4AF3" w:rsidP="00AD4AF3">
            <w:pPr>
              <w:pStyle w:val="TableText"/>
              <w:jc w:val="center"/>
              <w:rPr>
                <w:noProof/>
              </w:rPr>
            </w:pPr>
            <w:r>
              <w:rPr>
                <w:noProof/>
              </w:rPr>
              <w:t>■</w:t>
            </w:r>
          </w:p>
        </w:tc>
        <w:tc>
          <w:tcPr>
            <w:tcW w:w="567" w:type="dxa"/>
          </w:tcPr>
          <w:p w14:paraId="6F515B08" w14:textId="5BD43003" w:rsidR="00AD4AF3" w:rsidRPr="003805E3" w:rsidRDefault="00AD4AF3" w:rsidP="00AD4AF3">
            <w:pPr>
              <w:pStyle w:val="TableText"/>
              <w:jc w:val="center"/>
              <w:rPr>
                <w:noProof/>
              </w:rPr>
            </w:pPr>
            <w:r>
              <w:rPr>
                <w:noProof/>
              </w:rPr>
              <w:t>■</w:t>
            </w:r>
          </w:p>
        </w:tc>
        <w:tc>
          <w:tcPr>
            <w:tcW w:w="567" w:type="dxa"/>
          </w:tcPr>
          <w:p w14:paraId="1F1E3154" w14:textId="0B658FC2" w:rsidR="00AD4AF3" w:rsidRPr="003805E3" w:rsidRDefault="00AD4AF3" w:rsidP="00AD4AF3">
            <w:pPr>
              <w:pStyle w:val="TableText"/>
              <w:jc w:val="center"/>
              <w:rPr>
                <w:noProof/>
              </w:rPr>
            </w:pPr>
            <w:r>
              <w:rPr>
                <w:noProof/>
              </w:rPr>
              <w:t>■</w:t>
            </w:r>
          </w:p>
        </w:tc>
        <w:tc>
          <w:tcPr>
            <w:tcW w:w="567" w:type="dxa"/>
          </w:tcPr>
          <w:p w14:paraId="64571AE3" w14:textId="1A8BF924" w:rsidR="00AD4AF3" w:rsidRPr="003805E3" w:rsidRDefault="00AD4AF3" w:rsidP="00AD4AF3">
            <w:pPr>
              <w:pStyle w:val="TableText"/>
              <w:jc w:val="center"/>
              <w:rPr>
                <w:noProof/>
              </w:rPr>
            </w:pPr>
            <w:r>
              <w:rPr>
                <w:noProof/>
              </w:rPr>
              <w:t>■</w:t>
            </w:r>
          </w:p>
        </w:tc>
        <w:tc>
          <w:tcPr>
            <w:tcW w:w="567" w:type="dxa"/>
          </w:tcPr>
          <w:p w14:paraId="7CAF5938" w14:textId="77777777" w:rsidR="00AD4AF3" w:rsidRPr="003805E3" w:rsidRDefault="00AD4AF3" w:rsidP="00AD4AF3">
            <w:pPr>
              <w:pStyle w:val="TableText"/>
              <w:jc w:val="center"/>
              <w:rPr>
                <w:noProof/>
              </w:rPr>
            </w:pPr>
          </w:p>
        </w:tc>
        <w:tc>
          <w:tcPr>
            <w:tcW w:w="567" w:type="dxa"/>
          </w:tcPr>
          <w:p w14:paraId="6DFEA29E" w14:textId="7D0B813D" w:rsidR="00AD4AF3" w:rsidRPr="003805E3" w:rsidRDefault="00AD4AF3" w:rsidP="00AD4AF3">
            <w:pPr>
              <w:pStyle w:val="TableText"/>
              <w:jc w:val="center"/>
              <w:rPr>
                <w:noProof/>
              </w:rPr>
            </w:pPr>
            <w:r>
              <w:rPr>
                <w:noProof/>
              </w:rPr>
              <w:t>■</w:t>
            </w:r>
          </w:p>
        </w:tc>
        <w:tc>
          <w:tcPr>
            <w:tcW w:w="1276" w:type="dxa"/>
          </w:tcPr>
          <w:p w14:paraId="5CB1692E" w14:textId="161F6688" w:rsidR="00AD4AF3" w:rsidRPr="003805E3" w:rsidRDefault="00AD4AF3" w:rsidP="00AD4AF3">
            <w:pPr>
              <w:pStyle w:val="TableText"/>
              <w:rPr>
                <w:noProof/>
              </w:rPr>
            </w:pPr>
            <w:r>
              <w:rPr>
                <w:noProof/>
              </w:rPr>
              <w:t>IVCDCI</w:t>
            </w:r>
          </w:p>
        </w:tc>
        <w:tc>
          <w:tcPr>
            <w:tcW w:w="992" w:type="dxa"/>
          </w:tcPr>
          <w:p w14:paraId="1D1CE533" w14:textId="7792ADE4" w:rsidR="00AD4AF3" w:rsidRPr="003805E3" w:rsidRDefault="00AD4AF3" w:rsidP="00AD4AF3">
            <w:pPr>
              <w:pStyle w:val="TableText"/>
              <w:jc w:val="center"/>
              <w:rPr>
                <w:noProof/>
              </w:rPr>
            </w:pPr>
            <w:r>
              <w:rPr>
                <w:noProof/>
              </w:rPr>
              <w:t>19,58</w:t>
            </w:r>
          </w:p>
        </w:tc>
        <w:tc>
          <w:tcPr>
            <w:tcW w:w="2765" w:type="dxa"/>
          </w:tcPr>
          <w:p w14:paraId="7891A70C" w14:textId="40B7EF62" w:rsidR="00AD4AF3" w:rsidRPr="003805E3" w:rsidRDefault="00AD4AF3" w:rsidP="00AD4AF3">
            <w:pPr>
              <w:pStyle w:val="TableText"/>
              <w:rPr>
                <w:noProof/>
              </w:rPr>
            </w:pPr>
            <w:r>
              <w:rPr>
                <w:noProof/>
              </w:rPr>
              <w:t>Soutien à la conception et à la mise en œuvre de la politique en matière de changement climatique</w:t>
            </w:r>
          </w:p>
        </w:tc>
      </w:tr>
      <w:tr w:rsidR="00FB22F2" w:rsidRPr="003805E3" w14:paraId="3AFDCB1C" w14:textId="77777777" w:rsidTr="00FB22F2">
        <w:tc>
          <w:tcPr>
            <w:tcW w:w="3403" w:type="dxa"/>
          </w:tcPr>
          <w:p w14:paraId="128FDD0D" w14:textId="0F2DFD79" w:rsidR="00AD4AF3" w:rsidRPr="003805E3" w:rsidRDefault="00AD4AF3" w:rsidP="00AD4AF3">
            <w:pPr>
              <w:pStyle w:val="TableText"/>
              <w:rPr>
                <w:noProof/>
              </w:rPr>
            </w:pPr>
            <w:r>
              <w:rPr>
                <w:noProof/>
              </w:rPr>
              <w:t>EU4Green Recovery East</w:t>
            </w:r>
          </w:p>
        </w:tc>
        <w:tc>
          <w:tcPr>
            <w:tcW w:w="1279" w:type="dxa"/>
          </w:tcPr>
          <w:p w14:paraId="341FFC3D" w14:textId="53B46B9E" w:rsidR="00AD4AF3" w:rsidRPr="003805E3" w:rsidRDefault="00AD4AF3" w:rsidP="00AD4AF3">
            <w:pPr>
              <w:pStyle w:val="TableText"/>
              <w:rPr>
                <w:noProof/>
              </w:rPr>
            </w:pPr>
            <w:r>
              <w:rPr>
                <w:noProof/>
              </w:rPr>
              <w:t>01.2025 – 12.2028</w:t>
            </w:r>
          </w:p>
        </w:tc>
        <w:tc>
          <w:tcPr>
            <w:tcW w:w="555" w:type="dxa"/>
          </w:tcPr>
          <w:p w14:paraId="4A1C72B2" w14:textId="77777777" w:rsidR="00AD4AF3" w:rsidRPr="003805E3" w:rsidRDefault="00AD4AF3" w:rsidP="00AD4AF3">
            <w:pPr>
              <w:pStyle w:val="TableText"/>
              <w:jc w:val="center"/>
              <w:rPr>
                <w:noProof/>
              </w:rPr>
            </w:pPr>
          </w:p>
        </w:tc>
        <w:tc>
          <w:tcPr>
            <w:tcW w:w="567" w:type="dxa"/>
          </w:tcPr>
          <w:p w14:paraId="4068FBE4" w14:textId="77777777" w:rsidR="00AD4AF3" w:rsidRPr="003805E3" w:rsidRDefault="00AD4AF3" w:rsidP="00AD4AF3">
            <w:pPr>
              <w:pStyle w:val="TableText"/>
              <w:jc w:val="center"/>
              <w:rPr>
                <w:noProof/>
              </w:rPr>
            </w:pPr>
          </w:p>
        </w:tc>
        <w:tc>
          <w:tcPr>
            <w:tcW w:w="567" w:type="dxa"/>
          </w:tcPr>
          <w:p w14:paraId="169442E1" w14:textId="77777777" w:rsidR="00AD4AF3" w:rsidRPr="003805E3" w:rsidRDefault="00AD4AF3" w:rsidP="00AD4AF3">
            <w:pPr>
              <w:pStyle w:val="TableText"/>
              <w:jc w:val="center"/>
              <w:rPr>
                <w:noProof/>
              </w:rPr>
            </w:pPr>
          </w:p>
        </w:tc>
        <w:tc>
          <w:tcPr>
            <w:tcW w:w="567" w:type="dxa"/>
          </w:tcPr>
          <w:p w14:paraId="50D67E8A" w14:textId="1CB04A9C" w:rsidR="00AD4AF3" w:rsidRPr="003805E3" w:rsidRDefault="00AD4AF3" w:rsidP="00AD4AF3">
            <w:pPr>
              <w:pStyle w:val="TableText"/>
              <w:jc w:val="center"/>
              <w:rPr>
                <w:noProof/>
              </w:rPr>
            </w:pPr>
            <w:r>
              <w:rPr>
                <w:noProof/>
              </w:rPr>
              <w:t>■</w:t>
            </w:r>
          </w:p>
        </w:tc>
        <w:tc>
          <w:tcPr>
            <w:tcW w:w="567" w:type="dxa"/>
          </w:tcPr>
          <w:p w14:paraId="4FC154F1" w14:textId="17091BFD" w:rsidR="00AD4AF3" w:rsidRPr="003805E3" w:rsidRDefault="00AD4AF3" w:rsidP="00AD4AF3">
            <w:pPr>
              <w:pStyle w:val="TableText"/>
              <w:jc w:val="center"/>
              <w:rPr>
                <w:noProof/>
              </w:rPr>
            </w:pPr>
            <w:r>
              <w:rPr>
                <w:noProof/>
              </w:rPr>
              <w:t>■</w:t>
            </w:r>
          </w:p>
        </w:tc>
        <w:tc>
          <w:tcPr>
            <w:tcW w:w="567" w:type="dxa"/>
          </w:tcPr>
          <w:p w14:paraId="46E46F1A" w14:textId="77777777" w:rsidR="00AD4AF3" w:rsidRPr="003805E3" w:rsidRDefault="00AD4AF3" w:rsidP="00AD4AF3">
            <w:pPr>
              <w:pStyle w:val="TableText"/>
              <w:jc w:val="center"/>
              <w:rPr>
                <w:noProof/>
              </w:rPr>
            </w:pPr>
          </w:p>
        </w:tc>
        <w:tc>
          <w:tcPr>
            <w:tcW w:w="567" w:type="dxa"/>
          </w:tcPr>
          <w:p w14:paraId="44871236" w14:textId="4785C979" w:rsidR="00AD4AF3" w:rsidRPr="003805E3" w:rsidRDefault="00AD4AF3" w:rsidP="00AD4AF3">
            <w:pPr>
              <w:pStyle w:val="TableText"/>
              <w:jc w:val="center"/>
              <w:rPr>
                <w:noProof/>
              </w:rPr>
            </w:pPr>
            <w:r>
              <w:rPr>
                <w:noProof/>
              </w:rPr>
              <w:t>■</w:t>
            </w:r>
          </w:p>
        </w:tc>
        <w:tc>
          <w:tcPr>
            <w:tcW w:w="567" w:type="dxa"/>
          </w:tcPr>
          <w:p w14:paraId="0CD26C53" w14:textId="77777777" w:rsidR="00AD4AF3" w:rsidRPr="003805E3" w:rsidRDefault="00AD4AF3" w:rsidP="00AD4AF3">
            <w:pPr>
              <w:pStyle w:val="TableText"/>
              <w:jc w:val="center"/>
              <w:rPr>
                <w:noProof/>
              </w:rPr>
            </w:pPr>
          </w:p>
        </w:tc>
        <w:tc>
          <w:tcPr>
            <w:tcW w:w="567" w:type="dxa"/>
          </w:tcPr>
          <w:p w14:paraId="7F92634C" w14:textId="0B79B7FA" w:rsidR="00AD4AF3" w:rsidRPr="003805E3" w:rsidRDefault="00AD4AF3" w:rsidP="00AD4AF3">
            <w:pPr>
              <w:pStyle w:val="TableText"/>
              <w:jc w:val="center"/>
              <w:rPr>
                <w:noProof/>
              </w:rPr>
            </w:pPr>
            <w:r>
              <w:rPr>
                <w:noProof/>
              </w:rPr>
              <w:t>■</w:t>
            </w:r>
          </w:p>
        </w:tc>
        <w:tc>
          <w:tcPr>
            <w:tcW w:w="1276" w:type="dxa"/>
          </w:tcPr>
          <w:p w14:paraId="2DF84ED3" w14:textId="18B5F6C2" w:rsidR="00AD4AF3" w:rsidRPr="003805E3" w:rsidRDefault="00AD4AF3" w:rsidP="00AD4AF3">
            <w:pPr>
              <w:pStyle w:val="TableText"/>
              <w:rPr>
                <w:noProof/>
              </w:rPr>
            </w:pPr>
            <w:r>
              <w:rPr>
                <w:noProof/>
              </w:rPr>
              <w:t>IVCDCI</w:t>
            </w:r>
          </w:p>
        </w:tc>
        <w:tc>
          <w:tcPr>
            <w:tcW w:w="992" w:type="dxa"/>
          </w:tcPr>
          <w:p w14:paraId="29F4C401" w14:textId="7AEB7492" w:rsidR="00AD4AF3" w:rsidRPr="003805E3" w:rsidRDefault="00AD4AF3" w:rsidP="00AD4AF3">
            <w:pPr>
              <w:pStyle w:val="TableText"/>
              <w:jc w:val="center"/>
              <w:rPr>
                <w:noProof/>
              </w:rPr>
            </w:pPr>
            <w:r>
              <w:rPr>
                <w:noProof/>
              </w:rPr>
              <w:t>21,30</w:t>
            </w:r>
          </w:p>
        </w:tc>
        <w:tc>
          <w:tcPr>
            <w:tcW w:w="2765" w:type="dxa"/>
          </w:tcPr>
          <w:p w14:paraId="2E101B8D" w14:textId="6B674895" w:rsidR="00AD4AF3" w:rsidRPr="003805E3" w:rsidRDefault="00AD4AF3" w:rsidP="00AD4AF3">
            <w:pPr>
              <w:pStyle w:val="TableText"/>
              <w:rPr>
                <w:noProof/>
              </w:rPr>
            </w:pPr>
            <w:r>
              <w:rPr>
                <w:noProof/>
              </w:rPr>
              <w:t>Promotion de la résilience dans le domaine de l’eau, de l’économie circulaire, de l’alignement de la législation et des projets transfrontières</w:t>
            </w:r>
          </w:p>
        </w:tc>
      </w:tr>
      <w:tr w:rsidR="00FB22F2" w:rsidRPr="003805E3" w14:paraId="7C692DD2" w14:textId="77777777" w:rsidTr="00FB22F2">
        <w:tc>
          <w:tcPr>
            <w:tcW w:w="3403" w:type="dxa"/>
          </w:tcPr>
          <w:p w14:paraId="4FEBA277" w14:textId="1F82EA10" w:rsidR="00AD4AF3" w:rsidRPr="003805E3" w:rsidRDefault="00AD4AF3" w:rsidP="00AD4AF3">
            <w:pPr>
              <w:pStyle w:val="TableText"/>
              <w:rPr>
                <w:noProof/>
              </w:rPr>
            </w:pPr>
            <w:r>
              <w:rPr>
                <w:noProof/>
              </w:rPr>
              <w:t>Prévention, préparation et réaction aux catastrophes naturelles et d’origine humaine dans les pays du partenariat oriental – phase 4 (PPRD East 4)</w:t>
            </w:r>
          </w:p>
        </w:tc>
        <w:tc>
          <w:tcPr>
            <w:tcW w:w="1279" w:type="dxa"/>
          </w:tcPr>
          <w:p w14:paraId="1DC4846D" w14:textId="30FF2348" w:rsidR="00AD4AF3" w:rsidRPr="003805E3" w:rsidRDefault="00AD4AF3" w:rsidP="00AD4AF3">
            <w:pPr>
              <w:pStyle w:val="TableText"/>
              <w:rPr>
                <w:noProof/>
              </w:rPr>
            </w:pPr>
            <w:r>
              <w:rPr>
                <w:noProof/>
              </w:rPr>
              <w:t>11.2025 – 10.2029</w:t>
            </w:r>
          </w:p>
        </w:tc>
        <w:tc>
          <w:tcPr>
            <w:tcW w:w="555" w:type="dxa"/>
          </w:tcPr>
          <w:p w14:paraId="1719113B" w14:textId="77777777" w:rsidR="00AD4AF3" w:rsidRPr="003805E3" w:rsidRDefault="00AD4AF3" w:rsidP="00AD4AF3">
            <w:pPr>
              <w:pStyle w:val="TableText"/>
              <w:jc w:val="center"/>
              <w:rPr>
                <w:noProof/>
              </w:rPr>
            </w:pPr>
          </w:p>
        </w:tc>
        <w:tc>
          <w:tcPr>
            <w:tcW w:w="567" w:type="dxa"/>
          </w:tcPr>
          <w:p w14:paraId="37B6D0C9" w14:textId="77777777" w:rsidR="00AD4AF3" w:rsidRPr="003805E3" w:rsidRDefault="00AD4AF3" w:rsidP="00AD4AF3">
            <w:pPr>
              <w:pStyle w:val="TableText"/>
              <w:jc w:val="center"/>
              <w:rPr>
                <w:noProof/>
              </w:rPr>
            </w:pPr>
          </w:p>
        </w:tc>
        <w:tc>
          <w:tcPr>
            <w:tcW w:w="567" w:type="dxa"/>
          </w:tcPr>
          <w:p w14:paraId="7B748C60" w14:textId="77777777" w:rsidR="00AD4AF3" w:rsidRPr="003805E3" w:rsidRDefault="00AD4AF3" w:rsidP="00AD4AF3">
            <w:pPr>
              <w:pStyle w:val="TableText"/>
              <w:jc w:val="center"/>
              <w:rPr>
                <w:noProof/>
              </w:rPr>
            </w:pPr>
          </w:p>
        </w:tc>
        <w:tc>
          <w:tcPr>
            <w:tcW w:w="567" w:type="dxa"/>
          </w:tcPr>
          <w:p w14:paraId="413A4B84" w14:textId="52FF9E3A" w:rsidR="00AD4AF3" w:rsidRPr="003805E3" w:rsidRDefault="00AD4AF3" w:rsidP="00AD4AF3">
            <w:pPr>
              <w:pStyle w:val="TableText"/>
              <w:jc w:val="center"/>
              <w:rPr>
                <w:noProof/>
              </w:rPr>
            </w:pPr>
            <w:r>
              <w:rPr>
                <w:noProof/>
              </w:rPr>
              <w:t>■</w:t>
            </w:r>
          </w:p>
        </w:tc>
        <w:tc>
          <w:tcPr>
            <w:tcW w:w="567" w:type="dxa"/>
          </w:tcPr>
          <w:p w14:paraId="746FDE8B" w14:textId="08C46DDB" w:rsidR="00AD4AF3" w:rsidRPr="003805E3" w:rsidRDefault="00AD4AF3" w:rsidP="00AD4AF3">
            <w:pPr>
              <w:pStyle w:val="TableText"/>
              <w:jc w:val="center"/>
              <w:rPr>
                <w:noProof/>
              </w:rPr>
            </w:pPr>
            <w:r>
              <w:rPr>
                <w:noProof/>
              </w:rPr>
              <w:t>■</w:t>
            </w:r>
          </w:p>
        </w:tc>
        <w:tc>
          <w:tcPr>
            <w:tcW w:w="567" w:type="dxa"/>
          </w:tcPr>
          <w:p w14:paraId="02B9614D" w14:textId="77777777" w:rsidR="00AD4AF3" w:rsidRPr="003805E3" w:rsidRDefault="00AD4AF3" w:rsidP="00AD4AF3">
            <w:pPr>
              <w:pStyle w:val="TableText"/>
              <w:jc w:val="center"/>
              <w:rPr>
                <w:noProof/>
              </w:rPr>
            </w:pPr>
          </w:p>
        </w:tc>
        <w:tc>
          <w:tcPr>
            <w:tcW w:w="567" w:type="dxa"/>
          </w:tcPr>
          <w:p w14:paraId="1CD6828B" w14:textId="2F5EDED0" w:rsidR="00AD4AF3" w:rsidRPr="003805E3" w:rsidRDefault="00AD4AF3" w:rsidP="00AD4AF3">
            <w:pPr>
              <w:pStyle w:val="TableText"/>
              <w:jc w:val="center"/>
              <w:rPr>
                <w:noProof/>
              </w:rPr>
            </w:pPr>
            <w:r>
              <w:rPr>
                <w:noProof/>
              </w:rPr>
              <w:t>■</w:t>
            </w:r>
          </w:p>
        </w:tc>
        <w:tc>
          <w:tcPr>
            <w:tcW w:w="567" w:type="dxa"/>
          </w:tcPr>
          <w:p w14:paraId="6C5AD17B" w14:textId="77777777" w:rsidR="00AD4AF3" w:rsidRPr="003805E3" w:rsidRDefault="00AD4AF3" w:rsidP="00AD4AF3">
            <w:pPr>
              <w:pStyle w:val="TableText"/>
              <w:jc w:val="center"/>
              <w:rPr>
                <w:noProof/>
              </w:rPr>
            </w:pPr>
          </w:p>
        </w:tc>
        <w:tc>
          <w:tcPr>
            <w:tcW w:w="567" w:type="dxa"/>
          </w:tcPr>
          <w:p w14:paraId="73235B5C" w14:textId="1EF78C84" w:rsidR="00AD4AF3" w:rsidRPr="003805E3" w:rsidRDefault="00AD4AF3" w:rsidP="00AD4AF3">
            <w:pPr>
              <w:pStyle w:val="TableText"/>
              <w:jc w:val="center"/>
              <w:rPr>
                <w:noProof/>
              </w:rPr>
            </w:pPr>
            <w:r>
              <w:rPr>
                <w:noProof/>
              </w:rPr>
              <w:t>■</w:t>
            </w:r>
          </w:p>
        </w:tc>
        <w:tc>
          <w:tcPr>
            <w:tcW w:w="1276" w:type="dxa"/>
          </w:tcPr>
          <w:p w14:paraId="2E74C60B" w14:textId="428B8A24" w:rsidR="00AD4AF3" w:rsidRPr="003805E3" w:rsidRDefault="00AD4AF3" w:rsidP="00AD4AF3">
            <w:pPr>
              <w:pStyle w:val="TableText"/>
              <w:rPr>
                <w:noProof/>
              </w:rPr>
            </w:pPr>
            <w:r>
              <w:rPr>
                <w:noProof/>
              </w:rPr>
              <w:t>IVCDCI</w:t>
            </w:r>
          </w:p>
        </w:tc>
        <w:tc>
          <w:tcPr>
            <w:tcW w:w="992" w:type="dxa"/>
          </w:tcPr>
          <w:p w14:paraId="50DE63F2" w14:textId="096CA847" w:rsidR="00AD4AF3" w:rsidRPr="003805E3" w:rsidRDefault="00AD4AF3" w:rsidP="00AD4AF3">
            <w:pPr>
              <w:pStyle w:val="TableText"/>
              <w:jc w:val="center"/>
              <w:rPr>
                <w:noProof/>
              </w:rPr>
            </w:pPr>
            <w:r>
              <w:rPr>
                <w:noProof/>
              </w:rPr>
              <w:t>5,00</w:t>
            </w:r>
          </w:p>
        </w:tc>
        <w:tc>
          <w:tcPr>
            <w:tcW w:w="2765" w:type="dxa"/>
          </w:tcPr>
          <w:p w14:paraId="7EAD0D7B" w14:textId="7FA6F1A4" w:rsidR="00AD4AF3" w:rsidRPr="003805E3" w:rsidRDefault="00AD4AF3" w:rsidP="00AD4AF3">
            <w:pPr>
              <w:pStyle w:val="TableText"/>
              <w:rPr>
                <w:noProof/>
              </w:rPr>
            </w:pPr>
            <w:r>
              <w:rPr>
                <w:noProof/>
              </w:rPr>
              <w:t>Renforcement des systèmes de gestion des risques de catastrophe et amélioration de la coopération avec le mécanisme de protection civile de l’Union</w:t>
            </w:r>
          </w:p>
        </w:tc>
      </w:tr>
    </w:tbl>
    <w:bookmarkEnd w:id="10"/>
    <w:p w14:paraId="7B3F7CE2" w14:textId="77777777" w:rsidR="00B115D7" w:rsidRPr="00DA1486" w:rsidRDefault="00346323" w:rsidP="00DA1486">
      <w:pPr>
        <w:pStyle w:val="Text1"/>
        <w:rPr>
          <w:noProof/>
        </w:rPr>
      </w:pPr>
      <w:r>
        <w:rPr>
          <w:noProof/>
        </w:rPr>
        <w:t xml:space="preserve">*Le </w:t>
      </w:r>
      <w:r>
        <w:rPr>
          <w:noProof/>
          <w:sz w:val="22"/>
        </w:rPr>
        <w:t xml:space="preserve">financement de l’UE pour les projets Interreg NEXT «Bassin de la mer Noire» s’élève à 90 % du budget total destiné aux projets. </w:t>
      </w:r>
    </w:p>
    <w:sectPr w:rsidR="00B115D7" w:rsidRPr="00DA1486" w:rsidSect="00F3726D">
      <w:headerReference w:type="default" r:id="rId28"/>
      <w:footerReference w:type="default" r:id="rId29"/>
      <w:headerReference w:type="first" r:id="rId30"/>
      <w:footerReference w:type="first" r:id="rId31"/>
      <w:endnotePr>
        <w:numFmt w:val="lowerLetter"/>
      </w:endnotePr>
      <w:pgSz w:w="16838" w:h="11906" w:orient="landscape"/>
      <w:pgMar w:top="1587" w:right="1020" w:bottom="1701" w:left="1020"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A9822D" w14:textId="77777777" w:rsidR="001A47BF" w:rsidRDefault="001A47BF">
      <w:pPr>
        <w:spacing w:after="0"/>
      </w:pPr>
      <w:r>
        <w:separator/>
      </w:r>
    </w:p>
  </w:endnote>
  <w:endnote w:type="continuationSeparator" w:id="0">
    <w:p w14:paraId="3171E887" w14:textId="77777777" w:rsidR="001A47BF" w:rsidRDefault="001A47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55572" w14:textId="0AED1D75" w:rsidR="00BC4221" w:rsidRPr="00BC4221" w:rsidRDefault="00BC4221" w:rsidP="00BC4221">
    <w:pPr>
      <w:pStyle w:val="FooterCoverPage"/>
      <w:rPr>
        <w:rFonts w:ascii="Arial" w:hAnsi="Arial" w:cs="Arial"/>
        <w:b/>
        <w:sz w:val="48"/>
      </w:rPr>
    </w:pPr>
    <w:r w:rsidRPr="00BC4221">
      <w:rPr>
        <w:rFonts w:ascii="Arial" w:hAnsi="Arial" w:cs="Arial"/>
        <w:b/>
        <w:sz w:val="48"/>
      </w:rPr>
      <w:t>FR</w:t>
    </w:r>
    <w:r w:rsidRPr="00BC4221">
      <w:rPr>
        <w:rFonts w:ascii="Arial" w:hAnsi="Arial" w:cs="Arial"/>
        <w:b/>
        <w:sz w:val="48"/>
      </w:rPr>
      <w:tab/>
    </w:r>
    <w:r w:rsidRPr="00BC4221">
      <w:rPr>
        <w:rFonts w:ascii="Arial" w:hAnsi="Arial" w:cs="Arial"/>
        <w:b/>
        <w:sz w:val="48"/>
      </w:rPr>
      <w:tab/>
    </w:r>
    <w:r w:rsidRPr="00BC4221">
      <w:tab/>
    </w:r>
    <w:r w:rsidRPr="00BC422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D3C41" w14:textId="75DD52B7" w:rsidR="00BC4221" w:rsidRPr="00BC4221" w:rsidRDefault="00BC4221" w:rsidP="00BC4221">
    <w:pPr>
      <w:pStyle w:val="FooterCoverPage"/>
      <w:rPr>
        <w:rFonts w:ascii="Arial" w:hAnsi="Arial" w:cs="Arial"/>
        <w:b/>
        <w:sz w:val="48"/>
      </w:rPr>
    </w:pPr>
    <w:r w:rsidRPr="00BC4221">
      <w:rPr>
        <w:rFonts w:ascii="Arial" w:hAnsi="Arial" w:cs="Arial"/>
        <w:b/>
        <w:sz w:val="48"/>
      </w:rPr>
      <w:t>FR</w:t>
    </w:r>
    <w:r w:rsidRPr="00BC4221">
      <w:rPr>
        <w:rFonts w:ascii="Arial" w:hAnsi="Arial" w:cs="Arial"/>
        <w:b/>
        <w:sz w:val="48"/>
      </w:rPr>
      <w:tab/>
    </w:r>
    <w:r w:rsidRPr="00BC4221">
      <w:rPr>
        <w:rFonts w:ascii="Arial" w:hAnsi="Arial" w:cs="Arial"/>
        <w:b/>
        <w:sz w:val="48"/>
      </w:rPr>
      <w:tab/>
    </w:r>
    <w:r w:rsidRPr="00BC4221">
      <w:tab/>
    </w:r>
    <w:r w:rsidRPr="00BC422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7928B" w14:textId="77777777" w:rsidR="00BC4221" w:rsidRPr="00BC4221" w:rsidRDefault="00BC4221" w:rsidP="00BC422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7FF37" w14:textId="77777777" w:rsidR="00DD744C" w:rsidRDefault="00DD74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617115"/>
      <w:docPartObj>
        <w:docPartGallery w:val="Page Numbers (Bottom of Page)"/>
        <w:docPartUnique/>
      </w:docPartObj>
    </w:sdtPr>
    <w:sdtEndPr>
      <w:rPr>
        <w:noProof/>
      </w:rPr>
    </w:sdtEndPr>
    <w:sdtContent>
      <w:p w14:paraId="08B6C95F" w14:textId="23CCDA27" w:rsidR="00DD744C" w:rsidRDefault="00DD744C">
        <w:pPr>
          <w:pStyle w:val="Footer"/>
          <w:jc w:val="center"/>
        </w:pPr>
        <w:r>
          <w:fldChar w:fldCharType="begin"/>
        </w:r>
        <w:r>
          <w:instrText xml:space="preserve"> PAGE   \* MERGEFORMAT </w:instrText>
        </w:r>
        <w:r>
          <w:fldChar w:fldCharType="separate"/>
        </w:r>
        <w:r w:rsidR="00BC4221">
          <w:rPr>
            <w:noProof/>
          </w:rPr>
          <w:t>9</w:t>
        </w:r>
        <w:r>
          <w:fldChar w:fldCharType="end"/>
        </w:r>
      </w:p>
    </w:sdtContent>
  </w:sdt>
  <w:p w14:paraId="6757EC98" w14:textId="77777777" w:rsidR="00DD744C" w:rsidRDefault="00DD74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ED316" w14:textId="77777777" w:rsidR="00DD744C" w:rsidRDefault="00DD74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137204"/>
      <w:docPartObj>
        <w:docPartGallery w:val="Page Numbers (Bottom of Page)"/>
        <w:docPartUnique/>
      </w:docPartObj>
    </w:sdtPr>
    <w:sdtEndPr>
      <w:rPr>
        <w:noProof/>
      </w:rPr>
    </w:sdtEndPr>
    <w:sdtContent>
      <w:p w14:paraId="6958F08F" w14:textId="77777777" w:rsidR="00DD744C" w:rsidRDefault="00DD744C">
        <w:pPr>
          <w:pStyle w:val="Footer"/>
          <w:jc w:val="center"/>
        </w:pPr>
        <w:r>
          <w:fldChar w:fldCharType="begin"/>
        </w:r>
        <w:r>
          <w:instrText xml:space="preserve"> PAGE   \* MERGEFORMAT </w:instrText>
        </w:r>
        <w:r>
          <w:fldChar w:fldCharType="separate"/>
        </w:r>
        <w:r>
          <w:t>2</w:t>
        </w:r>
        <w:r>
          <w:fldChar w:fldCharType="end"/>
        </w:r>
      </w:p>
    </w:sdtContent>
  </w:sdt>
  <w:p w14:paraId="14119889" w14:textId="77777777" w:rsidR="00DD744C" w:rsidRDefault="00DD74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F3262" w14:textId="77777777" w:rsidR="00DD744C" w:rsidRDefault="00DD7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7C441" w14:textId="77777777" w:rsidR="001A47BF" w:rsidRDefault="001A47BF">
      <w:pPr>
        <w:spacing w:after="0"/>
      </w:pPr>
      <w:r>
        <w:separator/>
      </w:r>
    </w:p>
  </w:footnote>
  <w:footnote w:type="continuationSeparator" w:id="0">
    <w:p w14:paraId="48AB5325" w14:textId="77777777" w:rsidR="001A47BF" w:rsidRDefault="001A47BF">
      <w:pPr>
        <w:spacing w:after="0"/>
      </w:pPr>
      <w:r>
        <w:continuationSeparator/>
      </w:r>
    </w:p>
  </w:footnote>
  <w:footnote w:id="1">
    <w:p w14:paraId="40E1DAEE" w14:textId="78CEF15F" w:rsidR="008828F3" w:rsidRPr="00F62A15" w:rsidRDefault="008828F3">
      <w:pPr>
        <w:pStyle w:val="FootnoteText"/>
      </w:pPr>
      <w:r>
        <w:rPr>
          <w:rStyle w:val="FootnoteReference"/>
        </w:rPr>
        <w:footnoteRef/>
      </w:r>
      <w:r>
        <w:tab/>
      </w:r>
      <w:hyperlink r:id="rId1" w:history="1">
        <w:r>
          <w:rPr>
            <w:rStyle w:val="Hyperlink"/>
          </w:rPr>
          <w:t>https://eur-lex.europa.eu/legal-content/FR/TXT/?uri=celex:52025JC0135</w:t>
        </w:r>
      </w:hyperlink>
      <w:r>
        <w:t xml:space="preserve">. </w:t>
      </w:r>
    </w:p>
  </w:footnote>
  <w:footnote w:id="2">
    <w:p w14:paraId="0DB7FCD7" w14:textId="278F9F72" w:rsidR="0024623B" w:rsidRPr="00F62A15" w:rsidRDefault="0024623B">
      <w:pPr>
        <w:pStyle w:val="FootnoteText"/>
      </w:pPr>
      <w:r>
        <w:rPr>
          <w:rStyle w:val="FootnoteReference"/>
        </w:rPr>
        <w:footnoteRef/>
      </w:r>
      <w:r>
        <w:tab/>
      </w:r>
      <w:hyperlink r:id="rId2" w:history="1">
        <w:r>
          <w:rPr>
            <w:rStyle w:val="Hyperlink"/>
          </w:rPr>
          <w:t>https://www.consilium.europa.eu/media/demaqsbm/20250626-european-council-conclusions-fr.pdf</w:t>
        </w:r>
      </w:hyperlink>
      <w:r>
        <w:t>.</w:t>
      </w:r>
    </w:p>
  </w:footnote>
  <w:footnote w:id="3">
    <w:p w14:paraId="281D25FF" w14:textId="1E49C84A" w:rsidR="00880EED" w:rsidRPr="00F62A15" w:rsidRDefault="00880EED">
      <w:pPr>
        <w:pStyle w:val="FootnoteText"/>
      </w:pPr>
      <w:r>
        <w:rPr>
          <w:rStyle w:val="FootnoteReference"/>
        </w:rPr>
        <w:footnoteRef/>
      </w:r>
      <w:r>
        <w:tab/>
      </w:r>
      <w:hyperlink r:id="rId3" w:history="1">
        <w:r>
          <w:rPr>
            <w:rStyle w:val="Hyperlink"/>
          </w:rPr>
          <w:t>https://www.ebrd.com/home/news-and-events/publications/economics/transition-reports/transition-report-2025-26.html</w:t>
        </w:r>
      </w:hyperlink>
      <w:r>
        <w:t xml:space="preserve">. </w:t>
      </w:r>
    </w:p>
  </w:footnote>
  <w:footnote w:id="4">
    <w:p w14:paraId="0994231B" w14:textId="0D5DD68D" w:rsidR="008F7C8F" w:rsidRPr="00D210D9" w:rsidRDefault="008F7C8F">
      <w:pPr>
        <w:pStyle w:val="FootnoteText"/>
      </w:pPr>
      <w:r>
        <w:rPr>
          <w:rStyle w:val="FootnoteReference"/>
        </w:rPr>
        <w:footnoteRef/>
      </w:r>
      <w:r>
        <w:tab/>
      </w:r>
      <w:hyperlink r:id="rId4" w:history="1">
        <w:r>
          <w:rPr>
            <w:rStyle w:val="Hyperlink"/>
          </w:rPr>
          <w:t>https://www.consilium.europa.eu/fr/press/press-releases/2025/10/20/co-chairs-conclusions-on-strengthening-cross-regional-security-and-connectivity/</w:t>
        </w:r>
      </w:hyperlink>
      <w:r>
        <w:t xml:space="preserve">. </w:t>
      </w:r>
    </w:p>
  </w:footnote>
  <w:footnote w:id="5">
    <w:p w14:paraId="7145CEF5" w14:textId="0CD5381A" w:rsidR="00223845" w:rsidRPr="00F62A15" w:rsidRDefault="00223845" w:rsidP="00223845">
      <w:pPr>
        <w:pStyle w:val="FootnoteText"/>
      </w:pPr>
      <w:r>
        <w:rPr>
          <w:rStyle w:val="FootnoteReference"/>
        </w:rPr>
        <w:footnoteRef/>
      </w:r>
      <w:r>
        <w:tab/>
      </w:r>
      <w:hyperlink r:id="rId5" w:history="1">
        <w:r>
          <w:rPr>
            <w:rStyle w:val="Hyperlink"/>
          </w:rPr>
          <w:t>https://enlargement.ec.europa.eu/ukraine-report-2025_en?prefLang=fr</w:t>
        </w:r>
      </w:hyperlink>
      <w:r>
        <w:t xml:space="preserve">. </w:t>
      </w:r>
    </w:p>
  </w:footnote>
  <w:footnote w:id="6">
    <w:p w14:paraId="30B193AE" w14:textId="52B0BA40" w:rsidR="1D7C62F6" w:rsidRDefault="008828F3" w:rsidP="00D2467A">
      <w:pPr>
        <w:pStyle w:val="FootnoteText"/>
      </w:pPr>
      <w:r>
        <w:rPr>
          <w:rStyle w:val="FootnoteReference"/>
        </w:rPr>
        <w:footnoteRef/>
      </w:r>
      <w:r>
        <w:tab/>
      </w:r>
      <w:hyperlink r:id="rId6" w:history="1">
        <w:r>
          <w:rPr>
            <w:rStyle w:val="Hyperlink"/>
          </w:rPr>
          <w:t>https://enlargement.ec.europa.eu/moldova-report-2025_en?prefLang=fr</w:t>
        </w:r>
      </w:hyperlink>
      <w:r>
        <w:t xml:space="preserve">. </w:t>
      </w:r>
    </w:p>
  </w:footnote>
  <w:footnote w:id="7">
    <w:p w14:paraId="1E822076" w14:textId="1DA58881" w:rsidR="00DA6E85" w:rsidRPr="004058A5" w:rsidRDefault="00DA6E85">
      <w:pPr>
        <w:pStyle w:val="FootnoteText"/>
      </w:pPr>
      <w:r>
        <w:rPr>
          <w:rStyle w:val="FootnoteReference"/>
        </w:rPr>
        <w:footnoteRef/>
      </w:r>
      <w:r>
        <w:tab/>
        <w:t xml:space="preserve">La route Trump pour la paix et la prospérité internationales (TRIPP) est un corridor de transit, dont la négociation a été facilitée par les États-Unis, qui traverse la région arménienne de Syunik pour relier l’Azerbaïdjan à son enclave du Nakhitchevan. </w:t>
      </w:r>
    </w:p>
  </w:footnote>
  <w:footnote w:id="8">
    <w:p w14:paraId="0D95E479" w14:textId="1B59E12D" w:rsidR="00A00AC9" w:rsidRPr="00757858" w:rsidRDefault="00A00AC9">
      <w:pPr>
        <w:pStyle w:val="FootnoteText"/>
      </w:pPr>
      <w:r>
        <w:rPr>
          <w:rStyle w:val="FootnoteReference"/>
        </w:rPr>
        <w:footnoteRef/>
      </w:r>
      <w:r>
        <w:tab/>
      </w:r>
      <w:hyperlink r:id="rId7" w:history="1">
        <w:r>
          <w:rPr>
            <w:rStyle w:val="Hyperlink"/>
          </w:rPr>
          <w:t>https://enlargement.ec.europa.eu/news/european-union-and-armenia-adopt-new-strategic-agenda-deepen-partnership-2025-12-02_fr</w:t>
        </w:r>
      </w:hyperlink>
      <w:r>
        <w:t xml:space="preserve">. </w:t>
      </w:r>
    </w:p>
  </w:footnote>
  <w:footnote w:id="9">
    <w:p w14:paraId="78C9328D" w14:textId="619ADDDC" w:rsidR="0072519E" w:rsidRPr="004058A5" w:rsidRDefault="00B55859">
      <w:pPr>
        <w:pStyle w:val="FootnoteText"/>
      </w:pPr>
      <w:r>
        <w:rPr>
          <w:rStyle w:val="FootnoteReference"/>
        </w:rPr>
        <w:footnoteRef/>
      </w:r>
      <w:r>
        <w:tab/>
      </w:r>
      <w:hyperlink r:id="rId8" w:history="1">
        <w:r>
          <w:rPr>
            <w:rStyle w:val="Hyperlink"/>
          </w:rPr>
          <w:t>https://www.consilium.europa.eu/fr/press/press-releases/2026/05/05/joint-declaration-following-the-first-armenia-eu-summit/</w:t>
        </w:r>
      </w:hyperlink>
      <w:r>
        <w:t xml:space="preserve">. </w:t>
      </w:r>
    </w:p>
  </w:footnote>
  <w:footnote w:id="10">
    <w:p w14:paraId="263D4BDC" w14:textId="7A2B9DFA" w:rsidR="0001745F" w:rsidRPr="004058A5" w:rsidRDefault="0001745F">
      <w:pPr>
        <w:pStyle w:val="FootnoteText"/>
      </w:pPr>
      <w:r>
        <w:rPr>
          <w:rStyle w:val="FootnoteReference"/>
        </w:rPr>
        <w:footnoteRef/>
      </w:r>
      <w:r>
        <w:tab/>
      </w:r>
      <w:hyperlink r:id="rId9" w:history="1">
        <w:r>
          <w:rPr>
            <w:rStyle w:val="Hyperlink"/>
          </w:rPr>
          <w:t>https://ec.europa.eu/commission/presscorner/detail/fr/ip_26_988</w:t>
        </w:r>
      </w:hyperlink>
      <w:r>
        <w:t xml:space="preserve">. </w:t>
      </w:r>
    </w:p>
  </w:footnote>
  <w:footnote w:id="11">
    <w:p w14:paraId="2C3C746C" w14:textId="6F1F4F8B" w:rsidR="00CB12AE" w:rsidRPr="00757858" w:rsidRDefault="00CB12AE">
      <w:pPr>
        <w:pStyle w:val="FootnoteText"/>
      </w:pPr>
      <w:r>
        <w:rPr>
          <w:rStyle w:val="FootnoteReference"/>
        </w:rPr>
        <w:footnoteRef/>
      </w:r>
      <w:r>
        <w:tab/>
      </w:r>
      <w:hyperlink r:id="rId10" w:history="1">
        <w:r>
          <w:rPr>
            <w:rStyle w:val="Hyperlink"/>
            <w:color w:val="467886"/>
          </w:rPr>
          <w:t>https://www.consilium.europa.eu/fr/press/press-releases/2026/03/11/joint-press-statement-by-president-of-the-european-council-antonio-costa-and-president-of-the-republic-of-azerbaijan-ilham-aliyev/</w:t>
        </w:r>
      </w:hyperlink>
      <w:r>
        <w:t>.</w:t>
      </w:r>
    </w:p>
  </w:footnote>
  <w:footnote w:id="12">
    <w:p w14:paraId="20853F74" w14:textId="605BB58B" w:rsidR="00693695" w:rsidRPr="00F62A15" w:rsidRDefault="00693695">
      <w:pPr>
        <w:pStyle w:val="FootnoteText"/>
      </w:pPr>
      <w:r>
        <w:rPr>
          <w:rStyle w:val="FootnoteReference"/>
        </w:rPr>
        <w:footnoteRef/>
      </w:r>
      <w:r>
        <w:tab/>
      </w:r>
      <w:hyperlink r:id="rId11" w:history="1">
        <w:r>
          <w:rPr>
            <w:rStyle w:val="Hyperlink"/>
          </w:rPr>
          <w:t>https://enlargement.ec.europa.eu/georgia-report-2025_fr</w:t>
        </w:r>
      </w:hyperlink>
      <w:r>
        <w:t xml:space="preserve">. </w:t>
      </w:r>
    </w:p>
  </w:footnote>
  <w:footnote w:id="13">
    <w:p w14:paraId="13BBC5E4" w14:textId="285FA5DC" w:rsidR="00194AE2" w:rsidRPr="00F62A15" w:rsidRDefault="00194AE2" w:rsidP="00194AE2">
      <w:pPr>
        <w:pStyle w:val="FootnoteText"/>
      </w:pPr>
      <w:r>
        <w:rPr>
          <w:rStyle w:val="FootnoteReference"/>
        </w:rPr>
        <w:footnoteRef/>
      </w:r>
      <w:r>
        <w:tab/>
      </w:r>
      <w:hyperlink r:id="rId12" w:history="1">
        <w:r>
          <w:rPr>
            <w:rStyle w:val="Hyperlink"/>
          </w:rPr>
          <w:t>https://www.eesc.europa.eu/fr/news-media/news/le-cese-plaide-en-faveur-dune-mise-en-oeuvre-ambitieuse-et-pragmatique-de-lapproche-strategique-de-lunion-europeenne</w:t>
        </w:r>
      </w:hyperlink>
      <w:r>
        <w:t xml:space="preserve">. </w:t>
      </w:r>
    </w:p>
  </w:footnote>
  <w:footnote w:id="14">
    <w:p w14:paraId="2B1B4058" w14:textId="28AAE350" w:rsidR="006F345D" w:rsidRPr="00F62A15" w:rsidRDefault="006F345D">
      <w:pPr>
        <w:pStyle w:val="FootnoteText"/>
      </w:pPr>
      <w:r>
        <w:rPr>
          <w:rStyle w:val="FootnoteReference"/>
        </w:rPr>
        <w:footnoteRef/>
      </w:r>
      <w:r>
        <w:tab/>
      </w:r>
      <w:hyperlink r:id="rId13" w:history="1">
        <w:r>
          <w:rPr>
            <w:rStyle w:val="Hyperlink"/>
          </w:rPr>
          <w:t>https://www.cor.europa.eu/fr/nos-travaux/les-avis/cdr-2757-2025</w:t>
        </w:r>
      </w:hyperlink>
      <w:r>
        <w:t xml:space="preserve">. </w:t>
      </w:r>
    </w:p>
  </w:footnote>
  <w:footnote w:id="15">
    <w:p w14:paraId="7C13E388" w14:textId="651A4966" w:rsidR="002339F4" w:rsidRPr="00757858" w:rsidRDefault="002339F4">
      <w:pPr>
        <w:pStyle w:val="FootnoteText"/>
      </w:pPr>
      <w:r>
        <w:rPr>
          <w:rStyle w:val="FootnoteReference"/>
        </w:rPr>
        <w:footnoteRef/>
      </w:r>
      <w:r>
        <w:tab/>
      </w:r>
      <w:hyperlink r:id="rId14" w:history="1">
        <w:r>
          <w:rPr>
            <w:rStyle w:val="Hyperlink"/>
          </w:rPr>
          <w:t>https://www.consilium.europa.eu/fr/press/press-releases/2026/04/23/council-finalises-90-billion-support-loan-to-ukraine/</w:t>
        </w:r>
      </w:hyperlink>
      <w:r>
        <w:t xml:space="preserve">. </w:t>
      </w:r>
    </w:p>
  </w:footnote>
  <w:footnote w:id="16">
    <w:p w14:paraId="0CC736C4" w14:textId="57934C77" w:rsidR="00AE4FC3" w:rsidRPr="00757858" w:rsidRDefault="00AE4FC3">
      <w:pPr>
        <w:pStyle w:val="FootnoteText"/>
      </w:pPr>
      <w:r>
        <w:rPr>
          <w:rStyle w:val="FootnoteReference"/>
        </w:rPr>
        <w:footnoteRef/>
      </w:r>
      <w:r>
        <w:tab/>
      </w:r>
      <w:hyperlink r:id="rId15" w:history="1">
        <w:r>
          <w:rPr>
            <w:rStyle w:val="Hyperlink"/>
          </w:rPr>
          <w:t>https://crimea-platform.org/en/news/third-black-sea-security-conference-of-the-international-crimea-platform-begins-in-moldova/</w:t>
        </w:r>
      </w:hyperlink>
      <w:r>
        <w:t xml:space="preserve">; </w:t>
      </w:r>
      <w:hyperlink r:id="rId16" w:history="1">
        <w:r>
          <w:rPr>
            <w:rStyle w:val="Hyperlink"/>
          </w:rPr>
          <w:t>https://mfa.gov.md/en/content/republic-moldova-host-third-edition-black-sea-security-conference-under-auspices</w:t>
        </w:r>
      </w:hyperlink>
      <w:r>
        <w:t>.</w:t>
      </w:r>
    </w:p>
  </w:footnote>
  <w:footnote w:id="17">
    <w:p w14:paraId="6D985C86" w14:textId="59410444" w:rsidR="00EB535F" w:rsidRPr="00757858" w:rsidRDefault="00EB535F">
      <w:pPr>
        <w:pStyle w:val="FootnoteText"/>
      </w:pPr>
      <w:r>
        <w:rPr>
          <w:rStyle w:val="FootnoteReference"/>
        </w:rPr>
        <w:footnoteRef/>
      </w:r>
      <w:r>
        <w:tab/>
      </w:r>
      <w:hyperlink r:id="rId17" w:history="1">
        <w:r>
          <w:rPr>
            <w:rStyle w:val="Hyperlink"/>
          </w:rPr>
          <w:t>https://odesaforum.org/</w:t>
        </w:r>
      </w:hyperlink>
      <w:r>
        <w:t>.</w:t>
      </w:r>
    </w:p>
  </w:footnote>
  <w:footnote w:id="18">
    <w:p w14:paraId="30C0C733" w14:textId="6F68F343" w:rsidR="00155B92" w:rsidRPr="00155B92" w:rsidRDefault="00155B92">
      <w:pPr>
        <w:pStyle w:val="FootnoteText"/>
      </w:pPr>
      <w:r>
        <w:rPr>
          <w:rStyle w:val="FootnoteReference"/>
        </w:rPr>
        <w:footnoteRef/>
      </w:r>
      <w:r>
        <w:tab/>
        <w:t>Manifestation parallèle aux Macro-Regional and Sea Basins Strategies Days (Journées des stratégies macrorégionales et des bassins maritimes), Bruxelles, les 8 et 9 juillet 2026.</w:t>
      </w:r>
    </w:p>
  </w:footnote>
  <w:footnote w:id="19">
    <w:p w14:paraId="2968023B" w14:textId="386168B8" w:rsidR="00CE52DD" w:rsidRPr="00A65858" w:rsidRDefault="00CE52DD">
      <w:pPr>
        <w:pStyle w:val="FootnoteText"/>
      </w:pPr>
      <w:r>
        <w:rPr>
          <w:rStyle w:val="FootnoteReference"/>
        </w:rPr>
        <w:footnoteRef/>
      </w:r>
      <w:r>
        <w:tab/>
      </w:r>
      <w:hyperlink r:id="rId18" w:history="1">
        <w:r>
          <w:rPr>
            <w:rStyle w:val="Hyperlink"/>
          </w:rPr>
          <w:t>https://digital-strategy.ec.europa.eu/fr/library/action-plan-drone-and-counter-drone-security</w:t>
        </w:r>
      </w:hyperlink>
      <w:r>
        <w:t>.</w:t>
      </w:r>
    </w:p>
  </w:footnote>
  <w:footnote w:id="20">
    <w:p w14:paraId="6DFFBB2C" w14:textId="0B42DCCB" w:rsidR="00525630" w:rsidRPr="00A65858" w:rsidRDefault="00525630">
      <w:pPr>
        <w:pStyle w:val="FootnoteText"/>
      </w:pPr>
      <w:r>
        <w:rPr>
          <w:rStyle w:val="FootnoteReference"/>
        </w:rPr>
        <w:footnoteRef/>
      </w:r>
      <w:r>
        <w:tab/>
      </w:r>
      <w:hyperlink r:id="rId19" w:history="1">
        <w:r>
          <w:rPr>
            <w:rStyle w:val="Hyperlink"/>
          </w:rPr>
          <w:t>https://eur-lex.europa.eu/legal-content/FR/TXT/?uri=celex:52025JC0009</w:t>
        </w:r>
      </w:hyperlink>
      <w:r>
        <w:t>.</w:t>
      </w:r>
    </w:p>
  </w:footnote>
  <w:footnote w:id="21">
    <w:p w14:paraId="008FAD4D" w14:textId="1D76BE98" w:rsidR="00572B01" w:rsidRPr="00A65858" w:rsidRDefault="00572B01">
      <w:pPr>
        <w:pStyle w:val="FootnoteText"/>
      </w:pPr>
      <w:r>
        <w:rPr>
          <w:rStyle w:val="FootnoteReference"/>
        </w:rPr>
        <w:footnoteRef/>
      </w:r>
      <w:r>
        <w:tab/>
      </w:r>
      <w:hyperlink r:id="rId20" w:history="1">
        <w:r>
          <w:rPr>
            <w:rStyle w:val="Hyperlink"/>
          </w:rPr>
          <w:t>https://digital-strategy.ec.europa.eu/fr/library/report-security-and-resilience-eu-submarine-cable-infrastructures</w:t>
        </w:r>
      </w:hyperlink>
      <w:r>
        <w:t xml:space="preserve">. </w:t>
      </w:r>
    </w:p>
  </w:footnote>
  <w:footnote w:id="22">
    <w:p w14:paraId="11B2AE5A" w14:textId="64F99A5C" w:rsidR="009C518B" w:rsidRPr="00A65858" w:rsidRDefault="009C518B">
      <w:pPr>
        <w:pStyle w:val="FootnoteText"/>
      </w:pPr>
      <w:r>
        <w:rPr>
          <w:rStyle w:val="FootnoteReference"/>
        </w:rPr>
        <w:footnoteRef/>
      </w:r>
      <w:r>
        <w:tab/>
      </w:r>
      <w:hyperlink r:id="rId21" w:history="1">
        <w:r>
          <w:rPr>
            <w:rStyle w:val="Hyperlink"/>
          </w:rPr>
          <w:t>https://digital-strategy.ec.europa.eu/fr/library/submarine-cable-security-toolbox-and-cable-projects-european-interest</w:t>
        </w:r>
      </w:hyperlink>
      <w:r>
        <w:t xml:space="preserve">. </w:t>
      </w:r>
    </w:p>
  </w:footnote>
  <w:footnote w:id="23">
    <w:p w14:paraId="25B13B7C" w14:textId="2BD33882" w:rsidR="008B2017" w:rsidRPr="00A65858" w:rsidRDefault="008B2017">
      <w:pPr>
        <w:pStyle w:val="FootnoteText"/>
      </w:pPr>
      <w:r>
        <w:rPr>
          <w:rStyle w:val="FootnoteReference"/>
        </w:rPr>
        <w:footnoteRef/>
      </w:r>
      <w:r>
        <w:tab/>
      </w:r>
      <w:hyperlink r:id="rId22" w:history="1">
        <w:r>
          <w:rPr>
            <w:rStyle w:val="Hyperlink"/>
          </w:rPr>
          <w:t>https://digital-strategy.ec.europa.eu/fr/activities/cef-digital</w:t>
        </w:r>
      </w:hyperlink>
      <w:r>
        <w:t xml:space="preserve">. </w:t>
      </w:r>
    </w:p>
  </w:footnote>
  <w:footnote w:id="24">
    <w:p w14:paraId="232BDAC4" w14:textId="72BCDF65" w:rsidR="00042225" w:rsidRPr="00A65858" w:rsidRDefault="00042225">
      <w:pPr>
        <w:pStyle w:val="FootnoteText"/>
      </w:pPr>
      <w:r>
        <w:rPr>
          <w:rStyle w:val="FootnoteReference"/>
        </w:rPr>
        <w:footnoteRef/>
      </w:r>
      <w:r>
        <w:tab/>
      </w:r>
      <w:hyperlink r:id="rId23" w:history="1">
        <w:r>
          <w:rPr>
            <w:rStyle w:val="Hyperlink"/>
          </w:rPr>
          <w:t>https://www.consilium.europa.eu/fr/press/press-releases/2026/04/23/russia-s-war-of-aggression-against-ukraine-20th-round-of-stern-eu-sanctions-hits-energy-military-industrial-complex-trade-and-financial-services-including-crypto/</w:t>
        </w:r>
      </w:hyperlink>
      <w:r>
        <w:t xml:space="preserve">. </w:t>
      </w:r>
    </w:p>
  </w:footnote>
  <w:footnote w:id="25">
    <w:p w14:paraId="4F1031A2" w14:textId="26C8CCAE" w:rsidR="0027765C" w:rsidRPr="00A65858" w:rsidRDefault="5C58ED72">
      <w:pPr>
        <w:pStyle w:val="FootnoteText"/>
        <w:rPr>
          <w:sz w:val="24"/>
          <w:szCs w:val="24"/>
        </w:rPr>
      </w:pPr>
      <w:r>
        <w:rPr>
          <w:rStyle w:val="FootnoteReference"/>
        </w:rPr>
        <w:footnoteRef/>
      </w:r>
      <w:r>
        <w:tab/>
      </w:r>
      <w:hyperlink r:id="rId24" w:history="1">
        <w:r>
          <w:rPr>
            <w:rStyle w:val="Hyperlink"/>
          </w:rPr>
          <w:t>https://defence-industry-space.ec.europa.eu/eu-defence-industry/military-mobility_en?prefLang=fr</w:t>
        </w:r>
      </w:hyperlink>
      <w:r>
        <w:t xml:space="preserve">. </w:t>
      </w:r>
      <w:r>
        <w:rPr>
          <w:sz w:val="24"/>
        </w:rPr>
        <w:t xml:space="preserve"> </w:t>
      </w:r>
    </w:p>
  </w:footnote>
  <w:footnote w:id="26">
    <w:p w14:paraId="12C0629A" w14:textId="22CB98C4" w:rsidR="00821D91" w:rsidRPr="00A65858" w:rsidRDefault="00A80CED" w:rsidP="000A45AB">
      <w:pPr>
        <w:pStyle w:val="FootnoteText"/>
      </w:pPr>
      <w:r>
        <w:rPr>
          <w:rStyle w:val="FootnoteReference"/>
        </w:rPr>
        <w:footnoteRef/>
      </w:r>
      <w:r>
        <w:t xml:space="preserve"> </w:t>
      </w:r>
      <w:hyperlink r:id="rId25" w:history="1">
        <w:r>
          <w:rPr>
            <w:rStyle w:val="Hyperlink"/>
          </w:rPr>
          <w:t>https://transport.ec.europa.eu/transport-themes/military-mobility_fr</w:t>
        </w:r>
      </w:hyperlink>
      <w:r>
        <w:t xml:space="preserve">. </w:t>
      </w:r>
    </w:p>
  </w:footnote>
  <w:footnote w:id="27">
    <w:p w14:paraId="020A7E5F" w14:textId="1938C06F" w:rsidR="00580C24" w:rsidRPr="00475259" w:rsidRDefault="00580C24">
      <w:pPr>
        <w:pStyle w:val="FootnoteText"/>
      </w:pPr>
      <w:r>
        <w:rPr>
          <w:rStyle w:val="FootnoteReference"/>
        </w:rPr>
        <w:footnoteRef/>
      </w:r>
      <w:r>
        <w:tab/>
      </w:r>
      <w:hyperlink r:id="rId26" w:history="1">
        <w:r>
          <w:rPr>
            <w:rStyle w:val="Hyperlink"/>
          </w:rPr>
          <w:t>https://www.consilium.europa.eu/fr/policies/sanctions-against-russia-hybrid-threats/</w:t>
        </w:r>
      </w:hyperlink>
      <w:r>
        <w:t>.</w:t>
      </w:r>
    </w:p>
  </w:footnote>
  <w:footnote w:id="28">
    <w:p w14:paraId="79935E1F" w14:textId="17FA5907" w:rsidR="00821D91" w:rsidRPr="00537D2F" w:rsidRDefault="00A80CED" w:rsidP="000A45AB">
      <w:pPr>
        <w:pStyle w:val="FootnoteText"/>
      </w:pPr>
      <w:r>
        <w:rPr>
          <w:rStyle w:val="FootnoteReference"/>
        </w:rPr>
        <w:footnoteRef/>
      </w:r>
      <w:r>
        <w:t xml:space="preserve"> </w:t>
      </w:r>
      <w:hyperlink r:id="rId27" w:history="1">
        <w:r>
          <w:rPr>
            <w:rStyle w:val="Hyperlink"/>
          </w:rPr>
          <w:t>https://www.consilium.europa.eu/fr/policies/sanctions-against-cyber-attacks/</w:t>
        </w:r>
      </w:hyperlink>
      <w:r>
        <w:t xml:space="preserve">. </w:t>
      </w:r>
    </w:p>
  </w:footnote>
  <w:footnote w:id="29">
    <w:p w14:paraId="5437350C" w14:textId="4DD85F47" w:rsidR="0016674B" w:rsidRPr="00537D2F" w:rsidRDefault="0016674B">
      <w:pPr>
        <w:pStyle w:val="FootnoteText"/>
      </w:pPr>
      <w:r>
        <w:rPr>
          <w:rStyle w:val="FootnoteReference"/>
        </w:rPr>
        <w:footnoteRef/>
      </w:r>
      <w:r>
        <w:tab/>
      </w:r>
      <w:hyperlink r:id="rId28" w:history="1">
        <w:r>
          <w:rPr>
            <w:rStyle w:val="Hyperlink"/>
          </w:rPr>
          <w:t>https://www.consilium.europa.eu/fr/press/press-releases/2026/04/21/armenia-eu-establishes-a-new-civilian-mission-to-contribute-strengthening-the-country-s-resilience/</w:t>
        </w:r>
      </w:hyperlink>
      <w:r>
        <w:t>.</w:t>
      </w:r>
      <w:r>
        <w:rPr>
          <w:rStyle w:val="Hyperlink"/>
        </w:rPr>
        <w:t xml:space="preserve"> </w:t>
      </w:r>
    </w:p>
  </w:footnote>
  <w:footnote w:id="30">
    <w:p w14:paraId="0CEA9941" w14:textId="2FD9C47C" w:rsidR="004932AE" w:rsidRPr="00A65858" w:rsidRDefault="004932AE" w:rsidP="004932AE">
      <w:pPr>
        <w:pStyle w:val="FootnoteText"/>
      </w:pPr>
      <w:r>
        <w:rPr>
          <w:rStyle w:val="FootnoteReference"/>
        </w:rPr>
        <w:footnoteRef/>
      </w:r>
      <w:r>
        <w:tab/>
      </w:r>
      <w:hyperlink r:id="rId29" w:history="1">
        <w:r>
          <w:rPr>
            <w:rStyle w:val="Hyperlink"/>
          </w:rPr>
          <w:t>https://www.consilium.europa.eu/fr/press/press-releases/2026/04/21/armenia-eu-establishes-a-new-civilian-mission-to-contribute-strengthening-the-country-s-resilience/</w:t>
        </w:r>
      </w:hyperlink>
      <w:r>
        <w:t>.</w:t>
      </w:r>
    </w:p>
  </w:footnote>
  <w:footnote w:id="31">
    <w:p w14:paraId="04B0801B" w14:textId="15808A55" w:rsidR="00CD681D" w:rsidRPr="00831E4C" w:rsidRDefault="00CD681D">
      <w:pPr>
        <w:pStyle w:val="FootnoteText"/>
      </w:pPr>
      <w:r>
        <w:rPr>
          <w:rStyle w:val="FootnoteReference"/>
        </w:rPr>
        <w:footnoteRef/>
      </w:r>
      <w:r>
        <w:tab/>
      </w:r>
      <w:r>
        <w:rPr>
          <w:rStyle w:val="FootnoteReference"/>
          <w:sz w:val="18"/>
          <w:vertAlign w:val="baseline"/>
        </w:rPr>
        <w:t>Directive (UE) 2022/2555, JO L 333 du 27.12.2022, p. 80,</w:t>
      </w:r>
      <w:hyperlink r:id="rId30" w:history="1">
        <w:r>
          <w:rPr>
            <w:rStyle w:val="Hyperlink"/>
            <w:sz w:val="18"/>
          </w:rPr>
          <w:t>http://data.europa.eu/eli/dir/2022/2555/2022-12-27</w:t>
        </w:r>
      </w:hyperlink>
      <w:r>
        <w:t>.</w:t>
      </w:r>
      <w:r>
        <w:rPr>
          <w:sz w:val="18"/>
        </w:rPr>
        <w:t xml:space="preserve"> </w:t>
      </w:r>
    </w:p>
  </w:footnote>
  <w:footnote w:id="32">
    <w:p w14:paraId="3E2BB124" w14:textId="11C73C10" w:rsidR="007F5800" w:rsidRPr="00831E4C" w:rsidRDefault="007F5800">
      <w:pPr>
        <w:pStyle w:val="FootnoteText"/>
      </w:pPr>
      <w:r>
        <w:rPr>
          <w:rStyle w:val="FootnoteReference"/>
        </w:rPr>
        <w:footnoteRef/>
      </w:r>
      <w:r>
        <w:tab/>
      </w:r>
      <w:hyperlink r:id="rId31" w:history="1">
        <w:r>
          <w:rPr>
            <w:rStyle w:val="Hyperlink"/>
          </w:rPr>
          <w:t>https://www.consilium.europa.eu/fr/meetings/international-ministerial-meetings/2025/12/02/</w:t>
        </w:r>
      </w:hyperlink>
      <w:r>
        <w:t xml:space="preserve">. </w:t>
      </w:r>
    </w:p>
  </w:footnote>
  <w:footnote w:id="33">
    <w:p w14:paraId="032449EF" w14:textId="30E14AA5" w:rsidR="00701811" w:rsidRPr="00F62A15" w:rsidRDefault="00701811">
      <w:pPr>
        <w:pStyle w:val="FootnoteText"/>
      </w:pPr>
      <w:r>
        <w:rPr>
          <w:rStyle w:val="FootnoteReference"/>
        </w:rPr>
        <w:footnoteRef/>
      </w:r>
      <w:r>
        <w:tab/>
        <w:t xml:space="preserve">CEPOL est l’Agence de l’Union européenne pour la formation des services répressifs. </w:t>
      </w:r>
    </w:p>
  </w:footnote>
  <w:footnote w:id="34">
    <w:p w14:paraId="731459E4" w14:textId="42B66F78" w:rsidR="009A45AD" w:rsidRPr="00F62A15" w:rsidRDefault="009A45AD">
      <w:pPr>
        <w:pStyle w:val="FootnoteText"/>
      </w:pPr>
      <w:r>
        <w:rPr>
          <w:rStyle w:val="FootnoteReference"/>
        </w:rPr>
        <w:footnoteRef/>
      </w:r>
      <w:r>
        <w:tab/>
        <w:t>L’EMPACT (plateforme pluridisciplinaire européenne contre les menaces criminelles) est une initiative permanente de l’UE en matière de sécurité qui réunit les États membres, les agences de l’UE (comme Europol) et les partenaires internationaux pour lutter contre la grande criminalité organisée.</w:t>
      </w:r>
    </w:p>
  </w:footnote>
  <w:footnote w:id="35">
    <w:p w14:paraId="31C23707" w14:textId="7D59E435" w:rsidR="00CF1AB4" w:rsidRPr="00CF1AB4" w:rsidRDefault="00CF1AB4">
      <w:pPr>
        <w:pStyle w:val="FootnoteText"/>
      </w:pPr>
      <w:r>
        <w:rPr>
          <w:rStyle w:val="FootnoteReference"/>
        </w:rPr>
        <w:footnoteRef/>
      </w:r>
      <w:r>
        <w:tab/>
      </w:r>
      <w:hyperlink r:id="rId32" w:history="1">
        <w:r>
          <w:rPr>
            <w:rStyle w:val="Hyperlink"/>
          </w:rPr>
          <w:t>https://eur-lex.europa.eu/legal-content/FR/TXT/?uri=celex:52025DC0743</w:t>
        </w:r>
      </w:hyperlink>
      <w:r>
        <w:t xml:space="preserve">. </w:t>
      </w:r>
    </w:p>
  </w:footnote>
  <w:footnote w:id="36">
    <w:p w14:paraId="39FB5D03" w14:textId="7FFABCE6" w:rsidR="008C168D" w:rsidRPr="008C168D" w:rsidRDefault="008C168D">
      <w:pPr>
        <w:pStyle w:val="FootnoteText"/>
      </w:pPr>
      <w:r>
        <w:rPr>
          <w:rStyle w:val="FootnoteReference"/>
        </w:rPr>
        <w:footnoteRef/>
      </w:r>
      <w:r>
        <w:tab/>
      </w:r>
      <w:hyperlink r:id="rId33" w:history="1">
        <w:r>
          <w:rPr>
            <w:rStyle w:val="Hyperlink"/>
          </w:rPr>
          <w:t>https://enlargement.ec.europa.eu/meta-study-advancing-cross-regional-connectivity-agenda_fr</w:t>
        </w:r>
      </w:hyperlink>
      <w:r>
        <w:t xml:space="preserve">. </w:t>
      </w:r>
    </w:p>
  </w:footnote>
  <w:footnote w:id="37">
    <w:p w14:paraId="7BAF8967" w14:textId="782A14BD" w:rsidR="00E434F3" w:rsidRPr="00A32AD6" w:rsidRDefault="00E434F3">
      <w:pPr>
        <w:pStyle w:val="FootnoteText"/>
      </w:pPr>
      <w:r>
        <w:rPr>
          <w:rStyle w:val="FootnoteReference"/>
        </w:rPr>
        <w:footnoteRef/>
      </w:r>
      <w:r>
        <w:tab/>
      </w:r>
      <w:hyperlink r:id="rId34" w:history="1">
        <w:r>
          <w:rPr>
            <w:rStyle w:val="Hyperlink"/>
          </w:rPr>
          <w:t>https://ec.europa.eu/commission/presscorner/detail/fr/ip_25_2452</w:t>
        </w:r>
      </w:hyperlink>
      <w:r>
        <w:t xml:space="preserve">. </w:t>
      </w:r>
    </w:p>
  </w:footnote>
  <w:footnote w:id="38">
    <w:p w14:paraId="667FA514" w14:textId="0C9E85BF" w:rsidR="007667CC" w:rsidRPr="00A32AD6" w:rsidRDefault="007667CC">
      <w:pPr>
        <w:pStyle w:val="FootnoteText"/>
      </w:pPr>
      <w:r>
        <w:rPr>
          <w:rStyle w:val="FootnoteReference"/>
        </w:rPr>
        <w:footnoteRef/>
      </w:r>
      <w:r>
        <w:tab/>
      </w:r>
      <w:hyperlink r:id="rId35" w:history="1">
        <w:r>
          <w:rPr>
            <w:rStyle w:val="Hyperlink"/>
          </w:rPr>
          <w:t>https://enlargement.ec.europa.eu/news/trans-caspian-transport-corridor-and-connectivity-investors-forum-eu-advances-cross-regional-2025-11-27_fr</w:t>
        </w:r>
      </w:hyperlink>
      <w:r>
        <w:t xml:space="preserve">. </w:t>
      </w:r>
    </w:p>
  </w:footnote>
  <w:footnote w:id="39">
    <w:p w14:paraId="7F318D45" w14:textId="704EA05A" w:rsidR="00C9702F" w:rsidRPr="00F62A15" w:rsidRDefault="0EBAB9F2" w:rsidP="00F62A15">
      <w:pPr>
        <w:pStyle w:val="FootnoteText"/>
        <w:spacing w:after="0"/>
      </w:pPr>
      <w:r>
        <w:rPr>
          <w:rStyle w:val="FootnoteReference"/>
        </w:rPr>
        <w:footnoteRef/>
      </w:r>
      <w:r>
        <w:tab/>
      </w:r>
      <w:hyperlink r:id="rId36" w:history="1">
        <w:r>
          <w:rPr>
            <w:rStyle w:val="Hyperlink"/>
          </w:rPr>
          <w:t>https://transport.ec.europa.eu/news-events/news/greece-bulgaria-and-romania-strengthen-cooperation-key-transport-links-2025-12-04_fr</w:t>
        </w:r>
      </w:hyperlink>
      <w:r>
        <w:t xml:space="preserve">. </w:t>
      </w:r>
      <w:r>
        <w:rPr>
          <w:b/>
        </w:rPr>
        <w:t xml:space="preserve"> </w:t>
      </w:r>
    </w:p>
  </w:footnote>
  <w:footnote w:id="40">
    <w:p w14:paraId="0DBD52C4" w14:textId="15FC6224" w:rsidR="00382A39" w:rsidRPr="00C14C52" w:rsidRDefault="00382A39">
      <w:pPr>
        <w:pStyle w:val="FootnoteText"/>
      </w:pPr>
      <w:r>
        <w:rPr>
          <w:rStyle w:val="FootnoteReference"/>
        </w:rPr>
        <w:footnoteRef/>
      </w:r>
      <w:r>
        <w:tab/>
      </w:r>
      <w:hyperlink r:id="rId37" w:history="1">
        <w:r>
          <w:rPr>
            <w:rStyle w:val="Hyperlink"/>
          </w:rPr>
          <w:t>https://transport.ec.europa.eu/ukraine/eu-ukraine-solidarity-lanes_fr</w:t>
        </w:r>
      </w:hyperlink>
      <w:r>
        <w:t xml:space="preserve">. </w:t>
      </w:r>
    </w:p>
  </w:footnote>
  <w:footnote w:id="41">
    <w:p w14:paraId="67409849" w14:textId="6893CCF5" w:rsidR="00A51F21" w:rsidRPr="00035691" w:rsidRDefault="00A51F21">
      <w:pPr>
        <w:pStyle w:val="FootnoteText"/>
      </w:pPr>
      <w:r>
        <w:rPr>
          <w:rStyle w:val="FootnoteReference"/>
        </w:rPr>
        <w:footnoteRef/>
      </w:r>
      <w:r>
        <w:tab/>
      </w:r>
      <w:hyperlink r:id="rId38" w:history="1">
        <w:r>
          <w:rPr>
            <w:rStyle w:val="Hyperlink"/>
          </w:rPr>
          <w:t>https://transport.ec.europa.eu/news-events/news/eu-support-better-transport-connections-eastern-europe-ukraine-and-moldova-2025-11-07_fr</w:t>
        </w:r>
      </w:hyperlink>
      <w:r>
        <w:t xml:space="preserve">. </w:t>
      </w:r>
    </w:p>
  </w:footnote>
  <w:footnote w:id="42">
    <w:p w14:paraId="25DB03F4" w14:textId="7542A9F6" w:rsidR="001046B2" w:rsidRPr="00035691" w:rsidRDefault="001046B2">
      <w:pPr>
        <w:pStyle w:val="FootnoteText"/>
      </w:pPr>
      <w:r>
        <w:rPr>
          <w:rStyle w:val="FootnoteReference"/>
        </w:rPr>
        <w:footnoteRef/>
      </w:r>
      <w:r>
        <w:tab/>
      </w:r>
      <w:hyperlink r:id="rId39" w:history="1">
        <w:r>
          <w:rPr>
            <w:rStyle w:val="Hyperlink"/>
          </w:rPr>
          <w:t>https://data.consilium.europa.eu/doc/document/ST-16415-2025-INIT/en/pdf</w:t>
        </w:r>
      </w:hyperlink>
      <w:r>
        <w:t xml:space="preserve">. </w:t>
      </w:r>
    </w:p>
  </w:footnote>
  <w:footnote w:id="43">
    <w:p w14:paraId="20FC1FAC" w14:textId="1DB02650" w:rsidR="00E03A56" w:rsidRPr="00035691" w:rsidRDefault="00E03A56">
      <w:pPr>
        <w:pStyle w:val="FootnoteText"/>
      </w:pPr>
      <w:r>
        <w:rPr>
          <w:rStyle w:val="FootnoteReference"/>
        </w:rPr>
        <w:footnoteRef/>
      </w:r>
      <w:r>
        <w:tab/>
      </w:r>
      <w:hyperlink r:id="rId40" w:history="1">
        <w:r>
          <w:rPr>
            <w:rStyle w:val="Hyperlink"/>
          </w:rPr>
          <w:t>https://transport.ec.europa.eu/transport-themes/infrastructure-and-investment/trans-european-transport-network-ten-t/tentec-information-system-and-ten-t-map-library/ten-t-maps-indicative-extension-neighbouring-countries_fr</w:t>
        </w:r>
      </w:hyperlink>
      <w:r>
        <w:t xml:space="preserve">. </w:t>
      </w:r>
    </w:p>
  </w:footnote>
  <w:footnote w:id="44">
    <w:p w14:paraId="23EFBB67" w14:textId="26A609B9" w:rsidR="004A61EA" w:rsidRPr="00C14C52" w:rsidRDefault="004A61EA">
      <w:pPr>
        <w:pStyle w:val="FootnoteText"/>
      </w:pPr>
      <w:r>
        <w:rPr>
          <w:rStyle w:val="FootnoteReference"/>
        </w:rPr>
        <w:footnoteRef/>
      </w:r>
      <w:r>
        <w:tab/>
        <w:t>Le statut de PIC/PIM permet aux projets de bénéficier de procédures d’autorisation accélérées, d’une visibilité accrue auprès des investisseurs et d’être éligibles à un financement de l’UE au titre du «mécanisme pour l’interconnexion en Europe».</w:t>
      </w:r>
    </w:p>
  </w:footnote>
  <w:footnote w:id="45">
    <w:p w14:paraId="2B874668" w14:textId="49C5A79C" w:rsidR="00743398" w:rsidRPr="00F0312D" w:rsidRDefault="003F1092">
      <w:pPr>
        <w:pStyle w:val="FootnoteText"/>
        <w:rPr>
          <w:lang w:val="en-IE"/>
        </w:rPr>
      </w:pPr>
      <w:r>
        <w:rPr>
          <w:rStyle w:val="FootnoteReference"/>
        </w:rPr>
        <w:footnoteRef/>
      </w:r>
      <w:r>
        <w:tab/>
        <w:t>Le projet d’acte délégué a été publié le 1</w:t>
      </w:r>
      <w:r>
        <w:rPr>
          <w:vertAlign w:val="superscript"/>
        </w:rPr>
        <w:t>er</w:t>
      </w:r>
      <w:r>
        <w:t> décembre 2025, avec une période de contrôle du Conseil de l’UE et du Parlement européen allant jusqu’au 1</w:t>
      </w:r>
      <w:r>
        <w:rPr>
          <w:vertAlign w:val="superscript"/>
        </w:rPr>
        <w:t>er</w:t>
      </w:r>
      <w:r>
        <w:t xml:space="preserve"> avril 2026. </w:t>
      </w:r>
      <w:hyperlink r:id="rId41" w:history="1">
        <w:r w:rsidRPr="00F0312D">
          <w:rPr>
            <w:rStyle w:val="Hyperlink"/>
            <w:lang w:val="en-IE"/>
          </w:rPr>
          <w:t>https://eur-lex.europa.eu/legal-content/FR/TXT/?uri=PI_COM%3AC%282025% 298144 &amp; qid = 1766157187792</w:t>
        </w:r>
      </w:hyperlink>
      <w:r w:rsidRPr="00F0312D">
        <w:rPr>
          <w:lang w:val="en-IE"/>
        </w:rPr>
        <w:t>.</w:t>
      </w:r>
    </w:p>
  </w:footnote>
  <w:footnote w:id="46">
    <w:p w14:paraId="17DCD2E3" w14:textId="6F77B20D" w:rsidR="00F17CF8" w:rsidRPr="00F0312D" w:rsidRDefault="003F1092">
      <w:pPr>
        <w:pStyle w:val="FootnoteText"/>
        <w:rPr>
          <w:lang w:val="en-IE"/>
        </w:rPr>
      </w:pPr>
      <w:r>
        <w:rPr>
          <w:rStyle w:val="FootnoteReference"/>
        </w:rPr>
        <w:footnoteRef/>
      </w:r>
      <w:r w:rsidRPr="00F0312D">
        <w:rPr>
          <w:lang w:val="en-IE"/>
        </w:rPr>
        <w:tab/>
      </w:r>
      <w:hyperlink r:id="rId42" w:history="1">
        <w:r w:rsidRPr="00F0312D">
          <w:rPr>
            <w:rStyle w:val="Hyperlink"/>
            <w:lang w:val="en-IE"/>
          </w:rPr>
          <w:t>https://energy.ec.europa.eu/topics/infrastructure/high-level-groups/central-and-south-eastern-europe-energy-connectivity_fr</w:t>
        </w:r>
      </w:hyperlink>
      <w:r w:rsidRPr="00F0312D">
        <w:rPr>
          <w:lang w:val="en-IE"/>
        </w:rPr>
        <w:t>.</w:t>
      </w:r>
    </w:p>
  </w:footnote>
  <w:footnote w:id="47">
    <w:p w14:paraId="4D331F90" w14:textId="4D9DCF6F" w:rsidR="006B2AC1" w:rsidRPr="00F0312D" w:rsidRDefault="006B2AC1">
      <w:pPr>
        <w:pStyle w:val="FootnoteText"/>
        <w:rPr>
          <w:lang w:val="en-IE"/>
        </w:rPr>
      </w:pPr>
      <w:r>
        <w:rPr>
          <w:rStyle w:val="FootnoteReference"/>
        </w:rPr>
        <w:footnoteRef/>
      </w:r>
      <w:r w:rsidRPr="00F0312D">
        <w:rPr>
          <w:lang w:val="en-IE"/>
        </w:rPr>
        <w:tab/>
      </w:r>
      <w:hyperlink r:id="rId43" w:history="1">
        <w:r w:rsidRPr="00F0312D">
          <w:rPr>
            <w:rStyle w:val="Hyperlink"/>
            <w:lang w:val="en-IE"/>
          </w:rPr>
          <w:t>https://energy.ec.europa.eu/news/press-statement-dan-jorgensen-european-commissioner-energy-and-housing-and-parviz-shahbazov-minister-2026-03-03_fr</w:t>
        </w:r>
      </w:hyperlink>
      <w:r w:rsidRPr="00F0312D">
        <w:rPr>
          <w:lang w:val="en-IE"/>
        </w:rPr>
        <w:t xml:space="preserve">. </w:t>
      </w:r>
    </w:p>
  </w:footnote>
  <w:footnote w:id="48">
    <w:p w14:paraId="168076E8" w14:textId="66D1240A" w:rsidR="008F043F" w:rsidRPr="00F0312D" w:rsidRDefault="008F043F">
      <w:pPr>
        <w:pStyle w:val="FootnoteText"/>
        <w:rPr>
          <w:lang w:val="en-IE"/>
        </w:rPr>
      </w:pPr>
      <w:r>
        <w:rPr>
          <w:rStyle w:val="FootnoteReference"/>
        </w:rPr>
        <w:footnoteRef/>
      </w:r>
      <w:r w:rsidRPr="00F0312D">
        <w:rPr>
          <w:lang w:val="en-IE"/>
        </w:rPr>
        <w:tab/>
      </w:r>
      <w:hyperlink r:id="rId44" w:history="1">
        <w:r w:rsidRPr="00F0312D">
          <w:rPr>
            <w:rStyle w:val="Hyperlink"/>
            <w:lang w:val="en-IE"/>
          </w:rPr>
          <w:t>https://energy.ec.europa.eu/topics/international-cooperation/key-partner-countries-and-regions/neighbourhood-east_fr</w:t>
        </w:r>
      </w:hyperlink>
      <w:r w:rsidRPr="00F0312D">
        <w:rPr>
          <w:lang w:val="en-IE"/>
        </w:rPr>
        <w:t>.</w:t>
      </w:r>
    </w:p>
  </w:footnote>
  <w:footnote w:id="49">
    <w:p w14:paraId="4DFC9C70" w14:textId="058FEA52" w:rsidR="00873B05" w:rsidRPr="00F0312D" w:rsidRDefault="008F7C8F" w:rsidP="00873B05">
      <w:pPr>
        <w:pStyle w:val="FootnoteText"/>
        <w:spacing w:after="0"/>
        <w:rPr>
          <w:lang w:val="en-IE"/>
        </w:rPr>
      </w:pPr>
      <w:r>
        <w:rPr>
          <w:rStyle w:val="FootnoteReference"/>
        </w:rPr>
        <w:footnoteRef/>
      </w:r>
      <w:r w:rsidRPr="00F0312D">
        <w:rPr>
          <w:lang w:val="en-IE"/>
        </w:rPr>
        <w:tab/>
      </w:r>
      <w:hyperlink r:id="rId45" w:history="1">
        <w:r w:rsidRPr="00F0312D">
          <w:rPr>
            <w:rStyle w:val="Hyperlink"/>
            <w:lang w:val="en-IE"/>
          </w:rPr>
          <w:t>https://transport.ec.europa.eu/news-events/news/commission-unveils-eu-ports-strategy-strengthen-competitiveness-security-and-sustainability-european-2026-03-04_fr</w:t>
        </w:r>
      </w:hyperlink>
      <w:r w:rsidRPr="00F0312D">
        <w:rPr>
          <w:lang w:val="en-IE"/>
        </w:rPr>
        <w:t xml:space="preserve">. </w:t>
      </w:r>
    </w:p>
  </w:footnote>
  <w:footnote w:id="50">
    <w:p w14:paraId="778D6541" w14:textId="06FF82BB" w:rsidR="007B05E4" w:rsidRPr="00F0312D" w:rsidRDefault="007B05E4">
      <w:pPr>
        <w:pStyle w:val="FootnoteText"/>
        <w:rPr>
          <w:lang w:val="en-IE"/>
        </w:rPr>
      </w:pPr>
      <w:r>
        <w:rPr>
          <w:rStyle w:val="FootnoteReference"/>
        </w:rPr>
        <w:footnoteRef/>
      </w:r>
      <w:r w:rsidRPr="00F0312D">
        <w:rPr>
          <w:lang w:val="en-IE"/>
        </w:rPr>
        <w:tab/>
      </w:r>
      <w:hyperlink r:id="rId46" w:history="1">
        <w:r w:rsidRPr="00F0312D">
          <w:rPr>
            <w:rStyle w:val="Hyperlink"/>
            <w:lang w:val="en-IE"/>
          </w:rPr>
          <w:t>https://blacksea-cbc.net/interreg-next-bsb-2021-2027</w:t>
        </w:r>
      </w:hyperlink>
      <w:r w:rsidRPr="00F0312D">
        <w:rPr>
          <w:lang w:val="en-IE"/>
        </w:rPr>
        <w:t xml:space="preserve">. </w:t>
      </w:r>
    </w:p>
  </w:footnote>
  <w:footnote w:id="51">
    <w:p w14:paraId="50074A7A" w14:textId="19A4934D" w:rsidR="00F34678" w:rsidRPr="00F0312D" w:rsidRDefault="00F34678">
      <w:pPr>
        <w:pStyle w:val="FootnoteText"/>
        <w:rPr>
          <w:lang w:val="en-IE"/>
        </w:rPr>
      </w:pPr>
      <w:r>
        <w:rPr>
          <w:rStyle w:val="FootnoteReference"/>
        </w:rPr>
        <w:footnoteRef/>
      </w:r>
      <w:r w:rsidRPr="00F0312D">
        <w:rPr>
          <w:lang w:val="en-IE"/>
        </w:rPr>
        <w:tab/>
      </w:r>
      <w:hyperlink r:id="rId47" w:history="1">
        <w:r w:rsidRPr="00F0312D">
          <w:rPr>
            <w:rStyle w:val="Hyperlink"/>
            <w:lang w:val="en-IE"/>
          </w:rPr>
          <w:t>https://www.blacksea-cbc.net/interreg-next-bsb-2021-2027/projects/bsb00959</w:t>
        </w:r>
      </w:hyperlink>
      <w:r w:rsidRPr="00F0312D">
        <w:rPr>
          <w:lang w:val="en-IE"/>
        </w:rPr>
        <w:t xml:space="preserve">. </w:t>
      </w:r>
    </w:p>
  </w:footnote>
  <w:footnote w:id="52">
    <w:p w14:paraId="29C5697C" w14:textId="1535C356" w:rsidR="00A676BC" w:rsidRPr="00F0312D" w:rsidRDefault="00A676BC">
      <w:pPr>
        <w:pStyle w:val="FootnoteText"/>
        <w:rPr>
          <w:lang w:val="en-IE"/>
        </w:rPr>
      </w:pPr>
      <w:r>
        <w:rPr>
          <w:rStyle w:val="FootnoteReference"/>
        </w:rPr>
        <w:footnoteRef/>
      </w:r>
      <w:r w:rsidRPr="00F0312D">
        <w:rPr>
          <w:lang w:val="en-IE"/>
        </w:rPr>
        <w:tab/>
      </w:r>
      <w:hyperlink r:id="rId48" w:history="1">
        <w:r w:rsidRPr="00F0312D">
          <w:rPr>
            <w:rStyle w:val="Hyperlink"/>
            <w:lang w:val="en-IE"/>
          </w:rPr>
          <w:t>https://www.consilium.europa.eu/fr/press/press-releases/2025/04/04/joint-declaration-following-the-first-european-union-central-asia-summit/</w:t>
        </w:r>
      </w:hyperlink>
      <w:r w:rsidRPr="00F0312D">
        <w:rPr>
          <w:lang w:val="en-IE"/>
        </w:rPr>
        <w:t xml:space="preserve">. </w:t>
      </w:r>
    </w:p>
  </w:footnote>
  <w:footnote w:id="53">
    <w:p w14:paraId="4E61C655" w14:textId="3EF61D74" w:rsidR="00373ED9" w:rsidRPr="00F0312D" w:rsidRDefault="00373ED9">
      <w:pPr>
        <w:pStyle w:val="FootnoteText"/>
        <w:rPr>
          <w:lang w:val="en-IE"/>
        </w:rPr>
      </w:pPr>
      <w:r>
        <w:rPr>
          <w:rStyle w:val="FootnoteReference"/>
        </w:rPr>
        <w:footnoteRef/>
      </w:r>
      <w:r w:rsidRPr="00F0312D">
        <w:rPr>
          <w:lang w:val="en-IE"/>
        </w:rPr>
        <w:tab/>
      </w:r>
      <w:hyperlink r:id="rId49" w:history="1">
        <w:r w:rsidRPr="00F0312D">
          <w:rPr>
            <w:rStyle w:val="Hyperlink"/>
            <w:lang w:val="en-IE"/>
          </w:rPr>
          <w:t>https://crmfacility.eu/</w:t>
        </w:r>
      </w:hyperlink>
      <w:r w:rsidRPr="00F0312D">
        <w:rPr>
          <w:lang w:val="en-IE"/>
        </w:rPr>
        <w:t xml:space="preserve">. </w:t>
      </w:r>
    </w:p>
  </w:footnote>
  <w:footnote w:id="54">
    <w:p w14:paraId="46FAB75E" w14:textId="20CA3C3A" w:rsidR="00442449" w:rsidRPr="00F0312D" w:rsidRDefault="00442449">
      <w:pPr>
        <w:pStyle w:val="FootnoteText"/>
        <w:rPr>
          <w:lang w:val="en-IE"/>
        </w:rPr>
      </w:pPr>
      <w:r>
        <w:rPr>
          <w:rStyle w:val="FootnoteReference"/>
        </w:rPr>
        <w:footnoteRef/>
      </w:r>
      <w:r w:rsidRPr="00F0312D">
        <w:rPr>
          <w:lang w:val="en-IE"/>
        </w:rPr>
        <w:tab/>
      </w:r>
      <w:hyperlink r:id="rId50" w:history="1">
        <w:r w:rsidRPr="00F0312D">
          <w:rPr>
            <w:rStyle w:val="Hyperlink"/>
            <w:lang w:val="en-IE"/>
          </w:rPr>
          <w:t>https://black-sea-maritime-agenda.ec.europa.eu/sites/default/files/2026-03/CMA%20-%202025%20implementation%20report%20_compressed.pdf</w:t>
        </w:r>
      </w:hyperlink>
      <w:r w:rsidRPr="00F0312D">
        <w:rPr>
          <w:lang w:val="en-IE"/>
        </w:rPr>
        <w:t>.</w:t>
      </w:r>
    </w:p>
  </w:footnote>
  <w:footnote w:id="55">
    <w:p w14:paraId="1DC7067B" w14:textId="289FB4E1" w:rsidR="00B54868" w:rsidRPr="00F0312D" w:rsidRDefault="00B54868">
      <w:pPr>
        <w:pStyle w:val="FootnoteText"/>
        <w:rPr>
          <w:lang w:val="en-IE"/>
        </w:rPr>
      </w:pPr>
      <w:r>
        <w:rPr>
          <w:rStyle w:val="FootnoteReference"/>
        </w:rPr>
        <w:footnoteRef/>
      </w:r>
      <w:r w:rsidRPr="00F0312D">
        <w:rPr>
          <w:lang w:val="en-IE"/>
        </w:rPr>
        <w:tab/>
      </w:r>
      <w:hyperlink r:id="rId51" w:history="1">
        <w:r w:rsidRPr="00F0312D">
          <w:rPr>
            <w:rStyle w:val="Hyperlink"/>
            <w:lang w:val="en-IE"/>
          </w:rPr>
          <w:t>https://black-sea-maritime-agenda.ec.europa.eu/node/755</w:t>
        </w:r>
      </w:hyperlink>
      <w:r w:rsidRPr="00F0312D">
        <w:rPr>
          <w:lang w:val="en-IE"/>
        </w:rPr>
        <w:t xml:space="preserve">. </w:t>
      </w:r>
    </w:p>
  </w:footnote>
  <w:footnote w:id="56">
    <w:p w14:paraId="0C606BA6" w14:textId="36A67BE0" w:rsidR="00E92359" w:rsidRPr="00F0312D" w:rsidRDefault="00E92359">
      <w:pPr>
        <w:pStyle w:val="FootnoteText"/>
        <w:rPr>
          <w:lang w:val="en-IE"/>
        </w:rPr>
      </w:pPr>
      <w:r>
        <w:rPr>
          <w:rStyle w:val="FootnoteReference"/>
        </w:rPr>
        <w:footnoteRef/>
      </w:r>
      <w:r w:rsidRPr="00F0312D">
        <w:rPr>
          <w:lang w:val="en-IE"/>
        </w:rPr>
        <w:tab/>
      </w:r>
      <w:hyperlink r:id="rId52" w:history="1">
        <w:r w:rsidRPr="00F0312D">
          <w:rPr>
            <w:rStyle w:val="Hyperlink"/>
            <w:lang w:val="en-IE"/>
          </w:rPr>
          <w:t>https://www.fao.org/gfcm/fr/</w:t>
        </w:r>
      </w:hyperlink>
      <w:r w:rsidRPr="00F0312D">
        <w:rPr>
          <w:lang w:val="en-IE"/>
        </w:rPr>
        <w:t xml:space="preserve">. </w:t>
      </w:r>
    </w:p>
  </w:footnote>
  <w:footnote w:id="57">
    <w:p w14:paraId="020B7CBE" w14:textId="2D3B591A" w:rsidR="009979CE" w:rsidRPr="00F0312D" w:rsidRDefault="009979CE">
      <w:pPr>
        <w:pStyle w:val="FootnoteText"/>
        <w:rPr>
          <w:lang w:val="en-IE"/>
        </w:rPr>
      </w:pPr>
      <w:r>
        <w:rPr>
          <w:rStyle w:val="FootnoteReference"/>
        </w:rPr>
        <w:footnoteRef/>
      </w:r>
      <w:r w:rsidRPr="00F0312D">
        <w:rPr>
          <w:lang w:val="en-IE"/>
        </w:rPr>
        <w:tab/>
      </w:r>
      <w:hyperlink r:id="rId53" w:history="1">
        <w:r w:rsidRPr="00F0312D">
          <w:rPr>
            <w:rStyle w:val="Hyperlink"/>
            <w:lang w:val="en-IE"/>
          </w:rPr>
          <w:t>https://oceans-and-fisheries.ec.europa.eu/news/eu-leads-efforts-harmonise-fishing-rules-across-mediterranean-and-black-seas-countries-2025-11-11_fr</w:t>
        </w:r>
      </w:hyperlink>
      <w:r w:rsidRPr="00F0312D">
        <w:rPr>
          <w:lang w:val="en-IE"/>
        </w:rPr>
        <w:t xml:space="preserve">. </w:t>
      </w:r>
    </w:p>
  </w:footnote>
  <w:footnote w:id="58">
    <w:p w14:paraId="44CB73F9" w14:textId="71DA3B5D" w:rsidR="002F7C32" w:rsidRPr="002F7C32" w:rsidRDefault="002F7C32" w:rsidP="00BA5BA9">
      <w:pPr>
        <w:pStyle w:val="FootnoteText"/>
      </w:pPr>
      <w:r>
        <w:rPr>
          <w:rStyle w:val="FootnoteReference"/>
        </w:rPr>
        <w:footnoteRef/>
      </w:r>
      <w:r>
        <w:tab/>
        <w:t xml:space="preserve">FAO, 2025, </w:t>
      </w:r>
      <w:r>
        <w:rPr>
          <w:i/>
        </w:rPr>
        <w:t xml:space="preserve">The State of Mediterranean and Black Sea Fisheries 2025 (L’état des pêches en Méditerranée et en mer Noire 2025), </w:t>
      </w:r>
      <w:r>
        <w:t xml:space="preserve">Commission générale des pêches de la Méditerranée, Rome, </w:t>
      </w:r>
      <w:hyperlink r:id="rId54" w:history="1">
        <w:r>
          <w:rPr>
            <w:rStyle w:val="Hyperlink"/>
          </w:rPr>
          <w:t>https://doi.org/10.4060/cd7701fr</w:t>
        </w:r>
      </w:hyperlink>
      <w:r>
        <w:t>.</w:t>
      </w:r>
    </w:p>
  </w:footnote>
  <w:footnote w:id="59">
    <w:p w14:paraId="51696343" w14:textId="67D69A5F" w:rsidR="00194337" w:rsidRPr="00757858" w:rsidRDefault="00194337">
      <w:pPr>
        <w:pStyle w:val="FootnoteText"/>
      </w:pPr>
      <w:r>
        <w:rPr>
          <w:rStyle w:val="FootnoteReference"/>
        </w:rPr>
        <w:footnoteRef/>
      </w:r>
      <w:r>
        <w:tab/>
      </w:r>
      <w:hyperlink r:id="rId55" w:history="1">
        <w:r>
          <w:rPr>
            <w:rStyle w:val="Hyperlink"/>
          </w:rPr>
          <w:t>https://eur-lex.europa.eu/legal-content/FR/TXT/?uri=CELEX:52026DC0082</w:t>
        </w:r>
      </w:hyperlink>
      <w:r>
        <w:t xml:space="preserve">. </w:t>
      </w:r>
    </w:p>
  </w:footnote>
  <w:footnote w:id="60">
    <w:p w14:paraId="101F525B" w14:textId="6ADD4A4B" w:rsidR="00E33862" w:rsidRPr="00E33862" w:rsidRDefault="00E33862">
      <w:pPr>
        <w:pStyle w:val="FootnoteText"/>
      </w:pPr>
      <w:r>
        <w:rPr>
          <w:rStyle w:val="FootnoteReference"/>
        </w:rPr>
        <w:footnoteRef/>
      </w:r>
      <w:r>
        <w:tab/>
      </w:r>
      <w:hyperlink r:id="rId56" w:history="1">
        <w:r>
          <w:rPr>
            <w:rStyle w:val="Hyperlink"/>
          </w:rPr>
          <w:t>https://cordis.europa.eu/project/id/101000518/fr</w:t>
        </w:r>
      </w:hyperlink>
      <w:r>
        <w:t>.</w:t>
      </w:r>
    </w:p>
  </w:footnote>
  <w:footnote w:id="61">
    <w:p w14:paraId="745BB024" w14:textId="5F209CF3" w:rsidR="000F1739" w:rsidRPr="000F1739" w:rsidRDefault="000F1739">
      <w:pPr>
        <w:pStyle w:val="FootnoteText"/>
      </w:pPr>
      <w:r>
        <w:rPr>
          <w:rStyle w:val="FootnoteReference"/>
        </w:rPr>
        <w:footnoteRef/>
      </w:r>
      <w:r>
        <w:tab/>
      </w:r>
      <w:hyperlink r:id="rId57" w:history="1">
        <w:r>
          <w:rPr>
            <w:rStyle w:val="Hyperlink"/>
          </w:rPr>
          <w:t>https://cordis.europa.eu/project/id/101000240/fr</w:t>
        </w:r>
      </w:hyperlink>
      <w:r>
        <w:t xml:space="preserve">. </w:t>
      </w:r>
    </w:p>
  </w:footnote>
  <w:footnote w:id="62">
    <w:p w14:paraId="526AE1EB" w14:textId="49420E31" w:rsidR="00FA61E6" w:rsidRPr="00FA61E6" w:rsidRDefault="00FA61E6">
      <w:pPr>
        <w:pStyle w:val="FootnoteText"/>
      </w:pPr>
      <w:r>
        <w:rPr>
          <w:rStyle w:val="FootnoteReference"/>
        </w:rPr>
        <w:footnoteRef/>
      </w:r>
      <w:r>
        <w:tab/>
        <w:t xml:space="preserve">Commission européenne: direction générale de la recherche et de l’innovation et Kluckner, S. (dir.), </w:t>
      </w:r>
      <w:r>
        <w:rPr>
          <w:i/>
        </w:rPr>
        <w:t>Connecting the DOTs — An exploratory study of global activities and collaboration potential for Digital Ocean Twins</w:t>
      </w:r>
      <w:r>
        <w:t xml:space="preserve">, 2025, </w:t>
      </w:r>
      <w:hyperlink r:id="rId58" w:tgtFrame="_blank" w:history="1">
        <w:r>
          <w:rPr>
            <w:rStyle w:val="Hyperlink"/>
          </w:rPr>
          <w:t>https://data.europa.eu/doi/10.2777/2375732</w:t>
        </w:r>
      </w:hyperlink>
      <w:r>
        <w:t>.</w:t>
      </w:r>
    </w:p>
  </w:footnote>
  <w:footnote w:id="63">
    <w:p w14:paraId="01631AE6" w14:textId="5261FA09" w:rsidR="00EF12B2" w:rsidRPr="00BE121E" w:rsidRDefault="00EF12B2">
      <w:pPr>
        <w:pStyle w:val="FootnoteText"/>
      </w:pPr>
      <w:r>
        <w:rPr>
          <w:rStyle w:val="FootnoteReference"/>
        </w:rPr>
        <w:footnoteRef/>
      </w:r>
      <w:r>
        <w:tab/>
      </w:r>
      <w:hyperlink r:id="rId59" w:history="1">
        <w:r>
          <w:rPr>
            <w:rStyle w:val="Hyperlink"/>
          </w:rPr>
          <w:t>https://ec.europa.eu/commission/presscorner/detail/fr/ip_26_1318</w:t>
        </w:r>
      </w:hyperlink>
      <w:r>
        <w:t>.</w:t>
      </w:r>
    </w:p>
  </w:footnote>
  <w:footnote w:id="64">
    <w:p w14:paraId="0AE62700" w14:textId="153FB797" w:rsidR="00172981" w:rsidRPr="00BE121E" w:rsidRDefault="00172981">
      <w:pPr>
        <w:pStyle w:val="FootnoteText"/>
      </w:pPr>
      <w:r>
        <w:rPr>
          <w:rStyle w:val="FootnoteReference"/>
        </w:rPr>
        <w:footnoteRef/>
      </w:r>
      <w:r>
        <w:tab/>
      </w:r>
      <w:hyperlink r:id="rId60" w:history="1">
        <w:r>
          <w:rPr>
            <w:rStyle w:val="Hyperlink"/>
          </w:rPr>
          <w:t>https://emblasproject.org/</w:t>
        </w:r>
      </w:hyperlink>
      <w:r>
        <w:t xml:space="preserve">. </w:t>
      </w:r>
    </w:p>
  </w:footnote>
  <w:footnote w:id="65">
    <w:p w14:paraId="3518B4E2" w14:textId="1D1D113D" w:rsidR="00826ABE" w:rsidRPr="00BE121E" w:rsidRDefault="00826ABE" w:rsidP="00BA5BA9">
      <w:pPr>
        <w:pStyle w:val="FootnoteText"/>
      </w:pPr>
      <w:r>
        <w:rPr>
          <w:rStyle w:val="FootnoteReference"/>
        </w:rPr>
        <w:footnoteRef/>
      </w:r>
      <w:r>
        <w:tab/>
      </w:r>
      <w:hyperlink r:id="rId61" w:history="1">
        <w:r>
          <w:rPr>
            <w:rStyle w:val="Hyperlink"/>
          </w:rPr>
          <w:t>https://blackseadb.org/</w:t>
        </w:r>
      </w:hyperlink>
      <w:r>
        <w:t xml:space="preserve">. </w:t>
      </w:r>
    </w:p>
  </w:footnote>
  <w:footnote w:id="66">
    <w:p w14:paraId="79437B69" w14:textId="044B7133" w:rsidR="00CF6654" w:rsidRPr="00BE121E" w:rsidRDefault="00CF6654">
      <w:pPr>
        <w:pStyle w:val="FootnoteText"/>
      </w:pPr>
      <w:r>
        <w:rPr>
          <w:rStyle w:val="FootnoteReference"/>
        </w:rPr>
        <w:footnoteRef/>
      </w:r>
      <w:r>
        <w:tab/>
      </w:r>
      <w:hyperlink r:id="rId62" w:history="1">
        <w:r>
          <w:rPr>
            <w:rStyle w:val="Hyperlink"/>
          </w:rPr>
          <w:t>https://www.eea.europa.eu/fr/newsroom/news/eea-and-eionet-welcome-moldova-as-a-cooperating-country</w:t>
        </w:r>
      </w:hyperlink>
      <w:r>
        <w:t xml:space="preserve">/ </w:t>
      </w:r>
    </w:p>
  </w:footnote>
  <w:footnote w:id="67">
    <w:p w14:paraId="2882C982" w14:textId="3D222F7A" w:rsidR="0075255E" w:rsidRPr="0075255E" w:rsidRDefault="0075255E">
      <w:pPr>
        <w:pStyle w:val="FootnoteText"/>
      </w:pPr>
      <w:r>
        <w:rPr>
          <w:rStyle w:val="FootnoteReference"/>
        </w:rPr>
        <w:footnoteRef/>
      </w:r>
      <w:r>
        <w:tab/>
      </w:r>
      <w:hyperlink r:id="rId63" w:history="1">
        <w:r>
          <w:rPr>
            <w:rStyle w:val="Hyperlink"/>
          </w:rPr>
          <w:t>https://www.eea.europa.eu/fr/newsroom/news/eea-and-eionet-welcome-ukraine-as-a-cooperating-country</w:t>
        </w:r>
      </w:hyperlink>
      <w:r>
        <w:t xml:space="preserve">. </w:t>
      </w:r>
    </w:p>
  </w:footnote>
  <w:footnote w:id="68">
    <w:p w14:paraId="3645906E" w14:textId="078C88CB" w:rsidR="00DD7BE4" w:rsidRPr="00BE121E" w:rsidRDefault="00DD7BE4">
      <w:pPr>
        <w:pStyle w:val="FootnoteText"/>
      </w:pPr>
      <w:r>
        <w:rPr>
          <w:rStyle w:val="FootnoteReference"/>
        </w:rPr>
        <w:footnoteRef/>
      </w:r>
      <w:r>
        <w:tab/>
      </w:r>
      <w:hyperlink r:id="rId64" w:history="1">
        <w:r>
          <w:rPr>
            <w:rStyle w:val="Hyperlink"/>
          </w:rPr>
          <w:t>https://eu4climate.eu/</w:t>
        </w:r>
      </w:hyperlink>
      <w:r>
        <w:t xml:space="preserve">. </w:t>
      </w:r>
    </w:p>
  </w:footnote>
  <w:footnote w:id="69">
    <w:p w14:paraId="538B8B6F" w14:textId="7BBA5EED" w:rsidR="007B15D6" w:rsidRPr="00BE121E" w:rsidRDefault="007B15D6" w:rsidP="00BA5BA9">
      <w:pPr>
        <w:pStyle w:val="FootnoteText"/>
      </w:pPr>
      <w:r>
        <w:rPr>
          <w:rStyle w:val="FootnoteReference"/>
        </w:rPr>
        <w:footnoteRef/>
      </w:r>
      <w:r>
        <w:tab/>
      </w:r>
      <w:hyperlink r:id="rId65" w:history="1">
        <w:r>
          <w:rPr>
            <w:rStyle w:val="Hyperlink"/>
          </w:rPr>
          <w:t>https://eur-lex.europa.eu/legal-content/FR/TXT/?uri=celex:52025DC0280</w:t>
        </w:r>
      </w:hyperlink>
      <w:r>
        <w:t xml:space="preserve">. </w:t>
      </w:r>
    </w:p>
  </w:footnote>
  <w:footnote w:id="70">
    <w:p w14:paraId="2DC60C25" w14:textId="2CDF03E6" w:rsidR="00A315ED" w:rsidRPr="00BE121E" w:rsidRDefault="00A315ED">
      <w:pPr>
        <w:pStyle w:val="FootnoteText"/>
      </w:pPr>
      <w:r>
        <w:rPr>
          <w:rStyle w:val="FootnoteReference"/>
        </w:rPr>
        <w:footnoteRef/>
      </w:r>
      <w:r>
        <w:tab/>
      </w:r>
      <w:hyperlink r:id="rId66" w:history="1">
        <w:r>
          <w:rPr>
            <w:rStyle w:val="Hyperlink"/>
          </w:rPr>
          <w:t>https://www.eu4greenrecoveryeast.eu/</w:t>
        </w:r>
      </w:hyperlink>
      <w:r>
        <w:t xml:space="preserve">. </w:t>
      </w:r>
    </w:p>
  </w:footnote>
  <w:footnote w:id="71">
    <w:p w14:paraId="2358268E" w14:textId="4B4E1151" w:rsidR="0028737D" w:rsidRPr="00BE121E" w:rsidRDefault="0028737D">
      <w:pPr>
        <w:pStyle w:val="FootnoteText"/>
      </w:pPr>
      <w:r>
        <w:rPr>
          <w:rStyle w:val="FootnoteReference"/>
        </w:rPr>
        <w:footnoteRef/>
      </w:r>
      <w:r>
        <w:tab/>
      </w:r>
      <w:hyperlink r:id="rId67" w:history="1">
        <w:r>
          <w:rPr>
            <w:rStyle w:val="Hyperlink"/>
          </w:rPr>
          <w:t>https://commission.europa.eu/topics/preparedness_fr</w:t>
        </w:r>
      </w:hyperlink>
      <w:r>
        <w:t xml:space="preserve">. </w:t>
      </w:r>
    </w:p>
  </w:footnote>
  <w:footnote w:id="72">
    <w:p w14:paraId="56F7BF6E" w14:textId="3094645E" w:rsidR="002D570D" w:rsidRPr="00BE121E" w:rsidRDefault="2EC02D5C">
      <w:pPr>
        <w:pStyle w:val="FootnoteText"/>
      </w:pPr>
      <w:r>
        <w:rPr>
          <w:rStyle w:val="FootnoteReference"/>
        </w:rPr>
        <w:footnoteRef/>
      </w:r>
      <w:r>
        <w:tab/>
      </w:r>
      <w:hyperlink r:id="rId68" w:history="1">
        <w:r>
          <w:rPr>
            <w:rStyle w:val="Hyperlink"/>
          </w:rPr>
          <w:t>https://eur-lex.europa.eu/legal-content/FR/TXT/?uri=celex:52026DC0081</w:t>
        </w:r>
      </w:hyperlink>
      <w:r>
        <w:t>.</w:t>
      </w:r>
      <w:r>
        <w:rPr>
          <w:rStyle w:val="Hyperlink"/>
        </w:rPr>
        <w:t xml:space="preserve">  </w:t>
      </w:r>
    </w:p>
  </w:footnote>
  <w:footnote w:id="73">
    <w:p w14:paraId="53F6B45F" w14:textId="0728528D" w:rsidR="00FB22F2" w:rsidRPr="00BE121E" w:rsidRDefault="00FB22F2">
      <w:pPr>
        <w:pStyle w:val="FootnoteText"/>
        <w:rPr>
          <w:rStyle w:val="Hyperlink"/>
        </w:rPr>
      </w:pPr>
      <w:r>
        <w:rPr>
          <w:rStyle w:val="FootnoteReference"/>
        </w:rPr>
        <w:footnoteRef/>
      </w:r>
      <w:r>
        <w:tab/>
      </w:r>
      <w:hyperlink r:id="rId69" w:history="1">
        <w:r>
          <w:rPr>
            <w:rStyle w:val="Hyperlink"/>
          </w:rPr>
          <w:t>https://eur-lex.europa.eu/legal-content/FR/TXT/?uri=celex:52026DC0082</w:t>
        </w:r>
      </w:hyperlink>
      <w:r>
        <w:t>.</w:t>
      </w:r>
      <w:r>
        <w:rPr>
          <w:rStyle w:val="Hyperlink"/>
        </w:rPr>
        <w:t xml:space="preserve"> </w:t>
      </w:r>
    </w:p>
  </w:footnote>
  <w:footnote w:id="74">
    <w:p w14:paraId="2D2327D5" w14:textId="49BB8B73" w:rsidR="008217AA" w:rsidRPr="00BE121E" w:rsidRDefault="008217AA">
      <w:pPr>
        <w:pStyle w:val="FootnoteText"/>
      </w:pPr>
      <w:r>
        <w:rPr>
          <w:rStyle w:val="FootnoteReference"/>
        </w:rPr>
        <w:footnoteRef/>
      </w:r>
      <w:r>
        <w:tab/>
      </w:r>
      <w:hyperlink r:id="rId70" w:history="1">
        <w:r>
          <w:rPr>
            <w:rStyle w:val="Hyperlink"/>
          </w:rPr>
          <w:t>https://eur-lex.europa.eu/legal-content/FR/TXT/?uri=celex:52026DC0112</w:t>
        </w:r>
      </w:hyperlink>
      <w:r>
        <w:t xml:space="preserve">. </w:t>
      </w:r>
    </w:p>
  </w:footnote>
  <w:footnote w:id="75">
    <w:p w14:paraId="2AED2D1F" w14:textId="1684E206" w:rsidR="00DC4F55" w:rsidRPr="00BE121E" w:rsidRDefault="00DC4F55">
      <w:pPr>
        <w:pStyle w:val="FootnoteText"/>
      </w:pPr>
      <w:r>
        <w:rPr>
          <w:rStyle w:val="FootnoteReference"/>
        </w:rPr>
        <w:footnoteRef/>
      </w:r>
      <w:r>
        <w:tab/>
      </w:r>
      <w:hyperlink r:id="rId71" w:history="1">
        <w:r>
          <w:rPr>
            <w:rStyle w:val="Hyperlink"/>
          </w:rPr>
          <w:t>https://black-sea-maritime-agenda.ec.europa.eu/bulgaria-takes-lead-coordinating-common-maritime-agenda-black-sea-2026</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DF8E0" w14:textId="77777777" w:rsidR="00BC4221" w:rsidRPr="00BC4221" w:rsidRDefault="00BC4221" w:rsidP="00BC422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44423" w14:textId="77777777" w:rsidR="00BC4221" w:rsidRPr="00BC4221" w:rsidRDefault="00BC4221" w:rsidP="00BC422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DA731" w14:textId="77777777" w:rsidR="00BC4221" w:rsidRPr="00BC4221" w:rsidRDefault="00BC4221" w:rsidP="00BC422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42123" w14:textId="77777777" w:rsidR="00DD744C" w:rsidRDefault="00DD74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39632" w14:textId="77777777" w:rsidR="00DD744C" w:rsidRDefault="00DD74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749E8" w14:textId="77777777" w:rsidR="00DD744C" w:rsidRDefault="00DD74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BD3D3" w14:textId="77777777" w:rsidR="00DD744C" w:rsidRDefault="00DD74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3C4BC" w14:textId="77777777" w:rsidR="00DD744C" w:rsidRDefault="00DD7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B4DA0"/>
    <w:multiLevelType w:val="hybridMultilevel"/>
    <w:tmpl w:val="8E8AE9D6"/>
    <w:lvl w:ilvl="0" w:tplc="18090001">
      <w:start w:val="1"/>
      <w:numFmt w:val="bullet"/>
      <w:lvlText w:val=""/>
      <w:lvlJc w:val="left"/>
      <w:pPr>
        <w:ind w:left="1922" w:hanging="360"/>
      </w:pPr>
      <w:rPr>
        <w:rFonts w:ascii="Symbol" w:hAnsi="Symbol" w:hint="default"/>
      </w:rPr>
    </w:lvl>
    <w:lvl w:ilvl="1" w:tplc="18090003" w:tentative="1">
      <w:start w:val="1"/>
      <w:numFmt w:val="bullet"/>
      <w:lvlText w:val="o"/>
      <w:lvlJc w:val="left"/>
      <w:pPr>
        <w:ind w:left="2642" w:hanging="360"/>
      </w:pPr>
      <w:rPr>
        <w:rFonts w:ascii="Courier New" w:hAnsi="Courier New" w:cs="Courier New" w:hint="default"/>
      </w:rPr>
    </w:lvl>
    <w:lvl w:ilvl="2" w:tplc="18090005" w:tentative="1">
      <w:start w:val="1"/>
      <w:numFmt w:val="bullet"/>
      <w:lvlText w:val=""/>
      <w:lvlJc w:val="left"/>
      <w:pPr>
        <w:ind w:left="3362" w:hanging="360"/>
      </w:pPr>
      <w:rPr>
        <w:rFonts w:ascii="Wingdings" w:hAnsi="Wingdings" w:hint="default"/>
      </w:rPr>
    </w:lvl>
    <w:lvl w:ilvl="3" w:tplc="18090001" w:tentative="1">
      <w:start w:val="1"/>
      <w:numFmt w:val="bullet"/>
      <w:lvlText w:val=""/>
      <w:lvlJc w:val="left"/>
      <w:pPr>
        <w:ind w:left="4082" w:hanging="360"/>
      </w:pPr>
      <w:rPr>
        <w:rFonts w:ascii="Symbol" w:hAnsi="Symbol" w:hint="default"/>
      </w:rPr>
    </w:lvl>
    <w:lvl w:ilvl="4" w:tplc="18090003" w:tentative="1">
      <w:start w:val="1"/>
      <w:numFmt w:val="bullet"/>
      <w:lvlText w:val="o"/>
      <w:lvlJc w:val="left"/>
      <w:pPr>
        <w:ind w:left="4802" w:hanging="360"/>
      </w:pPr>
      <w:rPr>
        <w:rFonts w:ascii="Courier New" w:hAnsi="Courier New" w:cs="Courier New" w:hint="default"/>
      </w:rPr>
    </w:lvl>
    <w:lvl w:ilvl="5" w:tplc="18090005" w:tentative="1">
      <w:start w:val="1"/>
      <w:numFmt w:val="bullet"/>
      <w:lvlText w:val=""/>
      <w:lvlJc w:val="left"/>
      <w:pPr>
        <w:ind w:left="5522" w:hanging="360"/>
      </w:pPr>
      <w:rPr>
        <w:rFonts w:ascii="Wingdings" w:hAnsi="Wingdings" w:hint="default"/>
      </w:rPr>
    </w:lvl>
    <w:lvl w:ilvl="6" w:tplc="18090001" w:tentative="1">
      <w:start w:val="1"/>
      <w:numFmt w:val="bullet"/>
      <w:lvlText w:val=""/>
      <w:lvlJc w:val="left"/>
      <w:pPr>
        <w:ind w:left="6242" w:hanging="360"/>
      </w:pPr>
      <w:rPr>
        <w:rFonts w:ascii="Symbol" w:hAnsi="Symbol" w:hint="default"/>
      </w:rPr>
    </w:lvl>
    <w:lvl w:ilvl="7" w:tplc="18090003" w:tentative="1">
      <w:start w:val="1"/>
      <w:numFmt w:val="bullet"/>
      <w:lvlText w:val="o"/>
      <w:lvlJc w:val="left"/>
      <w:pPr>
        <w:ind w:left="6962" w:hanging="360"/>
      </w:pPr>
      <w:rPr>
        <w:rFonts w:ascii="Courier New" w:hAnsi="Courier New" w:cs="Courier New" w:hint="default"/>
      </w:rPr>
    </w:lvl>
    <w:lvl w:ilvl="8" w:tplc="18090005" w:tentative="1">
      <w:start w:val="1"/>
      <w:numFmt w:val="bullet"/>
      <w:lvlText w:val=""/>
      <w:lvlJc w:val="left"/>
      <w:pPr>
        <w:ind w:left="7682" w:hanging="360"/>
      </w:pPr>
      <w:rPr>
        <w:rFonts w:ascii="Wingdings" w:hAnsi="Wingdings" w:hint="default"/>
      </w:rPr>
    </w:lvl>
  </w:abstractNum>
  <w:abstractNum w:abstractNumId="1" w15:restartNumberingAfterBreak="0">
    <w:nsid w:val="0A2900F7"/>
    <w:multiLevelType w:val="multilevel"/>
    <w:tmpl w:val="5A9A4EF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88D711"/>
    <w:multiLevelType w:val="hybridMultilevel"/>
    <w:tmpl w:val="FFFFFFFF"/>
    <w:lvl w:ilvl="0" w:tplc="A45E4018">
      <w:start w:val="1"/>
      <w:numFmt w:val="bullet"/>
      <w:lvlText w:val=""/>
      <w:lvlJc w:val="left"/>
      <w:pPr>
        <w:ind w:left="1562" w:hanging="360"/>
      </w:pPr>
      <w:rPr>
        <w:rFonts w:ascii="Wingdings" w:hAnsi="Wingdings" w:hint="default"/>
      </w:rPr>
    </w:lvl>
    <w:lvl w:ilvl="1" w:tplc="3B221242">
      <w:start w:val="1"/>
      <w:numFmt w:val="bullet"/>
      <w:lvlText w:val="o"/>
      <w:lvlJc w:val="left"/>
      <w:pPr>
        <w:ind w:left="2282" w:hanging="360"/>
      </w:pPr>
      <w:rPr>
        <w:rFonts w:ascii="Courier New" w:hAnsi="Courier New" w:hint="default"/>
      </w:rPr>
    </w:lvl>
    <w:lvl w:ilvl="2" w:tplc="C9426014">
      <w:start w:val="1"/>
      <w:numFmt w:val="bullet"/>
      <w:lvlText w:val=""/>
      <w:lvlJc w:val="left"/>
      <w:pPr>
        <w:ind w:left="3002" w:hanging="360"/>
      </w:pPr>
      <w:rPr>
        <w:rFonts w:ascii="Wingdings" w:hAnsi="Wingdings" w:hint="default"/>
      </w:rPr>
    </w:lvl>
    <w:lvl w:ilvl="3" w:tplc="3CCA8FFA">
      <w:start w:val="1"/>
      <w:numFmt w:val="bullet"/>
      <w:lvlText w:val=""/>
      <w:lvlJc w:val="left"/>
      <w:pPr>
        <w:ind w:left="3722" w:hanging="360"/>
      </w:pPr>
      <w:rPr>
        <w:rFonts w:ascii="Symbol" w:hAnsi="Symbol" w:hint="default"/>
      </w:rPr>
    </w:lvl>
    <w:lvl w:ilvl="4" w:tplc="D848CB72">
      <w:start w:val="1"/>
      <w:numFmt w:val="bullet"/>
      <w:lvlText w:val="o"/>
      <w:lvlJc w:val="left"/>
      <w:pPr>
        <w:ind w:left="4442" w:hanging="360"/>
      </w:pPr>
      <w:rPr>
        <w:rFonts w:ascii="Courier New" w:hAnsi="Courier New" w:hint="default"/>
      </w:rPr>
    </w:lvl>
    <w:lvl w:ilvl="5" w:tplc="6D304CE4">
      <w:start w:val="1"/>
      <w:numFmt w:val="bullet"/>
      <w:lvlText w:val=""/>
      <w:lvlJc w:val="left"/>
      <w:pPr>
        <w:ind w:left="5162" w:hanging="360"/>
      </w:pPr>
      <w:rPr>
        <w:rFonts w:ascii="Wingdings" w:hAnsi="Wingdings" w:hint="default"/>
      </w:rPr>
    </w:lvl>
    <w:lvl w:ilvl="6" w:tplc="4F5A9DE8">
      <w:start w:val="1"/>
      <w:numFmt w:val="bullet"/>
      <w:lvlText w:val=""/>
      <w:lvlJc w:val="left"/>
      <w:pPr>
        <w:ind w:left="5882" w:hanging="360"/>
      </w:pPr>
      <w:rPr>
        <w:rFonts w:ascii="Symbol" w:hAnsi="Symbol" w:hint="default"/>
      </w:rPr>
    </w:lvl>
    <w:lvl w:ilvl="7" w:tplc="6AF24D50">
      <w:start w:val="1"/>
      <w:numFmt w:val="bullet"/>
      <w:lvlText w:val="o"/>
      <w:lvlJc w:val="left"/>
      <w:pPr>
        <w:ind w:left="6602" w:hanging="360"/>
      </w:pPr>
      <w:rPr>
        <w:rFonts w:ascii="Courier New" w:hAnsi="Courier New" w:hint="default"/>
      </w:rPr>
    </w:lvl>
    <w:lvl w:ilvl="8" w:tplc="781E8C0E">
      <w:start w:val="1"/>
      <w:numFmt w:val="bullet"/>
      <w:lvlText w:val=""/>
      <w:lvlJc w:val="left"/>
      <w:pPr>
        <w:ind w:left="7322" w:hanging="360"/>
      </w:pPr>
      <w:rPr>
        <w:rFonts w:ascii="Wingdings" w:hAnsi="Wingdings" w:hint="default"/>
      </w:rPr>
    </w:lvl>
  </w:abstractNum>
  <w:abstractNum w:abstractNumId="3" w15:restartNumberingAfterBreak="0">
    <w:nsid w:val="0EFB7115"/>
    <w:multiLevelType w:val="multilevel"/>
    <w:tmpl w:val="25A0CCB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B7201"/>
    <w:multiLevelType w:val="multilevel"/>
    <w:tmpl w:val="DE0C1F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B8345"/>
    <w:multiLevelType w:val="multilevel"/>
    <w:tmpl w:val="446E992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62685D"/>
    <w:multiLevelType w:val="multilevel"/>
    <w:tmpl w:val="E3A4B228"/>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3D0A16"/>
    <w:multiLevelType w:val="multilevel"/>
    <w:tmpl w:val="33383844"/>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6C93EF"/>
    <w:multiLevelType w:val="multilevel"/>
    <w:tmpl w:val="FFFFFFFF"/>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9" w15:restartNumberingAfterBreak="0">
    <w:nsid w:val="162E08FD"/>
    <w:multiLevelType w:val="hybridMultilevel"/>
    <w:tmpl w:val="1494BCE4"/>
    <w:lvl w:ilvl="0" w:tplc="3048A438">
      <w:start w:val="1"/>
      <w:numFmt w:val="bullet"/>
      <w:lvlText w:val=""/>
      <w:lvlJc w:val="left"/>
      <w:pPr>
        <w:ind w:left="720" w:hanging="360"/>
      </w:pPr>
      <w:rPr>
        <w:rFonts w:ascii="Wingdings" w:hAnsi="Wingdings" w:hint="default"/>
      </w:rPr>
    </w:lvl>
    <w:lvl w:ilvl="1" w:tplc="A192D60E" w:tentative="1">
      <w:start w:val="1"/>
      <w:numFmt w:val="bullet"/>
      <w:lvlText w:val="o"/>
      <w:lvlJc w:val="left"/>
      <w:pPr>
        <w:ind w:left="1440" w:hanging="360"/>
      </w:pPr>
      <w:rPr>
        <w:rFonts w:ascii="Courier New" w:hAnsi="Courier New" w:hint="default"/>
      </w:rPr>
    </w:lvl>
    <w:lvl w:ilvl="2" w:tplc="8B56C2BA" w:tentative="1">
      <w:start w:val="1"/>
      <w:numFmt w:val="bullet"/>
      <w:lvlText w:val=""/>
      <w:lvlJc w:val="left"/>
      <w:pPr>
        <w:ind w:left="2160" w:hanging="360"/>
      </w:pPr>
      <w:rPr>
        <w:rFonts w:ascii="Wingdings" w:hAnsi="Wingdings" w:hint="default"/>
      </w:rPr>
    </w:lvl>
    <w:lvl w:ilvl="3" w:tplc="0D608C50" w:tentative="1">
      <w:start w:val="1"/>
      <w:numFmt w:val="bullet"/>
      <w:lvlText w:val=""/>
      <w:lvlJc w:val="left"/>
      <w:pPr>
        <w:ind w:left="2880" w:hanging="360"/>
      </w:pPr>
      <w:rPr>
        <w:rFonts w:ascii="Symbol" w:hAnsi="Symbol" w:hint="default"/>
      </w:rPr>
    </w:lvl>
    <w:lvl w:ilvl="4" w:tplc="6838A3D6" w:tentative="1">
      <w:start w:val="1"/>
      <w:numFmt w:val="bullet"/>
      <w:lvlText w:val="o"/>
      <w:lvlJc w:val="left"/>
      <w:pPr>
        <w:ind w:left="3600" w:hanging="360"/>
      </w:pPr>
      <w:rPr>
        <w:rFonts w:ascii="Courier New" w:hAnsi="Courier New" w:hint="default"/>
      </w:rPr>
    </w:lvl>
    <w:lvl w:ilvl="5" w:tplc="E9F29B80" w:tentative="1">
      <w:start w:val="1"/>
      <w:numFmt w:val="bullet"/>
      <w:lvlText w:val=""/>
      <w:lvlJc w:val="left"/>
      <w:pPr>
        <w:ind w:left="4320" w:hanging="360"/>
      </w:pPr>
      <w:rPr>
        <w:rFonts w:ascii="Wingdings" w:hAnsi="Wingdings" w:hint="default"/>
      </w:rPr>
    </w:lvl>
    <w:lvl w:ilvl="6" w:tplc="EE7EDCCE" w:tentative="1">
      <w:start w:val="1"/>
      <w:numFmt w:val="bullet"/>
      <w:lvlText w:val=""/>
      <w:lvlJc w:val="left"/>
      <w:pPr>
        <w:ind w:left="5040" w:hanging="360"/>
      </w:pPr>
      <w:rPr>
        <w:rFonts w:ascii="Symbol" w:hAnsi="Symbol" w:hint="default"/>
      </w:rPr>
    </w:lvl>
    <w:lvl w:ilvl="7" w:tplc="76A89634" w:tentative="1">
      <w:start w:val="1"/>
      <w:numFmt w:val="bullet"/>
      <w:lvlText w:val="o"/>
      <w:lvlJc w:val="left"/>
      <w:pPr>
        <w:ind w:left="5760" w:hanging="360"/>
      </w:pPr>
      <w:rPr>
        <w:rFonts w:ascii="Courier New" w:hAnsi="Courier New" w:hint="default"/>
      </w:rPr>
    </w:lvl>
    <w:lvl w:ilvl="8" w:tplc="EA8A4C4E"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917851B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7B624F"/>
    <w:multiLevelType w:val="multilevel"/>
    <w:tmpl w:val="F6DA8A4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3F5ACD"/>
    <w:multiLevelType w:val="multilevel"/>
    <w:tmpl w:val="FFFFFFFF"/>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13" w15:restartNumberingAfterBreak="0">
    <w:nsid w:val="27DDB1BB"/>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23777B"/>
    <w:multiLevelType w:val="multilevel"/>
    <w:tmpl w:val="E398FB62"/>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15" w15:restartNumberingAfterBreak="0">
    <w:nsid w:val="2C8DFDF8"/>
    <w:multiLevelType w:val="multilevel"/>
    <w:tmpl w:val="F34A0D8C"/>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C112A1"/>
    <w:multiLevelType w:val="hybridMultilevel"/>
    <w:tmpl w:val="8D40669A"/>
    <w:lvl w:ilvl="0" w:tplc="B91271E8">
      <w:start w:val="1"/>
      <w:numFmt w:val="bullet"/>
      <w:lvlText w:val=""/>
      <w:lvlJc w:val="left"/>
      <w:pPr>
        <w:ind w:left="1080" w:hanging="360"/>
      </w:pPr>
      <w:rPr>
        <w:rFonts w:ascii="Symbol" w:hAnsi="Symbol" w:hint="default"/>
      </w:rPr>
    </w:lvl>
    <w:lvl w:ilvl="1" w:tplc="64326384" w:tentative="1">
      <w:start w:val="1"/>
      <w:numFmt w:val="bullet"/>
      <w:lvlText w:val="o"/>
      <w:lvlJc w:val="left"/>
      <w:pPr>
        <w:ind w:left="1800" w:hanging="360"/>
      </w:pPr>
      <w:rPr>
        <w:rFonts w:ascii="Courier New" w:hAnsi="Courier New" w:hint="default"/>
      </w:rPr>
    </w:lvl>
    <w:lvl w:ilvl="2" w:tplc="23E8F8FE" w:tentative="1">
      <w:start w:val="1"/>
      <w:numFmt w:val="bullet"/>
      <w:lvlText w:val=""/>
      <w:lvlJc w:val="left"/>
      <w:pPr>
        <w:ind w:left="2520" w:hanging="360"/>
      </w:pPr>
      <w:rPr>
        <w:rFonts w:ascii="Wingdings" w:hAnsi="Wingdings" w:hint="default"/>
      </w:rPr>
    </w:lvl>
    <w:lvl w:ilvl="3" w:tplc="EAFC801C" w:tentative="1">
      <w:start w:val="1"/>
      <w:numFmt w:val="bullet"/>
      <w:lvlText w:val=""/>
      <w:lvlJc w:val="left"/>
      <w:pPr>
        <w:ind w:left="3240" w:hanging="360"/>
      </w:pPr>
      <w:rPr>
        <w:rFonts w:ascii="Symbol" w:hAnsi="Symbol" w:hint="default"/>
      </w:rPr>
    </w:lvl>
    <w:lvl w:ilvl="4" w:tplc="120839D4" w:tentative="1">
      <w:start w:val="1"/>
      <w:numFmt w:val="bullet"/>
      <w:lvlText w:val="o"/>
      <w:lvlJc w:val="left"/>
      <w:pPr>
        <w:ind w:left="3960" w:hanging="360"/>
      </w:pPr>
      <w:rPr>
        <w:rFonts w:ascii="Courier New" w:hAnsi="Courier New" w:hint="default"/>
      </w:rPr>
    </w:lvl>
    <w:lvl w:ilvl="5" w:tplc="DC344144" w:tentative="1">
      <w:start w:val="1"/>
      <w:numFmt w:val="bullet"/>
      <w:lvlText w:val=""/>
      <w:lvlJc w:val="left"/>
      <w:pPr>
        <w:ind w:left="4680" w:hanging="360"/>
      </w:pPr>
      <w:rPr>
        <w:rFonts w:ascii="Wingdings" w:hAnsi="Wingdings" w:hint="default"/>
      </w:rPr>
    </w:lvl>
    <w:lvl w:ilvl="6" w:tplc="37A05266" w:tentative="1">
      <w:start w:val="1"/>
      <w:numFmt w:val="bullet"/>
      <w:lvlText w:val=""/>
      <w:lvlJc w:val="left"/>
      <w:pPr>
        <w:ind w:left="5400" w:hanging="360"/>
      </w:pPr>
      <w:rPr>
        <w:rFonts w:ascii="Symbol" w:hAnsi="Symbol" w:hint="default"/>
      </w:rPr>
    </w:lvl>
    <w:lvl w:ilvl="7" w:tplc="7F36DAAE" w:tentative="1">
      <w:start w:val="1"/>
      <w:numFmt w:val="bullet"/>
      <w:lvlText w:val="o"/>
      <w:lvlJc w:val="left"/>
      <w:pPr>
        <w:ind w:left="6120" w:hanging="360"/>
      </w:pPr>
      <w:rPr>
        <w:rFonts w:ascii="Courier New" w:hAnsi="Courier New" w:hint="default"/>
      </w:rPr>
    </w:lvl>
    <w:lvl w:ilvl="8" w:tplc="E062BBD2" w:tentative="1">
      <w:start w:val="1"/>
      <w:numFmt w:val="bullet"/>
      <w:lvlText w:val=""/>
      <w:lvlJc w:val="left"/>
      <w:pPr>
        <w:ind w:left="6840" w:hanging="360"/>
      </w:pPr>
      <w:rPr>
        <w:rFonts w:ascii="Wingdings" w:hAnsi="Wingdings" w:hint="default"/>
      </w:rPr>
    </w:lvl>
  </w:abstractNum>
  <w:abstractNum w:abstractNumId="17" w15:restartNumberingAfterBreak="0">
    <w:nsid w:val="2D293CE3"/>
    <w:multiLevelType w:val="multilevel"/>
    <w:tmpl w:val="2472B276"/>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293CF4"/>
    <w:multiLevelType w:val="multilevel"/>
    <w:tmpl w:val="96E0B776"/>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E8641B"/>
    <w:multiLevelType w:val="hybridMultilevel"/>
    <w:tmpl w:val="3356F496"/>
    <w:lvl w:ilvl="0" w:tplc="C8B8BA38">
      <w:start w:val="1"/>
      <w:numFmt w:val="bullet"/>
      <w:lvlText w:val=""/>
      <w:lvlJc w:val="left"/>
      <w:pPr>
        <w:ind w:left="360" w:hanging="360"/>
      </w:pPr>
      <w:rPr>
        <w:rFonts w:ascii="Symbol" w:hAnsi="Symbol" w:hint="default"/>
      </w:rPr>
    </w:lvl>
    <w:lvl w:ilvl="1" w:tplc="98EE4D4A" w:tentative="1">
      <w:start w:val="1"/>
      <w:numFmt w:val="bullet"/>
      <w:lvlText w:val="o"/>
      <w:lvlJc w:val="left"/>
      <w:pPr>
        <w:ind w:left="1080" w:hanging="360"/>
      </w:pPr>
      <w:rPr>
        <w:rFonts w:ascii="Courier New" w:hAnsi="Courier New" w:hint="default"/>
      </w:rPr>
    </w:lvl>
    <w:lvl w:ilvl="2" w:tplc="9322294A" w:tentative="1">
      <w:start w:val="1"/>
      <w:numFmt w:val="bullet"/>
      <w:lvlText w:val=""/>
      <w:lvlJc w:val="left"/>
      <w:pPr>
        <w:ind w:left="1800" w:hanging="360"/>
      </w:pPr>
      <w:rPr>
        <w:rFonts w:ascii="Wingdings" w:hAnsi="Wingdings" w:hint="default"/>
      </w:rPr>
    </w:lvl>
    <w:lvl w:ilvl="3" w:tplc="49409600" w:tentative="1">
      <w:start w:val="1"/>
      <w:numFmt w:val="bullet"/>
      <w:lvlText w:val=""/>
      <w:lvlJc w:val="left"/>
      <w:pPr>
        <w:ind w:left="2520" w:hanging="360"/>
      </w:pPr>
      <w:rPr>
        <w:rFonts w:ascii="Symbol" w:hAnsi="Symbol" w:hint="default"/>
      </w:rPr>
    </w:lvl>
    <w:lvl w:ilvl="4" w:tplc="19E6005E" w:tentative="1">
      <w:start w:val="1"/>
      <w:numFmt w:val="bullet"/>
      <w:lvlText w:val="o"/>
      <w:lvlJc w:val="left"/>
      <w:pPr>
        <w:ind w:left="3240" w:hanging="360"/>
      </w:pPr>
      <w:rPr>
        <w:rFonts w:ascii="Courier New" w:hAnsi="Courier New" w:hint="default"/>
      </w:rPr>
    </w:lvl>
    <w:lvl w:ilvl="5" w:tplc="730AB498" w:tentative="1">
      <w:start w:val="1"/>
      <w:numFmt w:val="bullet"/>
      <w:lvlText w:val=""/>
      <w:lvlJc w:val="left"/>
      <w:pPr>
        <w:ind w:left="3960" w:hanging="360"/>
      </w:pPr>
      <w:rPr>
        <w:rFonts w:ascii="Wingdings" w:hAnsi="Wingdings" w:hint="default"/>
      </w:rPr>
    </w:lvl>
    <w:lvl w:ilvl="6" w:tplc="D76AA848" w:tentative="1">
      <w:start w:val="1"/>
      <w:numFmt w:val="bullet"/>
      <w:lvlText w:val=""/>
      <w:lvlJc w:val="left"/>
      <w:pPr>
        <w:ind w:left="4680" w:hanging="360"/>
      </w:pPr>
      <w:rPr>
        <w:rFonts w:ascii="Symbol" w:hAnsi="Symbol" w:hint="default"/>
      </w:rPr>
    </w:lvl>
    <w:lvl w:ilvl="7" w:tplc="6F48BF2C" w:tentative="1">
      <w:start w:val="1"/>
      <w:numFmt w:val="bullet"/>
      <w:lvlText w:val="o"/>
      <w:lvlJc w:val="left"/>
      <w:pPr>
        <w:ind w:left="5400" w:hanging="360"/>
      </w:pPr>
      <w:rPr>
        <w:rFonts w:ascii="Courier New" w:hAnsi="Courier New" w:hint="default"/>
      </w:rPr>
    </w:lvl>
    <w:lvl w:ilvl="8" w:tplc="A300E052" w:tentative="1">
      <w:start w:val="1"/>
      <w:numFmt w:val="bullet"/>
      <w:lvlText w:val=""/>
      <w:lvlJc w:val="left"/>
      <w:pPr>
        <w:ind w:left="6120" w:hanging="360"/>
      </w:pPr>
      <w:rPr>
        <w:rFonts w:ascii="Wingdings" w:hAnsi="Wingdings" w:hint="default"/>
      </w:rPr>
    </w:lvl>
  </w:abstractNum>
  <w:abstractNum w:abstractNumId="20" w15:restartNumberingAfterBreak="0">
    <w:nsid w:val="2EDAFA83"/>
    <w:multiLevelType w:val="hybridMultilevel"/>
    <w:tmpl w:val="FFFFFFFF"/>
    <w:lvl w:ilvl="0" w:tplc="4768C430">
      <w:start w:val="1"/>
      <w:numFmt w:val="bullet"/>
      <w:lvlText w:val=""/>
      <w:lvlJc w:val="left"/>
      <w:pPr>
        <w:ind w:left="720" w:hanging="360"/>
      </w:pPr>
      <w:rPr>
        <w:rFonts w:ascii="Symbol" w:hAnsi="Symbol" w:hint="default"/>
      </w:rPr>
    </w:lvl>
    <w:lvl w:ilvl="1" w:tplc="E62263B2">
      <w:start w:val="1"/>
      <w:numFmt w:val="bullet"/>
      <w:lvlText w:val="o"/>
      <w:lvlJc w:val="left"/>
      <w:pPr>
        <w:ind w:left="1440" w:hanging="360"/>
      </w:pPr>
      <w:rPr>
        <w:rFonts w:ascii="Courier New" w:hAnsi="Courier New" w:hint="default"/>
      </w:rPr>
    </w:lvl>
    <w:lvl w:ilvl="2" w:tplc="14A0844A">
      <w:start w:val="1"/>
      <w:numFmt w:val="bullet"/>
      <w:lvlText w:val=""/>
      <w:lvlJc w:val="left"/>
      <w:pPr>
        <w:ind w:left="2160" w:hanging="360"/>
      </w:pPr>
      <w:rPr>
        <w:rFonts w:ascii="Wingdings" w:hAnsi="Wingdings" w:hint="default"/>
      </w:rPr>
    </w:lvl>
    <w:lvl w:ilvl="3" w:tplc="9594E008">
      <w:start w:val="1"/>
      <w:numFmt w:val="bullet"/>
      <w:lvlText w:val=""/>
      <w:lvlJc w:val="left"/>
      <w:pPr>
        <w:ind w:left="2880" w:hanging="360"/>
      </w:pPr>
      <w:rPr>
        <w:rFonts w:ascii="Symbol" w:hAnsi="Symbol" w:hint="default"/>
      </w:rPr>
    </w:lvl>
    <w:lvl w:ilvl="4" w:tplc="4E1619AC">
      <w:start w:val="1"/>
      <w:numFmt w:val="bullet"/>
      <w:lvlText w:val="o"/>
      <w:lvlJc w:val="left"/>
      <w:pPr>
        <w:ind w:left="3600" w:hanging="360"/>
      </w:pPr>
      <w:rPr>
        <w:rFonts w:ascii="Courier New" w:hAnsi="Courier New" w:hint="default"/>
      </w:rPr>
    </w:lvl>
    <w:lvl w:ilvl="5" w:tplc="3A86B7DA">
      <w:start w:val="1"/>
      <w:numFmt w:val="bullet"/>
      <w:lvlText w:val=""/>
      <w:lvlJc w:val="left"/>
      <w:pPr>
        <w:ind w:left="4320" w:hanging="360"/>
      </w:pPr>
      <w:rPr>
        <w:rFonts w:ascii="Wingdings" w:hAnsi="Wingdings" w:hint="default"/>
      </w:rPr>
    </w:lvl>
    <w:lvl w:ilvl="6" w:tplc="CD5849E2">
      <w:start w:val="1"/>
      <w:numFmt w:val="bullet"/>
      <w:lvlText w:val=""/>
      <w:lvlJc w:val="left"/>
      <w:pPr>
        <w:ind w:left="5040" w:hanging="360"/>
      </w:pPr>
      <w:rPr>
        <w:rFonts w:ascii="Symbol" w:hAnsi="Symbol" w:hint="default"/>
      </w:rPr>
    </w:lvl>
    <w:lvl w:ilvl="7" w:tplc="E0C20444">
      <w:start w:val="1"/>
      <w:numFmt w:val="bullet"/>
      <w:lvlText w:val="o"/>
      <w:lvlJc w:val="left"/>
      <w:pPr>
        <w:ind w:left="5760" w:hanging="360"/>
      </w:pPr>
      <w:rPr>
        <w:rFonts w:ascii="Courier New" w:hAnsi="Courier New" w:hint="default"/>
      </w:rPr>
    </w:lvl>
    <w:lvl w:ilvl="8" w:tplc="16F64962">
      <w:start w:val="1"/>
      <w:numFmt w:val="bullet"/>
      <w:lvlText w:val=""/>
      <w:lvlJc w:val="left"/>
      <w:pPr>
        <w:ind w:left="6480" w:hanging="360"/>
      </w:pPr>
      <w:rPr>
        <w:rFonts w:ascii="Wingdings" w:hAnsi="Wingdings" w:hint="default"/>
      </w:rPr>
    </w:lvl>
  </w:abstractNum>
  <w:abstractNum w:abstractNumId="21" w15:restartNumberingAfterBreak="0">
    <w:nsid w:val="2F267A3C"/>
    <w:multiLevelType w:val="hybridMultilevel"/>
    <w:tmpl w:val="A5B0E7BC"/>
    <w:lvl w:ilvl="0" w:tplc="0FB6F588">
      <w:start w:val="1"/>
      <w:numFmt w:val="bullet"/>
      <w:lvlText w:val="-"/>
      <w:lvlJc w:val="left"/>
      <w:pPr>
        <w:ind w:left="360" w:hanging="360"/>
      </w:pPr>
      <w:rPr>
        <w:rFonts w:ascii="Aptos" w:hAnsi="Aptos" w:hint="default"/>
      </w:rPr>
    </w:lvl>
    <w:lvl w:ilvl="1" w:tplc="F9AE36F6">
      <w:start w:val="1"/>
      <w:numFmt w:val="bullet"/>
      <w:lvlText w:val="o"/>
      <w:lvlJc w:val="left"/>
      <w:pPr>
        <w:ind w:left="1080" w:hanging="360"/>
      </w:pPr>
      <w:rPr>
        <w:rFonts w:ascii="Courier New" w:hAnsi="Courier New" w:hint="default"/>
      </w:rPr>
    </w:lvl>
    <w:lvl w:ilvl="2" w:tplc="CBDC37BA">
      <w:start w:val="1"/>
      <w:numFmt w:val="bullet"/>
      <w:lvlText w:val=""/>
      <w:lvlJc w:val="left"/>
      <w:pPr>
        <w:ind w:left="1800" w:hanging="360"/>
      </w:pPr>
      <w:rPr>
        <w:rFonts w:ascii="Wingdings" w:hAnsi="Wingdings" w:hint="default"/>
      </w:rPr>
    </w:lvl>
    <w:lvl w:ilvl="3" w:tplc="3894D878">
      <w:start w:val="1"/>
      <w:numFmt w:val="bullet"/>
      <w:lvlText w:val=""/>
      <w:lvlJc w:val="left"/>
      <w:pPr>
        <w:ind w:left="2520" w:hanging="360"/>
      </w:pPr>
      <w:rPr>
        <w:rFonts w:ascii="Symbol" w:hAnsi="Symbol" w:hint="default"/>
      </w:rPr>
    </w:lvl>
    <w:lvl w:ilvl="4" w:tplc="10225CF2">
      <w:start w:val="1"/>
      <w:numFmt w:val="bullet"/>
      <w:lvlText w:val="o"/>
      <w:lvlJc w:val="left"/>
      <w:pPr>
        <w:ind w:left="3240" w:hanging="360"/>
      </w:pPr>
      <w:rPr>
        <w:rFonts w:ascii="Courier New" w:hAnsi="Courier New" w:hint="default"/>
      </w:rPr>
    </w:lvl>
    <w:lvl w:ilvl="5" w:tplc="090EC14C">
      <w:start w:val="1"/>
      <w:numFmt w:val="bullet"/>
      <w:lvlText w:val=""/>
      <w:lvlJc w:val="left"/>
      <w:pPr>
        <w:ind w:left="3960" w:hanging="360"/>
      </w:pPr>
      <w:rPr>
        <w:rFonts w:ascii="Wingdings" w:hAnsi="Wingdings" w:hint="default"/>
      </w:rPr>
    </w:lvl>
    <w:lvl w:ilvl="6" w:tplc="0DB65C40">
      <w:start w:val="1"/>
      <w:numFmt w:val="bullet"/>
      <w:lvlText w:val=""/>
      <w:lvlJc w:val="left"/>
      <w:pPr>
        <w:ind w:left="4680" w:hanging="360"/>
      </w:pPr>
      <w:rPr>
        <w:rFonts w:ascii="Symbol" w:hAnsi="Symbol" w:hint="default"/>
      </w:rPr>
    </w:lvl>
    <w:lvl w:ilvl="7" w:tplc="5A06326A">
      <w:start w:val="1"/>
      <w:numFmt w:val="bullet"/>
      <w:lvlText w:val="o"/>
      <w:lvlJc w:val="left"/>
      <w:pPr>
        <w:ind w:left="5400" w:hanging="360"/>
      </w:pPr>
      <w:rPr>
        <w:rFonts w:ascii="Courier New" w:hAnsi="Courier New" w:hint="default"/>
      </w:rPr>
    </w:lvl>
    <w:lvl w:ilvl="8" w:tplc="5F3627FA">
      <w:start w:val="1"/>
      <w:numFmt w:val="bullet"/>
      <w:lvlText w:val=""/>
      <w:lvlJc w:val="left"/>
      <w:pPr>
        <w:ind w:left="6120" w:hanging="360"/>
      </w:pPr>
      <w:rPr>
        <w:rFonts w:ascii="Wingdings" w:hAnsi="Wingdings" w:hint="default"/>
      </w:rPr>
    </w:lvl>
  </w:abstractNum>
  <w:abstractNum w:abstractNumId="22" w15:restartNumberingAfterBreak="0">
    <w:nsid w:val="306E309C"/>
    <w:multiLevelType w:val="hybridMultilevel"/>
    <w:tmpl w:val="534609D6"/>
    <w:lvl w:ilvl="0" w:tplc="FA30BF52">
      <w:start w:val="1"/>
      <w:numFmt w:val="bullet"/>
      <w:lvlText w:val=""/>
      <w:lvlJc w:val="left"/>
      <w:pPr>
        <w:ind w:left="720" w:hanging="360"/>
      </w:pPr>
      <w:rPr>
        <w:rFonts w:ascii="Wingdings" w:hAnsi="Wingdings" w:hint="default"/>
      </w:rPr>
    </w:lvl>
    <w:lvl w:ilvl="1" w:tplc="39943CDE" w:tentative="1">
      <w:start w:val="1"/>
      <w:numFmt w:val="bullet"/>
      <w:lvlText w:val="o"/>
      <w:lvlJc w:val="left"/>
      <w:pPr>
        <w:ind w:left="1440" w:hanging="360"/>
      </w:pPr>
      <w:rPr>
        <w:rFonts w:ascii="Courier New" w:hAnsi="Courier New" w:hint="default"/>
      </w:rPr>
    </w:lvl>
    <w:lvl w:ilvl="2" w:tplc="661E2E14" w:tentative="1">
      <w:start w:val="1"/>
      <w:numFmt w:val="bullet"/>
      <w:lvlText w:val=""/>
      <w:lvlJc w:val="left"/>
      <w:pPr>
        <w:ind w:left="2160" w:hanging="360"/>
      </w:pPr>
      <w:rPr>
        <w:rFonts w:ascii="Wingdings" w:hAnsi="Wingdings" w:hint="default"/>
      </w:rPr>
    </w:lvl>
    <w:lvl w:ilvl="3" w:tplc="04E87B8A" w:tentative="1">
      <w:start w:val="1"/>
      <w:numFmt w:val="bullet"/>
      <w:lvlText w:val=""/>
      <w:lvlJc w:val="left"/>
      <w:pPr>
        <w:ind w:left="2880" w:hanging="360"/>
      </w:pPr>
      <w:rPr>
        <w:rFonts w:ascii="Symbol" w:hAnsi="Symbol" w:hint="default"/>
      </w:rPr>
    </w:lvl>
    <w:lvl w:ilvl="4" w:tplc="CFB26670" w:tentative="1">
      <w:start w:val="1"/>
      <w:numFmt w:val="bullet"/>
      <w:lvlText w:val="o"/>
      <w:lvlJc w:val="left"/>
      <w:pPr>
        <w:ind w:left="3600" w:hanging="360"/>
      </w:pPr>
      <w:rPr>
        <w:rFonts w:ascii="Courier New" w:hAnsi="Courier New" w:hint="default"/>
      </w:rPr>
    </w:lvl>
    <w:lvl w:ilvl="5" w:tplc="529CBA1C" w:tentative="1">
      <w:start w:val="1"/>
      <w:numFmt w:val="bullet"/>
      <w:lvlText w:val=""/>
      <w:lvlJc w:val="left"/>
      <w:pPr>
        <w:ind w:left="4320" w:hanging="360"/>
      </w:pPr>
      <w:rPr>
        <w:rFonts w:ascii="Wingdings" w:hAnsi="Wingdings" w:hint="default"/>
      </w:rPr>
    </w:lvl>
    <w:lvl w:ilvl="6" w:tplc="346C99C0" w:tentative="1">
      <w:start w:val="1"/>
      <w:numFmt w:val="bullet"/>
      <w:lvlText w:val=""/>
      <w:lvlJc w:val="left"/>
      <w:pPr>
        <w:ind w:left="5040" w:hanging="360"/>
      </w:pPr>
      <w:rPr>
        <w:rFonts w:ascii="Symbol" w:hAnsi="Symbol" w:hint="default"/>
      </w:rPr>
    </w:lvl>
    <w:lvl w:ilvl="7" w:tplc="F814DCE2" w:tentative="1">
      <w:start w:val="1"/>
      <w:numFmt w:val="bullet"/>
      <w:lvlText w:val="o"/>
      <w:lvlJc w:val="left"/>
      <w:pPr>
        <w:ind w:left="5760" w:hanging="360"/>
      </w:pPr>
      <w:rPr>
        <w:rFonts w:ascii="Courier New" w:hAnsi="Courier New" w:hint="default"/>
      </w:rPr>
    </w:lvl>
    <w:lvl w:ilvl="8" w:tplc="815403B6" w:tentative="1">
      <w:start w:val="1"/>
      <w:numFmt w:val="bullet"/>
      <w:lvlText w:val=""/>
      <w:lvlJc w:val="left"/>
      <w:pPr>
        <w:ind w:left="6480" w:hanging="360"/>
      </w:pPr>
      <w:rPr>
        <w:rFonts w:ascii="Wingdings" w:hAnsi="Wingdings" w:hint="default"/>
      </w:rPr>
    </w:lvl>
  </w:abstractNum>
  <w:abstractNum w:abstractNumId="23" w15:restartNumberingAfterBreak="0">
    <w:nsid w:val="36324F1E"/>
    <w:multiLevelType w:val="multilevel"/>
    <w:tmpl w:val="87FC6088"/>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7CB1E1C"/>
    <w:multiLevelType w:val="multilevel"/>
    <w:tmpl w:val="E06AC42E"/>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9ED669D"/>
    <w:multiLevelType w:val="multilevel"/>
    <w:tmpl w:val="C5328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7730C4"/>
    <w:multiLevelType w:val="multilevel"/>
    <w:tmpl w:val="44EA53FC"/>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DF7D533"/>
    <w:multiLevelType w:val="hybridMultilevel"/>
    <w:tmpl w:val="FFFFFFFF"/>
    <w:lvl w:ilvl="0" w:tplc="24E6DF86">
      <w:start w:val="1"/>
      <w:numFmt w:val="decimal"/>
      <w:lvlText w:val="1)"/>
      <w:lvlJc w:val="left"/>
      <w:pPr>
        <w:ind w:left="720" w:hanging="360"/>
      </w:pPr>
    </w:lvl>
    <w:lvl w:ilvl="1" w:tplc="D818BB86">
      <w:start w:val="1"/>
      <w:numFmt w:val="lowerLetter"/>
      <w:lvlText w:val="%2."/>
      <w:lvlJc w:val="left"/>
      <w:pPr>
        <w:ind w:left="1440" w:hanging="360"/>
      </w:pPr>
    </w:lvl>
    <w:lvl w:ilvl="2" w:tplc="8D8EF4DC">
      <w:start w:val="1"/>
      <w:numFmt w:val="lowerRoman"/>
      <w:lvlText w:val="%3."/>
      <w:lvlJc w:val="right"/>
      <w:pPr>
        <w:ind w:left="2160" w:hanging="180"/>
      </w:pPr>
    </w:lvl>
    <w:lvl w:ilvl="3" w:tplc="61348E40">
      <w:start w:val="1"/>
      <w:numFmt w:val="decimal"/>
      <w:lvlText w:val="%4."/>
      <w:lvlJc w:val="left"/>
      <w:pPr>
        <w:ind w:left="2880" w:hanging="360"/>
      </w:pPr>
    </w:lvl>
    <w:lvl w:ilvl="4" w:tplc="9C3C2780">
      <w:start w:val="1"/>
      <w:numFmt w:val="lowerLetter"/>
      <w:lvlText w:val="%5."/>
      <w:lvlJc w:val="left"/>
      <w:pPr>
        <w:ind w:left="3600" w:hanging="360"/>
      </w:pPr>
    </w:lvl>
    <w:lvl w:ilvl="5" w:tplc="AEAEFF28">
      <w:start w:val="1"/>
      <w:numFmt w:val="lowerRoman"/>
      <w:lvlText w:val="%6."/>
      <w:lvlJc w:val="right"/>
      <w:pPr>
        <w:ind w:left="4320" w:hanging="180"/>
      </w:pPr>
    </w:lvl>
    <w:lvl w:ilvl="6" w:tplc="65C0D18E">
      <w:start w:val="1"/>
      <w:numFmt w:val="decimal"/>
      <w:lvlText w:val="%7."/>
      <w:lvlJc w:val="left"/>
      <w:pPr>
        <w:ind w:left="5040" w:hanging="360"/>
      </w:pPr>
    </w:lvl>
    <w:lvl w:ilvl="7" w:tplc="BDA4C0FC">
      <w:start w:val="1"/>
      <w:numFmt w:val="lowerLetter"/>
      <w:lvlText w:val="%8."/>
      <w:lvlJc w:val="left"/>
      <w:pPr>
        <w:ind w:left="5760" w:hanging="360"/>
      </w:pPr>
    </w:lvl>
    <w:lvl w:ilvl="8" w:tplc="FB78BF22">
      <w:start w:val="1"/>
      <w:numFmt w:val="lowerRoman"/>
      <w:lvlText w:val="%9."/>
      <w:lvlJc w:val="right"/>
      <w:pPr>
        <w:ind w:left="6480" w:hanging="180"/>
      </w:pPr>
    </w:lvl>
  </w:abstractNum>
  <w:abstractNum w:abstractNumId="28" w15:restartNumberingAfterBreak="0">
    <w:nsid w:val="3E7B838E"/>
    <w:multiLevelType w:val="hybridMultilevel"/>
    <w:tmpl w:val="64D4998A"/>
    <w:lvl w:ilvl="0" w:tplc="C6A67A8A">
      <w:start w:val="1"/>
      <w:numFmt w:val="bullet"/>
      <w:lvlText w:val=""/>
      <w:lvlJc w:val="left"/>
      <w:pPr>
        <w:ind w:left="836" w:hanging="360"/>
      </w:pPr>
      <w:rPr>
        <w:rFonts w:ascii="Symbol" w:hAnsi="Symbol" w:hint="default"/>
      </w:rPr>
    </w:lvl>
    <w:lvl w:ilvl="1" w:tplc="91BC5E5C">
      <w:start w:val="1"/>
      <w:numFmt w:val="bullet"/>
      <w:lvlText w:val="o"/>
      <w:lvlJc w:val="left"/>
      <w:pPr>
        <w:ind w:left="1556" w:hanging="360"/>
      </w:pPr>
      <w:rPr>
        <w:rFonts w:ascii="Courier New" w:hAnsi="Courier New" w:hint="default"/>
      </w:rPr>
    </w:lvl>
    <w:lvl w:ilvl="2" w:tplc="67127A46">
      <w:start w:val="1"/>
      <w:numFmt w:val="bullet"/>
      <w:lvlText w:val=""/>
      <w:lvlJc w:val="left"/>
      <w:pPr>
        <w:ind w:left="2276" w:hanging="360"/>
      </w:pPr>
      <w:rPr>
        <w:rFonts w:ascii="Wingdings" w:hAnsi="Wingdings" w:hint="default"/>
      </w:rPr>
    </w:lvl>
    <w:lvl w:ilvl="3" w:tplc="66CE7974">
      <w:start w:val="1"/>
      <w:numFmt w:val="bullet"/>
      <w:lvlText w:val=""/>
      <w:lvlJc w:val="left"/>
      <w:pPr>
        <w:ind w:left="2996" w:hanging="360"/>
      </w:pPr>
      <w:rPr>
        <w:rFonts w:ascii="Symbol" w:hAnsi="Symbol" w:hint="default"/>
      </w:rPr>
    </w:lvl>
    <w:lvl w:ilvl="4" w:tplc="C0F04F50">
      <w:start w:val="1"/>
      <w:numFmt w:val="bullet"/>
      <w:lvlText w:val="o"/>
      <w:lvlJc w:val="left"/>
      <w:pPr>
        <w:ind w:left="3716" w:hanging="360"/>
      </w:pPr>
      <w:rPr>
        <w:rFonts w:ascii="Courier New" w:hAnsi="Courier New" w:hint="default"/>
      </w:rPr>
    </w:lvl>
    <w:lvl w:ilvl="5" w:tplc="15DC06C6">
      <w:start w:val="1"/>
      <w:numFmt w:val="bullet"/>
      <w:lvlText w:val=""/>
      <w:lvlJc w:val="left"/>
      <w:pPr>
        <w:ind w:left="4436" w:hanging="360"/>
      </w:pPr>
      <w:rPr>
        <w:rFonts w:ascii="Wingdings" w:hAnsi="Wingdings" w:hint="default"/>
      </w:rPr>
    </w:lvl>
    <w:lvl w:ilvl="6" w:tplc="12827CE2">
      <w:start w:val="1"/>
      <w:numFmt w:val="bullet"/>
      <w:lvlText w:val=""/>
      <w:lvlJc w:val="left"/>
      <w:pPr>
        <w:ind w:left="5156" w:hanging="360"/>
      </w:pPr>
      <w:rPr>
        <w:rFonts w:ascii="Symbol" w:hAnsi="Symbol" w:hint="default"/>
      </w:rPr>
    </w:lvl>
    <w:lvl w:ilvl="7" w:tplc="4FF8369C">
      <w:start w:val="1"/>
      <w:numFmt w:val="bullet"/>
      <w:lvlText w:val="o"/>
      <w:lvlJc w:val="left"/>
      <w:pPr>
        <w:ind w:left="5876" w:hanging="360"/>
      </w:pPr>
      <w:rPr>
        <w:rFonts w:ascii="Courier New" w:hAnsi="Courier New" w:hint="default"/>
      </w:rPr>
    </w:lvl>
    <w:lvl w:ilvl="8" w:tplc="57BE6800">
      <w:start w:val="1"/>
      <w:numFmt w:val="bullet"/>
      <w:lvlText w:val=""/>
      <w:lvlJc w:val="left"/>
      <w:pPr>
        <w:ind w:left="6596" w:hanging="360"/>
      </w:pPr>
      <w:rPr>
        <w:rFonts w:ascii="Wingdings" w:hAnsi="Wingdings" w:hint="default"/>
      </w:rPr>
    </w:lvl>
  </w:abstractNum>
  <w:abstractNum w:abstractNumId="29" w15:restartNumberingAfterBreak="0">
    <w:nsid w:val="429E662A"/>
    <w:multiLevelType w:val="multilevel"/>
    <w:tmpl w:val="C34490D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32E036F"/>
    <w:multiLevelType w:val="hybridMultilevel"/>
    <w:tmpl w:val="F4282F90"/>
    <w:lvl w:ilvl="0" w:tplc="3386FA24">
      <w:start w:val="1"/>
      <w:numFmt w:val="bullet"/>
      <w:lvlText w:val=""/>
      <w:lvlJc w:val="left"/>
      <w:pPr>
        <w:ind w:left="1562" w:hanging="360"/>
      </w:pPr>
      <w:rPr>
        <w:rFonts w:ascii="Wingdings" w:hAnsi="Wingdings" w:hint="default"/>
      </w:rPr>
    </w:lvl>
    <w:lvl w:ilvl="1" w:tplc="CFB84AE8">
      <w:start w:val="1"/>
      <w:numFmt w:val="bullet"/>
      <w:lvlText w:val="o"/>
      <w:lvlJc w:val="left"/>
      <w:pPr>
        <w:ind w:left="2282" w:hanging="360"/>
      </w:pPr>
      <w:rPr>
        <w:rFonts w:ascii="Courier New" w:hAnsi="Courier New" w:hint="default"/>
      </w:rPr>
    </w:lvl>
    <w:lvl w:ilvl="2" w:tplc="3160A496">
      <w:start w:val="1"/>
      <w:numFmt w:val="bullet"/>
      <w:lvlText w:val=""/>
      <w:lvlJc w:val="left"/>
      <w:pPr>
        <w:ind w:left="3002" w:hanging="360"/>
      </w:pPr>
      <w:rPr>
        <w:rFonts w:ascii="Wingdings" w:hAnsi="Wingdings" w:hint="default"/>
      </w:rPr>
    </w:lvl>
    <w:lvl w:ilvl="3" w:tplc="B5D8C3F0">
      <w:start w:val="1"/>
      <w:numFmt w:val="bullet"/>
      <w:lvlText w:val=""/>
      <w:lvlJc w:val="left"/>
      <w:pPr>
        <w:ind w:left="3722" w:hanging="360"/>
      </w:pPr>
      <w:rPr>
        <w:rFonts w:ascii="Symbol" w:hAnsi="Symbol" w:hint="default"/>
      </w:rPr>
    </w:lvl>
    <w:lvl w:ilvl="4" w:tplc="626AE15E">
      <w:start w:val="1"/>
      <w:numFmt w:val="bullet"/>
      <w:lvlText w:val="o"/>
      <w:lvlJc w:val="left"/>
      <w:pPr>
        <w:ind w:left="4442" w:hanging="360"/>
      </w:pPr>
      <w:rPr>
        <w:rFonts w:ascii="Courier New" w:hAnsi="Courier New" w:hint="default"/>
      </w:rPr>
    </w:lvl>
    <w:lvl w:ilvl="5" w:tplc="8766BF52">
      <w:start w:val="1"/>
      <w:numFmt w:val="bullet"/>
      <w:lvlText w:val=""/>
      <w:lvlJc w:val="left"/>
      <w:pPr>
        <w:ind w:left="5162" w:hanging="360"/>
      </w:pPr>
      <w:rPr>
        <w:rFonts w:ascii="Wingdings" w:hAnsi="Wingdings" w:hint="default"/>
      </w:rPr>
    </w:lvl>
    <w:lvl w:ilvl="6" w:tplc="4DFE56CE">
      <w:start w:val="1"/>
      <w:numFmt w:val="bullet"/>
      <w:lvlText w:val=""/>
      <w:lvlJc w:val="left"/>
      <w:pPr>
        <w:ind w:left="5882" w:hanging="360"/>
      </w:pPr>
      <w:rPr>
        <w:rFonts w:ascii="Symbol" w:hAnsi="Symbol" w:hint="default"/>
      </w:rPr>
    </w:lvl>
    <w:lvl w:ilvl="7" w:tplc="7C703E22">
      <w:start w:val="1"/>
      <w:numFmt w:val="bullet"/>
      <w:lvlText w:val="o"/>
      <w:lvlJc w:val="left"/>
      <w:pPr>
        <w:ind w:left="6602" w:hanging="360"/>
      </w:pPr>
      <w:rPr>
        <w:rFonts w:ascii="Courier New" w:hAnsi="Courier New" w:hint="default"/>
      </w:rPr>
    </w:lvl>
    <w:lvl w:ilvl="8" w:tplc="1554B398">
      <w:start w:val="1"/>
      <w:numFmt w:val="bullet"/>
      <w:lvlText w:val=""/>
      <w:lvlJc w:val="left"/>
      <w:pPr>
        <w:ind w:left="7322" w:hanging="360"/>
      </w:pPr>
      <w:rPr>
        <w:rFonts w:ascii="Wingdings" w:hAnsi="Wingdings" w:hint="default"/>
      </w:rPr>
    </w:lvl>
  </w:abstractNum>
  <w:abstractNum w:abstractNumId="31" w15:restartNumberingAfterBreak="0">
    <w:nsid w:val="461B3A8A"/>
    <w:multiLevelType w:val="hybridMultilevel"/>
    <w:tmpl w:val="07405F72"/>
    <w:lvl w:ilvl="0" w:tplc="18090001">
      <w:start w:val="1"/>
      <w:numFmt w:val="bullet"/>
      <w:lvlText w:val=""/>
      <w:lvlJc w:val="left"/>
      <w:pPr>
        <w:ind w:left="1922" w:hanging="360"/>
      </w:pPr>
      <w:rPr>
        <w:rFonts w:ascii="Symbol" w:hAnsi="Symbol" w:hint="default"/>
      </w:rPr>
    </w:lvl>
    <w:lvl w:ilvl="1" w:tplc="18090003" w:tentative="1">
      <w:start w:val="1"/>
      <w:numFmt w:val="bullet"/>
      <w:lvlText w:val="o"/>
      <w:lvlJc w:val="left"/>
      <w:pPr>
        <w:ind w:left="2642" w:hanging="360"/>
      </w:pPr>
      <w:rPr>
        <w:rFonts w:ascii="Courier New" w:hAnsi="Courier New" w:cs="Courier New" w:hint="default"/>
      </w:rPr>
    </w:lvl>
    <w:lvl w:ilvl="2" w:tplc="18090005" w:tentative="1">
      <w:start w:val="1"/>
      <w:numFmt w:val="bullet"/>
      <w:lvlText w:val=""/>
      <w:lvlJc w:val="left"/>
      <w:pPr>
        <w:ind w:left="3362" w:hanging="360"/>
      </w:pPr>
      <w:rPr>
        <w:rFonts w:ascii="Wingdings" w:hAnsi="Wingdings" w:hint="default"/>
      </w:rPr>
    </w:lvl>
    <w:lvl w:ilvl="3" w:tplc="18090001" w:tentative="1">
      <w:start w:val="1"/>
      <w:numFmt w:val="bullet"/>
      <w:lvlText w:val=""/>
      <w:lvlJc w:val="left"/>
      <w:pPr>
        <w:ind w:left="4082" w:hanging="360"/>
      </w:pPr>
      <w:rPr>
        <w:rFonts w:ascii="Symbol" w:hAnsi="Symbol" w:hint="default"/>
      </w:rPr>
    </w:lvl>
    <w:lvl w:ilvl="4" w:tplc="18090003" w:tentative="1">
      <w:start w:val="1"/>
      <w:numFmt w:val="bullet"/>
      <w:lvlText w:val="o"/>
      <w:lvlJc w:val="left"/>
      <w:pPr>
        <w:ind w:left="4802" w:hanging="360"/>
      </w:pPr>
      <w:rPr>
        <w:rFonts w:ascii="Courier New" w:hAnsi="Courier New" w:cs="Courier New" w:hint="default"/>
      </w:rPr>
    </w:lvl>
    <w:lvl w:ilvl="5" w:tplc="18090005" w:tentative="1">
      <w:start w:val="1"/>
      <w:numFmt w:val="bullet"/>
      <w:lvlText w:val=""/>
      <w:lvlJc w:val="left"/>
      <w:pPr>
        <w:ind w:left="5522" w:hanging="360"/>
      </w:pPr>
      <w:rPr>
        <w:rFonts w:ascii="Wingdings" w:hAnsi="Wingdings" w:hint="default"/>
      </w:rPr>
    </w:lvl>
    <w:lvl w:ilvl="6" w:tplc="18090001" w:tentative="1">
      <w:start w:val="1"/>
      <w:numFmt w:val="bullet"/>
      <w:lvlText w:val=""/>
      <w:lvlJc w:val="left"/>
      <w:pPr>
        <w:ind w:left="6242" w:hanging="360"/>
      </w:pPr>
      <w:rPr>
        <w:rFonts w:ascii="Symbol" w:hAnsi="Symbol" w:hint="default"/>
      </w:rPr>
    </w:lvl>
    <w:lvl w:ilvl="7" w:tplc="18090003" w:tentative="1">
      <w:start w:val="1"/>
      <w:numFmt w:val="bullet"/>
      <w:lvlText w:val="o"/>
      <w:lvlJc w:val="left"/>
      <w:pPr>
        <w:ind w:left="6962" w:hanging="360"/>
      </w:pPr>
      <w:rPr>
        <w:rFonts w:ascii="Courier New" w:hAnsi="Courier New" w:cs="Courier New" w:hint="default"/>
      </w:rPr>
    </w:lvl>
    <w:lvl w:ilvl="8" w:tplc="18090005" w:tentative="1">
      <w:start w:val="1"/>
      <w:numFmt w:val="bullet"/>
      <w:lvlText w:val=""/>
      <w:lvlJc w:val="left"/>
      <w:pPr>
        <w:ind w:left="7682" w:hanging="360"/>
      </w:pPr>
      <w:rPr>
        <w:rFonts w:ascii="Wingdings" w:hAnsi="Wingdings" w:hint="default"/>
      </w:rPr>
    </w:lvl>
  </w:abstractNum>
  <w:abstractNum w:abstractNumId="32" w15:restartNumberingAfterBreak="0">
    <w:nsid w:val="4E1A63DF"/>
    <w:multiLevelType w:val="multilevel"/>
    <w:tmpl w:val="5CA4629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E1A982C"/>
    <w:multiLevelType w:val="multilevel"/>
    <w:tmpl w:val="04E412A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72619B"/>
    <w:multiLevelType w:val="multilevel"/>
    <w:tmpl w:val="7444EC4A"/>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0729B52"/>
    <w:multiLevelType w:val="multilevel"/>
    <w:tmpl w:val="B4CEF89E"/>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26AF1C4"/>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4AC9FD3"/>
    <w:multiLevelType w:val="hybridMultilevel"/>
    <w:tmpl w:val="BB100C90"/>
    <w:lvl w:ilvl="0" w:tplc="76D2EF1A">
      <w:start w:val="1"/>
      <w:numFmt w:val="bullet"/>
      <w:lvlText w:val=""/>
      <w:lvlJc w:val="left"/>
      <w:pPr>
        <w:ind w:left="836" w:hanging="360"/>
      </w:pPr>
      <w:rPr>
        <w:rFonts w:ascii="Symbol" w:hAnsi="Symbol" w:hint="default"/>
      </w:rPr>
    </w:lvl>
    <w:lvl w:ilvl="1" w:tplc="374E39AE">
      <w:start w:val="1"/>
      <w:numFmt w:val="bullet"/>
      <w:lvlText w:val="o"/>
      <w:lvlJc w:val="left"/>
      <w:pPr>
        <w:ind w:left="1556" w:hanging="360"/>
      </w:pPr>
      <w:rPr>
        <w:rFonts w:ascii="Courier New" w:hAnsi="Courier New" w:hint="default"/>
      </w:rPr>
    </w:lvl>
    <w:lvl w:ilvl="2" w:tplc="32C2C458">
      <w:start w:val="1"/>
      <w:numFmt w:val="bullet"/>
      <w:lvlText w:val=""/>
      <w:lvlJc w:val="left"/>
      <w:pPr>
        <w:ind w:left="2276" w:hanging="360"/>
      </w:pPr>
      <w:rPr>
        <w:rFonts w:ascii="Wingdings" w:hAnsi="Wingdings" w:hint="default"/>
      </w:rPr>
    </w:lvl>
    <w:lvl w:ilvl="3" w:tplc="105CDDB4">
      <w:start w:val="1"/>
      <w:numFmt w:val="bullet"/>
      <w:lvlText w:val=""/>
      <w:lvlJc w:val="left"/>
      <w:pPr>
        <w:ind w:left="2996" w:hanging="360"/>
      </w:pPr>
      <w:rPr>
        <w:rFonts w:ascii="Symbol" w:hAnsi="Symbol" w:hint="default"/>
      </w:rPr>
    </w:lvl>
    <w:lvl w:ilvl="4" w:tplc="CEB2180E">
      <w:start w:val="1"/>
      <w:numFmt w:val="bullet"/>
      <w:lvlText w:val="o"/>
      <w:lvlJc w:val="left"/>
      <w:pPr>
        <w:ind w:left="3716" w:hanging="360"/>
      </w:pPr>
      <w:rPr>
        <w:rFonts w:ascii="Courier New" w:hAnsi="Courier New" w:hint="default"/>
      </w:rPr>
    </w:lvl>
    <w:lvl w:ilvl="5" w:tplc="3DCE5E1A">
      <w:start w:val="1"/>
      <w:numFmt w:val="bullet"/>
      <w:lvlText w:val=""/>
      <w:lvlJc w:val="left"/>
      <w:pPr>
        <w:ind w:left="4436" w:hanging="360"/>
      </w:pPr>
      <w:rPr>
        <w:rFonts w:ascii="Wingdings" w:hAnsi="Wingdings" w:hint="default"/>
      </w:rPr>
    </w:lvl>
    <w:lvl w:ilvl="6" w:tplc="94786E80">
      <w:start w:val="1"/>
      <w:numFmt w:val="bullet"/>
      <w:lvlText w:val=""/>
      <w:lvlJc w:val="left"/>
      <w:pPr>
        <w:ind w:left="5156" w:hanging="360"/>
      </w:pPr>
      <w:rPr>
        <w:rFonts w:ascii="Symbol" w:hAnsi="Symbol" w:hint="default"/>
      </w:rPr>
    </w:lvl>
    <w:lvl w:ilvl="7" w:tplc="854071CE">
      <w:start w:val="1"/>
      <w:numFmt w:val="bullet"/>
      <w:lvlText w:val="o"/>
      <w:lvlJc w:val="left"/>
      <w:pPr>
        <w:ind w:left="5876" w:hanging="360"/>
      </w:pPr>
      <w:rPr>
        <w:rFonts w:ascii="Courier New" w:hAnsi="Courier New" w:hint="default"/>
      </w:rPr>
    </w:lvl>
    <w:lvl w:ilvl="8" w:tplc="53F66CC2">
      <w:start w:val="1"/>
      <w:numFmt w:val="bullet"/>
      <w:lvlText w:val=""/>
      <w:lvlJc w:val="left"/>
      <w:pPr>
        <w:ind w:left="6596" w:hanging="360"/>
      </w:pPr>
      <w:rPr>
        <w:rFonts w:ascii="Wingdings" w:hAnsi="Wingdings" w:hint="default"/>
      </w:rPr>
    </w:lvl>
  </w:abstractNum>
  <w:abstractNum w:abstractNumId="38" w15:restartNumberingAfterBreak="0">
    <w:nsid w:val="57355F66"/>
    <w:multiLevelType w:val="hybridMultilevel"/>
    <w:tmpl w:val="FFFFFFFF"/>
    <w:lvl w:ilvl="0" w:tplc="7CBC9D34">
      <w:start w:val="1"/>
      <w:numFmt w:val="bullet"/>
      <w:lvlText w:val="-"/>
      <w:lvlJc w:val="left"/>
      <w:pPr>
        <w:ind w:left="836" w:hanging="360"/>
      </w:pPr>
      <w:rPr>
        <w:rFonts w:ascii="Aptos" w:hAnsi="Aptos" w:hint="default"/>
      </w:rPr>
    </w:lvl>
    <w:lvl w:ilvl="1" w:tplc="3EEA2236">
      <w:start w:val="1"/>
      <w:numFmt w:val="bullet"/>
      <w:lvlText w:val="o"/>
      <w:lvlJc w:val="left"/>
      <w:pPr>
        <w:ind w:left="1556" w:hanging="360"/>
      </w:pPr>
      <w:rPr>
        <w:rFonts w:ascii="Courier New" w:hAnsi="Courier New" w:hint="default"/>
      </w:rPr>
    </w:lvl>
    <w:lvl w:ilvl="2" w:tplc="F8BCE5AA">
      <w:start w:val="1"/>
      <w:numFmt w:val="bullet"/>
      <w:lvlText w:val=""/>
      <w:lvlJc w:val="left"/>
      <w:pPr>
        <w:ind w:left="2276" w:hanging="360"/>
      </w:pPr>
      <w:rPr>
        <w:rFonts w:ascii="Wingdings" w:hAnsi="Wingdings" w:hint="default"/>
      </w:rPr>
    </w:lvl>
    <w:lvl w:ilvl="3" w:tplc="5DC81F14">
      <w:start w:val="1"/>
      <w:numFmt w:val="bullet"/>
      <w:lvlText w:val=""/>
      <w:lvlJc w:val="left"/>
      <w:pPr>
        <w:ind w:left="2996" w:hanging="360"/>
      </w:pPr>
      <w:rPr>
        <w:rFonts w:ascii="Symbol" w:hAnsi="Symbol" w:hint="default"/>
      </w:rPr>
    </w:lvl>
    <w:lvl w:ilvl="4" w:tplc="A3986A7A">
      <w:start w:val="1"/>
      <w:numFmt w:val="bullet"/>
      <w:lvlText w:val="o"/>
      <w:lvlJc w:val="left"/>
      <w:pPr>
        <w:ind w:left="3716" w:hanging="360"/>
      </w:pPr>
      <w:rPr>
        <w:rFonts w:ascii="Courier New" w:hAnsi="Courier New" w:hint="default"/>
      </w:rPr>
    </w:lvl>
    <w:lvl w:ilvl="5" w:tplc="53D8FF96">
      <w:start w:val="1"/>
      <w:numFmt w:val="bullet"/>
      <w:lvlText w:val=""/>
      <w:lvlJc w:val="left"/>
      <w:pPr>
        <w:ind w:left="4436" w:hanging="360"/>
      </w:pPr>
      <w:rPr>
        <w:rFonts w:ascii="Wingdings" w:hAnsi="Wingdings" w:hint="default"/>
      </w:rPr>
    </w:lvl>
    <w:lvl w:ilvl="6" w:tplc="B5C4C0DE">
      <w:start w:val="1"/>
      <w:numFmt w:val="bullet"/>
      <w:lvlText w:val=""/>
      <w:lvlJc w:val="left"/>
      <w:pPr>
        <w:ind w:left="5156" w:hanging="360"/>
      </w:pPr>
      <w:rPr>
        <w:rFonts w:ascii="Symbol" w:hAnsi="Symbol" w:hint="default"/>
      </w:rPr>
    </w:lvl>
    <w:lvl w:ilvl="7" w:tplc="AC98EA86">
      <w:start w:val="1"/>
      <w:numFmt w:val="bullet"/>
      <w:lvlText w:val="o"/>
      <w:lvlJc w:val="left"/>
      <w:pPr>
        <w:ind w:left="5876" w:hanging="360"/>
      </w:pPr>
      <w:rPr>
        <w:rFonts w:ascii="Courier New" w:hAnsi="Courier New" w:hint="default"/>
      </w:rPr>
    </w:lvl>
    <w:lvl w:ilvl="8" w:tplc="BEE4BD22">
      <w:start w:val="1"/>
      <w:numFmt w:val="bullet"/>
      <w:lvlText w:val=""/>
      <w:lvlJc w:val="left"/>
      <w:pPr>
        <w:ind w:left="6596" w:hanging="360"/>
      </w:pPr>
      <w:rPr>
        <w:rFonts w:ascii="Wingdings" w:hAnsi="Wingdings" w:hint="default"/>
      </w:rPr>
    </w:lvl>
  </w:abstractNum>
  <w:abstractNum w:abstractNumId="39" w15:restartNumberingAfterBreak="0">
    <w:nsid w:val="613F7286"/>
    <w:multiLevelType w:val="hybridMultilevel"/>
    <w:tmpl w:val="B25857F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977472E"/>
    <w:multiLevelType w:val="multilevel"/>
    <w:tmpl w:val="B074CE3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0C8230"/>
    <w:multiLevelType w:val="hybridMultilevel"/>
    <w:tmpl w:val="FFFFFFFF"/>
    <w:lvl w:ilvl="0" w:tplc="33A6BEFE">
      <w:start w:val="1"/>
      <w:numFmt w:val="bullet"/>
      <w:lvlText w:val="-"/>
      <w:lvlJc w:val="left"/>
      <w:pPr>
        <w:ind w:left="360" w:hanging="360"/>
      </w:pPr>
      <w:rPr>
        <w:rFonts w:ascii="Aptos" w:hAnsi="Aptos" w:hint="default"/>
      </w:rPr>
    </w:lvl>
    <w:lvl w:ilvl="1" w:tplc="96A6EBB6">
      <w:start w:val="1"/>
      <w:numFmt w:val="bullet"/>
      <w:lvlText w:val="o"/>
      <w:lvlJc w:val="left"/>
      <w:pPr>
        <w:ind w:left="1080" w:hanging="360"/>
      </w:pPr>
      <w:rPr>
        <w:rFonts w:ascii="Courier New" w:hAnsi="Courier New" w:hint="default"/>
      </w:rPr>
    </w:lvl>
    <w:lvl w:ilvl="2" w:tplc="4D3ECA2E">
      <w:start w:val="1"/>
      <w:numFmt w:val="bullet"/>
      <w:lvlText w:val=""/>
      <w:lvlJc w:val="left"/>
      <w:pPr>
        <w:ind w:left="1800" w:hanging="360"/>
      </w:pPr>
      <w:rPr>
        <w:rFonts w:ascii="Wingdings" w:hAnsi="Wingdings" w:hint="default"/>
      </w:rPr>
    </w:lvl>
    <w:lvl w:ilvl="3" w:tplc="F1C4A81A">
      <w:start w:val="1"/>
      <w:numFmt w:val="bullet"/>
      <w:lvlText w:val=""/>
      <w:lvlJc w:val="left"/>
      <w:pPr>
        <w:ind w:left="2520" w:hanging="360"/>
      </w:pPr>
      <w:rPr>
        <w:rFonts w:ascii="Symbol" w:hAnsi="Symbol" w:hint="default"/>
      </w:rPr>
    </w:lvl>
    <w:lvl w:ilvl="4" w:tplc="9C9C7BD8">
      <w:start w:val="1"/>
      <w:numFmt w:val="bullet"/>
      <w:lvlText w:val="o"/>
      <w:lvlJc w:val="left"/>
      <w:pPr>
        <w:ind w:left="3240" w:hanging="360"/>
      </w:pPr>
      <w:rPr>
        <w:rFonts w:ascii="Courier New" w:hAnsi="Courier New" w:hint="default"/>
      </w:rPr>
    </w:lvl>
    <w:lvl w:ilvl="5" w:tplc="948C3010">
      <w:start w:val="1"/>
      <w:numFmt w:val="bullet"/>
      <w:lvlText w:val=""/>
      <w:lvlJc w:val="left"/>
      <w:pPr>
        <w:ind w:left="3960" w:hanging="360"/>
      </w:pPr>
      <w:rPr>
        <w:rFonts w:ascii="Wingdings" w:hAnsi="Wingdings" w:hint="default"/>
      </w:rPr>
    </w:lvl>
    <w:lvl w:ilvl="6" w:tplc="4C7E0A9A">
      <w:start w:val="1"/>
      <w:numFmt w:val="bullet"/>
      <w:lvlText w:val=""/>
      <w:lvlJc w:val="left"/>
      <w:pPr>
        <w:ind w:left="4680" w:hanging="360"/>
      </w:pPr>
      <w:rPr>
        <w:rFonts w:ascii="Symbol" w:hAnsi="Symbol" w:hint="default"/>
      </w:rPr>
    </w:lvl>
    <w:lvl w:ilvl="7" w:tplc="2C121FFC">
      <w:start w:val="1"/>
      <w:numFmt w:val="bullet"/>
      <w:lvlText w:val="o"/>
      <w:lvlJc w:val="left"/>
      <w:pPr>
        <w:ind w:left="5400" w:hanging="360"/>
      </w:pPr>
      <w:rPr>
        <w:rFonts w:ascii="Courier New" w:hAnsi="Courier New" w:hint="default"/>
      </w:rPr>
    </w:lvl>
    <w:lvl w:ilvl="8" w:tplc="75E444DE">
      <w:start w:val="1"/>
      <w:numFmt w:val="bullet"/>
      <w:lvlText w:val=""/>
      <w:lvlJc w:val="left"/>
      <w:pPr>
        <w:ind w:left="6120" w:hanging="360"/>
      </w:pPr>
      <w:rPr>
        <w:rFonts w:ascii="Wingdings" w:hAnsi="Wingdings" w:hint="default"/>
      </w:rPr>
    </w:lvl>
  </w:abstractNum>
  <w:abstractNum w:abstractNumId="42" w15:restartNumberingAfterBreak="0">
    <w:nsid w:val="6B44F0F5"/>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0E819F3"/>
    <w:multiLevelType w:val="hybridMultilevel"/>
    <w:tmpl w:val="FFFFFFFF"/>
    <w:lvl w:ilvl="0" w:tplc="BC626B70">
      <w:start w:val="1"/>
      <w:numFmt w:val="bullet"/>
      <w:lvlText w:val=""/>
      <w:lvlJc w:val="left"/>
      <w:pPr>
        <w:ind w:left="720" w:hanging="360"/>
      </w:pPr>
      <w:rPr>
        <w:rFonts w:ascii="Symbol" w:hAnsi="Symbol" w:hint="default"/>
      </w:rPr>
    </w:lvl>
    <w:lvl w:ilvl="1" w:tplc="3EB631EE">
      <w:start w:val="1"/>
      <w:numFmt w:val="bullet"/>
      <w:lvlText w:val="o"/>
      <w:lvlJc w:val="left"/>
      <w:pPr>
        <w:ind w:left="1440" w:hanging="360"/>
      </w:pPr>
      <w:rPr>
        <w:rFonts w:ascii="Courier New" w:hAnsi="Courier New" w:hint="default"/>
      </w:rPr>
    </w:lvl>
    <w:lvl w:ilvl="2" w:tplc="DAF210C8">
      <w:start w:val="1"/>
      <w:numFmt w:val="bullet"/>
      <w:lvlText w:val=""/>
      <w:lvlJc w:val="left"/>
      <w:pPr>
        <w:ind w:left="2160" w:hanging="360"/>
      </w:pPr>
      <w:rPr>
        <w:rFonts w:ascii="Wingdings" w:hAnsi="Wingdings" w:hint="default"/>
      </w:rPr>
    </w:lvl>
    <w:lvl w:ilvl="3" w:tplc="2820D052">
      <w:start w:val="1"/>
      <w:numFmt w:val="bullet"/>
      <w:lvlText w:val=""/>
      <w:lvlJc w:val="left"/>
      <w:pPr>
        <w:ind w:left="2880" w:hanging="360"/>
      </w:pPr>
      <w:rPr>
        <w:rFonts w:ascii="Symbol" w:hAnsi="Symbol" w:hint="default"/>
      </w:rPr>
    </w:lvl>
    <w:lvl w:ilvl="4" w:tplc="535EA34A">
      <w:start w:val="1"/>
      <w:numFmt w:val="bullet"/>
      <w:lvlText w:val="o"/>
      <w:lvlJc w:val="left"/>
      <w:pPr>
        <w:ind w:left="3600" w:hanging="360"/>
      </w:pPr>
      <w:rPr>
        <w:rFonts w:ascii="Courier New" w:hAnsi="Courier New" w:hint="default"/>
      </w:rPr>
    </w:lvl>
    <w:lvl w:ilvl="5" w:tplc="C6008C3E">
      <w:start w:val="1"/>
      <w:numFmt w:val="bullet"/>
      <w:lvlText w:val=""/>
      <w:lvlJc w:val="left"/>
      <w:pPr>
        <w:ind w:left="4320" w:hanging="360"/>
      </w:pPr>
      <w:rPr>
        <w:rFonts w:ascii="Wingdings" w:hAnsi="Wingdings" w:hint="default"/>
      </w:rPr>
    </w:lvl>
    <w:lvl w:ilvl="6" w:tplc="B1C0ACFC">
      <w:start w:val="1"/>
      <w:numFmt w:val="bullet"/>
      <w:lvlText w:val=""/>
      <w:lvlJc w:val="left"/>
      <w:pPr>
        <w:ind w:left="5040" w:hanging="360"/>
      </w:pPr>
      <w:rPr>
        <w:rFonts w:ascii="Symbol" w:hAnsi="Symbol" w:hint="default"/>
      </w:rPr>
    </w:lvl>
    <w:lvl w:ilvl="7" w:tplc="CF0A53C0">
      <w:start w:val="1"/>
      <w:numFmt w:val="bullet"/>
      <w:lvlText w:val="o"/>
      <w:lvlJc w:val="left"/>
      <w:pPr>
        <w:ind w:left="5760" w:hanging="360"/>
      </w:pPr>
      <w:rPr>
        <w:rFonts w:ascii="Courier New" w:hAnsi="Courier New" w:hint="default"/>
      </w:rPr>
    </w:lvl>
    <w:lvl w:ilvl="8" w:tplc="3F02AC72">
      <w:start w:val="1"/>
      <w:numFmt w:val="bullet"/>
      <w:lvlText w:val=""/>
      <w:lvlJc w:val="left"/>
      <w:pPr>
        <w:ind w:left="6480" w:hanging="360"/>
      </w:pPr>
      <w:rPr>
        <w:rFonts w:ascii="Wingdings" w:hAnsi="Wingdings" w:hint="default"/>
      </w:rPr>
    </w:lvl>
  </w:abstractNum>
  <w:abstractNum w:abstractNumId="44" w15:restartNumberingAfterBreak="0">
    <w:nsid w:val="79AB6257"/>
    <w:multiLevelType w:val="hybridMultilevel"/>
    <w:tmpl w:val="C25E2464"/>
    <w:lvl w:ilvl="0" w:tplc="66D6B6E8">
      <w:start w:val="1"/>
      <w:numFmt w:val="bullet"/>
      <w:lvlText w:val="•"/>
      <w:lvlJc w:val="left"/>
      <w:pPr>
        <w:tabs>
          <w:tab w:val="num" w:pos="720"/>
        </w:tabs>
        <w:ind w:left="720" w:hanging="360"/>
      </w:pPr>
      <w:rPr>
        <w:rFonts w:ascii="Arial" w:hAnsi="Arial" w:cs="Times New Roman" w:hint="default"/>
      </w:rPr>
    </w:lvl>
    <w:lvl w:ilvl="1" w:tplc="51FA60FE">
      <w:numFmt w:val="bullet"/>
      <w:lvlText w:val="•"/>
      <w:lvlJc w:val="left"/>
      <w:pPr>
        <w:tabs>
          <w:tab w:val="num" w:pos="1440"/>
        </w:tabs>
        <w:ind w:left="1440" w:hanging="360"/>
      </w:pPr>
      <w:rPr>
        <w:rFonts w:ascii="Arial" w:hAnsi="Arial" w:cs="Times New Roman" w:hint="default"/>
      </w:rPr>
    </w:lvl>
    <w:lvl w:ilvl="2" w:tplc="4AF03868">
      <w:start w:val="1"/>
      <w:numFmt w:val="bullet"/>
      <w:lvlText w:val="•"/>
      <w:lvlJc w:val="left"/>
      <w:pPr>
        <w:tabs>
          <w:tab w:val="num" w:pos="2160"/>
        </w:tabs>
        <w:ind w:left="2160" w:hanging="360"/>
      </w:pPr>
      <w:rPr>
        <w:rFonts w:ascii="Arial" w:hAnsi="Arial" w:cs="Times New Roman" w:hint="default"/>
      </w:rPr>
    </w:lvl>
    <w:lvl w:ilvl="3" w:tplc="39586ED0">
      <w:start w:val="1"/>
      <w:numFmt w:val="bullet"/>
      <w:lvlText w:val="•"/>
      <w:lvlJc w:val="left"/>
      <w:pPr>
        <w:tabs>
          <w:tab w:val="num" w:pos="2880"/>
        </w:tabs>
        <w:ind w:left="2880" w:hanging="360"/>
      </w:pPr>
      <w:rPr>
        <w:rFonts w:ascii="Arial" w:hAnsi="Arial" w:cs="Times New Roman" w:hint="default"/>
      </w:rPr>
    </w:lvl>
    <w:lvl w:ilvl="4" w:tplc="C4962552">
      <w:start w:val="1"/>
      <w:numFmt w:val="bullet"/>
      <w:lvlText w:val="•"/>
      <w:lvlJc w:val="left"/>
      <w:pPr>
        <w:tabs>
          <w:tab w:val="num" w:pos="3600"/>
        </w:tabs>
        <w:ind w:left="3600" w:hanging="360"/>
      </w:pPr>
      <w:rPr>
        <w:rFonts w:ascii="Arial" w:hAnsi="Arial" w:cs="Times New Roman" w:hint="default"/>
      </w:rPr>
    </w:lvl>
    <w:lvl w:ilvl="5" w:tplc="43BE663C">
      <w:start w:val="1"/>
      <w:numFmt w:val="bullet"/>
      <w:lvlText w:val="•"/>
      <w:lvlJc w:val="left"/>
      <w:pPr>
        <w:tabs>
          <w:tab w:val="num" w:pos="4320"/>
        </w:tabs>
        <w:ind w:left="4320" w:hanging="360"/>
      </w:pPr>
      <w:rPr>
        <w:rFonts w:ascii="Arial" w:hAnsi="Arial" w:cs="Times New Roman" w:hint="default"/>
      </w:rPr>
    </w:lvl>
    <w:lvl w:ilvl="6" w:tplc="7D00FC38">
      <w:start w:val="1"/>
      <w:numFmt w:val="bullet"/>
      <w:lvlText w:val="•"/>
      <w:lvlJc w:val="left"/>
      <w:pPr>
        <w:tabs>
          <w:tab w:val="num" w:pos="5040"/>
        </w:tabs>
        <w:ind w:left="5040" w:hanging="360"/>
      </w:pPr>
      <w:rPr>
        <w:rFonts w:ascii="Arial" w:hAnsi="Arial" w:cs="Times New Roman" w:hint="default"/>
      </w:rPr>
    </w:lvl>
    <w:lvl w:ilvl="7" w:tplc="A238EC86">
      <w:start w:val="1"/>
      <w:numFmt w:val="bullet"/>
      <w:lvlText w:val="•"/>
      <w:lvlJc w:val="left"/>
      <w:pPr>
        <w:tabs>
          <w:tab w:val="num" w:pos="5760"/>
        </w:tabs>
        <w:ind w:left="5760" w:hanging="360"/>
      </w:pPr>
      <w:rPr>
        <w:rFonts w:ascii="Arial" w:hAnsi="Arial" w:cs="Times New Roman" w:hint="default"/>
      </w:rPr>
    </w:lvl>
    <w:lvl w:ilvl="8" w:tplc="510CB40E">
      <w:start w:val="1"/>
      <w:numFmt w:val="bullet"/>
      <w:lvlText w:val="•"/>
      <w:lvlJc w:val="left"/>
      <w:pPr>
        <w:tabs>
          <w:tab w:val="num" w:pos="6480"/>
        </w:tabs>
        <w:ind w:left="6480" w:hanging="360"/>
      </w:pPr>
      <w:rPr>
        <w:rFonts w:ascii="Arial" w:hAnsi="Arial" w:cs="Times New Roman" w:hint="default"/>
      </w:rPr>
    </w:lvl>
  </w:abstractNum>
  <w:abstractNum w:abstractNumId="45" w15:restartNumberingAfterBreak="0">
    <w:nsid w:val="7AD6E3CD"/>
    <w:multiLevelType w:val="hybridMultilevel"/>
    <w:tmpl w:val="FFFFFFFF"/>
    <w:lvl w:ilvl="0" w:tplc="6456D406">
      <w:start w:val="1"/>
      <w:numFmt w:val="decimal"/>
      <w:lvlText w:val="1)"/>
      <w:lvlJc w:val="left"/>
      <w:pPr>
        <w:ind w:left="720" w:hanging="360"/>
      </w:pPr>
    </w:lvl>
    <w:lvl w:ilvl="1" w:tplc="AAF4CADC">
      <w:start w:val="1"/>
      <w:numFmt w:val="lowerLetter"/>
      <w:lvlText w:val="%2."/>
      <w:lvlJc w:val="left"/>
      <w:pPr>
        <w:ind w:left="1440" w:hanging="360"/>
      </w:pPr>
    </w:lvl>
    <w:lvl w:ilvl="2" w:tplc="D98ED7CE">
      <w:start w:val="1"/>
      <w:numFmt w:val="lowerRoman"/>
      <w:lvlText w:val="%3."/>
      <w:lvlJc w:val="right"/>
      <w:pPr>
        <w:ind w:left="2160" w:hanging="180"/>
      </w:pPr>
    </w:lvl>
    <w:lvl w:ilvl="3" w:tplc="A6DE2EB0">
      <w:start w:val="1"/>
      <w:numFmt w:val="decimal"/>
      <w:lvlText w:val="%4."/>
      <w:lvlJc w:val="left"/>
      <w:pPr>
        <w:ind w:left="2880" w:hanging="360"/>
      </w:pPr>
    </w:lvl>
    <w:lvl w:ilvl="4" w:tplc="983CC130">
      <w:start w:val="1"/>
      <w:numFmt w:val="lowerLetter"/>
      <w:lvlText w:val="%5."/>
      <w:lvlJc w:val="left"/>
      <w:pPr>
        <w:ind w:left="3600" w:hanging="360"/>
      </w:pPr>
    </w:lvl>
    <w:lvl w:ilvl="5" w:tplc="05F28562">
      <w:start w:val="1"/>
      <w:numFmt w:val="lowerRoman"/>
      <w:lvlText w:val="%6."/>
      <w:lvlJc w:val="right"/>
      <w:pPr>
        <w:ind w:left="4320" w:hanging="180"/>
      </w:pPr>
    </w:lvl>
    <w:lvl w:ilvl="6" w:tplc="998AC44A">
      <w:start w:val="1"/>
      <w:numFmt w:val="decimal"/>
      <w:lvlText w:val="%7."/>
      <w:lvlJc w:val="left"/>
      <w:pPr>
        <w:ind w:left="5040" w:hanging="360"/>
      </w:pPr>
    </w:lvl>
    <w:lvl w:ilvl="7" w:tplc="F99EAFBA">
      <w:start w:val="1"/>
      <w:numFmt w:val="lowerLetter"/>
      <w:lvlText w:val="%8."/>
      <w:lvlJc w:val="left"/>
      <w:pPr>
        <w:ind w:left="5760" w:hanging="360"/>
      </w:pPr>
    </w:lvl>
    <w:lvl w:ilvl="8" w:tplc="201C46B6">
      <w:start w:val="1"/>
      <w:numFmt w:val="lowerRoman"/>
      <w:lvlText w:val="%9."/>
      <w:lvlJc w:val="right"/>
      <w:pPr>
        <w:ind w:left="6480" w:hanging="180"/>
      </w:pPr>
    </w:lvl>
  </w:abstractNum>
  <w:abstractNum w:abstractNumId="46" w15:restartNumberingAfterBreak="0">
    <w:nsid w:val="7C65145E"/>
    <w:multiLevelType w:val="multilevel"/>
    <w:tmpl w:val="BCBC17E2"/>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8" w15:restartNumberingAfterBreak="0">
    <w:nsid w:val="7F82864B"/>
    <w:multiLevelType w:val="hybridMultilevel"/>
    <w:tmpl w:val="FFFFFFFF"/>
    <w:lvl w:ilvl="0" w:tplc="F5D81572">
      <w:start w:val="1"/>
      <w:numFmt w:val="bullet"/>
      <w:lvlText w:val="-"/>
      <w:lvlJc w:val="left"/>
      <w:pPr>
        <w:ind w:left="360" w:hanging="360"/>
      </w:pPr>
      <w:rPr>
        <w:rFonts w:ascii="Aptos" w:hAnsi="Aptos" w:hint="default"/>
      </w:rPr>
    </w:lvl>
    <w:lvl w:ilvl="1" w:tplc="F7041388">
      <w:start w:val="1"/>
      <w:numFmt w:val="bullet"/>
      <w:lvlText w:val="o"/>
      <w:lvlJc w:val="left"/>
      <w:pPr>
        <w:ind w:left="1080" w:hanging="360"/>
      </w:pPr>
      <w:rPr>
        <w:rFonts w:ascii="Courier New" w:hAnsi="Courier New" w:hint="default"/>
      </w:rPr>
    </w:lvl>
    <w:lvl w:ilvl="2" w:tplc="BB66BA50">
      <w:start w:val="1"/>
      <w:numFmt w:val="bullet"/>
      <w:lvlText w:val=""/>
      <w:lvlJc w:val="left"/>
      <w:pPr>
        <w:ind w:left="1800" w:hanging="360"/>
      </w:pPr>
      <w:rPr>
        <w:rFonts w:ascii="Wingdings" w:hAnsi="Wingdings" w:hint="default"/>
      </w:rPr>
    </w:lvl>
    <w:lvl w:ilvl="3" w:tplc="11462F0A">
      <w:start w:val="1"/>
      <w:numFmt w:val="bullet"/>
      <w:lvlText w:val=""/>
      <w:lvlJc w:val="left"/>
      <w:pPr>
        <w:ind w:left="2520" w:hanging="360"/>
      </w:pPr>
      <w:rPr>
        <w:rFonts w:ascii="Symbol" w:hAnsi="Symbol" w:hint="default"/>
      </w:rPr>
    </w:lvl>
    <w:lvl w:ilvl="4" w:tplc="EB48BA10">
      <w:start w:val="1"/>
      <w:numFmt w:val="bullet"/>
      <w:lvlText w:val="o"/>
      <w:lvlJc w:val="left"/>
      <w:pPr>
        <w:ind w:left="3240" w:hanging="360"/>
      </w:pPr>
      <w:rPr>
        <w:rFonts w:ascii="Courier New" w:hAnsi="Courier New" w:hint="default"/>
      </w:rPr>
    </w:lvl>
    <w:lvl w:ilvl="5" w:tplc="8B6ADC00">
      <w:start w:val="1"/>
      <w:numFmt w:val="bullet"/>
      <w:lvlText w:val=""/>
      <w:lvlJc w:val="left"/>
      <w:pPr>
        <w:ind w:left="3960" w:hanging="360"/>
      </w:pPr>
      <w:rPr>
        <w:rFonts w:ascii="Wingdings" w:hAnsi="Wingdings" w:hint="default"/>
      </w:rPr>
    </w:lvl>
    <w:lvl w:ilvl="6" w:tplc="6442B216">
      <w:start w:val="1"/>
      <w:numFmt w:val="bullet"/>
      <w:lvlText w:val=""/>
      <w:lvlJc w:val="left"/>
      <w:pPr>
        <w:ind w:left="4680" w:hanging="360"/>
      </w:pPr>
      <w:rPr>
        <w:rFonts w:ascii="Symbol" w:hAnsi="Symbol" w:hint="default"/>
      </w:rPr>
    </w:lvl>
    <w:lvl w:ilvl="7" w:tplc="A7363666">
      <w:start w:val="1"/>
      <w:numFmt w:val="bullet"/>
      <w:lvlText w:val="o"/>
      <w:lvlJc w:val="left"/>
      <w:pPr>
        <w:ind w:left="5400" w:hanging="360"/>
      </w:pPr>
      <w:rPr>
        <w:rFonts w:ascii="Courier New" w:hAnsi="Courier New" w:hint="default"/>
      </w:rPr>
    </w:lvl>
    <w:lvl w:ilvl="8" w:tplc="4E42D1E6">
      <w:start w:val="1"/>
      <w:numFmt w:val="bullet"/>
      <w:lvlText w:val=""/>
      <w:lvlJc w:val="left"/>
      <w:pPr>
        <w:ind w:left="6120" w:hanging="360"/>
      </w:pPr>
      <w:rPr>
        <w:rFonts w:ascii="Wingdings" w:hAnsi="Wingdings" w:hint="default"/>
      </w:rPr>
    </w:lvl>
  </w:abstractNum>
  <w:num w:numId="1">
    <w:abstractNumId w:val="14"/>
  </w:num>
  <w:num w:numId="2">
    <w:abstractNumId w:val="41"/>
  </w:num>
  <w:num w:numId="3">
    <w:abstractNumId w:val="20"/>
  </w:num>
  <w:num w:numId="4">
    <w:abstractNumId w:val="43"/>
  </w:num>
  <w:num w:numId="5">
    <w:abstractNumId w:val="37"/>
  </w:num>
  <w:num w:numId="6">
    <w:abstractNumId w:val="28"/>
  </w:num>
  <w:num w:numId="7">
    <w:abstractNumId w:val="1"/>
  </w:num>
  <w:num w:numId="8">
    <w:abstractNumId w:val="23"/>
  </w:num>
  <w:num w:numId="9">
    <w:abstractNumId w:val="11"/>
  </w:num>
  <w:num w:numId="10">
    <w:abstractNumId w:val="24"/>
  </w:num>
  <w:num w:numId="11">
    <w:abstractNumId w:val="34"/>
  </w:num>
  <w:num w:numId="12">
    <w:abstractNumId w:val="40"/>
  </w:num>
  <w:num w:numId="13">
    <w:abstractNumId w:val="3"/>
  </w:num>
  <w:num w:numId="14">
    <w:abstractNumId w:val="10"/>
  </w:num>
  <w:num w:numId="15">
    <w:abstractNumId w:val="29"/>
  </w:num>
  <w:num w:numId="16">
    <w:abstractNumId w:val="4"/>
  </w:num>
  <w:num w:numId="17">
    <w:abstractNumId w:val="6"/>
  </w:num>
  <w:num w:numId="18">
    <w:abstractNumId w:val="7"/>
  </w:num>
  <w:num w:numId="19">
    <w:abstractNumId w:val="15"/>
  </w:num>
  <w:num w:numId="20">
    <w:abstractNumId w:val="26"/>
  </w:num>
  <w:num w:numId="21">
    <w:abstractNumId w:val="33"/>
  </w:num>
  <w:num w:numId="22">
    <w:abstractNumId w:val="46"/>
  </w:num>
  <w:num w:numId="23">
    <w:abstractNumId w:val="17"/>
  </w:num>
  <w:num w:numId="24">
    <w:abstractNumId w:val="18"/>
  </w:num>
  <w:num w:numId="25">
    <w:abstractNumId w:val="47"/>
  </w:num>
  <w:num w:numId="26">
    <w:abstractNumId w:val="32"/>
  </w:num>
  <w:num w:numId="27">
    <w:abstractNumId w:val="35"/>
  </w:num>
  <w:num w:numId="28">
    <w:abstractNumId w:val="5"/>
  </w:num>
  <w:num w:numId="29">
    <w:abstractNumId w:val="19"/>
  </w:num>
  <w:num w:numId="30">
    <w:abstractNumId w:val="9"/>
  </w:num>
  <w:num w:numId="31">
    <w:abstractNumId w:val="22"/>
  </w:num>
  <w:num w:numId="32">
    <w:abstractNumId w:val="30"/>
  </w:num>
  <w:num w:numId="33">
    <w:abstractNumId w:val="8"/>
  </w:num>
  <w:num w:numId="34">
    <w:abstractNumId w:val="16"/>
  </w:num>
  <w:num w:numId="35">
    <w:abstractNumId w:val="2"/>
  </w:num>
  <w:num w:numId="36">
    <w:abstractNumId w:val="12"/>
  </w:num>
  <w:num w:numId="37">
    <w:abstractNumId w:val="17"/>
  </w:num>
  <w:num w:numId="38">
    <w:abstractNumId w:val="17"/>
  </w:num>
  <w:num w:numId="39">
    <w:abstractNumId w:val="17"/>
    <w:lvlOverride w:ilvl="0"/>
    <w:lvlOverride w:ilvl="1">
      <w:startOverride w:val="1"/>
    </w:lvlOverride>
    <w:lvlOverride w:ilvl="2">
      <w:startOverride w:val="1"/>
    </w:lvlOverride>
    <w:lvlOverride w:ilvl="3"/>
    <w:lvlOverride w:ilvl="4"/>
    <w:lvlOverride w:ilvl="5"/>
    <w:lvlOverride w:ilvl="6"/>
    <w:lvlOverride w:ilvl="7"/>
    <w:lvlOverride w:ilvl="8"/>
  </w:num>
  <w:num w:numId="40">
    <w:abstractNumId w:val="31"/>
  </w:num>
  <w:num w:numId="41">
    <w:abstractNumId w:val="0"/>
  </w:num>
  <w:num w:numId="42">
    <w:abstractNumId w:val="39"/>
  </w:num>
  <w:num w:numId="43">
    <w:abstractNumId w:val="44"/>
  </w:num>
  <w:num w:numId="44">
    <w:abstractNumId w:val="25"/>
  </w:num>
  <w:num w:numId="45">
    <w:abstractNumId w:val="36"/>
  </w:num>
  <w:num w:numId="46">
    <w:abstractNumId w:val="21"/>
  </w:num>
  <w:num w:numId="47">
    <w:abstractNumId w:val="42"/>
  </w:num>
  <w:num w:numId="48">
    <w:abstractNumId w:val="38"/>
  </w:num>
  <w:num w:numId="49">
    <w:abstractNumId w:val="48"/>
  </w:num>
  <w:num w:numId="50">
    <w:abstractNumId w:val="45"/>
  </w:num>
  <w:num w:numId="51">
    <w:abstractNumId w:val="27"/>
  </w:num>
  <w:num w:numId="52">
    <w:abstractNumId w:val="13"/>
  </w:num>
  <w:num w:numId="53">
    <w:abstractNumId w:val="17"/>
  </w:num>
  <w:num w:numId="54">
    <w:abstractNumId w:val="17"/>
  </w:num>
  <w:num w:numId="55">
    <w:abstractNumId w:val="17"/>
  </w:num>
  <w:num w:numId="56">
    <w:abstractNumId w:val="17"/>
  </w:num>
  <w:num w:numId="57">
    <w:abstractNumId w:val="17"/>
  </w:num>
  <w:num w:numId="58">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FB658FB-FDDC-4014-8BD7-6B6E4127C9B0"/>
    <w:docVar w:name="LW_COVERPAGE_TYPE" w:val="1"/>
    <w:docVar w:name="LW_CROSSREFERENCE" w:val="&lt;UNUSED&gt;"/>
    <w:docVar w:name="LW_DocType" w:val="EUROLOOK"/>
    <w:docVar w:name="LW_EMISSION" w:val="3.7.2026"/>
    <w:docVar w:name="LW_EMISSION_ISODATE" w:val="2026-07-03"/>
    <w:docVar w:name="LW_EMISSION_LOCATION" w:val="BRX"/>
    <w:docVar w:name="LW_EMISSION_PREFIX" w:val="Bruxelles, le "/>
    <w:docVar w:name="LW_EMISSION_SUFFIX" w:val=" "/>
    <w:docVar w:name="LW_ID_DOCTYPE_NONLW" w:val="CP-018"/>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mise en \u339?uvre de l'approche stratégique de l'Union européenne à l'égard de la région de la mer Noire"/>
    <w:docVar w:name="LW_TYPE.DOC.CP" w:val="RAPPORT CONJOINT AU PARLEMENT EUROPÉEN ET AU CONSEIL"/>
    <w:docVar w:name="LwApiVersions" w:val="LW4CoDe 1.24.5.0; LW 9.2, Build 20251112"/>
  </w:docVars>
  <w:rsids>
    <w:rsidRoot w:val="001E1F73"/>
    <w:rsid w:val="00000253"/>
    <w:rsid w:val="000002CD"/>
    <w:rsid w:val="00000363"/>
    <w:rsid w:val="000003FE"/>
    <w:rsid w:val="00000455"/>
    <w:rsid w:val="0000062C"/>
    <w:rsid w:val="0000076D"/>
    <w:rsid w:val="000007FB"/>
    <w:rsid w:val="000008AF"/>
    <w:rsid w:val="000009AF"/>
    <w:rsid w:val="00000CAE"/>
    <w:rsid w:val="000011A7"/>
    <w:rsid w:val="000016FF"/>
    <w:rsid w:val="00001813"/>
    <w:rsid w:val="00001904"/>
    <w:rsid w:val="00001E89"/>
    <w:rsid w:val="00002121"/>
    <w:rsid w:val="0000218B"/>
    <w:rsid w:val="0000221E"/>
    <w:rsid w:val="0000235D"/>
    <w:rsid w:val="00002406"/>
    <w:rsid w:val="00002B44"/>
    <w:rsid w:val="00002D78"/>
    <w:rsid w:val="00003350"/>
    <w:rsid w:val="0000363D"/>
    <w:rsid w:val="000037D9"/>
    <w:rsid w:val="00003870"/>
    <w:rsid w:val="00003B1D"/>
    <w:rsid w:val="00003C87"/>
    <w:rsid w:val="00003E2E"/>
    <w:rsid w:val="0000425F"/>
    <w:rsid w:val="00004620"/>
    <w:rsid w:val="0000463A"/>
    <w:rsid w:val="000047DC"/>
    <w:rsid w:val="00004BCD"/>
    <w:rsid w:val="00004F42"/>
    <w:rsid w:val="00004F7D"/>
    <w:rsid w:val="0000506F"/>
    <w:rsid w:val="0000514A"/>
    <w:rsid w:val="0000518D"/>
    <w:rsid w:val="0000548F"/>
    <w:rsid w:val="00005B6B"/>
    <w:rsid w:val="00005C33"/>
    <w:rsid w:val="00005CE1"/>
    <w:rsid w:val="0000655D"/>
    <w:rsid w:val="000066DE"/>
    <w:rsid w:val="00006AF5"/>
    <w:rsid w:val="00006C33"/>
    <w:rsid w:val="00006D32"/>
    <w:rsid w:val="00006D4A"/>
    <w:rsid w:val="00006DB7"/>
    <w:rsid w:val="00006DF3"/>
    <w:rsid w:val="000070A3"/>
    <w:rsid w:val="00007769"/>
    <w:rsid w:val="0000780B"/>
    <w:rsid w:val="00007896"/>
    <w:rsid w:val="000079A0"/>
    <w:rsid w:val="00007C31"/>
    <w:rsid w:val="00007F23"/>
    <w:rsid w:val="000103FF"/>
    <w:rsid w:val="00010460"/>
    <w:rsid w:val="0001046E"/>
    <w:rsid w:val="00010603"/>
    <w:rsid w:val="00010659"/>
    <w:rsid w:val="00010AF0"/>
    <w:rsid w:val="00011285"/>
    <w:rsid w:val="000112E2"/>
    <w:rsid w:val="0001132E"/>
    <w:rsid w:val="00011341"/>
    <w:rsid w:val="00011823"/>
    <w:rsid w:val="00011890"/>
    <w:rsid w:val="00011A14"/>
    <w:rsid w:val="00011B7B"/>
    <w:rsid w:val="00011ED4"/>
    <w:rsid w:val="00011F99"/>
    <w:rsid w:val="000121DA"/>
    <w:rsid w:val="000124B1"/>
    <w:rsid w:val="00012503"/>
    <w:rsid w:val="00012665"/>
    <w:rsid w:val="0001284F"/>
    <w:rsid w:val="0001299B"/>
    <w:rsid w:val="00012AC5"/>
    <w:rsid w:val="00012F00"/>
    <w:rsid w:val="000131A4"/>
    <w:rsid w:val="0001334D"/>
    <w:rsid w:val="000134DC"/>
    <w:rsid w:val="0001357B"/>
    <w:rsid w:val="0001374E"/>
    <w:rsid w:val="00013851"/>
    <w:rsid w:val="00013A86"/>
    <w:rsid w:val="00013C82"/>
    <w:rsid w:val="00013D08"/>
    <w:rsid w:val="00013ED1"/>
    <w:rsid w:val="0001429C"/>
    <w:rsid w:val="00014300"/>
    <w:rsid w:val="000143DD"/>
    <w:rsid w:val="00014916"/>
    <w:rsid w:val="00014BD3"/>
    <w:rsid w:val="00014C60"/>
    <w:rsid w:val="00014F41"/>
    <w:rsid w:val="00015032"/>
    <w:rsid w:val="00015202"/>
    <w:rsid w:val="0001536F"/>
    <w:rsid w:val="0001570B"/>
    <w:rsid w:val="000158B7"/>
    <w:rsid w:val="00015903"/>
    <w:rsid w:val="00015A5F"/>
    <w:rsid w:val="00015B76"/>
    <w:rsid w:val="00015E6E"/>
    <w:rsid w:val="00015FCA"/>
    <w:rsid w:val="000160B3"/>
    <w:rsid w:val="000161F6"/>
    <w:rsid w:val="00016227"/>
    <w:rsid w:val="000162F8"/>
    <w:rsid w:val="0001654D"/>
    <w:rsid w:val="000166F5"/>
    <w:rsid w:val="000167FD"/>
    <w:rsid w:val="00016B02"/>
    <w:rsid w:val="00016B4E"/>
    <w:rsid w:val="00016D43"/>
    <w:rsid w:val="000171DC"/>
    <w:rsid w:val="0001731C"/>
    <w:rsid w:val="0001745F"/>
    <w:rsid w:val="00017618"/>
    <w:rsid w:val="0001776D"/>
    <w:rsid w:val="00017855"/>
    <w:rsid w:val="00017A54"/>
    <w:rsid w:val="00017A93"/>
    <w:rsid w:val="00017B66"/>
    <w:rsid w:val="00017BA5"/>
    <w:rsid w:val="00017E59"/>
    <w:rsid w:val="00017E73"/>
    <w:rsid w:val="00020658"/>
    <w:rsid w:val="00020671"/>
    <w:rsid w:val="0002069D"/>
    <w:rsid w:val="000206D1"/>
    <w:rsid w:val="000206D7"/>
    <w:rsid w:val="000207F5"/>
    <w:rsid w:val="000208F1"/>
    <w:rsid w:val="000209B6"/>
    <w:rsid w:val="00020AA7"/>
    <w:rsid w:val="00020DAD"/>
    <w:rsid w:val="00020E4E"/>
    <w:rsid w:val="00020EA1"/>
    <w:rsid w:val="0002106E"/>
    <w:rsid w:val="000211B8"/>
    <w:rsid w:val="000211CF"/>
    <w:rsid w:val="00021269"/>
    <w:rsid w:val="0002170D"/>
    <w:rsid w:val="00021766"/>
    <w:rsid w:val="00021B6A"/>
    <w:rsid w:val="00021F94"/>
    <w:rsid w:val="00022002"/>
    <w:rsid w:val="000222CE"/>
    <w:rsid w:val="000223AA"/>
    <w:rsid w:val="000223F9"/>
    <w:rsid w:val="0002257A"/>
    <w:rsid w:val="00022CB9"/>
    <w:rsid w:val="00022D24"/>
    <w:rsid w:val="000231CA"/>
    <w:rsid w:val="0002327A"/>
    <w:rsid w:val="000232C3"/>
    <w:rsid w:val="000233A4"/>
    <w:rsid w:val="000235DD"/>
    <w:rsid w:val="0002369B"/>
    <w:rsid w:val="00023D9A"/>
    <w:rsid w:val="000241ED"/>
    <w:rsid w:val="00024210"/>
    <w:rsid w:val="0002429C"/>
    <w:rsid w:val="000242C8"/>
    <w:rsid w:val="000242CF"/>
    <w:rsid w:val="000244E6"/>
    <w:rsid w:val="0002481A"/>
    <w:rsid w:val="00024848"/>
    <w:rsid w:val="000248C1"/>
    <w:rsid w:val="000249CD"/>
    <w:rsid w:val="00024A1B"/>
    <w:rsid w:val="00024AD1"/>
    <w:rsid w:val="00024BC9"/>
    <w:rsid w:val="00024DA8"/>
    <w:rsid w:val="00024E6D"/>
    <w:rsid w:val="000250F3"/>
    <w:rsid w:val="000251E6"/>
    <w:rsid w:val="0002535F"/>
    <w:rsid w:val="000255FC"/>
    <w:rsid w:val="00025C13"/>
    <w:rsid w:val="00025CEA"/>
    <w:rsid w:val="00026158"/>
    <w:rsid w:val="000262B8"/>
    <w:rsid w:val="000262BF"/>
    <w:rsid w:val="00026482"/>
    <w:rsid w:val="00026518"/>
    <w:rsid w:val="00026ACA"/>
    <w:rsid w:val="00026AF1"/>
    <w:rsid w:val="00026C26"/>
    <w:rsid w:val="00027412"/>
    <w:rsid w:val="0002762B"/>
    <w:rsid w:val="00027763"/>
    <w:rsid w:val="00027B00"/>
    <w:rsid w:val="00027EE3"/>
    <w:rsid w:val="0003001B"/>
    <w:rsid w:val="000300C1"/>
    <w:rsid w:val="000305E1"/>
    <w:rsid w:val="0003081A"/>
    <w:rsid w:val="00030969"/>
    <w:rsid w:val="0003099F"/>
    <w:rsid w:val="00030B1D"/>
    <w:rsid w:val="00030B83"/>
    <w:rsid w:val="00030D12"/>
    <w:rsid w:val="00030DA1"/>
    <w:rsid w:val="00030E41"/>
    <w:rsid w:val="00030EC2"/>
    <w:rsid w:val="00031169"/>
    <w:rsid w:val="00031391"/>
    <w:rsid w:val="0003165F"/>
    <w:rsid w:val="000316CF"/>
    <w:rsid w:val="00031760"/>
    <w:rsid w:val="00031816"/>
    <w:rsid w:val="00031E37"/>
    <w:rsid w:val="00032211"/>
    <w:rsid w:val="0003227F"/>
    <w:rsid w:val="00032481"/>
    <w:rsid w:val="000325BD"/>
    <w:rsid w:val="0003277A"/>
    <w:rsid w:val="00032B01"/>
    <w:rsid w:val="00032C60"/>
    <w:rsid w:val="00032E90"/>
    <w:rsid w:val="00032EB8"/>
    <w:rsid w:val="000330D6"/>
    <w:rsid w:val="0003335E"/>
    <w:rsid w:val="0003372E"/>
    <w:rsid w:val="00033890"/>
    <w:rsid w:val="00033C9D"/>
    <w:rsid w:val="00033E24"/>
    <w:rsid w:val="00033F10"/>
    <w:rsid w:val="00033FD1"/>
    <w:rsid w:val="00034302"/>
    <w:rsid w:val="00034343"/>
    <w:rsid w:val="0003438B"/>
    <w:rsid w:val="000344CB"/>
    <w:rsid w:val="0003468C"/>
    <w:rsid w:val="00034829"/>
    <w:rsid w:val="000348A3"/>
    <w:rsid w:val="00034A9F"/>
    <w:rsid w:val="00034CB1"/>
    <w:rsid w:val="00034D20"/>
    <w:rsid w:val="000354AB"/>
    <w:rsid w:val="00035615"/>
    <w:rsid w:val="00035691"/>
    <w:rsid w:val="000356ED"/>
    <w:rsid w:val="00035823"/>
    <w:rsid w:val="00035FAA"/>
    <w:rsid w:val="000363B6"/>
    <w:rsid w:val="000363E0"/>
    <w:rsid w:val="000363E6"/>
    <w:rsid w:val="000364AE"/>
    <w:rsid w:val="000368A3"/>
    <w:rsid w:val="00036A4C"/>
    <w:rsid w:val="00036E04"/>
    <w:rsid w:val="00036F5C"/>
    <w:rsid w:val="000371CD"/>
    <w:rsid w:val="000373A9"/>
    <w:rsid w:val="00037556"/>
    <w:rsid w:val="00037945"/>
    <w:rsid w:val="00037A7C"/>
    <w:rsid w:val="00040131"/>
    <w:rsid w:val="00040169"/>
    <w:rsid w:val="00040404"/>
    <w:rsid w:val="00040461"/>
    <w:rsid w:val="00040865"/>
    <w:rsid w:val="00040C0E"/>
    <w:rsid w:val="00040D1F"/>
    <w:rsid w:val="00041059"/>
    <w:rsid w:val="0004122C"/>
    <w:rsid w:val="0004157B"/>
    <w:rsid w:val="00041B5B"/>
    <w:rsid w:val="00041F70"/>
    <w:rsid w:val="00041FBF"/>
    <w:rsid w:val="00042091"/>
    <w:rsid w:val="00042192"/>
    <w:rsid w:val="00042225"/>
    <w:rsid w:val="00042249"/>
    <w:rsid w:val="0004233D"/>
    <w:rsid w:val="00042613"/>
    <w:rsid w:val="00042694"/>
    <w:rsid w:val="0004286D"/>
    <w:rsid w:val="00042A0C"/>
    <w:rsid w:val="00043054"/>
    <w:rsid w:val="00043098"/>
    <w:rsid w:val="000430B6"/>
    <w:rsid w:val="000432B5"/>
    <w:rsid w:val="00043570"/>
    <w:rsid w:val="00043577"/>
    <w:rsid w:val="00043584"/>
    <w:rsid w:val="000436D3"/>
    <w:rsid w:val="00043B20"/>
    <w:rsid w:val="00043D95"/>
    <w:rsid w:val="00043E3E"/>
    <w:rsid w:val="0004404B"/>
    <w:rsid w:val="0004419D"/>
    <w:rsid w:val="00044499"/>
    <w:rsid w:val="00044C6E"/>
    <w:rsid w:val="00045393"/>
    <w:rsid w:val="00045569"/>
    <w:rsid w:val="000458A7"/>
    <w:rsid w:val="00045980"/>
    <w:rsid w:val="000459BF"/>
    <w:rsid w:val="00045A33"/>
    <w:rsid w:val="00045BEC"/>
    <w:rsid w:val="00045C12"/>
    <w:rsid w:val="00045C9F"/>
    <w:rsid w:val="00045CC3"/>
    <w:rsid w:val="00045EB1"/>
    <w:rsid w:val="00046213"/>
    <w:rsid w:val="00046314"/>
    <w:rsid w:val="00046445"/>
    <w:rsid w:val="00046644"/>
    <w:rsid w:val="000466EA"/>
    <w:rsid w:val="00046805"/>
    <w:rsid w:val="00046A8C"/>
    <w:rsid w:val="00046A97"/>
    <w:rsid w:val="00046C77"/>
    <w:rsid w:val="00047095"/>
    <w:rsid w:val="00047782"/>
    <w:rsid w:val="000478CC"/>
    <w:rsid w:val="00047C70"/>
    <w:rsid w:val="00047F9C"/>
    <w:rsid w:val="00050014"/>
    <w:rsid w:val="00050045"/>
    <w:rsid w:val="0005004A"/>
    <w:rsid w:val="0005030E"/>
    <w:rsid w:val="000507D9"/>
    <w:rsid w:val="0005095B"/>
    <w:rsid w:val="00050989"/>
    <w:rsid w:val="0005133F"/>
    <w:rsid w:val="000514D0"/>
    <w:rsid w:val="00051517"/>
    <w:rsid w:val="00051616"/>
    <w:rsid w:val="0005169F"/>
    <w:rsid w:val="000516D9"/>
    <w:rsid w:val="00051BB6"/>
    <w:rsid w:val="00051C91"/>
    <w:rsid w:val="00051E51"/>
    <w:rsid w:val="00051E89"/>
    <w:rsid w:val="00051F88"/>
    <w:rsid w:val="00052019"/>
    <w:rsid w:val="0005218A"/>
    <w:rsid w:val="000521F7"/>
    <w:rsid w:val="00052AC9"/>
    <w:rsid w:val="00052D5F"/>
    <w:rsid w:val="00052FDF"/>
    <w:rsid w:val="00053230"/>
    <w:rsid w:val="00053474"/>
    <w:rsid w:val="00053A8D"/>
    <w:rsid w:val="00053B7B"/>
    <w:rsid w:val="00053C0E"/>
    <w:rsid w:val="00053C77"/>
    <w:rsid w:val="00053DD6"/>
    <w:rsid w:val="000542DD"/>
    <w:rsid w:val="000545E8"/>
    <w:rsid w:val="000547A5"/>
    <w:rsid w:val="00054849"/>
    <w:rsid w:val="000549C5"/>
    <w:rsid w:val="00054A1C"/>
    <w:rsid w:val="00054CDF"/>
    <w:rsid w:val="00054D3E"/>
    <w:rsid w:val="00054F52"/>
    <w:rsid w:val="00055129"/>
    <w:rsid w:val="000551DF"/>
    <w:rsid w:val="00055212"/>
    <w:rsid w:val="0005525A"/>
    <w:rsid w:val="0005553C"/>
    <w:rsid w:val="000555A8"/>
    <w:rsid w:val="00055634"/>
    <w:rsid w:val="00055676"/>
    <w:rsid w:val="0005576D"/>
    <w:rsid w:val="00055E04"/>
    <w:rsid w:val="00055E5A"/>
    <w:rsid w:val="00055E7B"/>
    <w:rsid w:val="0005607E"/>
    <w:rsid w:val="00056171"/>
    <w:rsid w:val="00056920"/>
    <w:rsid w:val="000569C9"/>
    <w:rsid w:val="00056A70"/>
    <w:rsid w:val="00056B1F"/>
    <w:rsid w:val="00056B8C"/>
    <w:rsid w:val="00057026"/>
    <w:rsid w:val="0005704B"/>
    <w:rsid w:val="000575D4"/>
    <w:rsid w:val="000576C9"/>
    <w:rsid w:val="0005771F"/>
    <w:rsid w:val="00057B1F"/>
    <w:rsid w:val="0006005F"/>
    <w:rsid w:val="000600A9"/>
    <w:rsid w:val="0006042E"/>
    <w:rsid w:val="00060B3D"/>
    <w:rsid w:val="00060F73"/>
    <w:rsid w:val="00061242"/>
    <w:rsid w:val="0006135B"/>
    <w:rsid w:val="00061486"/>
    <w:rsid w:val="00061D6D"/>
    <w:rsid w:val="00061F3D"/>
    <w:rsid w:val="00062031"/>
    <w:rsid w:val="000620B2"/>
    <w:rsid w:val="000622DB"/>
    <w:rsid w:val="000623AE"/>
    <w:rsid w:val="000624B6"/>
    <w:rsid w:val="0006290D"/>
    <w:rsid w:val="00062F04"/>
    <w:rsid w:val="000632B9"/>
    <w:rsid w:val="000634E3"/>
    <w:rsid w:val="000637FA"/>
    <w:rsid w:val="00063909"/>
    <w:rsid w:val="00063C80"/>
    <w:rsid w:val="00063D9A"/>
    <w:rsid w:val="000640B1"/>
    <w:rsid w:val="00064161"/>
    <w:rsid w:val="000641FE"/>
    <w:rsid w:val="000643D3"/>
    <w:rsid w:val="000644C9"/>
    <w:rsid w:val="000646C0"/>
    <w:rsid w:val="00064A32"/>
    <w:rsid w:val="00064D3D"/>
    <w:rsid w:val="00064F1A"/>
    <w:rsid w:val="0006508E"/>
    <w:rsid w:val="000650C5"/>
    <w:rsid w:val="0006541E"/>
    <w:rsid w:val="0006556F"/>
    <w:rsid w:val="0006566B"/>
    <w:rsid w:val="0006581A"/>
    <w:rsid w:val="00065C4A"/>
    <w:rsid w:val="00065E4D"/>
    <w:rsid w:val="00065F8C"/>
    <w:rsid w:val="00066116"/>
    <w:rsid w:val="000662B5"/>
    <w:rsid w:val="000662C5"/>
    <w:rsid w:val="000664B4"/>
    <w:rsid w:val="000666F8"/>
    <w:rsid w:val="0006687D"/>
    <w:rsid w:val="00066978"/>
    <w:rsid w:val="00066B9B"/>
    <w:rsid w:val="00066BEA"/>
    <w:rsid w:val="000676EE"/>
    <w:rsid w:val="00067B8B"/>
    <w:rsid w:val="00067EF2"/>
    <w:rsid w:val="000700DF"/>
    <w:rsid w:val="0007038B"/>
    <w:rsid w:val="0007048D"/>
    <w:rsid w:val="00070A33"/>
    <w:rsid w:val="00070AEB"/>
    <w:rsid w:val="00070C71"/>
    <w:rsid w:val="00070CE5"/>
    <w:rsid w:val="00070DA9"/>
    <w:rsid w:val="00070FDD"/>
    <w:rsid w:val="00071101"/>
    <w:rsid w:val="000714A9"/>
    <w:rsid w:val="000718B5"/>
    <w:rsid w:val="00071A24"/>
    <w:rsid w:val="00071D50"/>
    <w:rsid w:val="000720A6"/>
    <w:rsid w:val="000721EA"/>
    <w:rsid w:val="00072204"/>
    <w:rsid w:val="00072337"/>
    <w:rsid w:val="000727B7"/>
    <w:rsid w:val="00072BF1"/>
    <w:rsid w:val="00072CAE"/>
    <w:rsid w:val="00072CBD"/>
    <w:rsid w:val="00072DD1"/>
    <w:rsid w:val="00073038"/>
    <w:rsid w:val="00073774"/>
    <w:rsid w:val="00073A05"/>
    <w:rsid w:val="00073A38"/>
    <w:rsid w:val="00073D2C"/>
    <w:rsid w:val="00073E0D"/>
    <w:rsid w:val="00073F3D"/>
    <w:rsid w:val="00073FBB"/>
    <w:rsid w:val="00073FFE"/>
    <w:rsid w:val="00074177"/>
    <w:rsid w:val="0007444C"/>
    <w:rsid w:val="00074648"/>
    <w:rsid w:val="0007487D"/>
    <w:rsid w:val="000749F5"/>
    <w:rsid w:val="00074ADE"/>
    <w:rsid w:val="00074E05"/>
    <w:rsid w:val="00074E32"/>
    <w:rsid w:val="00075084"/>
    <w:rsid w:val="000750E2"/>
    <w:rsid w:val="00075362"/>
    <w:rsid w:val="0007558D"/>
    <w:rsid w:val="000756C1"/>
    <w:rsid w:val="00075796"/>
    <w:rsid w:val="000757C8"/>
    <w:rsid w:val="00075A2E"/>
    <w:rsid w:val="00075ADF"/>
    <w:rsid w:val="00075CAB"/>
    <w:rsid w:val="00075DA5"/>
    <w:rsid w:val="000762E0"/>
    <w:rsid w:val="000763FD"/>
    <w:rsid w:val="00076581"/>
    <w:rsid w:val="000766A2"/>
    <w:rsid w:val="00076858"/>
    <w:rsid w:val="00076B6E"/>
    <w:rsid w:val="00076DA8"/>
    <w:rsid w:val="000772F7"/>
    <w:rsid w:val="000773B6"/>
    <w:rsid w:val="000774A9"/>
    <w:rsid w:val="00077874"/>
    <w:rsid w:val="00077EA3"/>
    <w:rsid w:val="000800B5"/>
    <w:rsid w:val="00080133"/>
    <w:rsid w:val="00080309"/>
    <w:rsid w:val="000804C5"/>
    <w:rsid w:val="000808D5"/>
    <w:rsid w:val="00080930"/>
    <w:rsid w:val="00080C9A"/>
    <w:rsid w:val="00080CA0"/>
    <w:rsid w:val="00080D1C"/>
    <w:rsid w:val="00080DAD"/>
    <w:rsid w:val="00080FD8"/>
    <w:rsid w:val="0008116F"/>
    <w:rsid w:val="0008138A"/>
    <w:rsid w:val="000814B3"/>
    <w:rsid w:val="00081A90"/>
    <w:rsid w:val="00081BE6"/>
    <w:rsid w:val="00081C8A"/>
    <w:rsid w:val="00081F9E"/>
    <w:rsid w:val="0008249B"/>
    <w:rsid w:val="0008264F"/>
    <w:rsid w:val="00082688"/>
    <w:rsid w:val="0008275D"/>
    <w:rsid w:val="000827EF"/>
    <w:rsid w:val="0008284B"/>
    <w:rsid w:val="00082A76"/>
    <w:rsid w:val="00082D0D"/>
    <w:rsid w:val="00083123"/>
    <w:rsid w:val="0008316F"/>
    <w:rsid w:val="00083206"/>
    <w:rsid w:val="00083346"/>
    <w:rsid w:val="00083622"/>
    <w:rsid w:val="00083914"/>
    <w:rsid w:val="00083C7E"/>
    <w:rsid w:val="00083CB5"/>
    <w:rsid w:val="00083FBF"/>
    <w:rsid w:val="0008406C"/>
    <w:rsid w:val="00084097"/>
    <w:rsid w:val="00084173"/>
    <w:rsid w:val="00084355"/>
    <w:rsid w:val="000845EE"/>
    <w:rsid w:val="000848DD"/>
    <w:rsid w:val="00084B9B"/>
    <w:rsid w:val="00084BCF"/>
    <w:rsid w:val="00084C73"/>
    <w:rsid w:val="00084EF3"/>
    <w:rsid w:val="00085325"/>
    <w:rsid w:val="00085612"/>
    <w:rsid w:val="00085883"/>
    <w:rsid w:val="000858F5"/>
    <w:rsid w:val="00085AC8"/>
    <w:rsid w:val="00085B6A"/>
    <w:rsid w:val="00085D1C"/>
    <w:rsid w:val="00085D26"/>
    <w:rsid w:val="00085DE8"/>
    <w:rsid w:val="00085E1E"/>
    <w:rsid w:val="00085E95"/>
    <w:rsid w:val="00085E99"/>
    <w:rsid w:val="00085EFF"/>
    <w:rsid w:val="000860E2"/>
    <w:rsid w:val="00086131"/>
    <w:rsid w:val="000862C8"/>
    <w:rsid w:val="000864B6"/>
    <w:rsid w:val="00086808"/>
    <w:rsid w:val="000869A6"/>
    <w:rsid w:val="000869D6"/>
    <w:rsid w:val="00086C08"/>
    <w:rsid w:val="00086E01"/>
    <w:rsid w:val="00086F63"/>
    <w:rsid w:val="000870C4"/>
    <w:rsid w:val="00087125"/>
    <w:rsid w:val="00087230"/>
    <w:rsid w:val="00087572"/>
    <w:rsid w:val="000875E1"/>
    <w:rsid w:val="0008766B"/>
    <w:rsid w:val="000877D6"/>
    <w:rsid w:val="00087E12"/>
    <w:rsid w:val="000901B3"/>
    <w:rsid w:val="0009036E"/>
    <w:rsid w:val="00090400"/>
    <w:rsid w:val="000904EA"/>
    <w:rsid w:val="0009051C"/>
    <w:rsid w:val="00090539"/>
    <w:rsid w:val="0009064F"/>
    <w:rsid w:val="00090C95"/>
    <w:rsid w:val="00090EC6"/>
    <w:rsid w:val="00090EDC"/>
    <w:rsid w:val="000912AA"/>
    <w:rsid w:val="00091422"/>
    <w:rsid w:val="00091627"/>
    <w:rsid w:val="000917CB"/>
    <w:rsid w:val="000917D7"/>
    <w:rsid w:val="000917FD"/>
    <w:rsid w:val="00091821"/>
    <w:rsid w:val="0009188A"/>
    <w:rsid w:val="00091A76"/>
    <w:rsid w:val="00091B2F"/>
    <w:rsid w:val="00091EDD"/>
    <w:rsid w:val="00092087"/>
    <w:rsid w:val="00092125"/>
    <w:rsid w:val="00092473"/>
    <w:rsid w:val="000926DA"/>
    <w:rsid w:val="000927E7"/>
    <w:rsid w:val="000928C2"/>
    <w:rsid w:val="00092A04"/>
    <w:rsid w:val="00092B79"/>
    <w:rsid w:val="00092E53"/>
    <w:rsid w:val="000931CF"/>
    <w:rsid w:val="0009332D"/>
    <w:rsid w:val="00093363"/>
    <w:rsid w:val="0009341B"/>
    <w:rsid w:val="00093491"/>
    <w:rsid w:val="0009367A"/>
    <w:rsid w:val="0009379C"/>
    <w:rsid w:val="00093A53"/>
    <w:rsid w:val="0009413B"/>
    <w:rsid w:val="00094197"/>
    <w:rsid w:val="0009449F"/>
    <w:rsid w:val="000945AA"/>
    <w:rsid w:val="00094E71"/>
    <w:rsid w:val="0009536C"/>
    <w:rsid w:val="0009541F"/>
    <w:rsid w:val="0009552C"/>
    <w:rsid w:val="00095688"/>
    <w:rsid w:val="00095852"/>
    <w:rsid w:val="000958F5"/>
    <w:rsid w:val="00095900"/>
    <w:rsid w:val="00095930"/>
    <w:rsid w:val="000960AD"/>
    <w:rsid w:val="000960F6"/>
    <w:rsid w:val="000968F8"/>
    <w:rsid w:val="00096922"/>
    <w:rsid w:val="00096B44"/>
    <w:rsid w:val="00096B52"/>
    <w:rsid w:val="00096ED5"/>
    <w:rsid w:val="0009738E"/>
    <w:rsid w:val="000974E4"/>
    <w:rsid w:val="000976A7"/>
    <w:rsid w:val="000976C1"/>
    <w:rsid w:val="00097727"/>
    <w:rsid w:val="0009784F"/>
    <w:rsid w:val="00097A4F"/>
    <w:rsid w:val="00097B6F"/>
    <w:rsid w:val="00097B90"/>
    <w:rsid w:val="00097EF8"/>
    <w:rsid w:val="00097F08"/>
    <w:rsid w:val="00097F8F"/>
    <w:rsid w:val="000A0141"/>
    <w:rsid w:val="000A0199"/>
    <w:rsid w:val="000A0212"/>
    <w:rsid w:val="000A0506"/>
    <w:rsid w:val="000A0542"/>
    <w:rsid w:val="000A0A0C"/>
    <w:rsid w:val="000A0CD0"/>
    <w:rsid w:val="000A18F0"/>
    <w:rsid w:val="000A1A79"/>
    <w:rsid w:val="000A1C84"/>
    <w:rsid w:val="000A1FAA"/>
    <w:rsid w:val="000A25D4"/>
    <w:rsid w:val="000A29A8"/>
    <w:rsid w:val="000A29CD"/>
    <w:rsid w:val="000A29E3"/>
    <w:rsid w:val="000A2B70"/>
    <w:rsid w:val="000A328D"/>
    <w:rsid w:val="000A32F0"/>
    <w:rsid w:val="000A366E"/>
    <w:rsid w:val="000A3972"/>
    <w:rsid w:val="000A399B"/>
    <w:rsid w:val="000A3BDC"/>
    <w:rsid w:val="000A3CE1"/>
    <w:rsid w:val="000A3D16"/>
    <w:rsid w:val="000A402A"/>
    <w:rsid w:val="000A4439"/>
    <w:rsid w:val="000A454C"/>
    <w:rsid w:val="000A45AB"/>
    <w:rsid w:val="000A46E0"/>
    <w:rsid w:val="000A471F"/>
    <w:rsid w:val="000A4D66"/>
    <w:rsid w:val="000A4F59"/>
    <w:rsid w:val="000A5618"/>
    <w:rsid w:val="000A570D"/>
    <w:rsid w:val="000A5938"/>
    <w:rsid w:val="000A5A7F"/>
    <w:rsid w:val="000A5E6B"/>
    <w:rsid w:val="000A5F1D"/>
    <w:rsid w:val="000A6039"/>
    <w:rsid w:val="000A639F"/>
    <w:rsid w:val="000A6852"/>
    <w:rsid w:val="000A6BD4"/>
    <w:rsid w:val="000A7157"/>
    <w:rsid w:val="000A7268"/>
    <w:rsid w:val="000A726B"/>
    <w:rsid w:val="000A7302"/>
    <w:rsid w:val="000A7463"/>
    <w:rsid w:val="000A751B"/>
    <w:rsid w:val="000A75D1"/>
    <w:rsid w:val="000A772E"/>
    <w:rsid w:val="000A775E"/>
    <w:rsid w:val="000A7A90"/>
    <w:rsid w:val="000A7CFF"/>
    <w:rsid w:val="000A7EB0"/>
    <w:rsid w:val="000A7F3B"/>
    <w:rsid w:val="000B00CE"/>
    <w:rsid w:val="000B03FD"/>
    <w:rsid w:val="000B043A"/>
    <w:rsid w:val="000B047E"/>
    <w:rsid w:val="000B04D3"/>
    <w:rsid w:val="000B0565"/>
    <w:rsid w:val="000B0662"/>
    <w:rsid w:val="000B06B2"/>
    <w:rsid w:val="000B0AFB"/>
    <w:rsid w:val="000B0B57"/>
    <w:rsid w:val="000B0C33"/>
    <w:rsid w:val="000B0CA6"/>
    <w:rsid w:val="000B0D31"/>
    <w:rsid w:val="000B0D88"/>
    <w:rsid w:val="000B0E1F"/>
    <w:rsid w:val="000B0F80"/>
    <w:rsid w:val="000B1001"/>
    <w:rsid w:val="000B1873"/>
    <w:rsid w:val="000B1899"/>
    <w:rsid w:val="000B1B95"/>
    <w:rsid w:val="000B234E"/>
    <w:rsid w:val="000B23F2"/>
    <w:rsid w:val="000B24F3"/>
    <w:rsid w:val="000B2669"/>
    <w:rsid w:val="000B2728"/>
    <w:rsid w:val="000B289C"/>
    <w:rsid w:val="000B28C5"/>
    <w:rsid w:val="000B2ADE"/>
    <w:rsid w:val="000B2BAF"/>
    <w:rsid w:val="000B2C5D"/>
    <w:rsid w:val="000B2CDC"/>
    <w:rsid w:val="000B2E13"/>
    <w:rsid w:val="000B3317"/>
    <w:rsid w:val="000B3819"/>
    <w:rsid w:val="000B3999"/>
    <w:rsid w:val="000B3B13"/>
    <w:rsid w:val="000B42F1"/>
    <w:rsid w:val="000B42F6"/>
    <w:rsid w:val="000B437D"/>
    <w:rsid w:val="000B43B7"/>
    <w:rsid w:val="000B4C74"/>
    <w:rsid w:val="000B4FBB"/>
    <w:rsid w:val="000B52F0"/>
    <w:rsid w:val="000B5358"/>
    <w:rsid w:val="000B58A0"/>
    <w:rsid w:val="000B5B75"/>
    <w:rsid w:val="000B5D3C"/>
    <w:rsid w:val="000B5EF1"/>
    <w:rsid w:val="000B60BF"/>
    <w:rsid w:val="000B63F4"/>
    <w:rsid w:val="000B644F"/>
    <w:rsid w:val="000B65FB"/>
    <w:rsid w:val="000B6BA0"/>
    <w:rsid w:val="000B6E3C"/>
    <w:rsid w:val="000B6EE4"/>
    <w:rsid w:val="000B734B"/>
    <w:rsid w:val="000B7677"/>
    <w:rsid w:val="000B775E"/>
    <w:rsid w:val="000B7875"/>
    <w:rsid w:val="000B7908"/>
    <w:rsid w:val="000B7B86"/>
    <w:rsid w:val="000B7E33"/>
    <w:rsid w:val="000C01BF"/>
    <w:rsid w:val="000C031B"/>
    <w:rsid w:val="000C038A"/>
    <w:rsid w:val="000C0435"/>
    <w:rsid w:val="000C06D3"/>
    <w:rsid w:val="000C0775"/>
    <w:rsid w:val="000C0961"/>
    <w:rsid w:val="000C0AC9"/>
    <w:rsid w:val="000C0B14"/>
    <w:rsid w:val="000C0B43"/>
    <w:rsid w:val="000C0C91"/>
    <w:rsid w:val="000C10D9"/>
    <w:rsid w:val="000C111D"/>
    <w:rsid w:val="000C14EB"/>
    <w:rsid w:val="000C1515"/>
    <w:rsid w:val="000C159F"/>
    <w:rsid w:val="000C174F"/>
    <w:rsid w:val="000C17AF"/>
    <w:rsid w:val="000C1953"/>
    <w:rsid w:val="000C198D"/>
    <w:rsid w:val="000C1D30"/>
    <w:rsid w:val="000C231A"/>
    <w:rsid w:val="000C260B"/>
    <w:rsid w:val="000C2ADB"/>
    <w:rsid w:val="000C2D28"/>
    <w:rsid w:val="000C2EBE"/>
    <w:rsid w:val="000C2ECD"/>
    <w:rsid w:val="000C2EDD"/>
    <w:rsid w:val="000C2F4E"/>
    <w:rsid w:val="000C3173"/>
    <w:rsid w:val="000C3305"/>
    <w:rsid w:val="000C3647"/>
    <w:rsid w:val="000C3980"/>
    <w:rsid w:val="000C39C5"/>
    <w:rsid w:val="000C3A3E"/>
    <w:rsid w:val="000C3CF8"/>
    <w:rsid w:val="000C3F3C"/>
    <w:rsid w:val="000C44DC"/>
    <w:rsid w:val="000C4854"/>
    <w:rsid w:val="000C491C"/>
    <w:rsid w:val="000C491F"/>
    <w:rsid w:val="000C4994"/>
    <w:rsid w:val="000C4A20"/>
    <w:rsid w:val="000C4EAB"/>
    <w:rsid w:val="000C55B6"/>
    <w:rsid w:val="000C5643"/>
    <w:rsid w:val="000C5AC1"/>
    <w:rsid w:val="000C5C80"/>
    <w:rsid w:val="000C5CA8"/>
    <w:rsid w:val="000C5DE0"/>
    <w:rsid w:val="000C5EEA"/>
    <w:rsid w:val="000C6294"/>
    <w:rsid w:val="000C63DD"/>
    <w:rsid w:val="000C6400"/>
    <w:rsid w:val="000C65CB"/>
    <w:rsid w:val="000C6664"/>
    <w:rsid w:val="000C67DC"/>
    <w:rsid w:val="000C67DF"/>
    <w:rsid w:val="000C6B8A"/>
    <w:rsid w:val="000C6EF3"/>
    <w:rsid w:val="000C7263"/>
    <w:rsid w:val="000C7ACF"/>
    <w:rsid w:val="000C7E09"/>
    <w:rsid w:val="000C7E46"/>
    <w:rsid w:val="000D0419"/>
    <w:rsid w:val="000D04BE"/>
    <w:rsid w:val="000D06A2"/>
    <w:rsid w:val="000D0929"/>
    <w:rsid w:val="000D0BB4"/>
    <w:rsid w:val="000D1147"/>
    <w:rsid w:val="000D163B"/>
    <w:rsid w:val="000D19AC"/>
    <w:rsid w:val="000D1BBD"/>
    <w:rsid w:val="000D1DBB"/>
    <w:rsid w:val="000D1F32"/>
    <w:rsid w:val="000D2045"/>
    <w:rsid w:val="000D2284"/>
    <w:rsid w:val="000D2453"/>
    <w:rsid w:val="000D2ADD"/>
    <w:rsid w:val="000D2C15"/>
    <w:rsid w:val="000D2CC0"/>
    <w:rsid w:val="000D2DC7"/>
    <w:rsid w:val="000D32A1"/>
    <w:rsid w:val="000D355A"/>
    <w:rsid w:val="000D3779"/>
    <w:rsid w:val="000D38B8"/>
    <w:rsid w:val="000D3957"/>
    <w:rsid w:val="000D3A65"/>
    <w:rsid w:val="000D3DE2"/>
    <w:rsid w:val="000D3E43"/>
    <w:rsid w:val="000D41BF"/>
    <w:rsid w:val="000D43DB"/>
    <w:rsid w:val="000D497A"/>
    <w:rsid w:val="000D4ABF"/>
    <w:rsid w:val="000D4BA6"/>
    <w:rsid w:val="000D539C"/>
    <w:rsid w:val="000D53D7"/>
    <w:rsid w:val="000D5514"/>
    <w:rsid w:val="000D556D"/>
    <w:rsid w:val="000D5972"/>
    <w:rsid w:val="000D6047"/>
    <w:rsid w:val="000D6149"/>
    <w:rsid w:val="000D61FC"/>
    <w:rsid w:val="000D6810"/>
    <w:rsid w:val="000D6949"/>
    <w:rsid w:val="000D6A18"/>
    <w:rsid w:val="000D6D31"/>
    <w:rsid w:val="000D6E8F"/>
    <w:rsid w:val="000D708F"/>
    <w:rsid w:val="000D722D"/>
    <w:rsid w:val="000D734A"/>
    <w:rsid w:val="000D74F4"/>
    <w:rsid w:val="000D759D"/>
    <w:rsid w:val="000D75F1"/>
    <w:rsid w:val="000D78A4"/>
    <w:rsid w:val="000D7BB2"/>
    <w:rsid w:val="000D7D5C"/>
    <w:rsid w:val="000E01F0"/>
    <w:rsid w:val="000E05E4"/>
    <w:rsid w:val="000E06C3"/>
    <w:rsid w:val="000E0711"/>
    <w:rsid w:val="000E07F6"/>
    <w:rsid w:val="000E08CA"/>
    <w:rsid w:val="000E08DA"/>
    <w:rsid w:val="000E0A13"/>
    <w:rsid w:val="000E0D80"/>
    <w:rsid w:val="000E0FCA"/>
    <w:rsid w:val="000E1310"/>
    <w:rsid w:val="000E1353"/>
    <w:rsid w:val="000E13B6"/>
    <w:rsid w:val="000E17CA"/>
    <w:rsid w:val="000E1835"/>
    <w:rsid w:val="000E190B"/>
    <w:rsid w:val="000E1ADE"/>
    <w:rsid w:val="000E1D23"/>
    <w:rsid w:val="000E2089"/>
    <w:rsid w:val="000E212D"/>
    <w:rsid w:val="000E2190"/>
    <w:rsid w:val="000E2206"/>
    <w:rsid w:val="000E22AE"/>
    <w:rsid w:val="000E2A27"/>
    <w:rsid w:val="000E2AB3"/>
    <w:rsid w:val="000E2C65"/>
    <w:rsid w:val="000E2D1B"/>
    <w:rsid w:val="000E30D4"/>
    <w:rsid w:val="000E3253"/>
    <w:rsid w:val="000E33BF"/>
    <w:rsid w:val="000E3878"/>
    <w:rsid w:val="000E39CE"/>
    <w:rsid w:val="000E3A55"/>
    <w:rsid w:val="000E3B03"/>
    <w:rsid w:val="000E4037"/>
    <w:rsid w:val="000E40AD"/>
    <w:rsid w:val="000E411E"/>
    <w:rsid w:val="000E41EC"/>
    <w:rsid w:val="000E42FC"/>
    <w:rsid w:val="000E46DE"/>
    <w:rsid w:val="000E4988"/>
    <w:rsid w:val="000E4B36"/>
    <w:rsid w:val="000E4B3F"/>
    <w:rsid w:val="000E4B5D"/>
    <w:rsid w:val="000E4C68"/>
    <w:rsid w:val="000E4D92"/>
    <w:rsid w:val="000E4FA6"/>
    <w:rsid w:val="000E5034"/>
    <w:rsid w:val="000E5262"/>
    <w:rsid w:val="000E52EB"/>
    <w:rsid w:val="000E5657"/>
    <w:rsid w:val="000E577D"/>
    <w:rsid w:val="000E5DFC"/>
    <w:rsid w:val="000E5F37"/>
    <w:rsid w:val="000E5F4C"/>
    <w:rsid w:val="000E6258"/>
    <w:rsid w:val="000E650B"/>
    <w:rsid w:val="000E6BE1"/>
    <w:rsid w:val="000E724E"/>
    <w:rsid w:val="000E7313"/>
    <w:rsid w:val="000E77BE"/>
    <w:rsid w:val="000E77F5"/>
    <w:rsid w:val="000E7C5E"/>
    <w:rsid w:val="000E7E24"/>
    <w:rsid w:val="000E7FBD"/>
    <w:rsid w:val="000F028E"/>
    <w:rsid w:val="000F02EC"/>
    <w:rsid w:val="000F0580"/>
    <w:rsid w:val="000F06D3"/>
    <w:rsid w:val="000F0E66"/>
    <w:rsid w:val="000F1096"/>
    <w:rsid w:val="000F11B2"/>
    <w:rsid w:val="000F1360"/>
    <w:rsid w:val="000F1401"/>
    <w:rsid w:val="000F15CB"/>
    <w:rsid w:val="000F1673"/>
    <w:rsid w:val="000F16D8"/>
    <w:rsid w:val="000F1739"/>
    <w:rsid w:val="000F190D"/>
    <w:rsid w:val="000F1A79"/>
    <w:rsid w:val="000F1AC8"/>
    <w:rsid w:val="000F1BEE"/>
    <w:rsid w:val="000F2030"/>
    <w:rsid w:val="000F20C6"/>
    <w:rsid w:val="000F20E3"/>
    <w:rsid w:val="000F2327"/>
    <w:rsid w:val="000F2C21"/>
    <w:rsid w:val="000F2DB5"/>
    <w:rsid w:val="000F3A10"/>
    <w:rsid w:val="000F3AF9"/>
    <w:rsid w:val="000F3BC1"/>
    <w:rsid w:val="000F3CF8"/>
    <w:rsid w:val="000F3EE6"/>
    <w:rsid w:val="000F40AC"/>
    <w:rsid w:val="000F41A5"/>
    <w:rsid w:val="000F41BF"/>
    <w:rsid w:val="000F4386"/>
    <w:rsid w:val="000F43AA"/>
    <w:rsid w:val="000F454E"/>
    <w:rsid w:val="000F466C"/>
    <w:rsid w:val="000F4B05"/>
    <w:rsid w:val="000F4BAA"/>
    <w:rsid w:val="000F4DA8"/>
    <w:rsid w:val="000F4F24"/>
    <w:rsid w:val="000F506C"/>
    <w:rsid w:val="000F50E9"/>
    <w:rsid w:val="000F5265"/>
    <w:rsid w:val="000F5697"/>
    <w:rsid w:val="000F57F2"/>
    <w:rsid w:val="000F584D"/>
    <w:rsid w:val="000F5AED"/>
    <w:rsid w:val="000F5B78"/>
    <w:rsid w:val="000F5CC0"/>
    <w:rsid w:val="000F5F54"/>
    <w:rsid w:val="000F6081"/>
    <w:rsid w:val="000F641D"/>
    <w:rsid w:val="000F6751"/>
    <w:rsid w:val="000F67BE"/>
    <w:rsid w:val="000F68C5"/>
    <w:rsid w:val="000F68EA"/>
    <w:rsid w:val="000F6ACE"/>
    <w:rsid w:val="000F6B4C"/>
    <w:rsid w:val="000F6B91"/>
    <w:rsid w:val="000F6D6D"/>
    <w:rsid w:val="000F6EA0"/>
    <w:rsid w:val="000F735F"/>
    <w:rsid w:val="000F763A"/>
    <w:rsid w:val="000F7766"/>
    <w:rsid w:val="000F788B"/>
    <w:rsid w:val="000F797D"/>
    <w:rsid w:val="000F7AD4"/>
    <w:rsid w:val="000F7D4B"/>
    <w:rsid w:val="000F7D6E"/>
    <w:rsid w:val="000F7DF4"/>
    <w:rsid w:val="000F7EDE"/>
    <w:rsid w:val="001002D6"/>
    <w:rsid w:val="00100429"/>
    <w:rsid w:val="00100727"/>
    <w:rsid w:val="00100730"/>
    <w:rsid w:val="00100AEB"/>
    <w:rsid w:val="00100B5E"/>
    <w:rsid w:val="00100D97"/>
    <w:rsid w:val="00100F65"/>
    <w:rsid w:val="00101237"/>
    <w:rsid w:val="0010151C"/>
    <w:rsid w:val="001015DE"/>
    <w:rsid w:val="00101AC0"/>
    <w:rsid w:val="00101CE3"/>
    <w:rsid w:val="00101D44"/>
    <w:rsid w:val="00101E94"/>
    <w:rsid w:val="00102042"/>
    <w:rsid w:val="0010216E"/>
    <w:rsid w:val="001022C7"/>
    <w:rsid w:val="001022E4"/>
    <w:rsid w:val="0010249F"/>
    <w:rsid w:val="001026C3"/>
    <w:rsid w:val="001027FF"/>
    <w:rsid w:val="00102CE2"/>
    <w:rsid w:val="00103012"/>
    <w:rsid w:val="0010348C"/>
    <w:rsid w:val="0010353E"/>
    <w:rsid w:val="0010355B"/>
    <w:rsid w:val="0010363F"/>
    <w:rsid w:val="00103686"/>
    <w:rsid w:val="0010369F"/>
    <w:rsid w:val="001036A5"/>
    <w:rsid w:val="0010381B"/>
    <w:rsid w:val="00103A1E"/>
    <w:rsid w:val="00103C02"/>
    <w:rsid w:val="00103E55"/>
    <w:rsid w:val="00103F70"/>
    <w:rsid w:val="00104031"/>
    <w:rsid w:val="00104049"/>
    <w:rsid w:val="001043BA"/>
    <w:rsid w:val="001043EA"/>
    <w:rsid w:val="001046B2"/>
    <w:rsid w:val="001046DD"/>
    <w:rsid w:val="00104748"/>
    <w:rsid w:val="0010489D"/>
    <w:rsid w:val="001049ED"/>
    <w:rsid w:val="00104A2E"/>
    <w:rsid w:val="00104B54"/>
    <w:rsid w:val="00104C35"/>
    <w:rsid w:val="00104EAE"/>
    <w:rsid w:val="00104FEF"/>
    <w:rsid w:val="001053C0"/>
    <w:rsid w:val="001057B4"/>
    <w:rsid w:val="001059E2"/>
    <w:rsid w:val="00105BFB"/>
    <w:rsid w:val="0010610E"/>
    <w:rsid w:val="001064B1"/>
    <w:rsid w:val="001064C5"/>
    <w:rsid w:val="001068B2"/>
    <w:rsid w:val="00106C88"/>
    <w:rsid w:val="00106DF1"/>
    <w:rsid w:val="00106FB3"/>
    <w:rsid w:val="001072DC"/>
    <w:rsid w:val="0010752E"/>
    <w:rsid w:val="00110519"/>
    <w:rsid w:val="00110564"/>
    <w:rsid w:val="0011065A"/>
    <w:rsid w:val="00110710"/>
    <w:rsid w:val="001109F5"/>
    <w:rsid w:val="001113C5"/>
    <w:rsid w:val="0011158F"/>
    <w:rsid w:val="001115FD"/>
    <w:rsid w:val="00111727"/>
    <w:rsid w:val="0011188B"/>
    <w:rsid w:val="00111EC4"/>
    <w:rsid w:val="0011215E"/>
    <w:rsid w:val="00112BDC"/>
    <w:rsid w:val="00113086"/>
    <w:rsid w:val="001137CA"/>
    <w:rsid w:val="0011383F"/>
    <w:rsid w:val="00113A01"/>
    <w:rsid w:val="00113AF9"/>
    <w:rsid w:val="00113DD2"/>
    <w:rsid w:val="00114075"/>
    <w:rsid w:val="001140A3"/>
    <w:rsid w:val="00114114"/>
    <w:rsid w:val="00114251"/>
    <w:rsid w:val="0011438E"/>
    <w:rsid w:val="001144EB"/>
    <w:rsid w:val="00114613"/>
    <w:rsid w:val="001149C0"/>
    <w:rsid w:val="001149F0"/>
    <w:rsid w:val="00114C6F"/>
    <w:rsid w:val="00114E73"/>
    <w:rsid w:val="00114FDA"/>
    <w:rsid w:val="001151EB"/>
    <w:rsid w:val="0011578B"/>
    <w:rsid w:val="00115C57"/>
    <w:rsid w:val="00115EF3"/>
    <w:rsid w:val="00116018"/>
    <w:rsid w:val="0011657E"/>
    <w:rsid w:val="001167B6"/>
    <w:rsid w:val="001167E3"/>
    <w:rsid w:val="001167F9"/>
    <w:rsid w:val="00116956"/>
    <w:rsid w:val="00116BB4"/>
    <w:rsid w:val="00116E94"/>
    <w:rsid w:val="00116F81"/>
    <w:rsid w:val="00117198"/>
    <w:rsid w:val="001171F8"/>
    <w:rsid w:val="0011726B"/>
    <w:rsid w:val="001174B5"/>
    <w:rsid w:val="00117552"/>
    <w:rsid w:val="00117671"/>
    <w:rsid w:val="001176AC"/>
    <w:rsid w:val="00117702"/>
    <w:rsid w:val="0011786B"/>
    <w:rsid w:val="00117ABC"/>
    <w:rsid w:val="00117BA2"/>
    <w:rsid w:val="00117CF7"/>
    <w:rsid w:val="00117DA0"/>
    <w:rsid w:val="00117E69"/>
    <w:rsid w:val="00117EEA"/>
    <w:rsid w:val="00120067"/>
    <w:rsid w:val="00120302"/>
    <w:rsid w:val="0012057E"/>
    <w:rsid w:val="001209DA"/>
    <w:rsid w:val="00120AE8"/>
    <w:rsid w:val="00120AF4"/>
    <w:rsid w:val="00120B7A"/>
    <w:rsid w:val="00120B8B"/>
    <w:rsid w:val="00120CE1"/>
    <w:rsid w:val="00120E7E"/>
    <w:rsid w:val="00121196"/>
    <w:rsid w:val="001211EF"/>
    <w:rsid w:val="00121520"/>
    <w:rsid w:val="001216D8"/>
    <w:rsid w:val="00121FBE"/>
    <w:rsid w:val="0012274B"/>
    <w:rsid w:val="00122863"/>
    <w:rsid w:val="00122D4D"/>
    <w:rsid w:val="00122F08"/>
    <w:rsid w:val="00123336"/>
    <w:rsid w:val="0012343F"/>
    <w:rsid w:val="0012399A"/>
    <w:rsid w:val="00123C23"/>
    <w:rsid w:val="00123CE3"/>
    <w:rsid w:val="00123CFF"/>
    <w:rsid w:val="00123D93"/>
    <w:rsid w:val="00123E0B"/>
    <w:rsid w:val="00123F55"/>
    <w:rsid w:val="00124342"/>
    <w:rsid w:val="00124447"/>
    <w:rsid w:val="0012452C"/>
    <w:rsid w:val="00124885"/>
    <w:rsid w:val="001251C6"/>
    <w:rsid w:val="001253D6"/>
    <w:rsid w:val="0012567C"/>
    <w:rsid w:val="0012595D"/>
    <w:rsid w:val="00125B17"/>
    <w:rsid w:val="00125E20"/>
    <w:rsid w:val="00125EAA"/>
    <w:rsid w:val="00126260"/>
    <w:rsid w:val="00126293"/>
    <w:rsid w:val="00126460"/>
    <w:rsid w:val="0012664E"/>
    <w:rsid w:val="00126988"/>
    <w:rsid w:val="001269E4"/>
    <w:rsid w:val="00126A66"/>
    <w:rsid w:val="00126CE8"/>
    <w:rsid w:val="00126FCD"/>
    <w:rsid w:val="00127014"/>
    <w:rsid w:val="00127240"/>
    <w:rsid w:val="001272B1"/>
    <w:rsid w:val="001273B5"/>
    <w:rsid w:val="0012747A"/>
    <w:rsid w:val="001274A6"/>
    <w:rsid w:val="001275BA"/>
    <w:rsid w:val="0012761A"/>
    <w:rsid w:val="001277A1"/>
    <w:rsid w:val="00127AC0"/>
    <w:rsid w:val="00127D70"/>
    <w:rsid w:val="00127FD0"/>
    <w:rsid w:val="001300D7"/>
    <w:rsid w:val="001305C5"/>
    <w:rsid w:val="00130AB9"/>
    <w:rsid w:val="00130C48"/>
    <w:rsid w:val="00130D9B"/>
    <w:rsid w:val="001311F0"/>
    <w:rsid w:val="00131398"/>
    <w:rsid w:val="001313A2"/>
    <w:rsid w:val="001313D6"/>
    <w:rsid w:val="001315B5"/>
    <w:rsid w:val="001316EE"/>
    <w:rsid w:val="0013192E"/>
    <w:rsid w:val="00131BF8"/>
    <w:rsid w:val="00131E02"/>
    <w:rsid w:val="00131FCE"/>
    <w:rsid w:val="00132023"/>
    <w:rsid w:val="0013213F"/>
    <w:rsid w:val="001321E7"/>
    <w:rsid w:val="00132326"/>
    <w:rsid w:val="00132372"/>
    <w:rsid w:val="001323A5"/>
    <w:rsid w:val="001323A6"/>
    <w:rsid w:val="00132415"/>
    <w:rsid w:val="001325C9"/>
    <w:rsid w:val="001326BB"/>
    <w:rsid w:val="001326E0"/>
    <w:rsid w:val="00132D2C"/>
    <w:rsid w:val="00132E7C"/>
    <w:rsid w:val="00132FE7"/>
    <w:rsid w:val="00133044"/>
    <w:rsid w:val="00133055"/>
    <w:rsid w:val="00133413"/>
    <w:rsid w:val="00133419"/>
    <w:rsid w:val="00133651"/>
    <w:rsid w:val="0013397C"/>
    <w:rsid w:val="00133A3A"/>
    <w:rsid w:val="00133F8F"/>
    <w:rsid w:val="0013429A"/>
    <w:rsid w:val="00134338"/>
    <w:rsid w:val="0013457A"/>
    <w:rsid w:val="001346B0"/>
    <w:rsid w:val="001349F7"/>
    <w:rsid w:val="00134CC8"/>
    <w:rsid w:val="00134EB2"/>
    <w:rsid w:val="00134ED3"/>
    <w:rsid w:val="00135162"/>
    <w:rsid w:val="00135819"/>
    <w:rsid w:val="00135F8E"/>
    <w:rsid w:val="00136293"/>
    <w:rsid w:val="00136749"/>
    <w:rsid w:val="00136B1C"/>
    <w:rsid w:val="00136CBA"/>
    <w:rsid w:val="00136CE4"/>
    <w:rsid w:val="00136ED0"/>
    <w:rsid w:val="00137168"/>
    <w:rsid w:val="00137231"/>
    <w:rsid w:val="00137273"/>
    <w:rsid w:val="0013734E"/>
    <w:rsid w:val="00137544"/>
    <w:rsid w:val="001378A9"/>
    <w:rsid w:val="00137BF5"/>
    <w:rsid w:val="00137BFC"/>
    <w:rsid w:val="00137C64"/>
    <w:rsid w:val="00137DA0"/>
    <w:rsid w:val="00140084"/>
    <w:rsid w:val="001400DF"/>
    <w:rsid w:val="0014037D"/>
    <w:rsid w:val="0014046F"/>
    <w:rsid w:val="00140884"/>
    <w:rsid w:val="001408E9"/>
    <w:rsid w:val="00140C46"/>
    <w:rsid w:val="00140EB7"/>
    <w:rsid w:val="00140EE4"/>
    <w:rsid w:val="001410FD"/>
    <w:rsid w:val="00141656"/>
    <w:rsid w:val="001416CB"/>
    <w:rsid w:val="00141768"/>
    <w:rsid w:val="00141A24"/>
    <w:rsid w:val="00141C50"/>
    <w:rsid w:val="00141CAD"/>
    <w:rsid w:val="00141DF7"/>
    <w:rsid w:val="00141E84"/>
    <w:rsid w:val="00141FC0"/>
    <w:rsid w:val="00142271"/>
    <w:rsid w:val="001422CB"/>
    <w:rsid w:val="00142419"/>
    <w:rsid w:val="001424A3"/>
    <w:rsid w:val="00142636"/>
    <w:rsid w:val="0014275C"/>
    <w:rsid w:val="00142912"/>
    <w:rsid w:val="001429AD"/>
    <w:rsid w:val="00143259"/>
    <w:rsid w:val="001435DD"/>
    <w:rsid w:val="00143604"/>
    <w:rsid w:val="00143866"/>
    <w:rsid w:val="001439AC"/>
    <w:rsid w:val="00143B4D"/>
    <w:rsid w:val="001440BC"/>
    <w:rsid w:val="001441F0"/>
    <w:rsid w:val="00144297"/>
    <w:rsid w:val="001442C1"/>
    <w:rsid w:val="001444C1"/>
    <w:rsid w:val="001444F0"/>
    <w:rsid w:val="00144868"/>
    <w:rsid w:val="00144A75"/>
    <w:rsid w:val="00144BEF"/>
    <w:rsid w:val="00144CBF"/>
    <w:rsid w:val="00144D88"/>
    <w:rsid w:val="00144DCE"/>
    <w:rsid w:val="00144F25"/>
    <w:rsid w:val="00144FFB"/>
    <w:rsid w:val="0014514E"/>
    <w:rsid w:val="0014542E"/>
    <w:rsid w:val="00146059"/>
    <w:rsid w:val="001468B2"/>
    <w:rsid w:val="00146C27"/>
    <w:rsid w:val="00146DEB"/>
    <w:rsid w:val="00147120"/>
    <w:rsid w:val="001472BD"/>
    <w:rsid w:val="00147570"/>
    <w:rsid w:val="001475AD"/>
    <w:rsid w:val="001479D5"/>
    <w:rsid w:val="001479F8"/>
    <w:rsid w:val="00147BC4"/>
    <w:rsid w:val="00147CEC"/>
    <w:rsid w:val="00147E77"/>
    <w:rsid w:val="00147ED6"/>
    <w:rsid w:val="001503FC"/>
    <w:rsid w:val="0015059A"/>
    <w:rsid w:val="00150771"/>
    <w:rsid w:val="001509B2"/>
    <w:rsid w:val="00150CFE"/>
    <w:rsid w:val="00150D0B"/>
    <w:rsid w:val="00150E18"/>
    <w:rsid w:val="001515A3"/>
    <w:rsid w:val="0015185B"/>
    <w:rsid w:val="0015186B"/>
    <w:rsid w:val="0015190B"/>
    <w:rsid w:val="00151AB1"/>
    <w:rsid w:val="00151B06"/>
    <w:rsid w:val="00151BD6"/>
    <w:rsid w:val="00151E0F"/>
    <w:rsid w:val="00152092"/>
    <w:rsid w:val="001521B7"/>
    <w:rsid w:val="0015243D"/>
    <w:rsid w:val="0015250E"/>
    <w:rsid w:val="00152537"/>
    <w:rsid w:val="00152664"/>
    <w:rsid w:val="00152945"/>
    <w:rsid w:val="00152979"/>
    <w:rsid w:val="00152AC4"/>
    <w:rsid w:val="00152D85"/>
    <w:rsid w:val="001532D8"/>
    <w:rsid w:val="0015363A"/>
    <w:rsid w:val="001542E4"/>
    <w:rsid w:val="0015437D"/>
    <w:rsid w:val="001548AA"/>
    <w:rsid w:val="00154BF9"/>
    <w:rsid w:val="00154C34"/>
    <w:rsid w:val="00155001"/>
    <w:rsid w:val="001551DD"/>
    <w:rsid w:val="001551E1"/>
    <w:rsid w:val="001552DA"/>
    <w:rsid w:val="00155349"/>
    <w:rsid w:val="00155645"/>
    <w:rsid w:val="001558C9"/>
    <w:rsid w:val="001558DF"/>
    <w:rsid w:val="00155904"/>
    <w:rsid w:val="00155B5C"/>
    <w:rsid w:val="00155B92"/>
    <w:rsid w:val="00155C7D"/>
    <w:rsid w:val="00155D5C"/>
    <w:rsid w:val="00155F55"/>
    <w:rsid w:val="00156002"/>
    <w:rsid w:val="0015637E"/>
    <w:rsid w:val="0015699C"/>
    <w:rsid w:val="00156A08"/>
    <w:rsid w:val="00156DBD"/>
    <w:rsid w:val="00156E17"/>
    <w:rsid w:val="00157051"/>
    <w:rsid w:val="00157603"/>
    <w:rsid w:val="00157684"/>
    <w:rsid w:val="00157BD1"/>
    <w:rsid w:val="00157C17"/>
    <w:rsid w:val="00157E48"/>
    <w:rsid w:val="00157EE7"/>
    <w:rsid w:val="00157FF3"/>
    <w:rsid w:val="0016018C"/>
    <w:rsid w:val="00160424"/>
    <w:rsid w:val="001604FA"/>
    <w:rsid w:val="0016058D"/>
    <w:rsid w:val="001606E6"/>
    <w:rsid w:val="001608E0"/>
    <w:rsid w:val="001609D6"/>
    <w:rsid w:val="001609DF"/>
    <w:rsid w:val="00160B34"/>
    <w:rsid w:val="00160C0F"/>
    <w:rsid w:val="00160C8D"/>
    <w:rsid w:val="00160CBB"/>
    <w:rsid w:val="00160DE1"/>
    <w:rsid w:val="00161161"/>
    <w:rsid w:val="00161190"/>
    <w:rsid w:val="001611E6"/>
    <w:rsid w:val="001611F0"/>
    <w:rsid w:val="001612D5"/>
    <w:rsid w:val="0016173D"/>
    <w:rsid w:val="00161A33"/>
    <w:rsid w:val="00161D70"/>
    <w:rsid w:val="00162046"/>
    <w:rsid w:val="00162263"/>
    <w:rsid w:val="001622B2"/>
    <w:rsid w:val="001623B5"/>
    <w:rsid w:val="00162CBF"/>
    <w:rsid w:val="00162D58"/>
    <w:rsid w:val="00162DA7"/>
    <w:rsid w:val="00162FB5"/>
    <w:rsid w:val="001631BD"/>
    <w:rsid w:val="001632FD"/>
    <w:rsid w:val="00163391"/>
    <w:rsid w:val="00163461"/>
    <w:rsid w:val="001634CA"/>
    <w:rsid w:val="00163569"/>
    <w:rsid w:val="001636BF"/>
    <w:rsid w:val="00163793"/>
    <w:rsid w:val="00163832"/>
    <w:rsid w:val="00163D0D"/>
    <w:rsid w:val="001640A9"/>
    <w:rsid w:val="001642C2"/>
    <w:rsid w:val="001642CC"/>
    <w:rsid w:val="0016431B"/>
    <w:rsid w:val="001643AB"/>
    <w:rsid w:val="0016455C"/>
    <w:rsid w:val="00164757"/>
    <w:rsid w:val="001648EB"/>
    <w:rsid w:val="0016495A"/>
    <w:rsid w:val="00164BB9"/>
    <w:rsid w:val="00164DD3"/>
    <w:rsid w:val="00164E23"/>
    <w:rsid w:val="001654DA"/>
    <w:rsid w:val="0016553F"/>
    <w:rsid w:val="0016574E"/>
    <w:rsid w:val="00165B14"/>
    <w:rsid w:val="00165E6E"/>
    <w:rsid w:val="00165EF1"/>
    <w:rsid w:val="00166083"/>
    <w:rsid w:val="001661C1"/>
    <w:rsid w:val="0016627C"/>
    <w:rsid w:val="00166367"/>
    <w:rsid w:val="00166498"/>
    <w:rsid w:val="00166566"/>
    <w:rsid w:val="0016673D"/>
    <w:rsid w:val="0016674B"/>
    <w:rsid w:val="0016693D"/>
    <w:rsid w:val="00166A63"/>
    <w:rsid w:val="00166AFE"/>
    <w:rsid w:val="00166B40"/>
    <w:rsid w:val="00166B69"/>
    <w:rsid w:val="00166F65"/>
    <w:rsid w:val="00166FDD"/>
    <w:rsid w:val="001676DE"/>
    <w:rsid w:val="0016787F"/>
    <w:rsid w:val="001679CA"/>
    <w:rsid w:val="00167CBB"/>
    <w:rsid w:val="00167F8F"/>
    <w:rsid w:val="00167FB3"/>
    <w:rsid w:val="0017026B"/>
    <w:rsid w:val="001702BE"/>
    <w:rsid w:val="001702C2"/>
    <w:rsid w:val="00170326"/>
    <w:rsid w:val="00170355"/>
    <w:rsid w:val="00170487"/>
    <w:rsid w:val="00170508"/>
    <w:rsid w:val="00170575"/>
    <w:rsid w:val="001705D0"/>
    <w:rsid w:val="00170B34"/>
    <w:rsid w:val="00171060"/>
    <w:rsid w:val="001710FC"/>
    <w:rsid w:val="00171122"/>
    <w:rsid w:val="00171351"/>
    <w:rsid w:val="00171397"/>
    <w:rsid w:val="0017145F"/>
    <w:rsid w:val="00171813"/>
    <w:rsid w:val="00171F7A"/>
    <w:rsid w:val="00172057"/>
    <w:rsid w:val="00172422"/>
    <w:rsid w:val="0017249E"/>
    <w:rsid w:val="001724D2"/>
    <w:rsid w:val="00172513"/>
    <w:rsid w:val="0017279A"/>
    <w:rsid w:val="001728EE"/>
    <w:rsid w:val="00172981"/>
    <w:rsid w:val="00172AC7"/>
    <w:rsid w:val="00172B12"/>
    <w:rsid w:val="00172BD4"/>
    <w:rsid w:val="00172E8F"/>
    <w:rsid w:val="00173449"/>
    <w:rsid w:val="00173630"/>
    <w:rsid w:val="00173B4B"/>
    <w:rsid w:val="00173C6B"/>
    <w:rsid w:val="00173CA9"/>
    <w:rsid w:val="00173E2B"/>
    <w:rsid w:val="00173EB3"/>
    <w:rsid w:val="00173F5C"/>
    <w:rsid w:val="00174208"/>
    <w:rsid w:val="00174351"/>
    <w:rsid w:val="001746D6"/>
    <w:rsid w:val="00174A60"/>
    <w:rsid w:val="00174B06"/>
    <w:rsid w:val="0017509C"/>
    <w:rsid w:val="001750D0"/>
    <w:rsid w:val="0017562B"/>
    <w:rsid w:val="00175726"/>
    <w:rsid w:val="001757FF"/>
    <w:rsid w:val="001758B0"/>
    <w:rsid w:val="0017590B"/>
    <w:rsid w:val="00175C1C"/>
    <w:rsid w:val="00175C2C"/>
    <w:rsid w:val="00175E10"/>
    <w:rsid w:val="00176175"/>
    <w:rsid w:val="001762A9"/>
    <w:rsid w:val="001763FD"/>
    <w:rsid w:val="00176561"/>
    <w:rsid w:val="0017657C"/>
    <w:rsid w:val="001766F4"/>
    <w:rsid w:val="001767CE"/>
    <w:rsid w:val="0017698E"/>
    <w:rsid w:val="001769A7"/>
    <w:rsid w:val="00176B6A"/>
    <w:rsid w:val="00176CF6"/>
    <w:rsid w:val="00177220"/>
    <w:rsid w:val="00177326"/>
    <w:rsid w:val="001773B7"/>
    <w:rsid w:val="001775C8"/>
    <w:rsid w:val="001775CE"/>
    <w:rsid w:val="001779E1"/>
    <w:rsid w:val="00177CB8"/>
    <w:rsid w:val="00177EE2"/>
    <w:rsid w:val="00180140"/>
    <w:rsid w:val="0018019D"/>
    <w:rsid w:val="0018024D"/>
    <w:rsid w:val="001802B9"/>
    <w:rsid w:val="001803EF"/>
    <w:rsid w:val="00180981"/>
    <w:rsid w:val="00180A06"/>
    <w:rsid w:val="00180CC4"/>
    <w:rsid w:val="00180F56"/>
    <w:rsid w:val="00181012"/>
    <w:rsid w:val="0018122B"/>
    <w:rsid w:val="00181332"/>
    <w:rsid w:val="0018180D"/>
    <w:rsid w:val="00181AC6"/>
    <w:rsid w:val="00181C16"/>
    <w:rsid w:val="00181ED4"/>
    <w:rsid w:val="00181F0F"/>
    <w:rsid w:val="0018203A"/>
    <w:rsid w:val="0018220C"/>
    <w:rsid w:val="001823BD"/>
    <w:rsid w:val="001824B2"/>
    <w:rsid w:val="0018262A"/>
    <w:rsid w:val="00182690"/>
    <w:rsid w:val="00182773"/>
    <w:rsid w:val="00182936"/>
    <w:rsid w:val="0018297E"/>
    <w:rsid w:val="00182BB0"/>
    <w:rsid w:val="00182D9B"/>
    <w:rsid w:val="00183021"/>
    <w:rsid w:val="00183029"/>
    <w:rsid w:val="00183244"/>
    <w:rsid w:val="001832CE"/>
    <w:rsid w:val="00183425"/>
    <w:rsid w:val="0018364A"/>
    <w:rsid w:val="001836AD"/>
    <w:rsid w:val="00183990"/>
    <w:rsid w:val="00183A0E"/>
    <w:rsid w:val="00183AD2"/>
    <w:rsid w:val="00183B60"/>
    <w:rsid w:val="00183BDB"/>
    <w:rsid w:val="00183BF2"/>
    <w:rsid w:val="00183F36"/>
    <w:rsid w:val="00184089"/>
    <w:rsid w:val="001840B8"/>
    <w:rsid w:val="00184262"/>
    <w:rsid w:val="00184695"/>
    <w:rsid w:val="0018478A"/>
    <w:rsid w:val="00184C83"/>
    <w:rsid w:val="00184CF0"/>
    <w:rsid w:val="00184D87"/>
    <w:rsid w:val="0018544B"/>
    <w:rsid w:val="00185879"/>
    <w:rsid w:val="00185B78"/>
    <w:rsid w:val="00185F3D"/>
    <w:rsid w:val="00185FA1"/>
    <w:rsid w:val="00185FAA"/>
    <w:rsid w:val="00185FDB"/>
    <w:rsid w:val="00186050"/>
    <w:rsid w:val="0018620A"/>
    <w:rsid w:val="0018624C"/>
    <w:rsid w:val="00186318"/>
    <w:rsid w:val="0018639F"/>
    <w:rsid w:val="001863B3"/>
    <w:rsid w:val="00186994"/>
    <w:rsid w:val="00186B4B"/>
    <w:rsid w:val="00186BDE"/>
    <w:rsid w:val="00186C50"/>
    <w:rsid w:val="00186C73"/>
    <w:rsid w:val="00186E0E"/>
    <w:rsid w:val="00186F70"/>
    <w:rsid w:val="0018721F"/>
    <w:rsid w:val="0018725E"/>
    <w:rsid w:val="00187331"/>
    <w:rsid w:val="001873E5"/>
    <w:rsid w:val="001873FE"/>
    <w:rsid w:val="0018757E"/>
    <w:rsid w:val="001875BB"/>
    <w:rsid w:val="0018798C"/>
    <w:rsid w:val="00187B40"/>
    <w:rsid w:val="00187B5E"/>
    <w:rsid w:val="00187B93"/>
    <w:rsid w:val="00187C23"/>
    <w:rsid w:val="00187D09"/>
    <w:rsid w:val="00187E9F"/>
    <w:rsid w:val="001900EE"/>
    <w:rsid w:val="0019012C"/>
    <w:rsid w:val="00190173"/>
    <w:rsid w:val="001903D0"/>
    <w:rsid w:val="0019044E"/>
    <w:rsid w:val="0019046F"/>
    <w:rsid w:val="001904BF"/>
    <w:rsid w:val="001905EE"/>
    <w:rsid w:val="001906AE"/>
    <w:rsid w:val="0019070F"/>
    <w:rsid w:val="00190BD2"/>
    <w:rsid w:val="00190D26"/>
    <w:rsid w:val="001910C3"/>
    <w:rsid w:val="0019110A"/>
    <w:rsid w:val="00191AC0"/>
    <w:rsid w:val="00191C16"/>
    <w:rsid w:val="00191FBB"/>
    <w:rsid w:val="00191FDD"/>
    <w:rsid w:val="0019219A"/>
    <w:rsid w:val="0019222A"/>
    <w:rsid w:val="0019247F"/>
    <w:rsid w:val="0019276D"/>
    <w:rsid w:val="00193300"/>
    <w:rsid w:val="001937E7"/>
    <w:rsid w:val="001939AD"/>
    <w:rsid w:val="00193D7F"/>
    <w:rsid w:val="00193DC3"/>
    <w:rsid w:val="00193E34"/>
    <w:rsid w:val="00193FCF"/>
    <w:rsid w:val="0019422E"/>
    <w:rsid w:val="00194230"/>
    <w:rsid w:val="00194337"/>
    <w:rsid w:val="001946B6"/>
    <w:rsid w:val="00194AB4"/>
    <w:rsid w:val="00194AE2"/>
    <w:rsid w:val="00194C16"/>
    <w:rsid w:val="00194D82"/>
    <w:rsid w:val="00194E0A"/>
    <w:rsid w:val="00194FC2"/>
    <w:rsid w:val="0019521F"/>
    <w:rsid w:val="001952A4"/>
    <w:rsid w:val="00195D67"/>
    <w:rsid w:val="00195DFE"/>
    <w:rsid w:val="00195F8F"/>
    <w:rsid w:val="00196019"/>
    <w:rsid w:val="001960C7"/>
    <w:rsid w:val="0019617C"/>
    <w:rsid w:val="001961AB"/>
    <w:rsid w:val="0019631D"/>
    <w:rsid w:val="0019633E"/>
    <w:rsid w:val="00196AF6"/>
    <w:rsid w:val="00196AF9"/>
    <w:rsid w:val="00196C2D"/>
    <w:rsid w:val="00196D6D"/>
    <w:rsid w:val="00196E1D"/>
    <w:rsid w:val="00196F17"/>
    <w:rsid w:val="00197023"/>
    <w:rsid w:val="001971C0"/>
    <w:rsid w:val="00197261"/>
    <w:rsid w:val="001972E0"/>
    <w:rsid w:val="001973FA"/>
    <w:rsid w:val="0019761C"/>
    <w:rsid w:val="00197CB7"/>
    <w:rsid w:val="00197FD2"/>
    <w:rsid w:val="001A03A2"/>
    <w:rsid w:val="001A0D2C"/>
    <w:rsid w:val="001A120D"/>
    <w:rsid w:val="001A12AC"/>
    <w:rsid w:val="001A1833"/>
    <w:rsid w:val="001A1C62"/>
    <w:rsid w:val="001A1D5A"/>
    <w:rsid w:val="001A1E45"/>
    <w:rsid w:val="001A1E83"/>
    <w:rsid w:val="001A22EE"/>
    <w:rsid w:val="001A236E"/>
    <w:rsid w:val="001A267A"/>
    <w:rsid w:val="001A26EE"/>
    <w:rsid w:val="001A27C7"/>
    <w:rsid w:val="001A283F"/>
    <w:rsid w:val="001A2868"/>
    <w:rsid w:val="001A2BBC"/>
    <w:rsid w:val="001A2C42"/>
    <w:rsid w:val="001A2E73"/>
    <w:rsid w:val="001A306B"/>
    <w:rsid w:val="001A30C8"/>
    <w:rsid w:val="001A31D1"/>
    <w:rsid w:val="001A32AB"/>
    <w:rsid w:val="001A33D4"/>
    <w:rsid w:val="001A34DD"/>
    <w:rsid w:val="001A3664"/>
    <w:rsid w:val="001A3726"/>
    <w:rsid w:val="001A3905"/>
    <w:rsid w:val="001A39DC"/>
    <w:rsid w:val="001A3B8A"/>
    <w:rsid w:val="001A3B8F"/>
    <w:rsid w:val="001A3D7F"/>
    <w:rsid w:val="001A3DDB"/>
    <w:rsid w:val="001A3EFF"/>
    <w:rsid w:val="001A3FAB"/>
    <w:rsid w:val="001A43A3"/>
    <w:rsid w:val="001A4623"/>
    <w:rsid w:val="001A4650"/>
    <w:rsid w:val="001A477D"/>
    <w:rsid w:val="001A47BF"/>
    <w:rsid w:val="001A4979"/>
    <w:rsid w:val="001A4AC9"/>
    <w:rsid w:val="001A4E4F"/>
    <w:rsid w:val="001A4EE0"/>
    <w:rsid w:val="001A5098"/>
    <w:rsid w:val="001A5175"/>
    <w:rsid w:val="001A518E"/>
    <w:rsid w:val="001A5515"/>
    <w:rsid w:val="001A55FE"/>
    <w:rsid w:val="001A59D5"/>
    <w:rsid w:val="001A5A28"/>
    <w:rsid w:val="001A5A6E"/>
    <w:rsid w:val="001A5E6E"/>
    <w:rsid w:val="001A5E8C"/>
    <w:rsid w:val="001A5EF9"/>
    <w:rsid w:val="001A64AA"/>
    <w:rsid w:val="001A6705"/>
    <w:rsid w:val="001A69D6"/>
    <w:rsid w:val="001A6AE8"/>
    <w:rsid w:val="001A6C6E"/>
    <w:rsid w:val="001A6C89"/>
    <w:rsid w:val="001A6D85"/>
    <w:rsid w:val="001A6DF1"/>
    <w:rsid w:val="001A7124"/>
    <w:rsid w:val="001A7412"/>
    <w:rsid w:val="001B030B"/>
    <w:rsid w:val="001B07A7"/>
    <w:rsid w:val="001B0908"/>
    <w:rsid w:val="001B0BB9"/>
    <w:rsid w:val="001B0F27"/>
    <w:rsid w:val="001B1261"/>
    <w:rsid w:val="001B127D"/>
    <w:rsid w:val="001B12DB"/>
    <w:rsid w:val="001B13E7"/>
    <w:rsid w:val="001B16BB"/>
    <w:rsid w:val="001B1704"/>
    <w:rsid w:val="001B1749"/>
    <w:rsid w:val="001B1800"/>
    <w:rsid w:val="001B1B34"/>
    <w:rsid w:val="001B1CA2"/>
    <w:rsid w:val="001B22D3"/>
    <w:rsid w:val="001B2300"/>
    <w:rsid w:val="001B2339"/>
    <w:rsid w:val="001B23A4"/>
    <w:rsid w:val="001B245C"/>
    <w:rsid w:val="001B25A3"/>
    <w:rsid w:val="001B2858"/>
    <w:rsid w:val="001B287C"/>
    <w:rsid w:val="001B28FE"/>
    <w:rsid w:val="001B29A1"/>
    <w:rsid w:val="001B3036"/>
    <w:rsid w:val="001B326B"/>
    <w:rsid w:val="001B32BB"/>
    <w:rsid w:val="001B361B"/>
    <w:rsid w:val="001B3913"/>
    <w:rsid w:val="001B3B11"/>
    <w:rsid w:val="001B3D3B"/>
    <w:rsid w:val="001B3D93"/>
    <w:rsid w:val="001B44E5"/>
    <w:rsid w:val="001B44FB"/>
    <w:rsid w:val="001B44FF"/>
    <w:rsid w:val="001B4537"/>
    <w:rsid w:val="001B454D"/>
    <w:rsid w:val="001B46A9"/>
    <w:rsid w:val="001B47CB"/>
    <w:rsid w:val="001B486C"/>
    <w:rsid w:val="001B4F44"/>
    <w:rsid w:val="001B50E5"/>
    <w:rsid w:val="001B5110"/>
    <w:rsid w:val="001B5151"/>
    <w:rsid w:val="001B5191"/>
    <w:rsid w:val="001B5206"/>
    <w:rsid w:val="001B524A"/>
    <w:rsid w:val="001B531C"/>
    <w:rsid w:val="001B56BF"/>
    <w:rsid w:val="001B5A0A"/>
    <w:rsid w:val="001B6153"/>
    <w:rsid w:val="001B62E2"/>
    <w:rsid w:val="001B6343"/>
    <w:rsid w:val="001B6347"/>
    <w:rsid w:val="001B63C1"/>
    <w:rsid w:val="001B64C7"/>
    <w:rsid w:val="001B686C"/>
    <w:rsid w:val="001B6B1E"/>
    <w:rsid w:val="001B6BFC"/>
    <w:rsid w:val="001B6D40"/>
    <w:rsid w:val="001B6E57"/>
    <w:rsid w:val="001B6F60"/>
    <w:rsid w:val="001B71D9"/>
    <w:rsid w:val="001B7412"/>
    <w:rsid w:val="001B766E"/>
    <w:rsid w:val="001B78AD"/>
    <w:rsid w:val="001B7934"/>
    <w:rsid w:val="001B7988"/>
    <w:rsid w:val="001B7A11"/>
    <w:rsid w:val="001B7A6E"/>
    <w:rsid w:val="001B7D63"/>
    <w:rsid w:val="001B7D7E"/>
    <w:rsid w:val="001B7F3E"/>
    <w:rsid w:val="001B7F51"/>
    <w:rsid w:val="001C0220"/>
    <w:rsid w:val="001C031C"/>
    <w:rsid w:val="001C0539"/>
    <w:rsid w:val="001C05A5"/>
    <w:rsid w:val="001C079A"/>
    <w:rsid w:val="001C0ADD"/>
    <w:rsid w:val="001C0B10"/>
    <w:rsid w:val="001C0E2A"/>
    <w:rsid w:val="001C0FF5"/>
    <w:rsid w:val="001C139B"/>
    <w:rsid w:val="001C1430"/>
    <w:rsid w:val="001C148F"/>
    <w:rsid w:val="001C1598"/>
    <w:rsid w:val="001C1670"/>
    <w:rsid w:val="001C17C0"/>
    <w:rsid w:val="001C1A9D"/>
    <w:rsid w:val="001C1B4F"/>
    <w:rsid w:val="001C1E34"/>
    <w:rsid w:val="001C1F6E"/>
    <w:rsid w:val="001C22EB"/>
    <w:rsid w:val="001C245A"/>
    <w:rsid w:val="001C27FE"/>
    <w:rsid w:val="001C2866"/>
    <w:rsid w:val="001C29CC"/>
    <w:rsid w:val="001C2A00"/>
    <w:rsid w:val="001C2AE3"/>
    <w:rsid w:val="001C2B2D"/>
    <w:rsid w:val="001C2C83"/>
    <w:rsid w:val="001C2F94"/>
    <w:rsid w:val="001C342A"/>
    <w:rsid w:val="001C34F4"/>
    <w:rsid w:val="001C3508"/>
    <w:rsid w:val="001C3581"/>
    <w:rsid w:val="001C35B1"/>
    <w:rsid w:val="001C389F"/>
    <w:rsid w:val="001C3F8F"/>
    <w:rsid w:val="001C3FE2"/>
    <w:rsid w:val="001C41DB"/>
    <w:rsid w:val="001C43A4"/>
    <w:rsid w:val="001C49F3"/>
    <w:rsid w:val="001C4B6E"/>
    <w:rsid w:val="001C4FCD"/>
    <w:rsid w:val="001C4FF6"/>
    <w:rsid w:val="001C50F3"/>
    <w:rsid w:val="001C510C"/>
    <w:rsid w:val="001C5372"/>
    <w:rsid w:val="001C53FE"/>
    <w:rsid w:val="001C55CE"/>
    <w:rsid w:val="001C58E2"/>
    <w:rsid w:val="001C5978"/>
    <w:rsid w:val="001C5F2A"/>
    <w:rsid w:val="001C61AC"/>
    <w:rsid w:val="001C680F"/>
    <w:rsid w:val="001C68E3"/>
    <w:rsid w:val="001C6AEF"/>
    <w:rsid w:val="001C6D5E"/>
    <w:rsid w:val="001C6DF9"/>
    <w:rsid w:val="001C6F04"/>
    <w:rsid w:val="001C6F3E"/>
    <w:rsid w:val="001C71E7"/>
    <w:rsid w:val="001C7347"/>
    <w:rsid w:val="001C74DB"/>
    <w:rsid w:val="001C7555"/>
    <w:rsid w:val="001C79CC"/>
    <w:rsid w:val="001C7B63"/>
    <w:rsid w:val="001D0053"/>
    <w:rsid w:val="001D023B"/>
    <w:rsid w:val="001D0470"/>
    <w:rsid w:val="001D06E4"/>
    <w:rsid w:val="001D0C6B"/>
    <w:rsid w:val="001D0F95"/>
    <w:rsid w:val="001D114D"/>
    <w:rsid w:val="001D123D"/>
    <w:rsid w:val="001D1263"/>
    <w:rsid w:val="001D171E"/>
    <w:rsid w:val="001D1C3D"/>
    <w:rsid w:val="001D1C9C"/>
    <w:rsid w:val="001D1E99"/>
    <w:rsid w:val="001D1EBD"/>
    <w:rsid w:val="001D1FD1"/>
    <w:rsid w:val="001D204C"/>
    <w:rsid w:val="001D237B"/>
    <w:rsid w:val="001D23EC"/>
    <w:rsid w:val="001D2470"/>
    <w:rsid w:val="001D252D"/>
    <w:rsid w:val="001D2F03"/>
    <w:rsid w:val="001D3430"/>
    <w:rsid w:val="001D3871"/>
    <w:rsid w:val="001D3A4A"/>
    <w:rsid w:val="001D3AFA"/>
    <w:rsid w:val="001D3F99"/>
    <w:rsid w:val="001D4216"/>
    <w:rsid w:val="001D422D"/>
    <w:rsid w:val="001D49F9"/>
    <w:rsid w:val="001D4A92"/>
    <w:rsid w:val="001D4BDA"/>
    <w:rsid w:val="001D4D33"/>
    <w:rsid w:val="001D4D66"/>
    <w:rsid w:val="001D507B"/>
    <w:rsid w:val="001D512B"/>
    <w:rsid w:val="001D5293"/>
    <w:rsid w:val="001D52F1"/>
    <w:rsid w:val="001D5510"/>
    <w:rsid w:val="001D5CC1"/>
    <w:rsid w:val="001D5CD5"/>
    <w:rsid w:val="001D622D"/>
    <w:rsid w:val="001D6486"/>
    <w:rsid w:val="001D6705"/>
    <w:rsid w:val="001D68B7"/>
    <w:rsid w:val="001D6A63"/>
    <w:rsid w:val="001D6A6B"/>
    <w:rsid w:val="001D6C73"/>
    <w:rsid w:val="001D6DEE"/>
    <w:rsid w:val="001D6ED5"/>
    <w:rsid w:val="001D6F57"/>
    <w:rsid w:val="001D70AB"/>
    <w:rsid w:val="001D7128"/>
    <w:rsid w:val="001D7169"/>
    <w:rsid w:val="001D72EF"/>
    <w:rsid w:val="001D7711"/>
    <w:rsid w:val="001D77EF"/>
    <w:rsid w:val="001D7803"/>
    <w:rsid w:val="001D7877"/>
    <w:rsid w:val="001D7BB9"/>
    <w:rsid w:val="001D7C04"/>
    <w:rsid w:val="001E012E"/>
    <w:rsid w:val="001E0682"/>
    <w:rsid w:val="001E06D7"/>
    <w:rsid w:val="001E06FF"/>
    <w:rsid w:val="001E0BEE"/>
    <w:rsid w:val="001E0CB4"/>
    <w:rsid w:val="001E0D1F"/>
    <w:rsid w:val="001E0D3E"/>
    <w:rsid w:val="001E13ED"/>
    <w:rsid w:val="001E1A5C"/>
    <w:rsid w:val="001E1B25"/>
    <w:rsid w:val="001E1B45"/>
    <w:rsid w:val="001E1BFB"/>
    <w:rsid w:val="001E1F73"/>
    <w:rsid w:val="001E1FC2"/>
    <w:rsid w:val="001E22A4"/>
    <w:rsid w:val="001E2539"/>
    <w:rsid w:val="001E2A0F"/>
    <w:rsid w:val="001E2ADD"/>
    <w:rsid w:val="001E2D06"/>
    <w:rsid w:val="001E3074"/>
    <w:rsid w:val="001E32FE"/>
    <w:rsid w:val="001E3407"/>
    <w:rsid w:val="001E3557"/>
    <w:rsid w:val="001E368F"/>
    <w:rsid w:val="001E37B3"/>
    <w:rsid w:val="001E3921"/>
    <w:rsid w:val="001E3979"/>
    <w:rsid w:val="001E3B14"/>
    <w:rsid w:val="001E3B28"/>
    <w:rsid w:val="001E3B3D"/>
    <w:rsid w:val="001E3BA3"/>
    <w:rsid w:val="001E4073"/>
    <w:rsid w:val="001E42F0"/>
    <w:rsid w:val="001E480B"/>
    <w:rsid w:val="001E48AF"/>
    <w:rsid w:val="001E4AC3"/>
    <w:rsid w:val="001E4BA8"/>
    <w:rsid w:val="001E4CE6"/>
    <w:rsid w:val="001E5082"/>
    <w:rsid w:val="001E524E"/>
    <w:rsid w:val="001E538D"/>
    <w:rsid w:val="001E5415"/>
    <w:rsid w:val="001E5581"/>
    <w:rsid w:val="001E5612"/>
    <w:rsid w:val="001E5732"/>
    <w:rsid w:val="001E5A16"/>
    <w:rsid w:val="001E64E0"/>
    <w:rsid w:val="001E65B3"/>
    <w:rsid w:val="001E6C2C"/>
    <w:rsid w:val="001E6C8B"/>
    <w:rsid w:val="001E6CB2"/>
    <w:rsid w:val="001E6E60"/>
    <w:rsid w:val="001E6EE8"/>
    <w:rsid w:val="001E7267"/>
    <w:rsid w:val="001E730E"/>
    <w:rsid w:val="001E732E"/>
    <w:rsid w:val="001E740B"/>
    <w:rsid w:val="001E754A"/>
    <w:rsid w:val="001E76C3"/>
    <w:rsid w:val="001E7719"/>
    <w:rsid w:val="001E7906"/>
    <w:rsid w:val="001F02AD"/>
    <w:rsid w:val="001F0844"/>
    <w:rsid w:val="001F08C4"/>
    <w:rsid w:val="001F0CCC"/>
    <w:rsid w:val="001F0D81"/>
    <w:rsid w:val="001F0E6C"/>
    <w:rsid w:val="001F0E7C"/>
    <w:rsid w:val="001F0F5C"/>
    <w:rsid w:val="001F0F69"/>
    <w:rsid w:val="001F1153"/>
    <w:rsid w:val="001F14DC"/>
    <w:rsid w:val="001F15B7"/>
    <w:rsid w:val="001F18F2"/>
    <w:rsid w:val="001F1A3F"/>
    <w:rsid w:val="001F1B19"/>
    <w:rsid w:val="001F1D21"/>
    <w:rsid w:val="001F1D9C"/>
    <w:rsid w:val="001F1FCE"/>
    <w:rsid w:val="001F20FC"/>
    <w:rsid w:val="001F215D"/>
    <w:rsid w:val="001F247D"/>
    <w:rsid w:val="001F263D"/>
    <w:rsid w:val="001F2772"/>
    <w:rsid w:val="001F2A23"/>
    <w:rsid w:val="001F2D6E"/>
    <w:rsid w:val="001F2E8B"/>
    <w:rsid w:val="001F2FAC"/>
    <w:rsid w:val="001F3089"/>
    <w:rsid w:val="001F37C3"/>
    <w:rsid w:val="001F3A08"/>
    <w:rsid w:val="001F3CA8"/>
    <w:rsid w:val="001F3E6E"/>
    <w:rsid w:val="001F3F6D"/>
    <w:rsid w:val="001F400B"/>
    <w:rsid w:val="001F4231"/>
    <w:rsid w:val="001F4558"/>
    <w:rsid w:val="001F4662"/>
    <w:rsid w:val="001F473B"/>
    <w:rsid w:val="001F475E"/>
    <w:rsid w:val="001F4974"/>
    <w:rsid w:val="001F4C55"/>
    <w:rsid w:val="001F4DA6"/>
    <w:rsid w:val="001F4EB2"/>
    <w:rsid w:val="001F5015"/>
    <w:rsid w:val="001F504E"/>
    <w:rsid w:val="001F511F"/>
    <w:rsid w:val="001F57D0"/>
    <w:rsid w:val="001F58A8"/>
    <w:rsid w:val="001F5A2E"/>
    <w:rsid w:val="001F5E69"/>
    <w:rsid w:val="001F5F8C"/>
    <w:rsid w:val="001F611F"/>
    <w:rsid w:val="001F65D7"/>
    <w:rsid w:val="001F66B9"/>
    <w:rsid w:val="001F69CD"/>
    <w:rsid w:val="001F6C45"/>
    <w:rsid w:val="001F6CD3"/>
    <w:rsid w:val="001F6E28"/>
    <w:rsid w:val="001F6EA7"/>
    <w:rsid w:val="001F6FEA"/>
    <w:rsid w:val="001F71F2"/>
    <w:rsid w:val="001F7238"/>
    <w:rsid w:val="001F7585"/>
    <w:rsid w:val="001F75E4"/>
    <w:rsid w:val="001F76B2"/>
    <w:rsid w:val="001F76E6"/>
    <w:rsid w:val="001F77A0"/>
    <w:rsid w:val="001F7920"/>
    <w:rsid w:val="001F7C27"/>
    <w:rsid w:val="00200134"/>
    <w:rsid w:val="0020021B"/>
    <w:rsid w:val="002004E5"/>
    <w:rsid w:val="00200545"/>
    <w:rsid w:val="00200592"/>
    <w:rsid w:val="002007ED"/>
    <w:rsid w:val="0020090D"/>
    <w:rsid w:val="00200BAB"/>
    <w:rsid w:val="00200C26"/>
    <w:rsid w:val="00200FB4"/>
    <w:rsid w:val="0020158C"/>
    <w:rsid w:val="002017C5"/>
    <w:rsid w:val="00201976"/>
    <w:rsid w:val="00201BB3"/>
    <w:rsid w:val="00201BF7"/>
    <w:rsid w:val="00201C42"/>
    <w:rsid w:val="00201E0C"/>
    <w:rsid w:val="00201FCF"/>
    <w:rsid w:val="00202093"/>
    <w:rsid w:val="00202500"/>
    <w:rsid w:val="00202B41"/>
    <w:rsid w:val="00202D0A"/>
    <w:rsid w:val="00202E01"/>
    <w:rsid w:val="00203385"/>
    <w:rsid w:val="002033FE"/>
    <w:rsid w:val="002034A1"/>
    <w:rsid w:val="00203707"/>
    <w:rsid w:val="00203A02"/>
    <w:rsid w:val="00203B64"/>
    <w:rsid w:val="00203B6E"/>
    <w:rsid w:val="00203BC1"/>
    <w:rsid w:val="00203C82"/>
    <w:rsid w:val="002040C2"/>
    <w:rsid w:val="002044AD"/>
    <w:rsid w:val="002044D1"/>
    <w:rsid w:val="002046A6"/>
    <w:rsid w:val="00204BE3"/>
    <w:rsid w:val="00204D81"/>
    <w:rsid w:val="00204D9E"/>
    <w:rsid w:val="00204DA2"/>
    <w:rsid w:val="00204E26"/>
    <w:rsid w:val="002051D3"/>
    <w:rsid w:val="00205276"/>
    <w:rsid w:val="00205707"/>
    <w:rsid w:val="00205890"/>
    <w:rsid w:val="00205F60"/>
    <w:rsid w:val="00206274"/>
    <w:rsid w:val="002062A6"/>
    <w:rsid w:val="002062FD"/>
    <w:rsid w:val="002063C2"/>
    <w:rsid w:val="002063FA"/>
    <w:rsid w:val="00206426"/>
    <w:rsid w:val="00206659"/>
    <w:rsid w:val="00206A68"/>
    <w:rsid w:val="00206D14"/>
    <w:rsid w:val="00206DC7"/>
    <w:rsid w:val="002070C2"/>
    <w:rsid w:val="002070EB"/>
    <w:rsid w:val="00207336"/>
    <w:rsid w:val="00207358"/>
    <w:rsid w:val="002076CB"/>
    <w:rsid w:val="0020773F"/>
    <w:rsid w:val="00207868"/>
    <w:rsid w:val="002079BB"/>
    <w:rsid w:val="00207B39"/>
    <w:rsid w:val="00207D2F"/>
    <w:rsid w:val="00207F08"/>
    <w:rsid w:val="0021055B"/>
    <w:rsid w:val="002108DC"/>
    <w:rsid w:val="00210B72"/>
    <w:rsid w:val="00210B9F"/>
    <w:rsid w:val="00211040"/>
    <w:rsid w:val="0021112C"/>
    <w:rsid w:val="00211290"/>
    <w:rsid w:val="002116C3"/>
    <w:rsid w:val="00211893"/>
    <w:rsid w:val="0021191F"/>
    <w:rsid w:val="00211A48"/>
    <w:rsid w:val="00211B51"/>
    <w:rsid w:val="00211D76"/>
    <w:rsid w:val="00211E4A"/>
    <w:rsid w:val="00211F45"/>
    <w:rsid w:val="00212246"/>
    <w:rsid w:val="0021243B"/>
    <w:rsid w:val="002126C9"/>
    <w:rsid w:val="00212799"/>
    <w:rsid w:val="00212CFC"/>
    <w:rsid w:val="002130F6"/>
    <w:rsid w:val="0021372D"/>
    <w:rsid w:val="00213B4A"/>
    <w:rsid w:val="00214090"/>
    <w:rsid w:val="0021434B"/>
    <w:rsid w:val="00214652"/>
    <w:rsid w:val="00214660"/>
    <w:rsid w:val="002148CB"/>
    <w:rsid w:val="00214920"/>
    <w:rsid w:val="00214EB2"/>
    <w:rsid w:val="002154EA"/>
    <w:rsid w:val="00215576"/>
    <w:rsid w:val="0021559C"/>
    <w:rsid w:val="00215603"/>
    <w:rsid w:val="002156F9"/>
    <w:rsid w:val="0021572E"/>
    <w:rsid w:val="00215D6D"/>
    <w:rsid w:val="00215D85"/>
    <w:rsid w:val="002160F6"/>
    <w:rsid w:val="002162AA"/>
    <w:rsid w:val="002162C8"/>
    <w:rsid w:val="002167C7"/>
    <w:rsid w:val="002168BA"/>
    <w:rsid w:val="00216ECE"/>
    <w:rsid w:val="00217389"/>
    <w:rsid w:val="00217527"/>
    <w:rsid w:val="00217620"/>
    <w:rsid w:val="0021776E"/>
    <w:rsid w:val="00217880"/>
    <w:rsid w:val="0021791B"/>
    <w:rsid w:val="00217CA4"/>
    <w:rsid w:val="00217F2B"/>
    <w:rsid w:val="00217F4C"/>
    <w:rsid w:val="00220419"/>
    <w:rsid w:val="00220490"/>
    <w:rsid w:val="00220895"/>
    <w:rsid w:val="00220CC7"/>
    <w:rsid w:val="0022107A"/>
    <w:rsid w:val="002213D0"/>
    <w:rsid w:val="002215EB"/>
    <w:rsid w:val="002217DD"/>
    <w:rsid w:val="00221B88"/>
    <w:rsid w:val="00221BE7"/>
    <w:rsid w:val="00221CC6"/>
    <w:rsid w:val="00221D80"/>
    <w:rsid w:val="00221DA5"/>
    <w:rsid w:val="00221ED4"/>
    <w:rsid w:val="002220E6"/>
    <w:rsid w:val="00222140"/>
    <w:rsid w:val="002221DA"/>
    <w:rsid w:val="002222B9"/>
    <w:rsid w:val="002222DE"/>
    <w:rsid w:val="002225A0"/>
    <w:rsid w:val="0022268E"/>
    <w:rsid w:val="002227B7"/>
    <w:rsid w:val="00222B57"/>
    <w:rsid w:val="002232EF"/>
    <w:rsid w:val="00223367"/>
    <w:rsid w:val="00223444"/>
    <w:rsid w:val="002236AC"/>
    <w:rsid w:val="00223845"/>
    <w:rsid w:val="00223897"/>
    <w:rsid w:val="002239A4"/>
    <w:rsid w:val="002239B3"/>
    <w:rsid w:val="00223D7A"/>
    <w:rsid w:val="00223DD9"/>
    <w:rsid w:val="0022422A"/>
    <w:rsid w:val="00224246"/>
    <w:rsid w:val="002242D7"/>
    <w:rsid w:val="002243B1"/>
    <w:rsid w:val="00224549"/>
    <w:rsid w:val="0022489B"/>
    <w:rsid w:val="0022499A"/>
    <w:rsid w:val="00224C26"/>
    <w:rsid w:val="00224E36"/>
    <w:rsid w:val="00225039"/>
    <w:rsid w:val="00225313"/>
    <w:rsid w:val="002253F5"/>
    <w:rsid w:val="002258E6"/>
    <w:rsid w:val="00225906"/>
    <w:rsid w:val="00226068"/>
    <w:rsid w:val="00226383"/>
    <w:rsid w:val="002264AD"/>
    <w:rsid w:val="00226846"/>
    <w:rsid w:val="002269D5"/>
    <w:rsid w:val="00226A1E"/>
    <w:rsid w:val="00226C66"/>
    <w:rsid w:val="00226D06"/>
    <w:rsid w:val="0022704E"/>
    <w:rsid w:val="002271D0"/>
    <w:rsid w:val="00227A45"/>
    <w:rsid w:val="0023004F"/>
    <w:rsid w:val="002300A4"/>
    <w:rsid w:val="002300F4"/>
    <w:rsid w:val="002307CF"/>
    <w:rsid w:val="0023085D"/>
    <w:rsid w:val="00230A42"/>
    <w:rsid w:val="00230BF5"/>
    <w:rsid w:val="00230CE7"/>
    <w:rsid w:val="00230E50"/>
    <w:rsid w:val="002310A5"/>
    <w:rsid w:val="0023155A"/>
    <w:rsid w:val="002316DE"/>
    <w:rsid w:val="0023180E"/>
    <w:rsid w:val="00231FD4"/>
    <w:rsid w:val="002320D6"/>
    <w:rsid w:val="00232538"/>
    <w:rsid w:val="00232BD1"/>
    <w:rsid w:val="00232D2A"/>
    <w:rsid w:val="00232D88"/>
    <w:rsid w:val="00233083"/>
    <w:rsid w:val="002330B6"/>
    <w:rsid w:val="0023322F"/>
    <w:rsid w:val="00233842"/>
    <w:rsid w:val="002339F4"/>
    <w:rsid w:val="00233D23"/>
    <w:rsid w:val="00233D2A"/>
    <w:rsid w:val="00233F1F"/>
    <w:rsid w:val="002343EE"/>
    <w:rsid w:val="00234465"/>
    <w:rsid w:val="002346E3"/>
    <w:rsid w:val="0023476C"/>
    <w:rsid w:val="002347A8"/>
    <w:rsid w:val="00234843"/>
    <w:rsid w:val="002348A7"/>
    <w:rsid w:val="00234B22"/>
    <w:rsid w:val="00234CDF"/>
    <w:rsid w:val="00234D02"/>
    <w:rsid w:val="00234EC9"/>
    <w:rsid w:val="00234ECD"/>
    <w:rsid w:val="002352E6"/>
    <w:rsid w:val="0023575E"/>
    <w:rsid w:val="00235806"/>
    <w:rsid w:val="002359F2"/>
    <w:rsid w:val="002366B4"/>
    <w:rsid w:val="00236B9F"/>
    <w:rsid w:val="00236BC7"/>
    <w:rsid w:val="00236E31"/>
    <w:rsid w:val="00237063"/>
    <w:rsid w:val="00237081"/>
    <w:rsid w:val="002373DA"/>
    <w:rsid w:val="00237864"/>
    <w:rsid w:val="00237996"/>
    <w:rsid w:val="00237B1B"/>
    <w:rsid w:val="00237B31"/>
    <w:rsid w:val="00237C3C"/>
    <w:rsid w:val="00237E37"/>
    <w:rsid w:val="00240000"/>
    <w:rsid w:val="00240233"/>
    <w:rsid w:val="0024037D"/>
    <w:rsid w:val="002403FF"/>
    <w:rsid w:val="002404C4"/>
    <w:rsid w:val="00240581"/>
    <w:rsid w:val="002405ED"/>
    <w:rsid w:val="00240B03"/>
    <w:rsid w:val="002414A3"/>
    <w:rsid w:val="00241535"/>
    <w:rsid w:val="00241541"/>
    <w:rsid w:val="0024160E"/>
    <w:rsid w:val="00241F51"/>
    <w:rsid w:val="00242044"/>
    <w:rsid w:val="00242250"/>
    <w:rsid w:val="00242262"/>
    <w:rsid w:val="00242637"/>
    <w:rsid w:val="00242696"/>
    <w:rsid w:val="0024281F"/>
    <w:rsid w:val="00242B40"/>
    <w:rsid w:val="00242B94"/>
    <w:rsid w:val="00242D11"/>
    <w:rsid w:val="00242DC7"/>
    <w:rsid w:val="00243019"/>
    <w:rsid w:val="0024306D"/>
    <w:rsid w:val="00243668"/>
    <w:rsid w:val="002439DB"/>
    <w:rsid w:val="002439FC"/>
    <w:rsid w:val="00243A0B"/>
    <w:rsid w:val="00243B2A"/>
    <w:rsid w:val="00243B7D"/>
    <w:rsid w:val="00243B93"/>
    <w:rsid w:val="00243BCE"/>
    <w:rsid w:val="00243BED"/>
    <w:rsid w:val="00243DC8"/>
    <w:rsid w:val="0024400E"/>
    <w:rsid w:val="00244051"/>
    <w:rsid w:val="0024422C"/>
    <w:rsid w:val="00244380"/>
    <w:rsid w:val="00244487"/>
    <w:rsid w:val="002445F5"/>
    <w:rsid w:val="00244603"/>
    <w:rsid w:val="00244750"/>
    <w:rsid w:val="002449E8"/>
    <w:rsid w:val="00244B89"/>
    <w:rsid w:val="0024501E"/>
    <w:rsid w:val="002452E8"/>
    <w:rsid w:val="002457BC"/>
    <w:rsid w:val="00245B0B"/>
    <w:rsid w:val="00245F19"/>
    <w:rsid w:val="00245F89"/>
    <w:rsid w:val="0024623B"/>
    <w:rsid w:val="00246240"/>
    <w:rsid w:val="00246457"/>
    <w:rsid w:val="002464A3"/>
    <w:rsid w:val="002464AC"/>
    <w:rsid w:val="00246989"/>
    <w:rsid w:val="002470A8"/>
    <w:rsid w:val="002470F2"/>
    <w:rsid w:val="00247179"/>
    <w:rsid w:val="00247197"/>
    <w:rsid w:val="00247886"/>
    <w:rsid w:val="0024792E"/>
    <w:rsid w:val="00247A62"/>
    <w:rsid w:val="00247ED6"/>
    <w:rsid w:val="00250017"/>
    <w:rsid w:val="0025004D"/>
    <w:rsid w:val="002502B2"/>
    <w:rsid w:val="002503FD"/>
    <w:rsid w:val="0025067D"/>
    <w:rsid w:val="002506A5"/>
    <w:rsid w:val="00250871"/>
    <w:rsid w:val="00250B79"/>
    <w:rsid w:val="00250BCE"/>
    <w:rsid w:val="00250C64"/>
    <w:rsid w:val="00250DD8"/>
    <w:rsid w:val="0025106A"/>
    <w:rsid w:val="0025108C"/>
    <w:rsid w:val="0025145B"/>
    <w:rsid w:val="00251525"/>
    <w:rsid w:val="0025176B"/>
    <w:rsid w:val="002518C3"/>
    <w:rsid w:val="00251A7E"/>
    <w:rsid w:val="00251BE1"/>
    <w:rsid w:val="00251C8E"/>
    <w:rsid w:val="00251D40"/>
    <w:rsid w:val="00251DCC"/>
    <w:rsid w:val="00251E64"/>
    <w:rsid w:val="002521F9"/>
    <w:rsid w:val="002523D7"/>
    <w:rsid w:val="00252571"/>
    <w:rsid w:val="002525DA"/>
    <w:rsid w:val="0025264E"/>
    <w:rsid w:val="00252986"/>
    <w:rsid w:val="00253084"/>
    <w:rsid w:val="00253735"/>
    <w:rsid w:val="00253748"/>
    <w:rsid w:val="002537F7"/>
    <w:rsid w:val="002538E6"/>
    <w:rsid w:val="00253A15"/>
    <w:rsid w:val="00253BB0"/>
    <w:rsid w:val="00253C28"/>
    <w:rsid w:val="00253D24"/>
    <w:rsid w:val="002540A6"/>
    <w:rsid w:val="00254143"/>
    <w:rsid w:val="00254486"/>
    <w:rsid w:val="002545EA"/>
    <w:rsid w:val="00254652"/>
    <w:rsid w:val="00254792"/>
    <w:rsid w:val="0025493E"/>
    <w:rsid w:val="00254E9A"/>
    <w:rsid w:val="00254F06"/>
    <w:rsid w:val="0025501B"/>
    <w:rsid w:val="00255084"/>
    <w:rsid w:val="00255115"/>
    <w:rsid w:val="0025559B"/>
    <w:rsid w:val="00255C86"/>
    <w:rsid w:val="00255CF6"/>
    <w:rsid w:val="00255D2A"/>
    <w:rsid w:val="00255EC1"/>
    <w:rsid w:val="00256082"/>
    <w:rsid w:val="002560AC"/>
    <w:rsid w:val="00256485"/>
    <w:rsid w:val="0025651D"/>
    <w:rsid w:val="0025669E"/>
    <w:rsid w:val="002567D0"/>
    <w:rsid w:val="00256A7A"/>
    <w:rsid w:val="00256E32"/>
    <w:rsid w:val="00256EBD"/>
    <w:rsid w:val="002570AA"/>
    <w:rsid w:val="002572BB"/>
    <w:rsid w:val="0025734D"/>
    <w:rsid w:val="00257375"/>
    <w:rsid w:val="00257582"/>
    <w:rsid w:val="00257660"/>
    <w:rsid w:val="002576A3"/>
    <w:rsid w:val="00257A14"/>
    <w:rsid w:val="00257D13"/>
    <w:rsid w:val="00257F0F"/>
    <w:rsid w:val="00257F2E"/>
    <w:rsid w:val="0026022A"/>
    <w:rsid w:val="002602F3"/>
    <w:rsid w:val="002603B7"/>
    <w:rsid w:val="002604E3"/>
    <w:rsid w:val="002607CB"/>
    <w:rsid w:val="002609A8"/>
    <w:rsid w:val="00260C7B"/>
    <w:rsid w:val="00260D8A"/>
    <w:rsid w:val="00260F15"/>
    <w:rsid w:val="00260F7B"/>
    <w:rsid w:val="002610F7"/>
    <w:rsid w:val="00261292"/>
    <w:rsid w:val="0026136B"/>
    <w:rsid w:val="00261626"/>
    <w:rsid w:val="002617F8"/>
    <w:rsid w:val="002618FA"/>
    <w:rsid w:val="0026192C"/>
    <w:rsid w:val="00261B96"/>
    <w:rsid w:val="00261C42"/>
    <w:rsid w:val="00261DA2"/>
    <w:rsid w:val="00261E3F"/>
    <w:rsid w:val="00261F45"/>
    <w:rsid w:val="002624BD"/>
    <w:rsid w:val="00262595"/>
    <w:rsid w:val="0026264B"/>
    <w:rsid w:val="00262782"/>
    <w:rsid w:val="002628B9"/>
    <w:rsid w:val="00262AAB"/>
    <w:rsid w:val="00262B3A"/>
    <w:rsid w:val="00262B6A"/>
    <w:rsid w:val="00262BF3"/>
    <w:rsid w:val="0026360E"/>
    <w:rsid w:val="002636A7"/>
    <w:rsid w:val="00263A6A"/>
    <w:rsid w:val="00263D17"/>
    <w:rsid w:val="002640BF"/>
    <w:rsid w:val="00264345"/>
    <w:rsid w:val="002645B1"/>
    <w:rsid w:val="002648EA"/>
    <w:rsid w:val="00264D3F"/>
    <w:rsid w:val="00264F7D"/>
    <w:rsid w:val="002652FF"/>
    <w:rsid w:val="00265A65"/>
    <w:rsid w:val="00265C12"/>
    <w:rsid w:val="00265C5E"/>
    <w:rsid w:val="00265FB8"/>
    <w:rsid w:val="00266167"/>
    <w:rsid w:val="002662ED"/>
    <w:rsid w:val="002667BF"/>
    <w:rsid w:val="0026699B"/>
    <w:rsid w:val="002669AA"/>
    <w:rsid w:val="00266C4B"/>
    <w:rsid w:val="00266D65"/>
    <w:rsid w:val="00266DEE"/>
    <w:rsid w:val="00267292"/>
    <w:rsid w:val="0026753C"/>
    <w:rsid w:val="00267604"/>
    <w:rsid w:val="002678D9"/>
    <w:rsid w:val="00267C48"/>
    <w:rsid w:val="00267F3A"/>
    <w:rsid w:val="00270073"/>
    <w:rsid w:val="00270156"/>
    <w:rsid w:val="002704E8"/>
    <w:rsid w:val="00270691"/>
    <w:rsid w:val="00270945"/>
    <w:rsid w:val="00270B24"/>
    <w:rsid w:val="00270DA9"/>
    <w:rsid w:val="00270E08"/>
    <w:rsid w:val="00270E70"/>
    <w:rsid w:val="002711F9"/>
    <w:rsid w:val="00271298"/>
    <w:rsid w:val="002713FF"/>
    <w:rsid w:val="002714D9"/>
    <w:rsid w:val="00271708"/>
    <w:rsid w:val="0027177E"/>
    <w:rsid w:val="002718B1"/>
    <w:rsid w:val="00271B12"/>
    <w:rsid w:val="00271BC7"/>
    <w:rsid w:val="00271D58"/>
    <w:rsid w:val="00271E5D"/>
    <w:rsid w:val="002723AA"/>
    <w:rsid w:val="002723E0"/>
    <w:rsid w:val="002727B7"/>
    <w:rsid w:val="00272966"/>
    <w:rsid w:val="00272BD4"/>
    <w:rsid w:val="00272DFD"/>
    <w:rsid w:val="0027310D"/>
    <w:rsid w:val="00273202"/>
    <w:rsid w:val="002736D9"/>
    <w:rsid w:val="0027378C"/>
    <w:rsid w:val="00273987"/>
    <w:rsid w:val="00273A74"/>
    <w:rsid w:val="00273D98"/>
    <w:rsid w:val="00273E62"/>
    <w:rsid w:val="00273FF3"/>
    <w:rsid w:val="002740AE"/>
    <w:rsid w:val="002744C9"/>
    <w:rsid w:val="00274B5A"/>
    <w:rsid w:val="00274E9E"/>
    <w:rsid w:val="0027504F"/>
    <w:rsid w:val="00275AA7"/>
    <w:rsid w:val="00275B20"/>
    <w:rsid w:val="0027616D"/>
    <w:rsid w:val="0027675A"/>
    <w:rsid w:val="00276990"/>
    <w:rsid w:val="00276E7B"/>
    <w:rsid w:val="00277487"/>
    <w:rsid w:val="0027765C"/>
    <w:rsid w:val="00277B27"/>
    <w:rsid w:val="00277C1C"/>
    <w:rsid w:val="00277FCD"/>
    <w:rsid w:val="002800ED"/>
    <w:rsid w:val="002804C8"/>
    <w:rsid w:val="002805B1"/>
    <w:rsid w:val="002805CF"/>
    <w:rsid w:val="002806D3"/>
    <w:rsid w:val="002808C1"/>
    <w:rsid w:val="00280E8A"/>
    <w:rsid w:val="00280F39"/>
    <w:rsid w:val="002812A0"/>
    <w:rsid w:val="00281522"/>
    <w:rsid w:val="00281A74"/>
    <w:rsid w:val="00281A96"/>
    <w:rsid w:val="00281BB3"/>
    <w:rsid w:val="00281E47"/>
    <w:rsid w:val="00281EC9"/>
    <w:rsid w:val="002822D5"/>
    <w:rsid w:val="00282B65"/>
    <w:rsid w:val="00282C0D"/>
    <w:rsid w:val="00282E25"/>
    <w:rsid w:val="002831B2"/>
    <w:rsid w:val="002833BF"/>
    <w:rsid w:val="002835BC"/>
    <w:rsid w:val="0028366E"/>
    <w:rsid w:val="002837FE"/>
    <w:rsid w:val="002838F5"/>
    <w:rsid w:val="002839B6"/>
    <w:rsid w:val="00283A6D"/>
    <w:rsid w:val="00283AD2"/>
    <w:rsid w:val="00283B0A"/>
    <w:rsid w:val="00283DE1"/>
    <w:rsid w:val="00283F4D"/>
    <w:rsid w:val="00283FB8"/>
    <w:rsid w:val="00284153"/>
    <w:rsid w:val="002843F7"/>
    <w:rsid w:val="00284586"/>
    <w:rsid w:val="002846F6"/>
    <w:rsid w:val="00284A18"/>
    <w:rsid w:val="00284A65"/>
    <w:rsid w:val="00284A9A"/>
    <w:rsid w:val="00285185"/>
    <w:rsid w:val="00285364"/>
    <w:rsid w:val="00285574"/>
    <w:rsid w:val="00285605"/>
    <w:rsid w:val="0028560B"/>
    <w:rsid w:val="0028576F"/>
    <w:rsid w:val="00285AC6"/>
    <w:rsid w:val="002865A6"/>
    <w:rsid w:val="00286642"/>
    <w:rsid w:val="00286A6B"/>
    <w:rsid w:val="00286E81"/>
    <w:rsid w:val="00286FF8"/>
    <w:rsid w:val="00287115"/>
    <w:rsid w:val="00287189"/>
    <w:rsid w:val="002871AE"/>
    <w:rsid w:val="0028737D"/>
    <w:rsid w:val="002874A5"/>
    <w:rsid w:val="0028772F"/>
    <w:rsid w:val="00287C20"/>
    <w:rsid w:val="00287CA3"/>
    <w:rsid w:val="002901D1"/>
    <w:rsid w:val="002902E4"/>
    <w:rsid w:val="002909E2"/>
    <w:rsid w:val="00291003"/>
    <w:rsid w:val="00291110"/>
    <w:rsid w:val="00291343"/>
    <w:rsid w:val="002913EE"/>
    <w:rsid w:val="002913F2"/>
    <w:rsid w:val="002914C9"/>
    <w:rsid w:val="002919D5"/>
    <w:rsid w:val="00291A7F"/>
    <w:rsid w:val="00291D22"/>
    <w:rsid w:val="00291DCF"/>
    <w:rsid w:val="00291E7D"/>
    <w:rsid w:val="0029217E"/>
    <w:rsid w:val="00292352"/>
    <w:rsid w:val="0029266D"/>
    <w:rsid w:val="00292D78"/>
    <w:rsid w:val="0029314E"/>
    <w:rsid w:val="00293204"/>
    <w:rsid w:val="0029320C"/>
    <w:rsid w:val="0029344D"/>
    <w:rsid w:val="00293494"/>
    <w:rsid w:val="00293769"/>
    <w:rsid w:val="0029391E"/>
    <w:rsid w:val="0029392E"/>
    <w:rsid w:val="00293A69"/>
    <w:rsid w:val="00293E89"/>
    <w:rsid w:val="00293F5F"/>
    <w:rsid w:val="002940AA"/>
    <w:rsid w:val="00294215"/>
    <w:rsid w:val="0029429D"/>
    <w:rsid w:val="002942F8"/>
    <w:rsid w:val="0029432D"/>
    <w:rsid w:val="0029461F"/>
    <w:rsid w:val="002946A6"/>
    <w:rsid w:val="0029480D"/>
    <w:rsid w:val="00294924"/>
    <w:rsid w:val="00294A1F"/>
    <w:rsid w:val="00294B27"/>
    <w:rsid w:val="00294DC4"/>
    <w:rsid w:val="00294EDC"/>
    <w:rsid w:val="00295062"/>
    <w:rsid w:val="002953E9"/>
    <w:rsid w:val="0029545A"/>
    <w:rsid w:val="002954D5"/>
    <w:rsid w:val="00295669"/>
    <w:rsid w:val="002956D5"/>
    <w:rsid w:val="002959D9"/>
    <w:rsid w:val="00295A1D"/>
    <w:rsid w:val="00295AB2"/>
    <w:rsid w:val="00295B7F"/>
    <w:rsid w:val="00295C8B"/>
    <w:rsid w:val="00295FB0"/>
    <w:rsid w:val="00296162"/>
    <w:rsid w:val="00296171"/>
    <w:rsid w:val="002962BD"/>
    <w:rsid w:val="0029640A"/>
    <w:rsid w:val="002965FA"/>
    <w:rsid w:val="002967C7"/>
    <w:rsid w:val="002967CC"/>
    <w:rsid w:val="00296805"/>
    <w:rsid w:val="00296F43"/>
    <w:rsid w:val="00296F8C"/>
    <w:rsid w:val="00297244"/>
    <w:rsid w:val="00297332"/>
    <w:rsid w:val="00297543"/>
    <w:rsid w:val="0029755C"/>
    <w:rsid w:val="00297706"/>
    <w:rsid w:val="002979CA"/>
    <w:rsid w:val="002979E1"/>
    <w:rsid w:val="00297A7E"/>
    <w:rsid w:val="00297AD2"/>
    <w:rsid w:val="00297D40"/>
    <w:rsid w:val="002A0408"/>
    <w:rsid w:val="002A0491"/>
    <w:rsid w:val="002A097B"/>
    <w:rsid w:val="002A0C12"/>
    <w:rsid w:val="002A0C30"/>
    <w:rsid w:val="002A0DF3"/>
    <w:rsid w:val="002A0E49"/>
    <w:rsid w:val="002A0FAB"/>
    <w:rsid w:val="002A1505"/>
    <w:rsid w:val="002A15C8"/>
    <w:rsid w:val="002A1674"/>
    <w:rsid w:val="002A1912"/>
    <w:rsid w:val="002A194D"/>
    <w:rsid w:val="002A1CD6"/>
    <w:rsid w:val="002A1E3D"/>
    <w:rsid w:val="002A1F94"/>
    <w:rsid w:val="002A1FCD"/>
    <w:rsid w:val="002A1FFF"/>
    <w:rsid w:val="002A2289"/>
    <w:rsid w:val="002A28B3"/>
    <w:rsid w:val="002A2D17"/>
    <w:rsid w:val="002A2FBA"/>
    <w:rsid w:val="002A3030"/>
    <w:rsid w:val="002A3120"/>
    <w:rsid w:val="002A316B"/>
    <w:rsid w:val="002A340E"/>
    <w:rsid w:val="002A396D"/>
    <w:rsid w:val="002A3D86"/>
    <w:rsid w:val="002A3EE6"/>
    <w:rsid w:val="002A3F30"/>
    <w:rsid w:val="002A3F86"/>
    <w:rsid w:val="002A3F9B"/>
    <w:rsid w:val="002A40E8"/>
    <w:rsid w:val="002A4280"/>
    <w:rsid w:val="002A430A"/>
    <w:rsid w:val="002A4432"/>
    <w:rsid w:val="002A4452"/>
    <w:rsid w:val="002A45A4"/>
    <w:rsid w:val="002A467B"/>
    <w:rsid w:val="002A48D2"/>
    <w:rsid w:val="002A496C"/>
    <w:rsid w:val="002A4EEF"/>
    <w:rsid w:val="002A50F6"/>
    <w:rsid w:val="002A5946"/>
    <w:rsid w:val="002A59C4"/>
    <w:rsid w:val="002A5A82"/>
    <w:rsid w:val="002A5BC5"/>
    <w:rsid w:val="002A5E41"/>
    <w:rsid w:val="002A621F"/>
    <w:rsid w:val="002A6265"/>
    <w:rsid w:val="002A6461"/>
    <w:rsid w:val="002A652A"/>
    <w:rsid w:val="002A6556"/>
    <w:rsid w:val="002A6723"/>
    <w:rsid w:val="002A6C79"/>
    <w:rsid w:val="002A782B"/>
    <w:rsid w:val="002A7BF3"/>
    <w:rsid w:val="002A7C6A"/>
    <w:rsid w:val="002A7E22"/>
    <w:rsid w:val="002A7F5B"/>
    <w:rsid w:val="002A7FF9"/>
    <w:rsid w:val="002B00C2"/>
    <w:rsid w:val="002B0141"/>
    <w:rsid w:val="002B017C"/>
    <w:rsid w:val="002B02F3"/>
    <w:rsid w:val="002B0587"/>
    <w:rsid w:val="002B069C"/>
    <w:rsid w:val="002B06DA"/>
    <w:rsid w:val="002B0850"/>
    <w:rsid w:val="002B0B82"/>
    <w:rsid w:val="002B0E49"/>
    <w:rsid w:val="002B1221"/>
    <w:rsid w:val="002B165B"/>
    <w:rsid w:val="002B1909"/>
    <w:rsid w:val="002B1B18"/>
    <w:rsid w:val="002B1B47"/>
    <w:rsid w:val="002B1CA9"/>
    <w:rsid w:val="002B1CED"/>
    <w:rsid w:val="002B202C"/>
    <w:rsid w:val="002B2216"/>
    <w:rsid w:val="002B240C"/>
    <w:rsid w:val="002B2731"/>
    <w:rsid w:val="002B2E3A"/>
    <w:rsid w:val="002B2E8E"/>
    <w:rsid w:val="002B305B"/>
    <w:rsid w:val="002B314C"/>
    <w:rsid w:val="002B3326"/>
    <w:rsid w:val="002B33E2"/>
    <w:rsid w:val="002B35E3"/>
    <w:rsid w:val="002B38C3"/>
    <w:rsid w:val="002B3A34"/>
    <w:rsid w:val="002B3D80"/>
    <w:rsid w:val="002B4001"/>
    <w:rsid w:val="002B44E9"/>
    <w:rsid w:val="002B468D"/>
    <w:rsid w:val="002B4827"/>
    <w:rsid w:val="002B4A3C"/>
    <w:rsid w:val="002B4D43"/>
    <w:rsid w:val="002B4D54"/>
    <w:rsid w:val="002B4F4A"/>
    <w:rsid w:val="002B501A"/>
    <w:rsid w:val="002B501D"/>
    <w:rsid w:val="002B514F"/>
    <w:rsid w:val="002B5366"/>
    <w:rsid w:val="002B540F"/>
    <w:rsid w:val="002B5566"/>
    <w:rsid w:val="002B5CFB"/>
    <w:rsid w:val="002B64BB"/>
    <w:rsid w:val="002B665B"/>
    <w:rsid w:val="002B6836"/>
    <w:rsid w:val="002B694B"/>
    <w:rsid w:val="002B6B79"/>
    <w:rsid w:val="002B6C2D"/>
    <w:rsid w:val="002B74C7"/>
    <w:rsid w:val="002B780D"/>
    <w:rsid w:val="002B78DD"/>
    <w:rsid w:val="002B78E6"/>
    <w:rsid w:val="002B7A13"/>
    <w:rsid w:val="002B7C5C"/>
    <w:rsid w:val="002B7EF8"/>
    <w:rsid w:val="002C0039"/>
    <w:rsid w:val="002C01CE"/>
    <w:rsid w:val="002C0706"/>
    <w:rsid w:val="002C0788"/>
    <w:rsid w:val="002C0802"/>
    <w:rsid w:val="002C097D"/>
    <w:rsid w:val="002C0AD0"/>
    <w:rsid w:val="002C0DF2"/>
    <w:rsid w:val="002C11D3"/>
    <w:rsid w:val="002C143B"/>
    <w:rsid w:val="002C181E"/>
    <w:rsid w:val="002C19E7"/>
    <w:rsid w:val="002C1AE1"/>
    <w:rsid w:val="002C1BB0"/>
    <w:rsid w:val="002C1DDF"/>
    <w:rsid w:val="002C1FEA"/>
    <w:rsid w:val="002C21FC"/>
    <w:rsid w:val="002C26B1"/>
    <w:rsid w:val="002C27EB"/>
    <w:rsid w:val="002C29AA"/>
    <w:rsid w:val="002C2A2A"/>
    <w:rsid w:val="002C2B17"/>
    <w:rsid w:val="002C2E91"/>
    <w:rsid w:val="002C2ED4"/>
    <w:rsid w:val="002C304A"/>
    <w:rsid w:val="002C31FA"/>
    <w:rsid w:val="002C32FE"/>
    <w:rsid w:val="002C339E"/>
    <w:rsid w:val="002C33A1"/>
    <w:rsid w:val="002C3538"/>
    <w:rsid w:val="002C37A8"/>
    <w:rsid w:val="002C3A95"/>
    <w:rsid w:val="002C3BC3"/>
    <w:rsid w:val="002C3C11"/>
    <w:rsid w:val="002C3C31"/>
    <w:rsid w:val="002C465D"/>
    <w:rsid w:val="002C48A1"/>
    <w:rsid w:val="002C4957"/>
    <w:rsid w:val="002C4B49"/>
    <w:rsid w:val="002C4CB7"/>
    <w:rsid w:val="002C4CDA"/>
    <w:rsid w:val="002C4F27"/>
    <w:rsid w:val="002C50B3"/>
    <w:rsid w:val="002C52DF"/>
    <w:rsid w:val="002C54D8"/>
    <w:rsid w:val="002C5957"/>
    <w:rsid w:val="002C5AF8"/>
    <w:rsid w:val="002C603E"/>
    <w:rsid w:val="002C6253"/>
    <w:rsid w:val="002C6286"/>
    <w:rsid w:val="002C67BE"/>
    <w:rsid w:val="002C686E"/>
    <w:rsid w:val="002C68CB"/>
    <w:rsid w:val="002C68E7"/>
    <w:rsid w:val="002C6A94"/>
    <w:rsid w:val="002C6AF6"/>
    <w:rsid w:val="002C6C2A"/>
    <w:rsid w:val="002C6D25"/>
    <w:rsid w:val="002C6E2B"/>
    <w:rsid w:val="002C6E4C"/>
    <w:rsid w:val="002C7024"/>
    <w:rsid w:val="002C716A"/>
    <w:rsid w:val="002C718C"/>
    <w:rsid w:val="002C76EC"/>
    <w:rsid w:val="002C7991"/>
    <w:rsid w:val="002C7AD2"/>
    <w:rsid w:val="002C7B83"/>
    <w:rsid w:val="002C7E7D"/>
    <w:rsid w:val="002C7FC5"/>
    <w:rsid w:val="002D0273"/>
    <w:rsid w:val="002D0389"/>
    <w:rsid w:val="002D0948"/>
    <w:rsid w:val="002D0B15"/>
    <w:rsid w:val="002D0BDC"/>
    <w:rsid w:val="002D0BF3"/>
    <w:rsid w:val="002D0EC8"/>
    <w:rsid w:val="002D0F1A"/>
    <w:rsid w:val="002D13ED"/>
    <w:rsid w:val="002D19DE"/>
    <w:rsid w:val="002D1A32"/>
    <w:rsid w:val="002D1A7A"/>
    <w:rsid w:val="002D1D85"/>
    <w:rsid w:val="002D1E47"/>
    <w:rsid w:val="002D2078"/>
    <w:rsid w:val="002D2151"/>
    <w:rsid w:val="002D21F7"/>
    <w:rsid w:val="002D230A"/>
    <w:rsid w:val="002D23DC"/>
    <w:rsid w:val="002D2641"/>
    <w:rsid w:val="002D2716"/>
    <w:rsid w:val="002D2A0E"/>
    <w:rsid w:val="002D2C37"/>
    <w:rsid w:val="002D2CA1"/>
    <w:rsid w:val="002D2F0A"/>
    <w:rsid w:val="002D37E4"/>
    <w:rsid w:val="002D3BFA"/>
    <w:rsid w:val="002D3EB7"/>
    <w:rsid w:val="002D4374"/>
    <w:rsid w:val="002D4953"/>
    <w:rsid w:val="002D4ED2"/>
    <w:rsid w:val="002D4F71"/>
    <w:rsid w:val="002D506B"/>
    <w:rsid w:val="002D5076"/>
    <w:rsid w:val="002D51C6"/>
    <w:rsid w:val="002D526D"/>
    <w:rsid w:val="002D5644"/>
    <w:rsid w:val="002D570D"/>
    <w:rsid w:val="002D57E0"/>
    <w:rsid w:val="002D5CDE"/>
    <w:rsid w:val="002D5E35"/>
    <w:rsid w:val="002D6107"/>
    <w:rsid w:val="002D628C"/>
    <w:rsid w:val="002D66F2"/>
    <w:rsid w:val="002D6795"/>
    <w:rsid w:val="002D691A"/>
    <w:rsid w:val="002D6A07"/>
    <w:rsid w:val="002D6CA1"/>
    <w:rsid w:val="002D7037"/>
    <w:rsid w:val="002D7186"/>
    <w:rsid w:val="002D71A9"/>
    <w:rsid w:val="002D7417"/>
    <w:rsid w:val="002D762E"/>
    <w:rsid w:val="002D7789"/>
    <w:rsid w:val="002D782A"/>
    <w:rsid w:val="002D784E"/>
    <w:rsid w:val="002D7A88"/>
    <w:rsid w:val="002D7C43"/>
    <w:rsid w:val="002D7C50"/>
    <w:rsid w:val="002D7F86"/>
    <w:rsid w:val="002E0001"/>
    <w:rsid w:val="002E001A"/>
    <w:rsid w:val="002E03FD"/>
    <w:rsid w:val="002E04E7"/>
    <w:rsid w:val="002E0624"/>
    <w:rsid w:val="002E08D5"/>
    <w:rsid w:val="002E0BEB"/>
    <w:rsid w:val="002E0D4C"/>
    <w:rsid w:val="002E1002"/>
    <w:rsid w:val="002E100F"/>
    <w:rsid w:val="002E1010"/>
    <w:rsid w:val="002E10A7"/>
    <w:rsid w:val="002E10CA"/>
    <w:rsid w:val="002E11AC"/>
    <w:rsid w:val="002E1616"/>
    <w:rsid w:val="002E17CB"/>
    <w:rsid w:val="002E1CAD"/>
    <w:rsid w:val="002E1D43"/>
    <w:rsid w:val="002E22C1"/>
    <w:rsid w:val="002E240E"/>
    <w:rsid w:val="002E278A"/>
    <w:rsid w:val="002E286A"/>
    <w:rsid w:val="002E2BEC"/>
    <w:rsid w:val="002E2F72"/>
    <w:rsid w:val="002E32B5"/>
    <w:rsid w:val="002E34B9"/>
    <w:rsid w:val="002E3976"/>
    <w:rsid w:val="002E3A8D"/>
    <w:rsid w:val="002E3DF6"/>
    <w:rsid w:val="002E3DFA"/>
    <w:rsid w:val="002E3E79"/>
    <w:rsid w:val="002E3EB2"/>
    <w:rsid w:val="002E3F87"/>
    <w:rsid w:val="002E4009"/>
    <w:rsid w:val="002E42BD"/>
    <w:rsid w:val="002E432F"/>
    <w:rsid w:val="002E4367"/>
    <w:rsid w:val="002E4586"/>
    <w:rsid w:val="002E4721"/>
    <w:rsid w:val="002E476F"/>
    <w:rsid w:val="002E4866"/>
    <w:rsid w:val="002E4B44"/>
    <w:rsid w:val="002E4DF1"/>
    <w:rsid w:val="002E4EA2"/>
    <w:rsid w:val="002E4EA9"/>
    <w:rsid w:val="002E509B"/>
    <w:rsid w:val="002E50D8"/>
    <w:rsid w:val="002E5248"/>
    <w:rsid w:val="002E5448"/>
    <w:rsid w:val="002E54F3"/>
    <w:rsid w:val="002E5567"/>
    <w:rsid w:val="002E5726"/>
    <w:rsid w:val="002E59D4"/>
    <w:rsid w:val="002E5F8A"/>
    <w:rsid w:val="002E60F8"/>
    <w:rsid w:val="002E6205"/>
    <w:rsid w:val="002E63B4"/>
    <w:rsid w:val="002E6471"/>
    <w:rsid w:val="002E678D"/>
    <w:rsid w:val="002E696C"/>
    <w:rsid w:val="002E6CA0"/>
    <w:rsid w:val="002E6EFA"/>
    <w:rsid w:val="002E711F"/>
    <w:rsid w:val="002E71AD"/>
    <w:rsid w:val="002E7261"/>
    <w:rsid w:val="002E72AF"/>
    <w:rsid w:val="002E72D3"/>
    <w:rsid w:val="002E7406"/>
    <w:rsid w:val="002E7529"/>
    <w:rsid w:val="002E7821"/>
    <w:rsid w:val="002E796B"/>
    <w:rsid w:val="002E7D75"/>
    <w:rsid w:val="002E7F9F"/>
    <w:rsid w:val="002F0680"/>
    <w:rsid w:val="002F07BD"/>
    <w:rsid w:val="002F0A8D"/>
    <w:rsid w:val="002F1192"/>
    <w:rsid w:val="002F11A6"/>
    <w:rsid w:val="002F1221"/>
    <w:rsid w:val="002F128E"/>
    <w:rsid w:val="002F1331"/>
    <w:rsid w:val="002F1558"/>
    <w:rsid w:val="002F158E"/>
    <w:rsid w:val="002F1902"/>
    <w:rsid w:val="002F199E"/>
    <w:rsid w:val="002F1B8E"/>
    <w:rsid w:val="002F1D94"/>
    <w:rsid w:val="002F2156"/>
    <w:rsid w:val="002F23CB"/>
    <w:rsid w:val="002F279F"/>
    <w:rsid w:val="002F27E0"/>
    <w:rsid w:val="002F2D33"/>
    <w:rsid w:val="002F2F0A"/>
    <w:rsid w:val="002F32ED"/>
    <w:rsid w:val="002F339A"/>
    <w:rsid w:val="002F33B8"/>
    <w:rsid w:val="002F345C"/>
    <w:rsid w:val="002F35A0"/>
    <w:rsid w:val="002F3778"/>
    <w:rsid w:val="002F37C8"/>
    <w:rsid w:val="002F3C5E"/>
    <w:rsid w:val="002F3E03"/>
    <w:rsid w:val="002F3FC3"/>
    <w:rsid w:val="002F4021"/>
    <w:rsid w:val="002F4071"/>
    <w:rsid w:val="002F4409"/>
    <w:rsid w:val="002F4465"/>
    <w:rsid w:val="002F4573"/>
    <w:rsid w:val="002F48F5"/>
    <w:rsid w:val="002F4AD7"/>
    <w:rsid w:val="002F4DE0"/>
    <w:rsid w:val="002F4EAB"/>
    <w:rsid w:val="002F512D"/>
    <w:rsid w:val="002F5568"/>
    <w:rsid w:val="002F5786"/>
    <w:rsid w:val="002F5AF8"/>
    <w:rsid w:val="002F601C"/>
    <w:rsid w:val="002F6046"/>
    <w:rsid w:val="002F638F"/>
    <w:rsid w:val="002F66C4"/>
    <w:rsid w:val="002F67B4"/>
    <w:rsid w:val="002F6823"/>
    <w:rsid w:val="002F6AD6"/>
    <w:rsid w:val="002F6FA0"/>
    <w:rsid w:val="002F7165"/>
    <w:rsid w:val="002F7514"/>
    <w:rsid w:val="002F763F"/>
    <w:rsid w:val="002F79DB"/>
    <w:rsid w:val="002F7B32"/>
    <w:rsid w:val="002F7C32"/>
    <w:rsid w:val="002F7C98"/>
    <w:rsid w:val="002F7C9B"/>
    <w:rsid w:val="002F7D9B"/>
    <w:rsid w:val="003001A4"/>
    <w:rsid w:val="0030024E"/>
    <w:rsid w:val="00300327"/>
    <w:rsid w:val="0030048D"/>
    <w:rsid w:val="0030060C"/>
    <w:rsid w:val="0030095B"/>
    <w:rsid w:val="00300C1D"/>
    <w:rsid w:val="00300C8E"/>
    <w:rsid w:val="00300DC6"/>
    <w:rsid w:val="00300DE1"/>
    <w:rsid w:val="00300ECF"/>
    <w:rsid w:val="003010ED"/>
    <w:rsid w:val="00301186"/>
    <w:rsid w:val="00301322"/>
    <w:rsid w:val="00301408"/>
    <w:rsid w:val="00301464"/>
    <w:rsid w:val="00301551"/>
    <w:rsid w:val="003016A3"/>
    <w:rsid w:val="003016D7"/>
    <w:rsid w:val="0030178B"/>
    <w:rsid w:val="003017F8"/>
    <w:rsid w:val="0030187F"/>
    <w:rsid w:val="00301C2B"/>
    <w:rsid w:val="00302337"/>
    <w:rsid w:val="00302624"/>
    <w:rsid w:val="00302B5B"/>
    <w:rsid w:val="00302C57"/>
    <w:rsid w:val="00302D12"/>
    <w:rsid w:val="00302E53"/>
    <w:rsid w:val="00303925"/>
    <w:rsid w:val="00303AD9"/>
    <w:rsid w:val="00303CDC"/>
    <w:rsid w:val="00303CDE"/>
    <w:rsid w:val="00303EDA"/>
    <w:rsid w:val="0030443C"/>
    <w:rsid w:val="003048E6"/>
    <w:rsid w:val="00304BDD"/>
    <w:rsid w:val="00304EFF"/>
    <w:rsid w:val="00304F41"/>
    <w:rsid w:val="0030547F"/>
    <w:rsid w:val="003055DF"/>
    <w:rsid w:val="00305AE4"/>
    <w:rsid w:val="00305FE5"/>
    <w:rsid w:val="00306603"/>
    <w:rsid w:val="003066F3"/>
    <w:rsid w:val="00306AA4"/>
    <w:rsid w:val="00306AC5"/>
    <w:rsid w:val="00306F3D"/>
    <w:rsid w:val="00307364"/>
    <w:rsid w:val="0030748B"/>
    <w:rsid w:val="0030767F"/>
    <w:rsid w:val="00307AAC"/>
    <w:rsid w:val="00307D8D"/>
    <w:rsid w:val="00307E18"/>
    <w:rsid w:val="00307E8E"/>
    <w:rsid w:val="00307FF3"/>
    <w:rsid w:val="00310657"/>
    <w:rsid w:val="00310689"/>
    <w:rsid w:val="00310A0A"/>
    <w:rsid w:val="00310ACB"/>
    <w:rsid w:val="00310CBA"/>
    <w:rsid w:val="00310D02"/>
    <w:rsid w:val="00310D93"/>
    <w:rsid w:val="00310E9A"/>
    <w:rsid w:val="00310EE7"/>
    <w:rsid w:val="00311118"/>
    <w:rsid w:val="00311484"/>
    <w:rsid w:val="003114A8"/>
    <w:rsid w:val="003116B1"/>
    <w:rsid w:val="00311CF6"/>
    <w:rsid w:val="00311D2D"/>
    <w:rsid w:val="00311F5E"/>
    <w:rsid w:val="003125ED"/>
    <w:rsid w:val="0031269C"/>
    <w:rsid w:val="00312A04"/>
    <w:rsid w:val="00312A83"/>
    <w:rsid w:val="00313077"/>
    <w:rsid w:val="0031358A"/>
    <w:rsid w:val="003138B4"/>
    <w:rsid w:val="00313BB9"/>
    <w:rsid w:val="00313C3C"/>
    <w:rsid w:val="0031424D"/>
    <w:rsid w:val="00314380"/>
    <w:rsid w:val="003143B4"/>
    <w:rsid w:val="0031440A"/>
    <w:rsid w:val="00314629"/>
    <w:rsid w:val="00314791"/>
    <w:rsid w:val="00314887"/>
    <w:rsid w:val="00314A4A"/>
    <w:rsid w:val="00314C87"/>
    <w:rsid w:val="00314D49"/>
    <w:rsid w:val="003151E2"/>
    <w:rsid w:val="003152A7"/>
    <w:rsid w:val="003152D7"/>
    <w:rsid w:val="0031546B"/>
    <w:rsid w:val="00315C2C"/>
    <w:rsid w:val="00315D9D"/>
    <w:rsid w:val="00315F73"/>
    <w:rsid w:val="00316233"/>
    <w:rsid w:val="003163CF"/>
    <w:rsid w:val="00316436"/>
    <w:rsid w:val="00316456"/>
    <w:rsid w:val="00316546"/>
    <w:rsid w:val="00316620"/>
    <w:rsid w:val="00316950"/>
    <w:rsid w:val="00316C6D"/>
    <w:rsid w:val="00316EF9"/>
    <w:rsid w:val="00317179"/>
    <w:rsid w:val="0031720B"/>
    <w:rsid w:val="003174A0"/>
    <w:rsid w:val="00317593"/>
    <w:rsid w:val="00317610"/>
    <w:rsid w:val="00317850"/>
    <w:rsid w:val="0031795E"/>
    <w:rsid w:val="00317B88"/>
    <w:rsid w:val="00317DF4"/>
    <w:rsid w:val="00317EB3"/>
    <w:rsid w:val="00317EDC"/>
    <w:rsid w:val="003200AD"/>
    <w:rsid w:val="0032046D"/>
    <w:rsid w:val="003205EF"/>
    <w:rsid w:val="0032087A"/>
    <w:rsid w:val="003209CE"/>
    <w:rsid w:val="00320A5D"/>
    <w:rsid w:val="00320AEF"/>
    <w:rsid w:val="00320B8C"/>
    <w:rsid w:val="00320C7C"/>
    <w:rsid w:val="00320E8E"/>
    <w:rsid w:val="00320EF7"/>
    <w:rsid w:val="003210A7"/>
    <w:rsid w:val="003210D6"/>
    <w:rsid w:val="0032116F"/>
    <w:rsid w:val="0032119E"/>
    <w:rsid w:val="0032176A"/>
    <w:rsid w:val="003219D5"/>
    <w:rsid w:val="00321A60"/>
    <w:rsid w:val="00321CAD"/>
    <w:rsid w:val="0032271B"/>
    <w:rsid w:val="003229C1"/>
    <w:rsid w:val="00322A69"/>
    <w:rsid w:val="00322C95"/>
    <w:rsid w:val="00322EC2"/>
    <w:rsid w:val="00323563"/>
    <w:rsid w:val="003237DA"/>
    <w:rsid w:val="0032385C"/>
    <w:rsid w:val="00323979"/>
    <w:rsid w:val="00323DB1"/>
    <w:rsid w:val="00323F02"/>
    <w:rsid w:val="00324542"/>
    <w:rsid w:val="003246A7"/>
    <w:rsid w:val="0032476D"/>
    <w:rsid w:val="003247A0"/>
    <w:rsid w:val="00324857"/>
    <w:rsid w:val="00324908"/>
    <w:rsid w:val="003249CE"/>
    <w:rsid w:val="00324E8A"/>
    <w:rsid w:val="00324E92"/>
    <w:rsid w:val="00325133"/>
    <w:rsid w:val="00325170"/>
    <w:rsid w:val="00325430"/>
    <w:rsid w:val="00325D7B"/>
    <w:rsid w:val="00325E47"/>
    <w:rsid w:val="00326077"/>
    <w:rsid w:val="003261AC"/>
    <w:rsid w:val="00326349"/>
    <w:rsid w:val="003268FA"/>
    <w:rsid w:val="00326AE5"/>
    <w:rsid w:val="00326BC1"/>
    <w:rsid w:val="00326D67"/>
    <w:rsid w:val="00326EF5"/>
    <w:rsid w:val="00326FE0"/>
    <w:rsid w:val="003272AB"/>
    <w:rsid w:val="00327346"/>
    <w:rsid w:val="00327661"/>
    <w:rsid w:val="0032799E"/>
    <w:rsid w:val="00327B28"/>
    <w:rsid w:val="00327B8F"/>
    <w:rsid w:val="00327DF6"/>
    <w:rsid w:val="00327FF2"/>
    <w:rsid w:val="00330A04"/>
    <w:rsid w:val="00330B1E"/>
    <w:rsid w:val="00330D6D"/>
    <w:rsid w:val="00330DCA"/>
    <w:rsid w:val="0033132D"/>
    <w:rsid w:val="0033136E"/>
    <w:rsid w:val="003313D7"/>
    <w:rsid w:val="00331A91"/>
    <w:rsid w:val="00331B2C"/>
    <w:rsid w:val="00331BA6"/>
    <w:rsid w:val="00331C10"/>
    <w:rsid w:val="00331FA7"/>
    <w:rsid w:val="00332057"/>
    <w:rsid w:val="003322C7"/>
    <w:rsid w:val="00332327"/>
    <w:rsid w:val="0033291A"/>
    <w:rsid w:val="003329C6"/>
    <w:rsid w:val="00332D08"/>
    <w:rsid w:val="00332DF2"/>
    <w:rsid w:val="00332E46"/>
    <w:rsid w:val="00332EBA"/>
    <w:rsid w:val="00333052"/>
    <w:rsid w:val="0033313E"/>
    <w:rsid w:val="003331C2"/>
    <w:rsid w:val="00333295"/>
    <w:rsid w:val="0033335F"/>
    <w:rsid w:val="0033359F"/>
    <w:rsid w:val="003335C9"/>
    <w:rsid w:val="00333682"/>
    <w:rsid w:val="00333950"/>
    <w:rsid w:val="00333A23"/>
    <w:rsid w:val="00333A29"/>
    <w:rsid w:val="00333A77"/>
    <w:rsid w:val="00333D1F"/>
    <w:rsid w:val="00334138"/>
    <w:rsid w:val="003341E5"/>
    <w:rsid w:val="00334325"/>
    <w:rsid w:val="003349E9"/>
    <w:rsid w:val="00334C60"/>
    <w:rsid w:val="00334D2B"/>
    <w:rsid w:val="0033501A"/>
    <w:rsid w:val="003350A2"/>
    <w:rsid w:val="00335610"/>
    <w:rsid w:val="00335628"/>
    <w:rsid w:val="00335715"/>
    <w:rsid w:val="00335770"/>
    <w:rsid w:val="003359FB"/>
    <w:rsid w:val="00335A23"/>
    <w:rsid w:val="00335AE8"/>
    <w:rsid w:val="00335C36"/>
    <w:rsid w:val="00336041"/>
    <w:rsid w:val="003360F8"/>
    <w:rsid w:val="003362BD"/>
    <w:rsid w:val="00336325"/>
    <w:rsid w:val="003364CB"/>
    <w:rsid w:val="00336564"/>
    <w:rsid w:val="003368BE"/>
    <w:rsid w:val="00336EDF"/>
    <w:rsid w:val="00336F66"/>
    <w:rsid w:val="003374C5"/>
    <w:rsid w:val="003375FF"/>
    <w:rsid w:val="00337711"/>
    <w:rsid w:val="003377E2"/>
    <w:rsid w:val="00337A7E"/>
    <w:rsid w:val="00337E49"/>
    <w:rsid w:val="00337F1A"/>
    <w:rsid w:val="0034015A"/>
    <w:rsid w:val="003402A8"/>
    <w:rsid w:val="0034056C"/>
    <w:rsid w:val="00340725"/>
    <w:rsid w:val="003407C8"/>
    <w:rsid w:val="003408C2"/>
    <w:rsid w:val="00340EFC"/>
    <w:rsid w:val="003413C6"/>
    <w:rsid w:val="003413E3"/>
    <w:rsid w:val="003416A6"/>
    <w:rsid w:val="003416BE"/>
    <w:rsid w:val="0034170D"/>
    <w:rsid w:val="003418F5"/>
    <w:rsid w:val="00341C39"/>
    <w:rsid w:val="00341E6F"/>
    <w:rsid w:val="00341FEA"/>
    <w:rsid w:val="0034201F"/>
    <w:rsid w:val="0034240B"/>
    <w:rsid w:val="003427F8"/>
    <w:rsid w:val="00342884"/>
    <w:rsid w:val="00342942"/>
    <w:rsid w:val="00342B15"/>
    <w:rsid w:val="00342C79"/>
    <w:rsid w:val="00343264"/>
    <w:rsid w:val="0034342B"/>
    <w:rsid w:val="00343474"/>
    <w:rsid w:val="0034353C"/>
    <w:rsid w:val="0034357F"/>
    <w:rsid w:val="003437F7"/>
    <w:rsid w:val="003438D1"/>
    <w:rsid w:val="00344479"/>
    <w:rsid w:val="003446F0"/>
    <w:rsid w:val="0034489C"/>
    <w:rsid w:val="00344D58"/>
    <w:rsid w:val="00344D5C"/>
    <w:rsid w:val="00345165"/>
    <w:rsid w:val="003451B6"/>
    <w:rsid w:val="0034536F"/>
    <w:rsid w:val="003453E8"/>
    <w:rsid w:val="00345485"/>
    <w:rsid w:val="003455EF"/>
    <w:rsid w:val="003456B9"/>
    <w:rsid w:val="00345731"/>
    <w:rsid w:val="00345793"/>
    <w:rsid w:val="0034585F"/>
    <w:rsid w:val="003458CA"/>
    <w:rsid w:val="00345C8D"/>
    <w:rsid w:val="003460CC"/>
    <w:rsid w:val="00346228"/>
    <w:rsid w:val="00346323"/>
    <w:rsid w:val="003465E7"/>
    <w:rsid w:val="00346624"/>
    <w:rsid w:val="00346707"/>
    <w:rsid w:val="00346756"/>
    <w:rsid w:val="003467CA"/>
    <w:rsid w:val="0034681A"/>
    <w:rsid w:val="00346A92"/>
    <w:rsid w:val="00346D2E"/>
    <w:rsid w:val="00346DA7"/>
    <w:rsid w:val="00346E9F"/>
    <w:rsid w:val="00346F21"/>
    <w:rsid w:val="003470BC"/>
    <w:rsid w:val="0034714F"/>
    <w:rsid w:val="0034728A"/>
    <w:rsid w:val="00347302"/>
    <w:rsid w:val="00347412"/>
    <w:rsid w:val="0034758D"/>
    <w:rsid w:val="003475C0"/>
    <w:rsid w:val="003475EB"/>
    <w:rsid w:val="00347634"/>
    <w:rsid w:val="003476D7"/>
    <w:rsid w:val="00347A69"/>
    <w:rsid w:val="00347B22"/>
    <w:rsid w:val="00347B4F"/>
    <w:rsid w:val="00347B57"/>
    <w:rsid w:val="00347D49"/>
    <w:rsid w:val="003502EA"/>
    <w:rsid w:val="00350458"/>
    <w:rsid w:val="003504A4"/>
    <w:rsid w:val="003504E9"/>
    <w:rsid w:val="003505F8"/>
    <w:rsid w:val="00350735"/>
    <w:rsid w:val="003509CD"/>
    <w:rsid w:val="00350BB6"/>
    <w:rsid w:val="00350CF1"/>
    <w:rsid w:val="00350D57"/>
    <w:rsid w:val="00351093"/>
    <w:rsid w:val="003511EB"/>
    <w:rsid w:val="003513A6"/>
    <w:rsid w:val="003519C6"/>
    <w:rsid w:val="00351C8C"/>
    <w:rsid w:val="003521A6"/>
    <w:rsid w:val="00352377"/>
    <w:rsid w:val="003524EB"/>
    <w:rsid w:val="003524EC"/>
    <w:rsid w:val="00352701"/>
    <w:rsid w:val="003527D1"/>
    <w:rsid w:val="00352B1E"/>
    <w:rsid w:val="00353089"/>
    <w:rsid w:val="00353209"/>
    <w:rsid w:val="0035334B"/>
    <w:rsid w:val="00353540"/>
    <w:rsid w:val="00353644"/>
    <w:rsid w:val="0035379E"/>
    <w:rsid w:val="00353926"/>
    <w:rsid w:val="00353A3D"/>
    <w:rsid w:val="00353B86"/>
    <w:rsid w:val="00353C5F"/>
    <w:rsid w:val="00353E79"/>
    <w:rsid w:val="00353F9E"/>
    <w:rsid w:val="00354125"/>
    <w:rsid w:val="003541D0"/>
    <w:rsid w:val="0035421B"/>
    <w:rsid w:val="00354408"/>
    <w:rsid w:val="003545E9"/>
    <w:rsid w:val="00354685"/>
    <w:rsid w:val="003548E9"/>
    <w:rsid w:val="00354ACC"/>
    <w:rsid w:val="00354B50"/>
    <w:rsid w:val="00354D1A"/>
    <w:rsid w:val="00354D8C"/>
    <w:rsid w:val="00354E95"/>
    <w:rsid w:val="00354F0C"/>
    <w:rsid w:val="00355136"/>
    <w:rsid w:val="00355187"/>
    <w:rsid w:val="0035546B"/>
    <w:rsid w:val="00355681"/>
    <w:rsid w:val="00355783"/>
    <w:rsid w:val="00355879"/>
    <w:rsid w:val="003558D0"/>
    <w:rsid w:val="0035596B"/>
    <w:rsid w:val="0035596D"/>
    <w:rsid w:val="00355A3D"/>
    <w:rsid w:val="00356075"/>
    <w:rsid w:val="00356170"/>
    <w:rsid w:val="00356286"/>
    <w:rsid w:val="00356365"/>
    <w:rsid w:val="0035693D"/>
    <w:rsid w:val="00356BB4"/>
    <w:rsid w:val="00356F48"/>
    <w:rsid w:val="00357280"/>
    <w:rsid w:val="003572A6"/>
    <w:rsid w:val="00357396"/>
    <w:rsid w:val="00357660"/>
    <w:rsid w:val="003576A6"/>
    <w:rsid w:val="003579EC"/>
    <w:rsid w:val="00357A7F"/>
    <w:rsid w:val="00357D03"/>
    <w:rsid w:val="00357F6D"/>
    <w:rsid w:val="0036003F"/>
    <w:rsid w:val="00360235"/>
    <w:rsid w:val="0036023F"/>
    <w:rsid w:val="0036054D"/>
    <w:rsid w:val="00360642"/>
    <w:rsid w:val="00360A5C"/>
    <w:rsid w:val="00360AF9"/>
    <w:rsid w:val="00360D63"/>
    <w:rsid w:val="00360DB5"/>
    <w:rsid w:val="00360DC9"/>
    <w:rsid w:val="00360E5E"/>
    <w:rsid w:val="00360F86"/>
    <w:rsid w:val="003610D1"/>
    <w:rsid w:val="00361160"/>
    <w:rsid w:val="003614B6"/>
    <w:rsid w:val="0036166F"/>
    <w:rsid w:val="003616CF"/>
    <w:rsid w:val="00361E68"/>
    <w:rsid w:val="0036200D"/>
    <w:rsid w:val="003621C2"/>
    <w:rsid w:val="00362508"/>
    <w:rsid w:val="00362572"/>
    <w:rsid w:val="003626DF"/>
    <w:rsid w:val="00362B04"/>
    <w:rsid w:val="00362FF4"/>
    <w:rsid w:val="003632F8"/>
    <w:rsid w:val="00363716"/>
    <w:rsid w:val="00363B8C"/>
    <w:rsid w:val="00363B94"/>
    <w:rsid w:val="00363D59"/>
    <w:rsid w:val="00363F40"/>
    <w:rsid w:val="00363FDF"/>
    <w:rsid w:val="00363FEE"/>
    <w:rsid w:val="00364289"/>
    <w:rsid w:val="00364409"/>
    <w:rsid w:val="003647A2"/>
    <w:rsid w:val="00364916"/>
    <w:rsid w:val="003649F1"/>
    <w:rsid w:val="00364C63"/>
    <w:rsid w:val="00364C8E"/>
    <w:rsid w:val="00364D22"/>
    <w:rsid w:val="00365089"/>
    <w:rsid w:val="003650BB"/>
    <w:rsid w:val="00365217"/>
    <w:rsid w:val="003652E7"/>
    <w:rsid w:val="003653B7"/>
    <w:rsid w:val="003653F8"/>
    <w:rsid w:val="00365462"/>
    <w:rsid w:val="00365464"/>
    <w:rsid w:val="003655B0"/>
    <w:rsid w:val="00365DE6"/>
    <w:rsid w:val="00365E72"/>
    <w:rsid w:val="00365F10"/>
    <w:rsid w:val="00366567"/>
    <w:rsid w:val="0036683A"/>
    <w:rsid w:val="0036683B"/>
    <w:rsid w:val="00366877"/>
    <w:rsid w:val="003668D1"/>
    <w:rsid w:val="00366A64"/>
    <w:rsid w:val="00366B53"/>
    <w:rsid w:val="00366D15"/>
    <w:rsid w:val="00366FF2"/>
    <w:rsid w:val="00367009"/>
    <w:rsid w:val="0036720E"/>
    <w:rsid w:val="00367283"/>
    <w:rsid w:val="003675E9"/>
    <w:rsid w:val="003677FC"/>
    <w:rsid w:val="0036787C"/>
    <w:rsid w:val="0036791F"/>
    <w:rsid w:val="0036792E"/>
    <w:rsid w:val="00367A1A"/>
    <w:rsid w:val="00367AE8"/>
    <w:rsid w:val="00367CF6"/>
    <w:rsid w:val="003704D2"/>
    <w:rsid w:val="003709A2"/>
    <w:rsid w:val="00370A9E"/>
    <w:rsid w:val="00370AB2"/>
    <w:rsid w:val="00370AC9"/>
    <w:rsid w:val="00370BDE"/>
    <w:rsid w:val="00370EAD"/>
    <w:rsid w:val="00370F2B"/>
    <w:rsid w:val="0037100C"/>
    <w:rsid w:val="0037111E"/>
    <w:rsid w:val="003713F6"/>
    <w:rsid w:val="003718C8"/>
    <w:rsid w:val="00371B76"/>
    <w:rsid w:val="00371B9E"/>
    <w:rsid w:val="00371DDC"/>
    <w:rsid w:val="00371DFA"/>
    <w:rsid w:val="00371F15"/>
    <w:rsid w:val="00371F68"/>
    <w:rsid w:val="00372187"/>
    <w:rsid w:val="00372489"/>
    <w:rsid w:val="003727E2"/>
    <w:rsid w:val="00372856"/>
    <w:rsid w:val="00372CBB"/>
    <w:rsid w:val="00372E73"/>
    <w:rsid w:val="00372EF2"/>
    <w:rsid w:val="00373221"/>
    <w:rsid w:val="003732B8"/>
    <w:rsid w:val="003732F6"/>
    <w:rsid w:val="0037348C"/>
    <w:rsid w:val="003735B0"/>
    <w:rsid w:val="00373ADE"/>
    <w:rsid w:val="00373B81"/>
    <w:rsid w:val="00373DD8"/>
    <w:rsid w:val="00373EC3"/>
    <w:rsid w:val="00373ED9"/>
    <w:rsid w:val="003741E7"/>
    <w:rsid w:val="00374433"/>
    <w:rsid w:val="00374852"/>
    <w:rsid w:val="00374B16"/>
    <w:rsid w:val="00374B99"/>
    <w:rsid w:val="00374CE7"/>
    <w:rsid w:val="00374DAF"/>
    <w:rsid w:val="00374F80"/>
    <w:rsid w:val="0037547C"/>
    <w:rsid w:val="00375EA3"/>
    <w:rsid w:val="00375F06"/>
    <w:rsid w:val="00375F26"/>
    <w:rsid w:val="00375FA7"/>
    <w:rsid w:val="00375FB5"/>
    <w:rsid w:val="003760F7"/>
    <w:rsid w:val="00376323"/>
    <w:rsid w:val="003770F1"/>
    <w:rsid w:val="0037773D"/>
    <w:rsid w:val="00377909"/>
    <w:rsid w:val="00377BA0"/>
    <w:rsid w:val="00377D37"/>
    <w:rsid w:val="00377E70"/>
    <w:rsid w:val="00380148"/>
    <w:rsid w:val="003802C5"/>
    <w:rsid w:val="003805E3"/>
    <w:rsid w:val="003805F0"/>
    <w:rsid w:val="003807A0"/>
    <w:rsid w:val="0038085B"/>
    <w:rsid w:val="003808AE"/>
    <w:rsid w:val="0038091A"/>
    <w:rsid w:val="00380929"/>
    <w:rsid w:val="003809EA"/>
    <w:rsid w:val="00380A10"/>
    <w:rsid w:val="00380AE4"/>
    <w:rsid w:val="00380B05"/>
    <w:rsid w:val="00380BCC"/>
    <w:rsid w:val="00380F1D"/>
    <w:rsid w:val="003816F0"/>
    <w:rsid w:val="0038186B"/>
    <w:rsid w:val="0038187F"/>
    <w:rsid w:val="003818BB"/>
    <w:rsid w:val="00381ABE"/>
    <w:rsid w:val="00381E6F"/>
    <w:rsid w:val="00382254"/>
    <w:rsid w:val="0038227D"/>
    <w:rsid w:val="00382608"/>
    <w:rsid w:val="0038272C"/>
    <w:rsid w:val="0038284A"/>
    <w:rsid w:val="003828C7"/>
    <w:rsid w:val="00382964"/>
    <w:rsid w:val="00382A39"/>
    <w:rsid w:val="00382B42"/>
    <w:rsid w:val="00382F39"/>
    <w:rsid w:val="00382F7F"/>
    <w:rsid w:val="00382FEF"/>
    <w:rsid w:val="00383279"/>
    <w:rsid w:val="003832C6"/>
    <w:rsid w:val="003832FC"/>
    <w:rsid w:val="00383388"/>
    <w:rsid w:val="003834C2"/>
    <w:rsid w:val="003837AA"/>
    <w:rsid w:val="00383B90"/>
    <w:rsid w:val="00383CBF"/>
    <w:rsid w:val="0038416A"/>
    <w:rsid w:val="00384206"/>
    <w:rsid w:val="00384273"/>
    <w:rsid w:val="003842A2"/>
    <w:rsid w:val="003844A4"/>
    <w:rsid w:val="003846B2"/>
    <w:rsid w:val="0038492E"/>
    <w:rsid w:val="0038495A"/>
    <w:rsid w:val="00384B10"/>
    <w:rsid w:val="00384C76"/>
    <w:rsid w:val="00384D49"/>
    <w:rsid w:val="00384EE1"/>
    <w:rsid w:val="00384F0C"/>
    <w:rsid w:val="003851B9"/>
    <w:rsid w:val="00385776"/>
    <w:rsid w:val="003859C3"/>
    <w:rsid w:val="00385C23"/>
    <w:rsid w:val="00385D48"/>
    <w:rsid w:val="00385E6E"/>
    <w:rsid w:val="00385FC1"/>
    <w:rsid w:val="00386191"/>
    <w:rsid w:val="003862E5"/>
    <w:rsid w:val="003866E4"/>
    <w:rsid w:val="0038679C"/>
    <w:rsid w:val="00386813"/>
    <w:rsid w:val="0038685A"/>
    <w:rsid w:val="003869B4"/>
    <w:rsid w:val="00386BA9"/>
    <w:rsid w:val="00387004"/>
    <w:rsid w:val="00387139"/>
    <w:rsid w:val="00387148"/>
    <w:rsid w:val="0038721C"/>
    <w:rsid w:val="00387222"/>
    <w:rsid w:val="0038741D"/>
    <w:rsid w:val="0038755B"/>
    <w:rsid w:val="00387749"/>
    <w:rsid w:val="003878B6"/>
    <w:rsid w:val="00387A88"/>
    <w:rsid w:val="00387BC9"/>
    <w:rsid w:val="003902CF"/>
    <w:rsid w:val="003903C4"/>
    <w:rsid w:val="00390506"/>
    <w:rsid w:val="00390C5A"/>
    <w:rsid w:val="00390D33"/>
    <w:rsid w:val="00390D75"/>
    <w:rsid w:val="00390E18"/>
    <w:rsid w:val="00390F20"/>
    <w:rsid w:val="00391078"/>
    <w:rsid w:val="003910E8"/>
    <w:rsid w:val="003912B7"/>
    <w:rsid w:val="00391316"/>
    <w:rsid w:val="003913A2"/>
    <w:rsid w:val="00391A6A"/>
    <w:rsid w:val="00391AEF"/>
    <w:rsid w:val="00391C57"/>
    <w:rsid w:val="00392208"/>
    <w:rsid w:val="0039227E"/>
    <w:rsid w:val="003922A8"/>
    <w:rsid w:val="00392373"/>
    <w:rsid w:val="003923D4"/>
    <w:rsid w:val="00392431"/>
    <w:rsid w:val="003924EB"/>
    <w:rsid w:val="00392752"/>
    <w:rsid w:val="00392E49"/>
    <w:rsid w:val="00392E70"/>
    <w:rsid w:val="00392F2E"/>
    <w:rsid w:val="003930D5"/>
    <w:rsid w:val="0039334A"/>
    <w:rsid w:val="00393872"/>
    <w:rsid w:val="00393947"/>
    <w:rsid w:val="00393DDA"/>
    <w:rsid w:val="00393F87"/>
    <w:rsid w:val="0039413B"/>
    <w:rsid w:val="003942F2"/>
    <w:rsid w:val="00394716"/>
    <w:rsid w:val="0039490F"/>
    <w:rsid w:val="00394B62"/>
    <w:rsid w:val="00394BCC"/>
    <w:rsid w:val="003951B0"/>
    <w:rsid w:val="003951E4"/>
    <w:rsid w:val="003952D6"/>
    <w:rsid w:val="003955BF"/>
    <w:rsid w:val="003956D3"/>
    <w:rsid w:val="00395755"/>
    <w:rsid w:val="003957FC"/>
    <w:rsid w:val="00395879"/>
    <w:rsid w:val="00395A11"/>
    <w:rsid w:val="00395ED9"/>
    <w:rsid w:val="00395F3B"/>
    <w:rsid w:val="003965C0"/>
    <w:rsid w:val="0039660B"/>
    <w:rsid w:val="00396BDE"/>
    <w:rsid w:val="0039748C"/>
    <w:rsid w:val="003978C8"/>
    <w:rsid w:val="00397AF9"/>
    <w:rsid w:val="00397D5A"/>
    <w:rsid w:val="003A03BB"/>
    <w:rsid w:val="003A05B0"/>
    <w:rsid w:val="003A0765"/>
    <w:rsid w:val="003A083E"/>
    <w:rsid w:val="003A08B8"/>
    <w:rsid w:val="003A09FE"/>
    <w:rsid w:val="003A0E60"/>
    <w:rsid w:val="003A0F1A"/>
    <w:rsid w:val="003A0F9F"/>
    <w:rsid w:val="003A1031"/>
    <w:rsid w:val="003A11B7"/>
    <w:rsid w:val="003A120A"/>
    <w:rsid w:val="003A12E3"/>
    <w:rsid w:val="003A1782"/>
    <w:rsid w:val="003A1967"/>
    <w:rsid w:val="003A19B7"/>
    <w:rsid w:val="003A1C76"/>
    <w:rsid w:val="003A20DE"/>
    <w:rsid w:val="003A20EC"/>
    <w:rsid w:val="003A2127"/>
    <w:rsid w:val="003A2193"/>
    <w:rsid w:val="003A2260"/>
    <w:rsid w:val="003A2483"/>
    <w:rsid w:val="003A2796"/>
    <w:rsid w:val="003A2942"/>
    <w:rsid w:val="003A2C99"/>
    <w:rsid w:val="003A2CFC"/>
    <w:rsid w:val="003A2EA7"/>
    <w:rsid w:val="003A3202"/>
    <w:rsid w:val="003A33D6"/>
    <w:rsid w:val="003A342D"/>
    <w:rsid w:val="003A34C6"/>
    <w:rsid w:val="003A3642"/>
    <w:rsid w:val="003A3666"/>
    <w:rsid w:val="003A3672"/>
    <w:rsid w:val="003A36CB"/>
    <w:rsid w:val="003A377C"/>
    <w:rsid w:val="003A3872"/>
    <w:rsid w:val="003A397A"/>
    <w:rsid w:val="003A399B"/>
    <w:rsid w:val="003A3A3D"/>
    <w:rsid w:val="003A3E8A"/>
    <w:rsid w:val="003A4504"/>
    <w:rsid w:val="003A457F"/>
    <w:rsid w:val="003A47E3"/>
    <w:rsid w:val="003A488C"/>
    <w:rsid w:val="003A4A4F"/>
    <w:rsid w:val="003A4AD4"/>
    <w:rsid w:val="003A4C80"/>
    <w:rsid w:val="003A53B1"/>
    <w:rsid w:val="003A54EF"/>
    <w:rsid w:val="003A5504"/>
    <w:rsid w:val="003A5967"/>
    <w:rsid w:val="003A5973"/>
    <w:rsid w:val="003A5AC7"/>
    <w:rsid w:val="003A6025"/>
    <w:rsid w:val="003A6159"/>
    <w:rsid w:val="003A6848"/>
    <w:rsid w:val="003A6954"/>
    <w:rsid w:val="003A6FA4"/>
    <w:rsid w:val="003A6FF0"/>
    <w:rsid w:val="003A7295"/>
    <w:rsid w:val="003A7377"/>
    <w:rsid w:val="003A7A4A"/>
    <w:rsid w:val="003A7D4C"/>
    <w:rsid w:val="003B0240"/>
    <w:rsid w:val="003B029F"/>
    <w:rsid w:val="003B031D"/>
    <w:rsid w:val="003B0354"/>
    <w:rsid w:val="003B05F3"/>
    <w:rsid w:val="003B0863"/>
    <w:rsid w:val="003B0880"/>
    <w:rsid w:val="003B0890"/>
    <w:rsid w:val="003B0931"/>
    <w:rsid w:val="003B0AD9"/>
    <w:rsid w:val="003B0CBB"/>
    <w:rsid w:val="003B0F79"/>
    <w:rsid w:val="003B11B8"/>
    <w:rsid w:val="003B1385"/>
    <w:rsid w:val="003B189A"/>
    <w:rsid w:val="003B1AD0"/>
    <w:rsid w:val="003B1E7E"/>
    <w:rsid w:val="003B200F"/>
    <w:rsid w:val="003B25E8"/>
    <w:rsid w:val="003B2652"/>
    <w:rsid w:val="003B27C9"/>
    <w:rsid w:val="003B27FF"/>
    <w:rsid w:val="003B2A50"/>
    <w:rsid w:val="003B2B10"/>
    <w:rsid w:val="003B2C0C"/>
    <w:rsid w:val="003B2CB5"/>
    <w:rsid w:val="003B2CB9"/>
    <w:rsid w:val="003B30EC"/>
    <w:rsid w:val="003B3186"/>
    <w:rsid w:val="003B3343"/>
    <w:rsid w:val="003B341F"/>
    <w:rsid w:val="003B3A75"/>
    <w:rsid w:val="003B4564"/>
    <w:rsid w:val="003B45FE"/>
    <w:rsid w:val="003B463C"/>
    <w:rsid w:val="003B468C"/>
    <w:rsid w:val="003B471E"/>
    <w:rsid w:val="003B483B"/>
    <w:rsid w:val="003B4934"/>
    <w:rsid w:val="003B4937"/>
    <w:rsid w:val="003B4AF0"/>
    <w:rsid w:val="003B4BF3"/>
    <w:rsid w:val="003B4C92"/>
    <w:rsid w:val="003B4E37"/>
    <w:rsid w:val="003B4FA1"/>
    <w:rsid w:val="003B559A"/>
    <w:rsid w:val="003B6067"/>
    <w:rsid w:val="003B62BB"/>
    <w:rsid w:val="003B6335"/>
    <w:rsid w:val="003B6622"/>
    <w:rsid w:val="003B66C8"/>
    <w:rsid w:val="003B6BDB"/>
    <w:rsid w:val="003B6C8D"/>
    <w:rsid w:val="003B6CEB"/>
    <w:rsid w:val="003B6D08"/>
    <w:rsid w:val="003B715B"/>
    <w:rsid w:val="003B7395"/>
    <w:rsid w:val="003B753B"/>
    <w:rsid w:val="003B775D"/>
    <w:rsid w:val="003B789C"/>
    <w:rsid w:val="003B7A38"/>
    <w:rsid w:val="003B7D5C"/>
    <w:rsid w:val="003C01BF"/>
    <w:rsid w:val="003C02B5"/>
    <w:rsid w:val="003C03A8"/>
    <w:rsid w:val="003C05E6"/>
    <w:rsid w:val="003C073C"/>
    <w:rsid w:val="003C0974"/>
    <w:rsid w:val="003C0C15"/>
    <w:rsid w:val="003C10FE"/>
    <w:rsid w:val="003C1216"/>
    <w:rsid w:val="003C142C"/>
    <w:rsid w:val="003C1703"/>
    <w:rsid w:val="003C1805"/>
    <w:rsid w:val="003C1B75"/>
    <w:rsid w:val="003C1C7F"/>
    <w:rsid w:val="003C1D63"/>
    <w:rsid w:val="003C1E05"/>
    <w:rsid w:val="003C1F7F"/>
    <w:rsid w:val="003C2103"/>
    <w:rsid w:val="003C2516"/>
    <w:rsid w:val="003C2519"/>
    <w:rsid w:val="003C2633"/>
    <w:rsid w:val="003C2647"/>
    <w:rsid w:val="003C2675"/>
    <w:rsid w:val="003C28A5"/>
    <w:rsid w:val="003C2B16"/>
    <w:rsid w:val="003C2B28"/>
    <w:rsid w:val="003C2EFE"/>
    <w:rsid w:val="003C2FF8"/>
    <w:rsid w:val="003C307A"/>
    <w:rsid w:val="003C30EC"/>
    <w:rsid w:val="003C32B6"/>
    <w:rsid w:val="003C3302"/>
    <w:rsid w:val="003C3536"/>
    <w:rsid w:val="003C39DD"/>
    <w:rsid w:val="003C3AC5"/>
    <w:rsid w:val="003C3CC7"/>
    <w:rsid w:val="003C3D1B"/>
    <w:rsid w:val="003C3F7F"/>
    <w:rsid w:val="003C4220"/>
    <w:rsid w:val="003C456F"/>
    <w:rsid w:val="003C4707"/>
    <w:rsid w:val="003C52E4"/>
    <w:rsid w:val="003C5489"/>
    <w:rsid w:val="003C551A"/>
    <w:rsid w:val="003C5738"/>
    <w:rsid w:val="003C5A7E"/>
    <w:rsid w:val="003C606D"/>
    <w:rsid w:val="003C63A6"/>
    <w:rsid w:val="003C6505"/>
    <w:rsid w:val="003C6963"/>
    <w:rsid w:val="003C6B63"/>
    <w:rsid w:val="003C6D50"/>
    <w:rsid w:val="003C6DAA"/>
    <w:rsid w:val="003C6EDA"/>
    <w:rsid w:val="003C6F0E"/>
    <w:rsid w:val="003C71EA"/>
    <w:rsid w:val="003C766D"/>
    <w:rsid w:val="003C7D37"/>
    <w:rsid w:val="003D0100"/>
    <w:rsid w:val="003D01BE"/>
    <w:rsid w:val="003D023D"/>
    <w:rsid w:val="003D023F"/>
    <w:rsid w:val="003D0295"/>
    <w:rsid w:val="003D02BC"/>
    <w:rsid w:val="003D02E7"/>
    <w:rsid w:val="003D04C4"/>
    <w:rsid w:val="003D052E"/>
    <w:rsid w:val="003D0936"/>
    <w:rsid w:val="003D0BD2"/>
    <w:rsid w:val="003D1108"/>
    <w:rsid w:val="003D1122"/>
    <w:rsid w:val="003D1469"/>
    <w:rsid w:val="003D1572"/>
    <w:rsid w:val="003D1A6F"/>
    <w:rsid w:val="003D1B28"/>
    <w:rsid w:val="003D2546"/>
    <w:rsid w:val="003D26E5"/>
    <w:rsid w:val="003D285C"/>
    <w:rsid w:val="003D2A17"/>
    <w:rsid w:val="003D2ACA"/>
    <w:rsid w:val="003D2E7A"/>
    <w:rsid w:val="003D2FDE"/>
    <w:rsid w:val="003D316B"/>
    <w:rsid w:val="003D32FE"/>
    <w:rsid w:val="003D33F0"/>
    <w:rsid w:val="003D3426"/>
    <w:rsid w:val="003D34F4"/>
    <w:rsid w:val="003D3725"/>
    <w:rsid w:val="003D391E"/>
    <w:rsid w:val="003D3A09"/>
    <w:rsid w:val="003D3C1E"/>
    <w:rsid w:val="003D3C7C"/>
    <w:rsid w:val="003D3E6B"/>
    <w:rsid w:val="003D3EFE"/>
    <w:rsid w:val="003D42AD"/>
    <w:rsid w:val="003D42DD"/>
    <w:rsid w:val="003D4350"/>
    <w:rsid w:val="003D4453"/>
    <w:rsid w:val="003D450F"/>
    <w:rsid w:val="003D458E"/>
    <w:rsid w:val="003D45C7"/>
    <w:rsid w:val="003D462D"/>
    <w:rsid w:val="003D4805"/>
    <w:rsid w:val="003D4832"/>
    <w:rsid w:val="003D5240"/>
    <w:rsid w:val="003D54C5"/>
    <w:rsid w:val="003D59DA"/>
    <w:rsid w:val="003D5C7E"/>
    <w:rsid w:val="003D5E44"/>
    <w:rsid w:val="003D610E"/>
    <w:rsid w:val="003D630A"/>
    <w:rsid w:val="003D6544"/>
    <w:rsid w:val="003D6607"/>
    <w:rsid w:val="003D67E3"/>
    <w:rsid w:val="003D68E0"/>
    <w:rsid w:val="003D6A01"/>
    <w:rsid w:val="003D6AA2"/>
    <w:rsid w:val="003D6BFC"/>
    <w:rsid w:val="003D6C8E"/>
    <w:rsid w:val="003D759D"/>
    <w:rsid w:val="003D76CD"/>
    <w:rsid w:val="003D7B86"/>
    <w:rsid w:val="003D7C1A"/>
    <w:rsid w:val="003D7E2E"/>
    <w:rsid w:val="003D7FE8"/>
    <w:rsid w:val="003DA3A5"/>
    <w:rsid w:val="003E00E1"/>
    <w:rsid w:val="003E00EC"/>
    <w:rsid w:val="003E02A0"/>
    <w:rsid w:val="003E07A8"/>
    <w:rsid w:val="003E08F4"/>
    <w:rsid w:val="003E0919"/>
    <w:rsid w:val="003E0A4D"/>
    <w:rsid w:val="003E0A5D"/>
    <w:rsid w:val="003E0D78"/>
    <w:rsid w:val="003E0ED2"/>
    <w:rsid w:val="003E10BF"/>
    <w:rsid w:val="003E132D"/>
    <w:rsid w:val="003E15BE"/>
    <w:rsid w:val="003E17FE"/>
    <w:rsid w:val="003E1B3D"/>
    <w:rsid w:val="003E1E6E"/>
    <w:rsid w:val="003E21B1"/>
    <w:rsid w:val="003E245A"/>
    <w:rsid w:val="003E28A6"/>
    <w:rsid w:val="003E2A3B"/>
    <w:rsid w:val="003E2BA2"/>
    <w:rsid w:val="003E2BAD"/>
    <w:rsid w:val="003E2C8C"/>
    <w:rsid w:val="003E2EE7"/>
    <w:rsid w:val="003E2F64"/>
    <w:rsid w:val="003E30C7"/>
    <w:rsid w:val="003E34B9"/>
    <w:rsid w:val="003E34F9"/>
    <w:rsid w:val="003E37CC"/>
    <w:rsid w:val="003E384D"/>
    <w:rsid w:val="003E3892"/>
    <w:rsid w:val="003E3CE9"/>
    <w:rsid w:val="003E3E6F"/>
    <w:rsid w:val="003E3FDE"/>
    <w:rsid w:val="003E44AD"/>
    <w:rsid w:val="003E4533"/>
    <w:rsid w:val="003E4831"/>
    <w:rsid w:val="003E4A9F"/>
    <w:rsid w:val="003E4D15"/>
    <w:rsid w:val="003E4D4C"/>
    <w:rsid w:val="003E4E3F"/>
    <w:rsid w:val="003E523C"/>
    <w:rsid w:val="003E5393"/>
    <w:rsid w:val="003E56EF"/>
    <w:rsid w:val="003E57F7"/>
    <w:rsid w:val="003E5E58"/>
    <w:rsid w:val="003E615F"/>
    <w:rsid w:val="003E62F1"/>
    <w:rsid w:val="003E631D"/>
    <w:rsid w:val="003E656C"/>
    <w:rsid w:val="003E671A"/>
    <w:rsid w:val="003E67EA"/>
    <w:rsid w:val="003E67F0"/>
    <w:rsid w:val="003E6975"/>
    <w:rsid w:val="003E6C4F"/>
    <w:rsid w:val="003E6CD6"/>
    <w:rsid w:val="003E6F25"/>
    <w:rsid w:val="003E741D"/>
    <w:rsid w:val="003E78A2"/>
    <w:rsid w:val="003E79D4"/>
    <w:rsid w:val="003E7A5C"/>
    <w:rsid w:val="003E7B7A"/>
    <w:rsid w:val="003E7BEA"/>
    <w:rsid w:val="003E7E62"/>
    <w:rsid w:val="003F0030"/>
    <w:rsid w:val="003F005E"/>
    <w:rsid w:val="003F0339"/>
    <w:rsid w:val="003F0402"/>
    <w:rsid w:val="003F04EB"/>
    <w:rsid w:val="003F052F"/>
    <w:rsid w:val="003F06F8"/>
    <w:rsid w:val="003F080E"/>
    <w:rsid w:val="003F1092"/>
    <w:rsid w:val="003F10CA"/>
    <w:rsid w:val="003F12D6"/>
    <w:rsid w:val="003F1358"/>
    <w:rsid w:val="003F18A5"/>
    <w:rsid w:val="003F191E"/>
    <w:rsid w:val="003F212A"/>
    <w:rsid w:val="003F23CC"/>
    <w:rsid w:val="003F2545"/>
    <w:rsid w:val="003F2703"/>
    <w:rsid w:val="003F2981"/>
    <w:rsid w:val="003F321D"/>
    <w:rsid w:val="003F3329"/>
    <w:rsid w:val="003F34F8"/>
    <w:rsid w:val="003F3BFD"/>
    <w:rsid w:val="003F3C53"/>
    <w:rsid w:val="003F3F3F"/>
    <w:rsid w:val="003F40F5"/>
    <w:rsid w:val="003F4188"/>
    <w:rsid w:val="003F42DE"/>
    <w:rsid w:val="003F4366"/>
    <w:rsid w:val="003F439D"/>
    <w:rsid w:val="003F43C5"/>
    <w:rsid w:val="003F44D6"/>
    <w:rsid w:val="003F47B3"/>
    <w:rsid w:val="003F48B6"/>
    <w:rsid w:val="003F4B84"/>
    <w:rsid w:val="003F4F2F"/>
    <w:rsid w:val="003F52CD"/>
    <w:rsid w:val="003F53F1"/>
    <w:rsid w:val="003F5578"/>
    <w:rsid w:val="003F58DD"/>
    <w:rsid w:val="003F5E3F"/>
    <w:rsid w:val="003F5FC9"/>
    <w:rsid w:val="003F62E4"/>
    <w:rsid w:val="003F64DF"/>
    <w:rsid w:val="003F67D9"/>
    <w:rsid w:val="003F6821"/>
    <w:rsid w:val="003F6A0A"/>
    <w:rsid w:val="003F6BB8"/>
    <w:rsid w:val="003F7160"/>
    <w:rsid w:val="003F72BD"/>
    <w:rsid w:val="003F746C"/>
    <w:rsid w:val="003F76B5"/>
    <w:rsid w:val="003F79B7"/>
    <w:rsid w:val="003F7A2B"/>
    <w:rsid w:val="003F7D99"/>
    <w:rsid w:val="00400074"/>
    <w:rsid w:val="00400236"/>
    <w:rsid w:val="00400467"/>
    <w:rsid w:val="0040082E"/>
    <w:rsid w:val="00400956"/>
    <w:rsid w:val="00400B96"/>
    <w:rsid w:val="00400C9E"/>
    <w:rsid w:val="00400E9F"/>
    <w:rsid w:val="00401219"/>
    <w:rsid w:val="004014EE"/>
    <w:rsid w:val="00401859"/>
    <w:rsid w:val="0040192D"/>
    <w:rsid w:val="00401EEF"/>
    <w:rsid w:val="00401FEF"/>
    <w:rsid w:val="00402102"/>
    <w:rsid w:val="00402170"/>
    <w:rsid w:val="0040275D"/>
    <w:rsid w:val="00402A54"/>
    <w:rsid w:val="00402C38"/>
    <w:rsid w:val="00402E12"/>
    <w:rsid w:val="004034D4"/>
    <w:rsid w:val="00403870"/>
    <w:rsid w:val="004038BA"/>
    <w:rsid w:val="004039EA"/>
    <w:rsid w:val="00403B10"/>
    <w:rsid w:val="00403B12"/>
    <w:rsid w:val="00403C04"/>
    <w:rsid w:val="00403D06"/>
    <w:rsid w:val="00403F57"/>
    <w:rsid w:val="0040408B"/>
    <w:rsid w:val="004040C2"/>
    <w:rsid w:val="004042B6"/>
    <w:rsid w:val="004042C7"/>
    <w:rsid w:val="004046D3"/>
    <w:rsid w:val="00404794"/>
    <w:rsid w:val="00404CBB"/>
    <w:rsid w:val="004051B9"/>
    <w:rsid w:val="004055A6"/>
    <w:rsid w:val="0040567A"/>
    <w:rsid w:val="00405838"/>
    <w:rsid w:val="004058A5"/>
    <w:rsid w:val="00405C52"/>
    <w:rsid w:val="00405DF4"/>
    <w:rsid w:val="004063C1"/>
    <w:rsid w:val="00406563"/>
    <w:rsid w:val="00406710"/>
    <w:rsid w:val="00406B2F"/>
    <w:rsid w:val="00406B5E"/>
    <w:rsid w:val="00406D53"/>
    <w:rsid w:val="00406E3E"/>
    <w:rsid w:val="00407199"/>
    <w:rsid w:val="00407367"/>
    <w:rsid w:val="004074CE"/>
    <w:rsid w:val="004075DC"/>
    <w:rsid w:val="0040780D"/>
    <w:rsid w:val="00407E36"/>
    <w:rsid w:val="00407FD1"/>
    <w:rsid w:val="004102EE"/>
    <w:rsid w:val="00410400"/>
    <w:rsid w:val="00410690"/>
    <w:rsid w:val="0041073E"/>
    <w:rsid w:val="0041083F"/>
    <w:rsid w:val="0041088C"/>
    <w:rsid w:val="00410980"/>
    <w:rsid w:val="00410B2E"/>
    <w:rsid w:val="00410E83"/>
    <w:rsid w:val="00410EA3"/>
    <w:rsid w:val="00410FBF"/>
    <w:rsid w:val="004113A4"/>
    <w:rsid w:val="00411655"/>
    <w:rsid w:val="004117DC"/>
    <w:rsid w:val="00411836"/>
    <w:rsid w:val="00411BB3"/>
    <w:rsid w:val="00411D68"/>
    <w:rsid w:val="00411E92"/>
    <w:rsid w:val="004120AA"/>
    <w:rsid w:val="004125D1"/>
    <w:rsid w:val="00412750"/>
    <w:rsid w:val="004127D7"/>
    <w:rsid w:val="0041280F"/>
    <w:rsid w:val="00412894"/>
    <w:rsid w:val="004128A2"/>
    <w:rsid w:val="00412922"/>
    <w:rsid w:val="00412C51"/>
    <w:rsid w:val="00412D44"/>
    <w:rsid w:val="00412D86"/>
    <w:rsid w:val="00412FF1"/>
    <w:rsid w:val="00413006"/>
    <w:rsid w:val="00413030"/>
    <w:rsid w:val="0041346B"/>
    <w:rsid w:val="00413537"/>
    <w:rsid w:val="00413655"/>
    <w:rsid w:val="0041374B"/>
    <w:rsid w:val="004137AD"/>
    <w:rsid w:val="00413828"/>
    <w:rsid w:val="00413B33"/>
    <w:rsid w:val="00413F7C"/>
    <w:rsid w:val="00413FED"/>
    <w:rsid w:val="00414186"/>
    <w:rsid w:val="00414A6C"/>
    <w:rsid w:val="00414C62"/>
    <w:rsid w:val="00414D54"/>
    <w:rsid w:val="0041507F"/>
    <w:rsid w:val="0041523B"/>
    <w:rsid w:val="004159CF"/>
    <w:rsid w:val="00415C72"/>
    <w:rsid w:val="00415EE5"/>
    <w:rsid w:val="004161D6"/>
    <w:rsid w:val="00416265"/>
    <w:rsid w:val="00416289"/>
    <w:rsid w:val="004162F7"/>
    <w:rsid w:val="004166AC"/>
    <w:rsid w:val="00416C62"/>
    <w:rsid w:val="00416C80"/>
    <w:rsid w:val="004172DC"/>
    <w:rsid w:val="004173FD"/>
    <w:rsid w:val="00417574"/>
    <w:rsid w:val="00417725"/>
    <w:rsid w:val="00417954"/>
    <w:rsid w:val="00420123"/>
    <w:rsid w:val="00420B89"/>
    <w:rsid w:val="00420CCB"/>
    <w:rsid w:val="00420E59"/>
    <w:rsid w:val="00420E80"/>
    <w:rsid w:val="00420FB2"/>
    <w:rsid w:val="0042194F"/>
    <w:rsid w:val="00421C25"/>
    <w:rsid w:val="00421E9D"/>
    <w:rsid w:val="00421FB9"/>
    <w:rsid w:val="00422255"/>
    <w:rsid w:val="00422405"/>
    <w:rsid w:val="00422466"/>
    <w:rsid w:val="004225C2"/>
    <w:rsid w:val="00423077"/>
    <w:rsid w:val="004232FC"/>
    <w:rsid w:val="00423315"/>
    <w:rsid w:val="00423552"/>
    <w:rsid w:val="00423647"/>
    <w:rsid w:val="00423649"/>
    <w:rsid w:val="0042366B"/>
    <w:rsid w:val="00423702"/>
    <w:rsid w:val="0042375C"/>
    <w:rsid w:val="004237DB"/>
    <w:rsid w:val="0042392C"/>
    <w:rsid w:val="00423AFE"/>
    <w:rsid w:val="00423CBA"/>
    <w:rsid w:val="00423DED"/>
    <w:rsid w:val="00423E0E"/>
    <w:rsid w:val="00423FC3"/>
    <w:rsid w:val="00424052"/>
    <w:rsid w:val="0042411D"/>
    <w:rsid w:val="004244C7"/>
    <w:rsid w:val="004244E7"/>
    <w:rsid w:val="00424523"/>
    <w:rsid w:val="004246F6"/>
    <w:rsid w:val="00424972"/>
    <w:rsid w:val="00424AB3"/>
    <w:rsid w:val="00424E57"/>
    <w:rsid w:val="004256D5"/>
    <w:rsid w:val="004258F2"/>
    <w:rsid w:val="00425903"/>
    <w:rsid w:val="00425B1B"/>
    <w:rsid w:val="00425D46"/>
    <w:rsid w:val="00425FA2"/>
    <w:rsid w:val="004260D8"/>
    <w:rsid w:val="00426396"/>
    <w:rsid w:val="004263CC"/>
    <w:rsid w:val="004265A6"/>
    <w:rsid w:val="004269BC"/>
    <w:rsid w:val="00426C1A"/>
    <w:rsid w:val="00426CF4"/>
    <w:rsid w:val="00426CF7"/>
    <w:rsid w:val="00426EE8"/>
    <w:rsid w:val="00426FFF"/>
    <w:rsid w:val="00427043"/>
    <w:rsid w:val="00427064"/>
    <w:rsid w:val="00427219"/>
    <w:rsid w:val="00427289"/>
    <w:rsid w:val="004274F6"/>
    <w:rsid w:val="0042753F"/>
    <w:rsid w:val="004277A8"/>
    <w:rsid w:val="004279D7"/>
    <w:rsid w:val="004301F8"/>
    <w:rsid w:val="00430350"/>
    <w:rsid w:val="00430877"/>
    <w:rsid w:val="00430DF8"/>
    <w:rsid w:val="00430E8B"/>
    <w:rsid w:val="00431251"/>
    <w:rsid w:val="004313F4"/>
    <w:rsid w:val="004318B1"/>
    <w:rsid w:val="00431A31"/>
    <w:rsid w:val="00431AF5"/>
    <w:rsid w:val="00431D0A"/>
    <w:rsid w:val="00431DCA"/>
    <w:rsid w:val="00431F0D"/>
    <w:rsid w:val="004324C2"/>
    <w:rsid w:val="004326F6"/>
    <w:rsid w:val="00432874"/>
    <w:rsid w:val="00432D68"/>
    <w:rsid w:val="00432E1C"/>
    <w:rsid w:val="00432E77"/>
    <w:rsid w:val="00432F29"/>
    <w:rsid w:val="004330D0"/>
    <w:rsid w:val="0043325E"/>
    <w:rsid w:val="00433269"/>
    <w:rsid w:val="00433371"/>
    <w:rsid w:val="00433559"/>
    <w:rsid w:val="00433A80"/>
    <w:rsid w:val="00433F76"/>
    <w:rsid w:val="00434087"/>
    <w:rsid w:val="00434092"/>
    <w:rsid w:val="00434228"/>
    <w:rsid w:val="004343BB"/>
    <w:rsid w:val="00434743"/>
    <w:rsid w:val="004347A3"/>
    <w:rsid w:val="004349F8"/>
    <w:rsid w:val="00434AAC"/>
    <w:rsid w:val="00434D61"/>
    <w:rsid w:val="0043523A"/>
    <w:rsid w:val="004352A7"/>
    <w:rsid w:val="0043537B"/>
    <w:rsid w:val="00435582"/>
    <w:rsid w:val="0043558D"/>
    <w:rsid w:val="004355D8"/>
    <w:rsid w:val="004359D0"/>
    <w:rsid w:val="00435CB5"/>
    <w:rsid w:val="00435CF4"/>
    <w:rsid w:val="004360BA"/>
    <w:rsid w:val="00436265"/>
    <w:rsid w:val="0043659E"/>
    <w:rsid w:val="004366B6"/>
    <w:rsid w:val="004366F1"/>
    <w:rsid w:val="00436AE4"/>
    <w:rsid w:val="00436B3A"/>
    <w:rsid w:val="00436DCE"/>
    <w:rsid w:val="00437068"/>
    <w:rsid w:val="00437411"/>
    <w:rsid w:val="00437535"/>
    <w:rsid w:val="0043754C"/>
    <w:rsid w:val="0043796E"/>
    <w:rsid w:val="004379A4"/>
    <w:rsid w:val="00437D10"/>
    <w:rsid w:val="00437D30"/>
    <w:rsid w:val="0044006D"/>
    <w:rsid w:val="00440321"/>
    <w:rsid w:val="004403D5"/>
    <w:rsid w:val="004406C5"/>
    <w:rsid w:val="00440B70"/>
    <w:rsid w:val="00440DFA"/>
    <w:rsid w:val="0044108E"/>
    <w:rsid w:val="00441119"/>
    <w:rsid w:val="00441834"/>
    <w:rsid w:val="00441BBE"/>
    <w:rsid w:val="00441CA3"/>
    <w:rsid w:val="00441D82"/>
    <w:rsid w:val="00441DD7"/>
    <w:rsid w:val="00442133"/>
    <w:rsid w:val="00442449"/>
    <w:rsid w:val="0044252B"/>
    <w:rsid w:val="00442635"/>
    <w:rsid w:val="00442736"/>
    <w:rsid w:val="0044278E"/>
    <w:rsid w:val="00442848"/>
    <w:rsid w:val="004428ED"/>
    <w:rsid w:val="004429AA"/>
    <w:rsid w:val="00442AF1"/>
    <w:rsid w:val="00442E80"/>
    <w:rsid w:val="00442F96"/>
    <w:rsid w:val="0044343D"/>
    <w:rsid w:val="00443532"/>
    <w:rsid w:val="004436B7"/>
    <w:rsid w:val="0044389C"/>
    <w:rsid w:val="00443C9F"/>
    <w:rsid w:val="00443E6A"/>
    <w:rsid w:val="00443ED0"/>
    <w:rsid w:val="0044408B"/>
    <w:rsid w:val="004440D7"/>
    <w:rsid w:val="004440FA"/>
    <w:rsid w:val="0044444B"/>
    <w:rsid w:val="0044549D"/>
    <w:rsid w:val="004458CF"/>
    <w:rsid w:val="004458DA"/>
    <w:rsid w:val="00445E1F"/>
    <w:rsid w:val="004460A1"/>
    <w:rsid w:val="00446351"/>
    <w:rsid w:val="00446477"/>
    <w:rsid w:val="0044649B"/>
    <w:rsid w:val="0044666D"/>
    <w:rsid w:val="00446782"/>
    <w:rsid w:val="0044685B"/>
    <w:rsid w:val="004469D0"/>
    <w:rsid w:val="00446D02"/>
    <w:rsid w:val="004470B9"/>
    <w:rsid w:val="0044730F"/>
    <w:rsid w:val="00447511"/>
    <w:rsid w:val="00447559"/>
    <w:rsid w:val="004475FB"/>
    <w:rsid w:val="004476AE"/>
    <w:rsid w:val="004476CF"/>
    <w:rsid w:val="00447793"/>
    <w:rsid w:val="004477FA"/>
    <w:rsid w:val="004478EA"/>
    <w:rsid w:val="00447A3D"/>
    <w:rsid w:val="00447BF5"/>
    <w:rsid w:val="004504B5"/>
    <w:rsid w:val="0045066F"/>
    <w:rsid w:val="00450CCC"/>
    <w:rsid w:val="00450F00"/>
    <w:rsid w:val="00450F39"/>
    <w:rsid w:val="004510B9"/>
    <w:rsid w:val="00451151"/>
    <w:rsid w:val="00451572"/>
    <w:rsid w:val="00451578"/>
    <w:rsid w:val="0045165D"/>
    <w:rsid w:val="00451755"/>
    <w:rsid w:val="004517B3"/>
    <w:rsid w:val="00451BC8"/>
    <w:rsid w:val="00451D3F"/>
    <w:rsid w:val="00451D4E"/>
    <w:rsid w:val="00451DFD"/>
    <w:rsid w:val="00451E95"/>
    <w:rsid w:val="00451F26"/>
    <w:rsid w:val="004520EC"/>
    <w:rsid w:val="0045214D"/>
    <w:rsid w:val="00452416"/>
    <w:rsid w:val="00452479"/>
    <w:rsid w:val="00452641"/>
    <w:rsid w:val="00452736"/>
    <w:rsid w:val="00452A22"/>
    <w:rsid w:val="00452DA2"/>
    <w:rsid w:val="00453331"/>
    <w:rsid w:val="00453483"/>
    <w:rsid w:val="00453A70"/>
    <w:rsid w:val="00453BF1"/>
    <w:rsid w:val="00453F30"/>
    <w:rsid w:val="0045407F"/>
    <w:rsid w:val="0045430E"/>
    <w:rsid w:val="004545D8"/>
    <w:rsid w:val="00454D05"/>
    <w:rsid w:val="004550F5"/>
    <w:rsid w:val="004554E8"/>
    <w:rsid w:val="0045556C"/>
    <w:rsid w:val="00455B1A"/>
    <w:rsid w:val="00455C0E"/>
    <w:rsid w:val="00455E43"/>
    <w:rsid w:val="00455F8F"/>
    <w:rsid w:val="00456114"/>
    <w:rsid w:val="0045616E"/>
    <w:rsid w:val="00456766"/>
    <w:rsid w:val="00456909"/>
    <w:rsid w:val="00456A7A"/>
    <w:rsid w:val="00456AA6"/>
    <w:rsid w:val="00456ADA"/>
    <w:rsid w:val="00456E4A"/>
    <w:rsid w:val="00456F11"/>
    <w:rsid w:val="00457009"/>
    <w:rsid w:val="00457036"/>
    <w:rsid w:val="004570F4"/>
    <w:rsid w:val="00457171"/>
    <w:rsid w:val="00457359"/>
    <w:rsid w:val="004574CE"/>
    <w:rsid w:val="00457658"/>
    <w:rsid w:val="00457669"/>
    <w:rsid w:val="004576A2"/>
    <w:rsid w:val="004576B1"/>
    <w:rsid w:val="00457B77"/>
    <w:rsid w:val="00457E21"/>
    <w:rsid w:val="004600E4"/>
    <w:rsid w:val="0046066B"/>
    <w:rsid w:val="00460CBF"/>
    <w:rsid w:val="00460CD1"/>
    <w:rsid w:val="00460CD2"/>
    <w:rsid w:val="00460E28"/>
    <w:rsid w:val="00460F41"/>
    <w:rsid w:val="00461652"/>
    <w:rsid w:val="0046189F"/>
    <w:rsid w:val="00461D55"/>
    <w:rsid w:val="004620F8"/>
    <w:rsid w:val="0046230B"/>
    <w:rsid w:val="004623E4"/>
    <w:rsid w:val="0046271D"/>
    <w:rsid w:val="0046276A"/>
    <w:rsid w:val="00462A8B"/>
    <w:rsid w:val="00462D60"/>
    <w:rsid w:val="00462F58"/>
    <w:rsid w:val="004633FD"/>
    <w:rsid w:val="00463696"/>
    <w:rsid w:val="00463A22"/>
    <w:rsid w:val="00463C84"/>
    <w:rsid w:val="00463CD9"/>
    <w:rsid w:val="00463CF2"/>
    <w:rsid w:val="00464038"/>
    <w:rsid w:val="00464039"/>
    <w:rsid w:val="004641DC"/>
    <w:rsid w:val="00464434"/>
    <w:rsid w:val="004646EC"/>
    <w:rsid w:val="0046495E"/>
    <w:rsid w:val="004649F7"/>
    <w:rsid w:val="00464BF3"/>
    <w:rsid w:val="0046503C"/>
    <w:rsid w:val="004650D9"/>
    <w:rsid w:val="00465287"/>
    <w:rsid w:val="004652A3"/>
    <w:rsid w:val="004653AB"/>
    <w:rsid w:val="0046545D"/>
    <w:rsid w:val="004654B7"/>
    <w:rsid w:val="0046588B"/>
    <w:rsid w:val="00465945"/>
    <w:rsid w:val="00465A1D"/>
    <w:rsid w:val="00465BEE"/>
    <w:rsid w:val="00465D2C"/>
    <w:rsid w:val="00465D3D"/>
    <w:rsid w:val="0046618F"/>
    <w:rsid w:val="004668EF"/>
    <w:rsid w:val="00466F9B"/>
    <w:rsid w:val="00467306"/>
    <w:rsid w:val="004674C1"/>
    <w:rsid w:val="004674E0"/>
    <w:rsid w:val="0046751D"/>
    <w:rsid w:val="004675EC"/>
    <w:rsid w:val="00467644"/>
    <w:rsid w:val="00467789"/>
    <w:rsid w:val="004677E9"/>
    <w:rsid w:val="00467B5D"/>
    <w:rsid w:val="00470003"/>
    <w:rsid w:val="00470136"/>
    <w:rsid w:val="004701C9"/>
    <w:rsid w:val="004705CD"/>
    <w:rsid w:val="00470811"/>
    <w:rsid w:val="00470A30"/>
    <w:rsid w:val="00470D2C"/>
    <w:rsid w:val="00470D4B"/>
    <w:rsid w:val="00470E32"/>
    <w:rsid w:val="00470EA0"/>
    <w:rsid w:val="00470ED2"/>
    <w:rsid w:val="0047100E"/>
    <w:rsid w:val="004710DA"/>
    <w:rsid w:val="004710F4"/>
    <w:rsid w:val="00471164"/>
    <w:rsid w:val="00471258"/>
    <w:rsid w:val="0047144C"/>
    <w:rsid w:val="0047151A"/>
    <w:rsid w:val="004716BB"/>
    <w:rsid w:val="004717C1"/>
    <w:rsid w:val="0047181F"/>
    <w:rsid w:val="004719B4"/>
    <w:rsid w:val="00471B77"/>
    <w:rsid w:val="004720D7"/>
    <w:rsid w:val="004724CA"/>
    <w:rsid w:val="0047251E"/>
    <w:rsid w:val="00472530"/>
    <w:rsid w:val="0047257F"/>
    <w:rsid w:val="004726CF"/>
    <w:rsid w:val="00472FA8"/>
    <w:rsid w:val="0047314A"/>
    <w:rsid w:val="00473210"/>
    <w:rsid w:val="00473DBB"/>
    <w:rsid w:val="00473E3C"/>
    <w:rsid w:val="00474267"/>
    <w:rsid w:val="00474510"/>
    <w:rsid w:val="00474741"/>
    <w:rsid w:val="00474A37"/>
    <w:rsid w:val="00474A9A"/>
    <w:rsid w:val="00474EF2"/>
    <w:rsid w:val="00474FAB"/>
    <w:rsid w:val="00475259"/>
    <w:rsid w:val="00475659"/>
    <w:rsid w:val="004757B9"/>
    <w:rsid w:val="00475966"/>
    <w:rsid w:val="00475C22"/>
    <w:rsid w:val="00475D04"/>
    <w:rsid w:val="00475E30"/>
    <w:rsid w:val="00476016"/>
    <w:rsid w:val="00476286"/>
    <w:rsid w:val="0047650A"/>
    <w:rsid w:val="00476E96"/>
    <w:rsid w:val="00476F07"/>
    <w:rsid w:val="00476FA8"/>
    <w:rsid w:val="00476FC6"/>
    <w:rsid w:val="0047749F"/>
    <w:rsid w:val="0047780F"/>
    <w:rsid w:val="00477A08"/>
    <w:rsid w:val="00477A74"/>
    <w:rsid w:val="00477BEE"/>
    <w:rsid w:val="00477D1E"/>
    <w:rsid w:val="00477D9D"/>
    <w:rsid w:val="00477E07"/>
    <w:rsid w:val="00477E27"/>
    <w:rsid w:val="00477E86"/>
    <w:rsid w:val="00480014"/>
    <w:rsid w:val="0048027C"/>
    <w:rsid w:val="004802F4"/>
    <w:rsid w:val="0048045F"/>
    <w:rsid w:val="004804E2"/>
    <w:rsid w:val="0048069F"/>
    <w:rsid w:val="0048084A"/>
    <w:rsid w:val="004809CC"/>
    <w:rsid w:val="00480C83"/>
    <w:rsid w:val="00480E27"/>
    <w:rsid w:val="00480F3A"/>
    <w:rsid w:val="00480F43"/>
    <w:rsid w:val="00480F8A"/>
    <w:rsid w:val="00481266"/>
    <w:rsid w:val="004812AE"/>
    <w:rsid w:val="00481401"/>
    <w:rsid w:val="0048141D"/>
    <w:rsid w:val="004816BF"/>
    <w:rsid w:val="00481713"/>
    <w:rsid w:val="00481872"/>
    <w:rsid w:val="00481A63"/>
    <w:rsid w:val="00481AFD"/>
    <w:rsid w:val="00481DAF"/>
    <w:rsid w:val="00482038"/>
    <w:rsid w:val="0048217B"/>
    <w:rsid w:val="00482238"/>
    <w:rsid w:val="00482443"/>
    <w:rsid w:val="004826EF"/>
    <w:rsid w:val="0048288B"/>
    <w:rsid w:val="00482AA5"/>
    <w:rsid w:val="00482C55"/>
    <w:rsid w:val="00482D03"/>
    <w:rsid w:val="00482D93"/>
    <w:rsid w:val="00483044"/>
    <w:rsid w:val="00483128"/>
    <w:rsid w:val="00483183"/>
    <w:rsid w:val="0048322F"/>
    <w:rsid w:val="00483607"/>
    <w:rsid w:val="00483A5B"/>
    <w:rsid w:val="00483B15"/>
    <w:rsid w:val="00483E7B"/>
    <w:rsid w:val="004841B4"/>
    <w:rsid w:val="004841D1"/>
    <w:rsid w:val="0048426E"/>
    <w:rsid w:val="0048432B"/>
    <w:rsid w:val="004844EE"/>
    <w:rsid w:val="004845F0"/>
    <w:rsid w:val="00484916"/>
    <w:rsid w:val="00484AFE"/>
    <w:rsid w:val="004852C3"/>
    <w:rsid w:val="004852C5"/>
    <w:rsid w:val="004854A9"/>
    <w:rsid w:val="0048559C"/>
    <w:rsid w:val="00485608"/>
    <w:rsid w:val="0048577E"/>
    <w:rsid w:val="00485965"/>
    <w:rsid w:val="00485A04"/>
    <w:rsid w:val="00485A54"/>
    <w:rsid w:val="00485EB3"/>
    <w:rsid w:val="00485EC0"/>
    <w:rsid w:val="00485FC7"/>
    <w:rsid w:val="00486050"/>
    <w:rsid w:val="00486496"/>
    <w:rsid w:val="004864A5"/>
    <w:rsid w:val="0048681E"/>
    <w:rsid w:val="00486913"/>
    <w:rsid w:val="00486A21"/>
    <w:rsid w:val="00486E7D"/>
    <w:rsid w:val="00486F91"/>
    <w:rsid w:val="00486FBF"/>
    <w:rsid w:val="0048701C"/>
    <w:rsid w:val="004871C6"/>
    <w:rsid w:val="004872A7"/>
    <w:rsid w:val="00487744"/>
    <w:rsid w:val="00487A9C"/>
    <w:rsid w:val="00487E55"/>
    <w:rsid w:val="004904E9"/>
    <w:rsid w:val="004904FF"/>
    <w:rsid w:val="00490527"/>
    <w:rsid w:val="0049053B"/>
    <w:rsid w:val="00490545"/>
    <w:rsid w:val="00490557"/>
    <w:rsid w:val="004906EE"/>
    <w:rsid w:val="0049092A"/>
    <w:rsid w:val="004909A6"/>
    <w:rsid w:val="00490B01"/>
    <w:rsid w:val="00490B55"/>
    <w:rsid w:val="00490DFD"/>
    <w:rsid w:val="0049137F"/>
    <w:rsid w:val="00491434"/>
    <w:rsid w:val="004914EF"/>
    <w:rsid w:val="0049154D"/>
    <w:rsid w:val="0049156B"/>
    <w:rsid w:val="004918DD"/>
    <w:rsid w:val="00491A17"/>
    <w:rsid w:val="00491D86"/>
    <w:rsid w:val="00491DD1"/>
    <w:rsid w:val="00491FC8"/>
    <w:rsid w:val="0049217C"/>
    <w:rsid w:val="00492402"/>
    <w:rsid w:val="004924CA"/>
    <w:rsid w:val="0049253A"/>
    <w:rsid w:val="00492B4D"/>
    <w:rsid w:val="00492D02"/>
    <w:rsid w:val="00492EFB"/>
    <w:rsid w:val="004932AE"/>
    <w:rsid w:val="00493423"/>
    <w:rsid w:val="00493485"/>
    <w:rsid w:val="00493798"/>
    <w:rsid w:val="0049390D"/>
    <w:rsid w:val="00493A17"/>
    <w:rsid w:val="00493A9C"/>
    <w:rsid w:val="00493FF0"/>
    <w:rsid w:val="004940C1"/>
    <w:rsid w:val="00494466"/>
    <w:rsid w:val="00494531"/>
    <w:rsid w:val="00494549"/>
    <w:rsid w:val="0049480F"/>
    <w:rsid w:val="00494866"/>
    <w:rsid w:val="00494BC9"/>
    <w:rsid w:val="00495050"/>
    <w:rsid w:val="0049525B"/>
    <w:rsid w:val="00495320"/>
    <w:rsid w:val="00495347"/>
    <w:rsid w:val="00495463"/>
    <w:rsid w:val="00495509"/>
    <w:rsid w:val="004956E9"/>
    <w:rsid w:val="00495706"/>
    <w:rsid w:val="00495834"/>
    <w:rsid w:val="004958A5"/>
    <w:rsid w:val="00495A92"/>
    <w:rsid w:val="0049626A"/>
    <w:rsid w:val="004964ED"/>
    <w:rsid w:val="004964FC"/>
    <w:rsid w:val="00496691"/>
    <w:rsid w:val="00496995"/>
    <w:rsid w:val="004971E9"/>
    <w:rsid w:val="0049758D"/>
    <w:rsid w:val="0049760C"/>
    <w:rsid w:val="0049776C"/>
    <w:rsid w:val="00497794"/>
    <w:rsid w:val="00497C53"/>
    <w:rsid w:val="00497D1B"/>
    <w:rsid w:val="00497DD9"/>
    <w:rsid w:val="004A00FE"/>
    <w:rsid w:val="004A0219"/>
    <w:rsid w:val="004A031F"/>
    <w:rsid w:val="004A044C"/>
    <w:rsid w:val="004A06D9"/>
    <w:rsid w:val="004A0788"/>
    <w:rsid w:val="004A07BD"/>
    <w:rsid w:val="004A082E"/>
    <w:rsid w:val="004A0CFA"/>
    <w:rsid w:val="004A0D11"/>
    <w:rsid w:val="004A0F1B"/>
    <w:rsid w:val="004A107E"/>
    <w:rsid w:val="004A1160"/>
    <w:rsid w:val="004A12C6"/>
    <w:rsid w:val="004A1769"/>
    <w:rsid w:val="004A18B1"/>
    <w:rsid w:val="004A1AED"/>
    <w:rsid w:val="004A1B74"/>
    <w:rsid w:val="004A1D58"/>
    <w:rsid w:val="004A2115"/>
    <w:rsid w:val="004A216F"/>
    <w:rsid w:val="004A24E2"/>
    <w:rsid w:val="004A27CC"/>
    <w:rsid w:val="004A292C"/>
    <w:rsid w:val="004A293A"/>
    <w:rsid w:val="004A2D2B"/>
    <w:rsid w:val="004A2F1A"/>
    <w:rsid w:val="004A3171"/>
    <w:rsid w:val="004A317C"/>
    <w:rsid w:val="004A32B2"/>
    <w:rsid w:val="004A37D1"/>
    <w:rsid w:val="004A3A2F"/>
    <w:rsid w:val="004A3BFE"/>
    <w:rsid w:val="004A3D0A"/>
    <w:rsid w:val="004A3D8D"/>
    <w:rsid w:val="004A3D91"/>
    <w:rsid w:val="004A3DD3"/>
    <w:rsid w:val="004A41E4"/>
    <w:rsid w:val="004A46E7"/>
    <w:rsid w:val="004A4723"/>
    <w:rsid w:val="004A4AD8"/>
    <w:rsid w:val="004A4C27"/>
    <w:rsid w:val="004A5C4F"/>
    <w:rsid w:val="004A5DF1"/>
    <w:rsid w:val="004A5EDE"/>
    <w:rsid w:val="004A5F05"/>
    <w:rsid w:val="004A5FAB"/>
    <w:rsid w:val="004A61EA"/>
    <w:rsid w:val="004A63E3"/>
    <w:rsid w:val="004A64BD"/>
    <w:rsid w:val="004A6850"/>
    <w:rsid w:val="004A693E"/>
    <w:rsid w:val="004A7019"/>
    <w:rsid w:val="004A7118"/>
    <w:rsid w:val="004A7205"/>
    <w:rsid w:val="004A75C5"/>
    <w:rsid w:val="004A782E"/>
    <w:rsid w:val="004A785C"/>
    <w:rsid w:val="004A7CCC"/>
    <w:rsid w:val="004A7F59"/>
    <w:rsid w:val="004A7FB9"/>
    <w:rsid w:val="004A7FBE"/>
    <w:rsid w:val="004B01C0"/>
    <w:rsid w:val="004B0216"/>
    <w:rsid w:val="004B0307"/>
    <w:rsid w:val="004B031C"/>
    <w:rsid w:val="004B03B3"/>
    <w:rsid w:val="004B0697"/>
    <w:rsid w:val="004B0703"/>
    <w:rsid w:val="004B079D"/>
    <w:rsid w:val="004B09F6"/>
    <w:rsid w:val="004B0AC8"/>
    <w:rsid w:val="004B0C44"/>
    <w:rsid w:val="004B0FCA"/>
    <w:rsid w:val="004B1631"/>
    <w:rsid w:val="004B179B"/>
    <w:rsid w:val="004B1800"/>
    <w:rsid w:val="004B1B95"/>
    <w:rsid w:val="004B1C3E"/>
    <w:rsid w:val="004B1EEA"/>
    <w:rsid w:val="004B1F83"/>
    <w:rsid w:val="004B21DD"/>
    <w:rsid w:val="004B24FF"/>
    <w:rsid w:val="004B2650"/>
    <w:rsid w:val="004B2684"/>
    <w:rsid w:val="004B293D"/>
    <w:rsid w:val="004B2A25"/>
    <w:rsid w:val="004B2C18"/>
    <w:rsid w:val="004B2C35"/>
    <w:rsid w:val="004B2D5B"/>
    <w:rsid w:val="004B2DAD"/>
    <w:rsid w:val="004B3139"/>
    <w:rsid w:val="004B31F0"/>
    <w:rsid w:val="004B3739"/>
    <w:rsid w:val="004B39ED"/>
    <w:rsid w:val="004B3B15"/>
    <w:rsid w:val="004B3EA7"/>
    <w:rsid w:val="004B3FD3"/>
    <w:rsid w:val="004B415F"/>
    <w:rsid w:val="004B4419"/>
    <w:rsid w:val="004B4458"/>
    <w:rsid w:val="004B44F4"/>
    <w:rsid w:val="004B45A6"/>
    <w:rsid w:val="004B45BD"/>
    <w:rsid w:val="004B47F2"/>
    <w:rsid w:val="004B4E87"/>
    <w:rsid w:val="004B4F85"/>
    <w:rsid w:val="004B522D"/>
    <w:rsid w:val="004B5A1A"/>
    <w:rsid w:val="004B5C23"/>
    <w:rsid w:val="004B5CF3"/>
    <w:rsid w:val="004B5DA5"/>
    <w:rsid w:val="004B5E29"/>
    <w:rsid w:val="004B6029"/>
    <w:rsid w:val="004B6079"/>
    <w:rsid w:val="004B63DB"/>
    <w:rsid w:val="004B654A"/>
    <w:rsid w:val="004B67C6"/>
    <w:rsid w:val="004B6851"/>
    <w:rsid w:val="004B6AE2"/>
    <w:rsid w:val="004B7126"/>
    <w:rsid w:val="004B7DB4"/>
    <w:rsid w:val="004B7ED8"/>
    <w:rsid w:val="004B7F5D"/>
    <w:rsid w:val="004B7F8F"/>
    <w:rsid w:val="004C0452"/>
    <w:rsid w:val="004C08C1"/>
    <w:rsid w:val="004C0F91"/>
    <w:rsid w:val="004C11F2"/>
    <w:rsid w:val="004C1225"/>
    <w:rsid w:val="004C1A5A"/>
    <w:rsid w:val="004C1B04"/>
    <w:rsid w:val="004C1B2C"/>
    <w:rsid w:val="004C1C39"/>
    <w:rsid w:val="004C1D8F"/>
    <w:rsid w:val="004C1DB4"/>
    <w:rsid w:val="004C2019"/>
    <w:rsid w:val="004C21B3"/>
    <w:rsid w:val="004C22D2"/>
    <w:rsid w:val="004C2533"/>
    <w:rsid w:val="004C261A"/>
    <w:rsid w:val="004C28FC"/>
    <w:rsid w:val="004C2B00"/>
    <w:rsid w:val="004C2BDE"/>
    <w:rsid w:val="004C2C0C"/>
    <w:rsid w:val="004C2CA2"/>
    <w:rsid w:val="004C2D72"/>
    <w:rsid w:val="004C2D9A"/>
    <w:rsid w:val="004C2E98"/>
    <w:rsid w:val="004C2FBB"/>
    <w:rsid w:val="004C33F5"/>
    <w:rsid w:val="004C40E3"/>
    <w:rsid w:val="004C42FC"/>
    <w:rsid w:val="004C4606"/>
    <w:rsid w:val="004C466C"/>
    <w:rsid w:val="004C4772"/>
    <w:rsid w:val="004C4890"/>
    <w:rsid w:val="004C4A67"/>
    <w:rsid w:val="004C4EDB"/>
    <w:rsid w:val="004C4F8E"/>
    <w:rsid w:val="004C502B"/>
    <w:rsid w:val="004C56AC"/>
    <w:rsid w:val="004C5949"/>
    <w:rsid w:val="004C5A01"/>
    <w:rsid w:val="004C5B47"/>
    <w:rsid w:val="004C5C04"/>
    <w:rsid w:val="004C5CF8"/>
    <w:rsid w:val="004C63A1"/>
    <w:rsid w:val="004C66E7"/>
    <w:rsid w:val="004C6B20"/>
    <w:rsid w:val="004C6F30"/>
    <w:rsid w:val="004C72BD"/>
    <w:rsid w:val="004C7477"/>
    <w:rsid w:val="004C75A4"/>
    <w:rsid w:val="004C798D"/>
    <w:rsid w:val="004C7AB0"/>
    <w:rsid w:val="004C7B48"/>
    <w:rsid w:val="004C7BF2"/>
    <w:rsid w:val="004C7C7B"/>
    <w:rsid w:val="004C7E98"/>
    <w:rsid w:val="004D0000"/>
    <w:rsid w:val="004D02B3"/>
    <w:rsid w:val="004D0468"/>
    <w:rsid w:val="004D0726"/>
    <w:rsid w:val="004D0946"/>
    <w:rsid w:val="004D0C92"/>
    <w:rsid w:val="004D0D7E"/>
    <w:rsid w:val="004D1913"/>
    <w:rsid w:val="004D19BF"/>
    <w:rsid w:val="004D1A94"/>
    <w:rsid w:val="004D1BBD"/>
    <w:rsid w:val="004D1C67"/>
    <w:rsid w:val="004D1CF5"/>
    <w:rsid w:val="004D1D96"/>
    <w:rsid w:val="004D1E08"/>
    <w:rsid w:val="004D2218"/>
    <w:rsid w:val="004D22EC"/>
    <w:rsid w:val="004D22F5"/>
    <w:rsid w:val="004D24CD"/>
    <w:rsid w:val="004D2676"/>
    <w:rsid w:val="004D2785"/>
    <w:rsid w:val="004D2AE2"/>
    <w:rsid w:val="004D2D7A"/>
    <w:rsid w:val="004D3080"/>
    <w:rsid w:val="004D31D0"/>
    <w:rsid w:val="004D3860"/>
    <w:rsid w:val="004D39E7"/>
    <w:rsid w:val="004D3A85"/>
    <w:rsid w:val="004D3B6D"/>
    <w:rsid w:val="004D3DED"/>
    <w:rsid w:val="004D3E1C"/>
    <w:rsid w:val="004D4020"/>
    <w:rsid w:val="004D41B8"/>
    <w:rsid w:val="004D42CA"/>
    <w:rsid w:val="004D491E"/>
    <w:rsid w:val="004D4BBC"/>
    <w:rsid w:val="004D4C56"/>
    <w:rsid w:val="004D4C60"/>
    <w:rsid w:val="004D4CCB"/>
    <w:rsid w:val="004D4D13"/>
    <w:rsid w:val="004D4D47"/>
    <w:rsid w:val="004D4E70"/>
    <w:rsid w:val="004D559E"/>
    <w:rsid w:val="004D583F"/>
    <w:rsid w:val="004D5A34"/>
    <w:rsid w:val="004D5C52"/>
    <w:rsid w:val="004D5D98"/>
    <w:rsid w:val="004D60A8"/>
    <w:rsid w:val="004D6143"/>
    <w:rsid w:val="004D617F"/>
    <w:rsid w:val="004D6221"/>
    <w:rsid w:val="004D624D"/>
    <w:rsid w:val="004D6414"/>
    <w:rsid w:val="004D6572"/>
    <w:rsid w:val="004D65A0"/>
    <w:rsid w:val="004D67F8"/>
    <w:rsid w:val="004D6821"/>
    <w:rsid w:val="004D69D4"/>
    <w:rsid w:val="004D6B4C"/>
    <w:rsid w:val="004D6D5B"/>
    <w:rsid w:val="004D6DC3"/>
    <w:rsid w:val="004D6F76"/>
    <w:rsid w:val="004D7583"/>
    <w:rsid w:val="004D7734"/>
    <w:rsid w:val="004D7758"/>
    <w:rsid w:val="004D787D"/>
    <w:rsid w:val="004D7DE0"/>
    <w:rsid w:val="004D7DFC"/>
    <w:rsid w:val="004DA3E1"/>
    <w:rsid w:val="004E0080"/>
    <w:rsid w:val="004E0112"/>
    <w:rsid w:val="004E0130"/>
    <w:rsid w:val="004E0564"/>
    <w:rsid w:val="004E06D8"/>
    <w:rsid w:val="004E0826"/>
    <w:rsid w:val="004E08C8"/>
    <w:rsid w:val="004E0AD8"/>
    <w:rsid w:val="004E0BD4"/>
    <w:rsid w:val="004E0CD0"/>
    <w:rsid w:val="004E0CF5"/>
    <w:rsid w:val="004E0D93"/>
    <w:rsid w:val="004E108B"/>
    <w:rsid w:val="004E119F"/>
    <w:rsid w:val="004E1300"/>
    <w:rsid w:val="004E1463"/>
    <w:rsid w:val="004E18DC"/>
    <w:rsid w:val="004E1A89"/>
    <w:rsid w:val="004E1B8C"/>
    <w:rsid w:val="004E1E85"/>
    <w:rsid w:val="004E218B"/>
    <w:rsid w:val="004E22B1"/>
    <w:rsid w:val="004E24BE"/>
    <w:rsid w:val="004E2615"/>
    <w:rsid w:val="004E2A2C"/>
    <w:rsid w:val="004E2CDD"/>
    <w:rsid w:val="004E2D84"/>
    <w:rsid w:val="004E2F40"/>
    <w:rsid w:val="004E301F"/>
    <w:rsid w:val="004E307A"/>
    <w:rsid w:val="004E3323"/>
    <w:rsid w:val="004E332C"/>
    <w:rsid w:val="004E370D"/>
    <w:rsid w:val="004E3E30"/>
    <w:rsid w:val="004E3F18"/>
    <w:rsid w:val="004E3FE8"/>
    <w:rsid w:val="004E404F"/>
    <w:rsid w:val="004E41CE"/>
    <w:rsid w:val="004E43D2"/>
    <w:rsid w:val="004E449A"/>
    <w:rsid w:val="004E44D0"/>
    <w:rsid w:val="004E46AA"/>
    <w:rsid w:val="004E4735"/>
    <w:rsid w:val="004E47EF"/>
    <w:rsid w:val="004E4962"/>
    <w:rsid w:val="004E4B59"/>
    <w:rsid w:val="004E4BEA"/>
    <w:rsid w:val="004E4C70"/>
    <w:rsid w:val="004E4F1C"/>
    <w:rsid w:val="004E5049"/>
    <w:rsid w:val="004E50DD"/>
    <w:rsid w:val="004E550B"/>
    <w:rsid w:val="004E5526"/>
    <w:rsid w:val="004E559F"/>
    <w:rsid w:val="004E5894"/>
    <w:rsid w:val="004E58AE"/>
    <w:rsid w:val="004E5AD0"/>
    <w:rsid w:val="004E5E5C"/>
    <w:rsid w:val="004E62DD"/>
    <w:rsid w:val="004E6E3D"/>
    <w:rsid w:val="004E6E3F"/>
    <w:rsid w:val="004E6FB7"/>
    <w:rsid w:val="004E7445"/>
    <w:rsid w:val="004E744D"/>
    <w:rsid w:val="004E74EE"/>
    <w:rsid w:val="004E7600"/>
    <w:rsid w:val="004E7714"/>
    <w:rsid w:val="004E7763"/>
    <w:rsid w:val="004E77BE"/>
    <w:rsid w:val="004E7823"/>
    <w:rsid w:val="004E79AB"/>
    <w:rsid w:val="004E7AB3"/>
    <w:rsid w:val="004F053A"/>
    <w:rsid w:val="004F0813"/>
    <w:rsid w:val="004F0C32"/>
    <w:rsid w:val="004F0DEB"/>
    <w:rsid w:val="004F0E28"/>
    <w:rsid w:val="004F0E71"/>
    <w:rsid w:val="004F11F5"/>
    <w:rsid w:val="004F1B29"/>
    <w:rsid w:val="004F1D2A"/>
    <w:rsid w:val="004F1E4E"/>
    <w:rsid w:val="004F1FAB"/>
    <w:rsid w:val="004F20CA"/>
    <w:rsid w:val="004F210C"/>
    <w:rsid w:val="004F229D"/>
    <w:rsid w:val="004F24C8"/>
    <w:rsid w:val="004F2552"/>
    <w:rsid w:val="004F277F"/>
    <w:rsid w:val="004F2A59"/>
    <w:rsid w:val="004F2A89"/>
    <w:rsid w:val="004F2E59"/>
    <w:rsid w:val="004F2F1A"/>
    <w:rsid w:val="004F3185"/>
    <w:rsid w:val="004F34FA"/>
    <w:rsid w:val="004F352F"/>
    <w:rsid w:val="004F36E1"/>
    <w:rsid w:val="004F3966"/>
    <w:rsid w:val="004F3967"/>
    <w:rsid w:val="004F3B72"/>
    <w:rsid w:val="004F3EC7"/>
    <w:rsid w:val="004F408C"/>
    <w:rsid w:val="004F42CB"/>
    <w:rsid w:val="004F460B"/>
    <w:rsid w:val="004F46E6"/>
    <w:rsid w:val="004F48C5"/>
    <w:rsid w:val="004F4ED7"/>
    <w:rsid w:val="004F4F84"/>
    <w:rsid w:val="004F5035"/>
    <w:rsid w:val="004F519C"/>
    <w:rsid w:val="004F5279"/>
    <w:rsid w:val="004F5554"/>
    <w:rsid w:val="004F5FD6"/>
    <w:rsid w:val="004F6228"/>
    <w:rsid w:val="004F6434"/>
    <w:rsid w:val="004F67CF"/>
    <w:rsid w:val="004F6D4A"/>
    <w:rsid w:val="004F6E54"/>
    <w:rsid w:val="004F6E89"/>
    <w:rsid w:val="004F7083"/>
    <w:rsid w:val="004F75BF"/>
    <w:rsid w:val="004F75D8"/>
    <w:rsid w:val="004F7736"/>
    <w:rsid w:val="004F7A1E"/>
    <w:rsid w:val="004F7AB4"/>
    <w:rsid w:val="004F7C38"/>
    <w:rsid w:val="004F7CCB"/>
    <w:rsid w:val="004F7ED4"/>
    <w:rsid w:val="004F7F83"/>
    <w:rsid w:val="00500199"/>
    <w:rsid w:val="0050043A"/>
    <w:rsid w:val="00500599"/>
    <w:rsid w:val="00500677"/>
    <w:rsid w:val="0050067A"/>
    <w:rsid w:val="005006D1"/>
    <w:rsid w:val="005009E1"/>
    <w:rsid w:val="005016F9"/>
    <w:rsid w:val="00501A2C"/>
    <w:rsid w:val="00501DEB"/>
    <w:rsid w:val="00501EAD"/>
    <w:rsid w:val="00501FAB"/>
    <w:rsid w:val="00501FBE"/>
    <w:rsid w:val="0050202E"/>
    <w:rsid w:val="005020A2"/>
    <w:rsid w:val="00502130"/>
    <w:rsid w:val="005023A5"/>
    <w:rsid w:val="005024B2"/>
    <w:rsid w:val="005026FA"/>
    <w:rsid w:val="005028F4"/>
    <w:rsid w:val="0050297A"/>
    <w:rsid w:val="00502DD9"/>
    <w:rsid w:val="00503008"/>
    <w:rsid w:val="005031D1"/>
    <w:rsid w:val="0050322E"/>
    <w:rsid w:val="005032E9"/>
    <w:rsid w:val="0050336B"/>
    <w:rsid w:val="00503597"/>
    <w:rsid w:val="00503C38"/>
    <w:rsid w:val="00503D3E"/>
    <w:rsid w:val="00503FBC"/>
    <w:rsid w:val="00504136"/>
    <w:rsid w:val="0050421B"/>
    <w:rsid w:val="00504253"/>
    <w:rsid w:val="0050445E"/>
    <w:rsid w:val="005044E3"/>
    <w:rsid w:val="005045B1"/>
    <w:rsid w:val="0050486E"/>
    <w:rsid w:val="0050493B"/>
    <w:rsid w:val="005049F1"/>
    <w:rsid w:val="00504A9C"/>
    <w:rsid w:val="00504D1D"/>
    <w:rsid w:val="005050EC"/>
    <w:rsid w:val="005052E2"/>
    <w:rsid w:val="00505420"/>
    <w:rsid w:val="00505695"/>
    <w:rsid w:val="00505700"/>
    <w:rsid w:val="00505783"/>
    <w:rsid w:val="00505CD8"/>
    <w:rsid w:val="00505F5E"/>
    <w:rsid w:val="0050610F"/>
    <w:rsid w:val="005061FF"/>
    <w:rsid w:val="00506407"/>
    <w:rsid w:val="005064E6"/>
    <w:rsid w:val="005065EC"/>
    <w:rsid w:val="00506813"/>
    <w:rsid w:val="00506816"/>
    <w:rsid w:val="005068C6"/>
    <w:rsid w:val="0050692F"/>
    <w:rsid w:val="00506BD6"/>
    <w:rsid w:val="00506DE8"/>
    <w:rsid w:val="00507012"/>
    <w:rsid w:val="0050702E"/>
    <w:rsid w:val="005070F8"/>
    <w:rsid w:val="00507118"/>
    <w:rsid w:val="00507229"/>
    <w:rsid w:val="00507246"/>
    <w:rsid w:val="005073C1"/>
    <w:rsid w:val="00507741"/>
    <w:rsid w:val="00507B20"/>
    <w:rsid w:val="00507C8B"/>
    <w:rsid w:val="00507CEA"/>
    <w:rsid w:val="00507DDC"/>
    <w:rsid w:val="00507E38"/>
    <w:rsid w:val="00507E4E"/>
    <w:rsid w:val="00510BDF"/>
    <w:rsid w:val="00510CBB"/>
    <w:rsid w:val="00510E1F"/>
    <w:rsid w:val="00511043"/>
    <w:rsid w:val="00511203"/>
    <w:rsid w:val="005112C2"/>
    <w:rsid w:val="00511405"/>
    <w:rsid w:val="0051154B"/>
    <w:rsid w:val="00511700"/>
    <w:rsid w:val="0051176A"/>
    <w:rsid w:val="0051179A"/>
    <w:rsid w:val="00511906"/>
    <w:rsid w:val="0051199D"/>
    <w:rsid w:val="00511A08"/>
    <w:rsid w:val="00511AE4"/>
    <w:rsid w:val="00511BF2"/>
    <w:rsid w:val="00511E5A"/>
    <w:rsid w:val="00511EC2"/>
    <w:rsid w:val="005121BC"/>
    <w:rsid w:val="005121D6"/>
    <w:rsid w:val="00512280"/>
    <w:rsid w:val="00512321"/>
    <w:rsid w:val="0051244C"/>
    <w:rsid w:val="0051286B"/>
    <w:rsid w:val="00512A6A"/>
    <w:rsid w:val="00512D42"/>
    <w:rsid w:val="00512DB4"/>
    <w:rsid w:val="00512E4E"/>
    <w:rsid w:val="00512E89"/>
    <w:rsid w:val="00512EE1"/>
    <w:rsid w:val="0051300E"/>
    <w:rsid w:val="00513142"/>
    <w:rsid w:val="0051317C"/>
    <w:rsid w:val="00513741"/>
    <w:rsid w:val="0051385E"/>
    <w:rsid w:val="00513906"/>
    <w:rsid w:val="00513997"/>
    <w:rsid w:val="00513B74"/>
    <w:rsid w:val="00513EEC"/>
    <w:rsid w:val="00513F2E"/>
    <w:rsid w:val="00514086"/>
    <w:rsid w:val="00514229"/>
    <w:rsid w:val="0051423F"/>
    <w:rsid w:val="005142DC"/>
    <w:rsid w:val="005143A9"/>
    <w:rsid w:val="00514614"/>
    <w:rsid w:val="00514638"/>
    <w:rsid w:val="005146B7"/>
    <w:rsid w:val="0051480A"/>
    <w:rsid w:val="00514929"/>
    <w:rsid w:val="00514C71"/>
    <w:rsid w:val="00515875"/>
    <w:rsid w:val="00515905"/>
    <w:rsid w:val="00515BBB"/>
    <w:rsid w:val="00515C68"/>
    <w:rsid w:val="00515CCC"/>
    <w:rsid w:val="00515E12"/>
    <w:rsid w:val="00516215"/>
    <w:rsid w:val="00516B07"/>
    <w:rsid w:val="005170F9"/>
    <w:rsid w:val="005171F4"/>
    <w:rsid w:val="00520194"/>
    <w:rsid w:val="005202D7"/>
    <w:rsid w:val="005203F0"/>
    <w:rsid w:val="0052044F"/>
    <w:rsid w:val="005204BE"/>
    <w:rsid w:val="005204F0"/>
    <w:rsid w:val="00520848"/>
    <w:rsid w:val="00520851"/>
    <w:rsid w:val="00520B7C"/>
    <w:rsid w:val="00520B85"/>
    <w:rsid w:val="00520BD2"/>
    <w:rsid w:val="00521031"/>
    <w:rsid w:val="00521529"/>
    <w:rsid w:val="0052195F"/>
    <w:rsid w:val="005219F9"/>
    <w:rsid w:val="00521AAF"/>
    <w:rsid w:val="00521AE7"/>
    <w:rsid w:val="00521B20"/>
    <w:rsid w:val="00521DEC"/>
    <w:rsid w:val="005220F0"/>
    <w:rsid w:val="005222FC"/>
    <w:rsid w:val="005229F8"/>
    <w:rsid w:val="00522A5B"/>
    <w:rsid w:val="00522C0A"/>
    <w:rsid w:val="00522CE5"/>
    <w:rsid w:val="00522F69"/>
    <w:rsid w:val="00523104"/>
    <w:rsid w:val="005231E2"/>
    <w:rsid w:val="00523249"/>
    <w:rsid w:val="005232B8"/>
    <w:rsid w:val="005232BD"/>
    <w:rsid w:val="00523409"/>
    <w:rsid w:val="00523554"/>
    <w:rsid w:val="005239D8"/>
    <w:rsid w:val="00523A15"/>
    <w:rsid w:val="00523A42"/>
    <w:rsid w:val="00523C93"/>
    <w:rsid w:val="00523FCB"/>
    <w:rsid w:val="00524282"/>
    <w:rsid w:val="005249D9"/>
    <w:rsid w:val="00524B00"/>
    <w:rsid w:val="00524F89"/>
    <w:rsid w:val="005250BC"/>
    <w:rsid w:val="00525345"/>
    <w:rsid w:val="0052545A"/>
    <w:rsid w:val="00525630"/>
    <w:rsid w:val="005258CC"/>
    <w:rsid w:val="00525A4B"/>
    <w:rsid w:val="00525A99"/>
    <w:rsid w:val="00525B47"/>
    <w:rsid w:val="00525CFE"/>
    <w:rsid w:val="00525DD5"/>
    <w:rsid w:val="00526061"/>
    <w:rsid w:val="00526274"/>
    <w:rsid w:val="005263CE"/>
    <w:rsid w:val="005266E9"/>
    <w:rsid w:val="005268FB"/>
    <w:rsid w:val="00526A75"/>
    <w:rsid w:val="00526DEB"/>
    <w:rsid w:val="00526F22"/>
    <w:rsid w:val="005270F5"/>
    <w:rsid w:val="005271A9"/>
    <w:rsid w:val="00527444"/>
    <w:rsid w:val="005274F1"/>
    <w:rsid w:val="00527672"/>
    <w:rsid w:val="00527874"/>
    <w:rsid w:val="00527921"/>
    <w:rsid w:val="00527A0C"/>
    <w:rsid w:val="00527A3A"/>
    <w:rsid w:val="00527CE2"/>
    <w:rsid w:val="00527DA2"/>
    <w:rsid w:val="00527DE3"/>
    <w:rsid w:val="0052F9F8"/>
    <w:rsid w:val="0053009E"/>
    <w:rsid w:val="00530211"/>
    <w:rsid w:val="00530454"/>
    <w:rsid w:val="005305CE"/>
    <w:rsid w:val="005306A9"/>
    <w:rsid w:val="005309E5"/>
    <w:rsid w:val="00530B7D"/>
    <w:rsid w:val="00530CF1"/>
    <w:rsid w:val="00530E7A"/>
    <w:rsid w:val="00530EE9"/>
    <w:rsid w:val="0053167F"/>
    <w:rsid w:val="00531CCB"/>
    <w:rsid w:val="00532420"/>
    <w:rsid w:val="00532525"/>
    <w:rsid w:val="005327E2"/>
    <w:rsid w:val="00532810"/>
    <w:rsid w:val="00532AD1"/>
    <w:rsid w:val="00532CE5"/>
    <w:rsid w:val="00532DB1"/>
    <w:rsid w:val="00533344"/>
    <w:rsid w:val="005336DE"/>
    <w:rsid w:val="005339B9"/>
    <w:rsid w:val="00533A7B"/>
    <w:rsid w:val="00533DC1"/>
    <w:rsid w:val="00533F08"/>
    <w:rsid w:val="00533FBB"/>
    <w:rsid w:val="00534191"/>
    <w:rsid w:val="005342F9"/>
    <w:rsid w:val="00534330"/>
    <w:rsid w:val="005343AF"/>
    <w:rsid w:val="005345BE"/>
    <w:rsid w:val="00534729"/>
    <w:rsid w:val="0053473C"/>
    <w:rsid w:val="00534B53"/>
    <w:rsid w:val="00534B6C"/>
    <w:rsid w:val="00534B7F"/>
    <w:rsid w:val="00534E8B"/>
    <w:rsid w:val="00534FAE"/>
    <w:rsid w:val="0053503B"/>
    <w:rsid w:val="005354EF"/>
    <w:rsid w:val="005354F8"/>
    <w:rsid w:val="005357D6"/>
    <w:rsid w:val="005359D5"/>
    <w:rsid w:val="00535A35"/>
    <w:rsid w:val="00535B4B"/>
    <w:rsid w:val="00535C42"/>
    <w:rsid w:val="005361DC"/>
    <w:rsid w:val="00536322"/>
    <w:rsid w:val="00536407"/>
    <w:rsid w:val="00536500"/>
    <w:rsid w:val="005366EF"/>
    <w:rsid w:val="005367D6"/>
    <w:rsid w:val="005367D7"/>
    <w:rsid w:val="00536856"/>
    <w:rsid w:val="00536C9D"/>
    <w:rsid w:val="00536FD2"/>
    <w:rsid w:val="00537090"/>
    <w:rsid w:val="005374AC"/>
    <w:rsid w:val="005375EC"/>
    <w:rsid w:val="00537A23"/>
    <w:rsid w:val="00537A69"/>
    <w:rsid w:val="00537B93"/>
    <w:rsid w:val="00537D2F"/>
    <w:rsid w:val="00537E28"/>
    <w:rsid w:val="00537FB7"/>
    <w:rsid w:val="0054000D"/>
    <w:rsid w:val="00540A00"/>
    <w:rsid w:val="00540ACD"/>
    <w:rsid w:val="00540B87"/>
    <w:rsid w:val="00540FAB"/>
    <w:rsid w:val="00541159"/>
    <w:rsid w:val="00541164"/>
    <w:rsid w:val="00541305"/>
    <w:rsid w:val="00541382"/>
    <w:rsid w:val="0054157E"/>
    <w:rsid w:val="00541839"/>
    <w:rsid w:val="00541A2D"/>
    <w:rsid w:val="00541E47"/>
    <w:rsid w:val="00541EC4"/>
    <w:rsid w:val="0054208E"/>
    <w:rsid w:val="00542620"/>
    <w:rsid w:val="0054270F"/>
    <w:rsid w:val="0054296D"/>
    <w:rsid w:val="00542A6D"/>
    <w:rsid w:val="00542C57"/>
    <w:rsid w:val="00542D15"/>
    <w:rsid w:val="00542D47"/>
    <w:rsid w:val="005430B0"/>
    <w:rsid w:val="005433ED"/>
    <w:rsid w:val="00543D34"/>
    <w:rsid w:val="005447F0"/>
    <w:rsid w:val="005449EC"/>
    <w:rsid w:val="00544BDA"/>
    <w:rsid w:val="00544E30"/>
    <w:rsid w:val="00544EDF"/>
    <w:rsid w:val="00545019"/>
    <w:rsid w:val="005451CD"/>
    <w:rsid w:val="005452B3"/>
    <w:rsid w:val="00545629"/>
    <w:rsid w:val="00545841"/>
    <w:rsid w:val="00545876"/>
    <w:rsid w:val="005458EA"/>
    <w:rsid w:val="005458F5"/>
    <w:rsid w:val="00545974"/>
    <w:rsid w:val="00545CB5"/>
    <w:rsid w:val="00545D46"/>
    <w:rsid w:val="00545EEA"/>
    <w:rsid w:val="0054624D"/>
    <w:rsid w:val="00546307"/>
    <w:rsid w:val="00546589"/>
    <w:rsid w:val="00546765"/>
    <w:rsid w:val="00546883"/>
    <w:rsid w:val="00546CD5"/>
    <w:rsid w:val="00546DBF"/>
    <w:rsid w:val="00546EB3"/>
    <w:rsid w:val="00547083"/>
    <w:rsid w:val="00547141"/>
    <w:rsid w:val="0054756A"/>
    <w:rsid w:val="005475C8"/>
    <w:rsid w:val="005477B6"/>
    <w:rsid w:val="00547982"/>
    <w:rsid w:val="00547D6C"/>
    <w:rsid w:val="00547D6F"/>
    <w:rsid w:val="00547E12"/>
    <w:rsid w:val="00547E16"/>
    <w:rsid w:val="00547EEF"/>
    <w:rsid w:val="00547F4D"/>
    <w:rsid w:val="00550574"/>
    <w:rsid w:val="00550617"/>
    <w:rsid w:val="0055068A"/>
    <w:rsid w:val="005507BC"/>
    <w:rsid w:val="00550834"/>
    <w:rsid w:val="00550873"/>
    <w:rsid w:val="00550B7A"/>
    <w:rsid w:val="00550DCC"/>
    <w:rsid w:val="00550F6B"/>
    <w:rsid w:val="00550FE3"/>
    <w:rsid w:val="00550FF2"/>
    <w:rsid w:val="0055101E"/>
    <w:rsid w:val="00551384"/>
    <w:rsid w:val="00551723"/>
    <w:rsid w:val="00551AD3"/>
    <w:rsid w:val="00551BF6"/>
    <w:rsid w:val="00552143"/>
    <w:rsid w:val="00552220"/>
    <w:rsid w:val="005529B6"/>
    <w:rsid w:val="005529C9"/>
    <w:rsid w:val="00552A35"/>
    <w:rsid w:val="00552DB8"/>
    <w:rsid w:val="00552E84"/>
    <w:rsid w:val="00552F07"/>
    <w:rsid w:val="00553015"/>
    <w:rsid w:val="00553365"/>
    <w:rsid w:val="0055338F"/>
    <w:rsid w:val="00553643"/>
    <w:rsid w:val="005537ED"/>
    <w:rsid w:val="005539A8"/>
    <w:rsid w:val="00553B80"/>
    <w:rsid w:val="00553DF5"/>
    <w:rsid w:val="005541FB"/>
    <w:rsid w:val="0055425D"/>
    <w:rsid w:val="00554524"/>
    <w:rsid w:val="0055460A"/>
    <w:rsid w:val="00554A9B"/>
    <w:rsid w:val="00554B55"/>
    <w:rsid w:val="00554C9C"/>
    <w:rsid w:val="00554CFA"/>
    <w:rsid w:val="00554E0D"/>
    <w:rsid w:val="00555156"/>
    <w:rsid w:val="0055515E"/>
    <w:rsid w:val="00555267"/>
    <w:rsid w:val="005552F2"/>
    <w:rsid w:val="0055536D"/>
    <w:rsid w:val="00555785"/>
    <w:rsid w:val="00555DBC"/>
    <w:rsid w:val="00555DCD"/>
    <w:rsid w:val="00555F9F"/>
    <w:rsid w:val="005560DD"/>
    <w:rsid w:val="005561BB"/>
    <w:rsid w:val="00556470"/>
    <w:rsid w:val="005564CD"/>
    <w:rsid w:val="005566C8"/>
    <w:rsid w:val="00556752"/>
    <w:rsid w:val="00556A29"/>
    <w:rsid w:val="00556A96"/>
    <w:rsid w:val="00556D97"/>
    <w:rsid w:val="00556EDD"/>
    <w:rsid w:val="00556F21"/>
    <w:rsid w:val="00557169"/>
    <w:rsid w:val="005574F6"/>
    <w:rsid w:val="00557649"/>
    <w:rsid w:val="00557BF1"/>
    <w:rsid w:val="005601F7"/>
    <w:rsid w:val="005603EB"/>
    <w:rsid w:val="0056057A"/>
    <w:rsid w:val="00560BDC"/>
    <w:rsid w:val="00561019"/>
    <w:rsid w:val="005613F2"/>
    <w:rsid w:val="005617D5"/>
    <w:rsid w:val="005619A6"/>
    <w:rsid w:val="00561A56"/>
    <w:rsid w:val="00561D73"/>
    <w:rsid w:val="00562098"/>
    <w:rsid w:val="00562266"/>
    <w:rsid w:val="0056239E"/>
    <w:rsid w:val="005628EB"/>
    <w:rsid w:val="005628ED"/>
    <w:rsid w:val="005629E1"/>
    <w:rsid w:val="00562C25"/>
    <w:rsid w:val="00562CE8"/>
    <w:rsid w:val="00562D94"/>
    <w:rsid w:val="005630A4"/>
    <w:rsid w:val="005631E2"/>
    <w:rsid w:val="005631F3"/>
    <w:rsid w:val="00563245"/>
    <w:rsid w:val="00563425"/>
    <w:rsid w:val="005634D8"/>
    <w:rsid w:val="00563729"/>
    <w:rsid w:val="00563774"/>
    <w:rsid w:val="00563971"/>
    <w:rsid w:val="005639D5"/>
    <w:rsid w:val="00563BC7"/>
    <w:rsid w:val="00563DCB"/>
    <w:rsid w:val="00563E93"/>
    <w:rsid w:val="00563EDC"/>
    <w:rsid w:val="00563F0C"/>
    <w:rsid w:val="00564029"/>
    <w:rsid w:val="00564075"/>
    <w:rsid w:val="0056437E"/>
    <w:rsid w:val="0056455C"/>
    <w:rsid w:val="00564577"/>
    <w:rsid w:val="00564728"/>
    <w:rsid w:val="005647D8"/>
    <w:rsid w:val="00564993"/>
    <w:rsid w:val="00564C67"/>
    <w:rsid w:val="00564D6F"/>
    <w:rsid w:val="005650F8"/>
    <w:rsid w:val="005652D4"/>
    <w:rsid w:val="005652DF"/>
    <w:rsid w:val="005653C6"/>
    <w:rsid w:val="005655DC"/>
    <w:rsid w:val="00565A63"/>
    <w:rsid w:val="00565BC6"/>
    <w:rsid w:val="00565D18"/>
    <w:rsid w:val="00565EE5"/>
    <w:rsid w:val="00566082"/>
    <w:rsid w:val="0056634C"/>
    <w:rsid w:val="00566486"/>
    <w:rsid w:val="00566559"/>
    <w:rsid w:val="00566718"/>
    <w:rsid w:val="00566DD6"/>
    <w:rsid w:val="00566E41"/>
    <w:rsid w:val="005671F6"/>
    <w:rsid w:val="00567412"/>
    <w:rsid w:val="00567670"/>
    <w:rsid w:val="00567780"/>
    <w:rsid w:val="005677D6"/>
    <w:rsid w:val="00567A82"/>
    <w:rsid w:val="00567A8E"/>
    <w:rsid w:val="00567EC3"/>
    <w:rsid w:val="005703CE"/>
    <w:rsid w:val="0057040D"/>
    <w:rsid w:val="00570839"/>
    <w:rsid w:val="00570F6C"/>
    <w:rsid w:val="00571010"/>
    <w:rsid w:val="00571040"/>
    <w:rsid w:val="0057107A"/>
    <w:rsid w:val="0057116F"/>
    <w:rsid w:val="0057119B"/>
    <w:rsid w:val="00571238"/>
    <w:rsid w:val="005716D8"/>
    <w:rsid w:val="00572290"/>
    <w:rsid w:val="005723A4"/>
    <w:rsid w:val="0057260D"/>
    <w:rsid w:val="0057264D"/>
    <w:rsid w:val="00572AF1"/>
    <w:rsid w:val="00572B01"/>
    <w:rsid w:val="00572B11"/>
    <w:rsid w:val="005731D1"/>
    <w:rsid w:val="005731E3"/>
    <w:rsid w:val="00573B02"/>
    <w:rsid w:val="00573C8B"/>
    <w:rsid w:val="00573D6B"/>
    <w:rsid w:val="00573DE9"/>
    <w:rsid w:val="00574372"/>
    <w:rsid w:val="005746A0"/>
    <w:rsid w:val="005746DF"/>
    <w:rsid w:val="0057495D"/>
    <w:rsid w:val="00574C5C"/>
    <w:rsid w:val="00574DB2"/>
    <w:rsid w:val="00574E96"/>
    <w:rsid w:val="005750AA"/>
    <w:rsid w:val="005755C9"/>
    <w:rsid w:val="00575611"/>
    <w:rsid w:val="00575909"/>
    <w:rsid w:val="00575B70"/>
    <w:rsid w:val="00575EBE"/>
    <w:rsid w:val="00576032"/>
    <w:rsid w:val="00576270"/>
    <w:rsid w:val="00576544"/>
    <w:rsid w:val="005765E0"/>
    <w:rsid w:val="005769C5"/>
    <w:rsid w:val="00576DE9"/>
    <w:rsid w:val="00577264"/>
    <w:rsid w:val="0057754A"/>
    <w:rsid w:val="00577985"/>
    <w:rsid w:val="00580A2A"/>
    <w:rsid w:val="00580C24"/>
    <w:rsid w:val="00580E38"/>
    <w:rsid w:val="00580E47"/>
    <w:rsid w:val="00580F93"/>
    <w:rsid w:val="00580FBA"/>
    <w:rsid w:val="005810DA"/>
    <w:rsid w:val="005813B2"/>
    <w:rsid w:val="0058140D"/>
    <w:rsid w:val="00581635"/>
    <w:rsid w:val="0058173A"/>
    <w:rsid w:val="00581817"/>
    <w:rsid w:val="00581871"/>
    <w:rsid w:val="00581C3F"/>
    <w:rsid w:val="00581CC9"/>
    <w:rsid w:val="00581D23"/>
    <w:rsid w:val="00582213"/>
    <w:rsid w:val="005822B5"/>
    <w:rsid w:val="005823EF"/>
    <w:rsid w:val="0058242D"/>
    <w:rsid w:val="0058254D"/>
    <w:rsid w:val="0058262D"/>
    <w:rsid w:val="005828A4"/>
    <w:rsid w:val="005828F1"/>
    <w:rsid w:val="00582925"/>
    <w:rsid w:val="00582967"/>
    <w:rsid w:val="00582BC2"/>
    <w:rsid w:val="00582DE6"/>
    <w:rsid w:val="005830C2"/>
    <w:rsid w:val="0058316A"/>
    <w:rsid w:val="00583487"/>
    <w:rsid w:val="005837E4"/>
    <w:rsid w:val="00583A50"/>
    <w:rsid w:val="00583BED"/>
    <w:rsid w:val="0058400E"/>
    <w:rsid w:val="0058446A"/>
    <w:rsid w:val="00584673"/>
    <w:rsid w:val="00584801"/>
    <w:rsid w:val="00584818"/>
    <w:rsid w:val="005848FB"/>
    <w:rsid w:val="00584B98"/>
    <w:rsid w:val="00584BBC"/>
    <w:rsid w:val="00584EB6"/>
    <w:rsid w:val="00585174"/>
    <w:rsid w:val="00585484"/>
    <w:rsid w:val="0058548B"/>
    <w:rsid w:val="005857CE"/>
    <w:rsid w:val="00585C2E"/>
    <w:rsid w:val="005860BF"/>
    <w:rsid w:val="005862B4"/>
    <w:rsid w:val="0058665D"/>
    <w:rsid w:val="00586B66"/>
    <w:rsid w:val="00586BF2"/>
    <w:rsid w:val="00586C55"/>
    <w:rsid w:val="00586C9D"/>
    <w:rsid w:val="00586E39"/>
    <w:rsid w:val="00587789"/>
    <w:rsid w:val="005877CB"/>
    <w:rsid w:val="00587874"/>
    <w:rsid w:val="00587D1E"/>
    <w:rsid w:val="0059035B"/>
    <w:rsid w:val="0059068A"/>
    <w:rsid w:val="00590795"/>
    <w:rsid w:val="0059083C"/>
    <w:rsid w:val="0059096A"/>
    <w:rsid w:val="005909F4"/>
    <w:rsid w:val="00590B01"/>
    <w:rsid w:val="00590B08"/>
    <w:rsid w:val="00590CC5"/>
    <w:rsid w:val="00590E34"/>
    <w:rsid w:val="00590E5B"/>
    <w:rsid w:val="00590FAE"/>
    <w:rsid w:val="005910AF"/>
    <w:rsid w:val="005910F3"/>
    <w:rsid w:val="005910F4"/>
    <w:rsid w:val="00591256"/>
    <w:rsid w:val="005912AC"/>
    <w:rsid w:val="00591500"/>
    <w:rsid w:val="0059170C"/>
    <w:rsid w:val="00591D21"/>
    <w:rsid w:val="00591DB3"/>
    <w:rsid w:val="00592469"/>
    <w:rsid w:val="00592AE7"/>
    <w:rsid w:val="00592C69"/>
    <w:rsid w:val="005932F8"/>
    <w:rsid w:val="00593500"/>
    <w:rsid w:val="005936EC"/>
    <w:rsid w:val="0059370E"/>
    <w:rsid w:val="0059389D"/>
    <w:rsid w:val="00593B94"/>
    <w:rsid w:val="00593C5D"/>
    <w:rsid w:val="00593EB8"/>
    <w:rsid w:val="00594072"/>
    <w:rsid w:val="005941C2"/>
    <w:rsid w:val="0059461F"/>
    <w:rsid w:val="005947A5"/>
    <w:rsid w:val="00594909"/>
    <w:rsid w:val="005949C6"/>
    <w:rsid w:val="005949EE"/>
    <w:rsid w:val="00594AB2"/>
    <w:rsid w:val="00594B4A"/>
    <w:rsid w:val="00595062"/>
    <w:rsid w:val="00595183"/>
    <w:rsid w:val="00595198"/>
    <w:rsid w:val="0059525E"/>
    <w:rsid w:val="00595638"/>
    <w:rsid w:val="00595684"/>
    <w:rsid w:val="00595A14"/>
    <w:rsid w:val="00595AA6"/>
    <w:rsid w:val="00595C94"/>
    <w:rsid w:val="00595D67"/>
    <w:rsid w:val="00595E71"/>
    <w:rsid w:val="00595F63"/>
    <w:rsid w:val="005964B9"/>
    <w:rsid w:val="0059652A"/>
    <w:rsid w:val="0059656C"/>
    <w:rsid w:val="00596C4D"/>
    <w:rsid w:val="00596CFD"/>
    <w:rsid w:val="00596EFB"/>
    <w:rsid w:val="00597071"/>
    <w:rsid w:val="00597144"/>
    <w:rsid w:val="005975D2"/>
    <w:rsid w:val="00597C93"/>
    <w:rsid w:val="00597D8A"/>
    <w:rsid w:val="00597FB5"/>
    <w:rsid w:val="005A0A07"/>
    <w:rsid w:val="005A0DD8"/>
    <w:rsid w:val="005A131C"/>
    <w:rsid w:val="005A1320"/>
    <w:rsid w:val="005A1356"/>
    <w:rsid w:val="005A15AB"/>
    <w:rsid w:val="005A17BD"/>
    <w:rsid w:val="005A1E56"/>
    <w:rsid w:val="005A228B"/>
    <w:rsid w:val="005A2560"/>
    <w:rsid w:val="005A28CE"/>
    <w:rsid w:val="005A2AFD"/>
    <w:rsid w:val="005A2BF0"/>
    <w:rsid w:val="005A31FB"/>
    <w:rsid w:val="005A32F9"/>
    <w:rsid w:val="005A33F4"/>
    <w:rsid w:val="005A33FD"/>
    <w:rsid w:val="005A34CB"/>
    <w:rsid w:val="005A352C"/>
    <w:rsid w:val="005A3653"/>
    <w:rsid w:val="005A3777"/>
    <w:rsid w:val="005A37BE"/>
    <w:rsid w:val="005A39E3"/>
    <w:rsid w:val="005A3C86"/>
    <w:rsid w:val="005A3CF3"/>
    <w:rsid w:val="005A3D36"/>
    <w:rsid w:val="005A3E13"/>
    <w:rsid w:val="005A3F68"/>
    <w:rsid w:val="005A3FA2"/>
    <w:rsid w:val="005A4357"/>
    <w:rsid w:val="005A4361"/>
    <w:rsid w:val="005A4680"/>
    <w:rsid w:val="005A46EA"/>
    <w:rsid w:val="005A496C"/>
    <w:rsid w:val="005A49A2"/>
    <w:rsid w:val="005A4A92"/>
    <w:rsid w:val="005A4B67"/>
    <w:rsid w:val="005A4C3D"/>
    <w:rsid w:val="005A504B"/>
    <w:rsid w:val="005A5349"/>
    <w:rsid w:val="005A58A4"/>
    <w:rsid w:val="005A5910"/>
    <w:rsid w:val="005A5F6F"/>
    <w:rsid w:val="005A61E5"/>
    <w:rsid w:val="005A650E"/>
    <w:rsid w:val="005A66B9"/>
    <w:rsid w:val="005A68BD"/>
    <w:rsid w:val="005A6979"/>
    <w:rsid w:val="005A69AA"/>
    <w:rsid w:val="005A6C46"/>
    <w:rsid w:val="005A6FD2"/>
    <w:rsid w:val="005A7263"/>
    <w:rsid w:val="005A76E8"/>
    <w:rsid w:val="005A7876"/>
    <w:rsid w:val="005A7AD2"/>
    <w:rsid w:val="005A7D45"/>
    <w:rsid w:val="005A7D80"/>
    <w:rsid w:val="005A7FE0"/>
    <w:rsid w:val="005B001D"/>
    <w:rsid w:val="005B0070"/>
    <w:rsid w:val="005B00C0"/>
    <w:rsid w:val="005B0335"/>
    <w:rsid w:val="005B0430"/>
    <w:rsid w:val="005B04E7"/>
    <w:rsid w:val="005B0532"/>
    <w:rsid w:val="005B0713"/>
    <w:rsid w:val="005B073D"/>
    <w:rsid w:val="005B0C4D"/>
    <w:rsid w:val="005B0CF9"/>
    <w:rsid w:val="005B1270"/>
    <w:rsid w:val="005B1631"/>
    <w:rsid w:val="005B19A8"/>
    <w:rsid w:val="005B1B9D"/>
    <w:rsid w:val="005B1D8B"/>
    <w:rsid w:val="005B242A"/>
    <w:rsid w:val="005B252A"/>
    <w:rsid w:val="005B25AD"/>
    <w:rsid w:val="005B25B2"/>
    <w:rsid w:val="005B2676"/>
    <w:rsid w:val="005B2924"/>
    <w:rsid w:val="005B2974"/>
    <w:rsid w:val="005B29D4"/>
    <w:rsid w:val="005B2B64"/>
    <w:rsid w:val="005B2FBF"/>
    <w:rsid w:val="005B308B"/>
    <w:rsid w:val="005B3507"/>
    <w:rsid w:val="005B3536"/>
    <w:rsid w:val="005B3585"/>
    <w:rsid w:val="005B37BC"/>
    <w:rsid w:val="005B38C5"/>
    <w:rsid w:val="005B391C"/>
    <w:rsid w:val="005B394D"/>
    <w:rsid w:val="005B3B32"/>
    <w:rsid w:val="005B3D7D"/>
    <w:rsid w:val="005B3DA6"/>
    <w:rsid w:val="005B437B"/>
    <w:rsid w:val="005B4381"/>
    <w:rsid w:val="005B46FB"/>
    <w:rsid w:val="005B471E"/>
    <w:rsid w:val="005B4D4E"/>
    <w:rsid w:val="005B50E0"/>
    <w:rsid w:val="005B5281"/>
    <w:rsid w:val="005B5402"/>
    <w:rsid w:val="005B5A3D"/>
    <w:rsid w:val="005B5D77"/>
    <w:rsid w:val="005B5DFF"/>
    <w:rsid w:val="005B60E6"/>
    <w:rsid w:val="005B67F3"/>
    <w:rsid w:val="005B69E9"/>
    <w:rsid w:val="005B6A01"/>
    <w:rsid w:val="005B6AFD"/>
    <w:rsid w:val="005B6B20"/>
    <w:rsid w:val="005B6B8B"/>
    <w:rsid w:val="005B6B8E"/>
    <w:rsid w:val="005B6FCE"/>
    <w:rsid w:val="005B71F2"/>
    <w:rsid w:val="005B72D7"/>
    <w:rsid w:val="005B74D5"/>
    <w:rsid w:val="005B7649"/>
    <w:rsid w:val="005B76B2"/>
    <w:rsid w:val="005B7725"/>
    <w:rsid w:val="005B78FA"/>
    <w:rsid w:val="005B7B34"/>
    <w:rsid w:val="005B7CCD"/>
    <w:rsid w:val="005B7E22"/>
    <w:rsid w:val="005B7EDD"/>
    <w:rsid w:val="005B9D0C"/>
    <w:rsid w:val="005C019C"/>
    <w:rsid w:val="005C032E"/>
    <w:rsid w:val="005C0686"/>
    <w:rsid w:val="005C0689"/>
    <w:rsid w:val="005C0BF6"/>
    <w:rsid w:val="005C0E5F"/>
    <w:rsid w:val="005C0FD0"/>
    <w:rsid w:val="005C12A3"/>
    <w:rsid w:val="005C172F"/>
    <w:rsid w:val="005C1734"/>
    <w:rsid w:val="005C18EE"/>
    <w:rsid w:val="005C1956"/>
    <w:rsid w:val="005C1AD4"/>
    <w:rsid w:val="005C1DF0"/>
    <w:rsid w:val="005C1F99"/>
    <w:rsid w:val="005C1FF0"/>
    <w:rsid w:val="005C2025"/>
    <w:rsid w:val="005C210E"/>
    <w:rsid w:val="005C2355"/>
    <w:rsid w:val="005C2519"/>
    <w:rsid w:val="005C29E1"/>
    <w:rsid w:val="005C2CFA"/>
    <w:rsid w:val="005C2E0D"/>
    <w:rsid w:val="005C2EE8"/>
    <w:rsid w:val="005C32B5"/>
    <w:rsid w:val="005C3806"/>
    <w:rsid w:val="005C389B"/>
    <w:rsid w:val="005C3B28"/>
    <w:rsid w:val="005C3F85"/>
    <w:rsid w:val="005C42CF"/>
    <w:rsid w:val="005C4587"/>
    <w:rsid w:val="005C4768"/>
    <w:rsid w:val="005C4778"/>
    <w:rsid w:val="005C4AD1"/>
    <w:rsid w:val="005C4DE7"/>
    <w:rsid w:val="005C4FAE"/>
    <w:rsid w:val="005C56D2"/>
    <w:rsid w:val="005C5B3D"/>
    <w:rsid w:val="005C5FB0"/>
    <w:rsid w:val="005C610E"/>
    <w:rsid w:val="005C63B4"/>
    <w:rsid w:val="005C6770"/>
    <w:rsid w:val="005C6795"/>
    <w:rsid w:val="005C6984"/>
    <w:rsid w:val="005C700A"/>
    <w:rsid w:val="005C7172"/>
    <w:rsid w:val="005C74A8"/>
    <w:rsid w:val="005C75AD"/>
    <w:rsid w:val="005C7773"/>
    <w:rsid w:val="005C78AA"/>
    <w:rsid w:val="005C79E6"/>
    <w:rsid w:val="005C7C15"/>
    <w:rsid w:val="005D01A6"/>
    <w:rsid w:val="005D0357"/>
    <w:rsid w:val="005D0369"/>
    <w:rsid w:val="005D03FA"/>
    <w:rsid w:val="005D04BB"/>
    <w:rsid w:val="005D05D7"/>
    <w:rsid w:val="005D0773"/>
    <w:rsid w:val="005D0A22"/>
    <w:rsid w:val="005D0B10"/>
    <w:rsid w:val="005D0B87"/>
    <w:rsid w:val="005D108A"/>
    <w:rsid w:val="005D11B2"/>
    <w:rsid w:val="005D15D8"/>
    <w:rsid w:val="005D1843"/>
    <w:rsid w:val="005D1A50"/>
    <w:rsid w:val="005D1CB0"/>
    <w:rsid w:val="005D1D40"/>
    <w:rsid w:val="005D1F0D"/>
    <w:rsid w:val="005D20E0"/>
    <w:rsid w:val="005D20F5"/>
    <w:rsid w:val="005D2272"/>
    <w:rsid w:val="005D229C"/>
    <w:rsid w:val="005D2917"/>
    <w:rsid w:val="005D2B9A"/>
    <w:rsid w:val="005D2C23"/>
    <w:rsid w:val="005D2C44"/>
    <w:rsid w:val="005D2C4A"/>
    <w:rsid w:val="005D2CC1"/>
    <w:rsid w:val="005D2FAC"/>
    <w:rsid w:val="005D30DA"/>
    <w:rsid w:val="005D357C"/>
    <w:rsid w:val="005D3ACF"/>
    <w:rsid w:val="005D3AD2"/>
    <w:rsid w:val="005D3C6B"/>
    <w:rsid w:val="005D3D6A"/>
    <w:rsid w:val="005D3EBE"/>
    <w:rsid w:val="005D3FA1"/>
    <w:rsid w:val="005D4212"/>
    <w:rsid w:val="005D428E"/>
    <w:rsid w:val="005D4591"/>
    <w:rsid w:val="005D49E8"/>
    <w:rsid w:val="005D4A2E"/>
    <w:rsid w:val="005D4BCE"/>
    <w:rsid w:val="005D4CDB"/>
    <w:rsid w:val="005D517B"/>
    <w:rsid w:val="005D51F5"/>
    <w:rsid w:val="005D5365"/>
    <w:rsid w:val="005D5450"/>
    <w:rsid w:val="005D55BB"/>
    <w:rsid w:val="005D562F"/>
    <w:rsid w:val="005D58B9"/>
    <w:rsid w:val="005D5A53"/>
    <w:rsid w:val="005D5BD1"/>
    <w:rsid w:val="005D5BF8"/>
    <w:rsid w:val="005D6174"/>
    <w:rsid w:val="005D674C"/>
    <w:rsid w:val="005D680B"/>
    <w:rsid w:val="005D69B8"/>
    <w:rsid w:val="005D6A66"/>
    <w:rsid w:val="005D6DC1"/>
    <w:rsid w:val="005D6E28"/>
    <w:rsid w:val="005D6FB6"/>
    <w:rsid w:val="005D731A"/>
    <w:rsid w:val="005D7C3B"/>
    <w:rsid w:val="005E024B"/>
    <w:rsid w:val="005E04CE"/>
    <w:rsid w:val="005E0728"/>
    <w:rsid w:val="005E0858"/>
    <w:rsid w:val="005E0AAD"/>
    <w:rsid w:val="005E0AF6"/>
    <w:rsid w:val="005E0DFC"/>
    <w:rsid w:val="005E10E9"/>
    <w:rsid w:val="005E118D"/>
    <w:rsid w:val="005E1255"/>
    <w:rsid w:val="005E12BE"/>
    <w:rsid w:val="005E14CD"/>
    <w:rsid w:val="005E14F7"/>
    <w:rsid w:val="005E1961"/>
    <w:rsid w:val="005E21F4"/>
    <w:rsid w:val="005E22AF"/>
    <w:rsid w:val="005E2967"/>
    <w:rsid w:val="005E306C"/>
    <w:rsid w:val="005E3776"/>
    <w:rsid w:val="005E38F1"/>
    <w:rsid w:val="005E3A21"/>
    <w:rsid w:val="005E3ACA"/>
    <w:rsid w:val="005E3AE6"/>
    <w:rsid w:val="005E3B18"/>
    <w:rsid w:val="005E3C77"/>
    <w:rsid w:val="005E3DDA"/>
    <w:rsid w:val="005E3E28"/>
    <w:rsid w:val="005E3E53"/>
    <w:rsid w:val="005E3E65"/>
    <w:rsid w:val="005E3E83"/>
    <w:rsid w:val="005E40D7"/>
    <w:rsid w:val="005E42ED"/>
    <w:rsid w:val="005E44CD"/>
    <w:rsid w:val="005E4588"/>
    <w:rsid w:val="005E48D4"/>
    <w:rsid w:val="005E4FF4"/>
    <w:rsid w:val="005E5166"/>
    <w:rsid w:val="005E53EA"/>
    <w:rsid w:val="005E5427"/>
    <w:rsid w:val="005E5488"/>
    <w:rsid w:val="005E5548"/>
    <w:rsid w:val="005E56C8"/>
    <w:rsid w:val="005E5A07"/>
    <w:rsid w:val="005E5BE6"/>
    <w:rsid w:val="005E5C50"/>
    <w:rsid w:val="005E5D05"/>
    <w:rsid w:val="005E5ED1"/>
    <w:rsid w:val="005E5FFC"/>
    <w:rsid w:val="005E650B"/>
    <w:rsid w:val="005E65E8"/>
    <w:rsid w:val="005E6648"/>
    <w:rsid w:val="005E66A8"/>
    <w:rsid w:val="005E6BA1"/>
    <w:rsid w:val="005E6D5B"/>
    <w:rsid w:val="005E6E56"/>
    <w:rsid w:val="005E6E8D"/>
    <w:rsid w:val="005E6E93"/>
    <w:rsid w:val="005E7144"/>
    <w:rsid w:val="005E7252"/>
    <w:rsid w:val="005E727E"/>
    <w:rsid w:val="005E76E0"/>
    <w:rsid w:val="005E7A20"/>
    <w:rsid w:val="005E7B4F"/>
    <w:rsid w:val="005E7BD5"/>
    <w:rsid w:val="005E7C43"/>
    <w:rsid w:val="005E7D6D"/>
    <w:rsid w:val="005E7E8B"/>
    <w:rsid w:val="005E7E9C"/>
    <w:rsid w:val="005F00A5"/>
    <w:rsid w:val="005F00D6"/>
    <w:rsid w:val="005F084A"/>
    <w:rsid w:val="005F125F"/>
    <w:rsid w:val="005F1495"/>
    <w:rsid w:val="005F1580"/>
    <w:rsid w:val="005F16D9"/>
    <w:rsid w:val="005F1732"/>
    <w:rsid w:val="005F1C68"/>
    <w:rsid w:val="005F1D06"/>
    <w:rsid w:val="005F1D4A"/>
    <w:rsid w:val="005F1EBA"/>
    <w:rsid w:val="005F1F31"/>
    <w:rsid w:val="005F21F5"/>
    <w:rsid w:val="005F228B"/>
    <w:rsid w:val="005F27B8"/>
    <w:rsid w:val="005F2979"/>
    <w:rsid w:val="005F2CDB"/>
    <w:rsid w:val="005F2EA6"/>
    <w:rsid w:val="005F2F83"/>
    <w:rsid w:val="005F2FC6"/>
    <w:rsid w:val="005F319F"/>
    <w:rsid w:val="005F3416"/>
    <w:rsid w:val="005F3598"/>
    <w:rsid w:val="005F35B2"/>
    <w:rsid w:val="005F379C"/>
    <w:rsid w:val="005F39E9"/>
    <w:rsid w:val="005F3A5C"/>
    <w:rsid w:val="005F3AB3"/>
    <w:rsid w:val="005F3B60"/>
    <w:rsid w:val="005F3BAD"/>
    <w:rsid w:val="005F3C74"/>
    <w:rsid w:val="005F3ED7"/>
    <w:rsid w:val="005F4359"/>
    <w:rsid w:val="005F4ABC"/>
    <w:rsid w:val="005F564C"/>
    <w:rsid w:val="005F57E0"/>
    <w:rsid w:val="005F57FC"/>
    <w:rsid w:val="005F5A76"/>
    <w:rsid w:val="005F5E39"/>
    <w:rsid w:val="005F6058"/>
    <w:rsid w:val="005F60A1"/>
    <w:rsid w:val="005F6201"/>
    <w:rsid w:val="005F6279"/>
    <w:rsid w:val="005F6716"/>
    <w:rsid w:val="005F6984"/>
    <w:rsid w:val="005F6A18"/>
    <w:rsid w:val="005F6C4C"/>
    <w:rsid w:val="005F6E52"/>
    <w:rsid w:val="005F7263"/>
    <w:rsid w:val="005F74E3"/>
    <w:rsid w:val="005F791F"/>
    <w:rsid w:val="005F7CC7"/>
    <w:rsid w:val="005F7DE0"/>
    <w:rsid w:val="005F7F32"/>
    <w:rsid w:val="006000C4"/>
    <w:rsid w:val="00600567"/>
    <w:rsid w:val="00600A22"/>
    <w:rsid w:val="00600A4B"/>
    <w:rsid w:val="00600EBD"/>
    <w:rsid w:val="006015D4"/>
    <w:rsid w:val="00601971"/>
    <w:rsid w:val="00601A3F"/>
    <w:rsid w:val="00601AE3"/>
    <w:rsid w:val="00601B44"/>
    <w:rsid w:val="00601B79"/>
    <w:rsid w:val="00601DED"/>
    <w:rsid w:val="006021CF"/>
    <w:rsid w:val="00602542"/>
    <w:rsid w:val="0060263B"/>
    <w:rsid w:val="00602649"/>
    <w:rsid w:val="006028A1"/>
    <w:rsid w:val="00602943"/>
    <w:rsid w:val="00602CB2"/>
    <w:rsid w:val="00602F1D"/>
    <w:rsid w:val="00603053"/>
    <w:rsid w:val="00603996"/>
    <w:rsid w:val="00603AC4"/>
    <w:rsid w:val="00603BB2"/>
    <w:rsid w:val="0060438B"/>
    <w:rsid w:val="006044B8"/>
    <w:rsid w:val="00604561"/>
    <w:rsid w:val="0060468D"/>
    <w:rsid w:val="00604BB5"/>
    <w:rsid w:val="00604EA9"/>
    <w:rsid w:val="00604F6D"/>
    <w:rsid w:val="00604F82"/>
    <w:rsid w:val="006050A3"/>
    <w:rsid w:val="00605210"/>
    <w:rsid w:val="00605268"/>
    <w:rsid w:val="00605333"/>
    <w:rsid w:val="006054A4"/>
    <w:rsid w:val="00605570"/>
    <w:rsid w:val="006055BC"/>
    <w:rsid w:val="006056BA"/>
    <w:rsid w:val="00605737"/>
    <w:rsid w:val="00605A1C"/>
    <w:rsid w:val="00605AA2"/>
    <w:rsid w:val="00605E49"/>
    <w:rsid w:val="00606075"/>
    <w:rsid w:val="006061E6"/>
    <w:rsid w:val="00606258"/>
    <w:rsid w:val="0060628A"/>
    <w:rsid w:val="006062EA"/>
    <w:rsid w:val="006062FB"/>
    <w:rsid w:val="0060651B"/>
    <w:rsid w:val="00606658"/>
    <w:rsid w:val="0060677A"/>
    <w:rsid w:val="00606AD5"/>
    <w:rsid w:val="00606CAC"/>
    <w:rsid w:val="00606CE9"/>
    <w:rsid w:val="00606D1E"/>
    <w:rsid w:val="00606ECE"/>
    <w:rsid w:val="006071D0"/>
    <w:rsid w:val="006072D4"/>
    <w:rsid w:val="00607449"/>
    <w:rsid w:val="00607930"/>
    <w:rsid w:val="00607999"/>
    <w:rsid w:val="00607A46"/>
    <w:rsid w:val="00607DE7"/>
    <w:rsid w:val="006102EA"/>
    <w:rsid w:val="0061058A"/>
    <w:rsid w:val="006107AE"/>
    <w:rsid w:val="006107FF"/>
    <w:rsid w:val="006108E4"/>
    <w:rsid w:val="00610945"/>
    <w:rsid w:val="00610B99"/>
    <w:rsid w:val="00610C94"/>
    <w:rsid w:val="00610F77"/>
    <w:rsid w:val="00611021"/>
    <w:rsid w:val="00611130"/>
    <w:rsid w:val="00611195"/>
    <w:rsid w:val="006112D4"/>
    <w:rsid w:val="00611417"/>
    <w:rsid w:val="00611480"/>
    <w:rsid w:val="006114CA"/>
    <w:rsid w:val="0061174E"/>
    <w:rsid w:val="00612178"/>
    <w:rsid w:val="00612813"/>
    <w:rsid w:val="00612B1F"/>
    <w:rsid w:val="00612CFD"/>
    <w:rsid w:val="00612F24"/>
    <w:rsid w:val="0061304A"/>
    <w:rsid w:val="00613240"/>
    <w:rsid w:val="006132CB"/>
    <w:rsid w:val="006132D8"/>
    <w:rsid w:val="006133BD"/>
    <w:rsid w:val="00613418"/>
    <w:rsid w:val="006135C1"/>
    <w:rsid w:val="00613920"/>
    <w:rsid w:val="00614001"/>
    <w:rsid w:val="006140C9"/>
    <w:rsid w:val="0061435E"/>
    <w:rsid w:val="006144C6"/>
    <w:rsid w:val="006145FD"/>
    <w:rsid w:val="0061477E"/>
    <w:rsid w:val="006148A5"/>
    <w:rsid w:val="00614D15"/>
    <w:rsid w:val="0061525C"/>
    <w:rsid w:val="0061527A"/>
    <w:rsid w:val="00615749"/>
    <w:rsid w:val="00615937"/>
    <w:rsid w:val="00615AB9"/>
    <w:rsid w:val="00615C09"/>
    <w:rsid w:val="00615F2C"/>
    <w:rsid w:val="00616204"/>
    <w:rsid w:val="00616230"/>
    <w:rsid w:val="00616435"/>
    <w:rsid w:val="00616711"/>
    <w:rsid w:val="00616EFC"/>
    <w:rsid w:val="00616F63"/>
    <w:rsid w:val="00616FF3"/>
    <w:rsid w:val="006174A4"/>
    <w:rsid w:val="006174AC"/>
    <w:rsid w:val="006174D0"/>
    <w:rsid w:val="006174DA"/>
    <w:rsid w:val="0061783D"/>
    <w:rsid w:val="00617A92"/>
    <w:rsid w:val="00617AE1"/>
    <w:rsid w:val="00617B39"/>
    <w:rsid w:val="00617C50"/>
    <w:rsid w:val="00617D16"/>
    <w:rsid w:val="006202AC"/>
    <w:rsid w:val="00620381"/>
    <w:rsid w:val="006205AA"/>
    <w:rsid w:val="00620781"/>
    <w:rsid w:val="00620910"/>
    <w:rsid w:val="0062098F"/>
    <w:rsid w:val="00621066"/>
    <w:rsid w:val="006212C7"/>
    <w:rsid w:val="006214EA"/>
    <w:rsid w:val="00621579"/>
    <w:rsid w:val="0062166D"/>
    <w:rsid w:val="006216FE"/>
    <w:rsid w:val="00621771"/>
    <w:rsid w:val="006219F0"/>
    <w:rsid w:val="00621A12"/>
    <w:rsid w:val="00621DEC"/>
    <w:rsid w:val="006220B9"/>
    <w:rsid w:val="00622614"/>
    <w:rsid w:val="00622780"/>
    <w:rsid w:val="006229A6"/>
    <w:rsid w:val="00622B6E"/>
    <w:rsid w:val="00622DA5"/>
    <w:rsid w:val="00622DD0"/>
    <w:rsid w:val="00622EEB"/>
    <w:rsid w:val="00622F0C"/>
    <w:rsid w:val="006230D2"/>
    <w:rsid w:val="006231D1"/>
    <w:rsid w:val="00623505"/>
    <w:rsid w:val="0062356D"/>
    <w:rsid w:val="00623A88"/>
    <w:rsid w:val="00623D76"/>
    <w:rsid w:val="00623DE6"/>
    <w:rsid w:val="00623F62"/>
    <w:rsid w:val="00624178"/>
    <w:rsid w:val="006242C3"/>
    <w:rsid w:val="006248C8"/>
    <w:rsid w:val="0062495C"/>
    <w:rsid w:val="006249C1"/>
    <w:rsid w:val="0062509A"/>
    <w:rsid w:val="00625275"/>
    <w:rsid w:val="006253C3"/>
    <w:rsid w:val="00625ACA"/>
    <w:rsid w:val="00625B8B"/>
    <w:rsid w:val="00625DDC"/>
    <w:rsid w:val="00625F88"/>
    <w:rsid w:val="00626078"/>
    <w:rsid w:val="00626116"/>
    <w:rsid w:val="006261C5"/>
    <w:rsid w:val="0062653F"/>
    <w:rsid w:val="006265E1"/>
    <w:rsid w:val="00626626"/>
    <w:rsid w:val="00626856"/>
    <w:rsid w:val="0062688A"/>
    <w:rsid w:val="006268BF"/>
    <w:rsid w:val="00626A91"/>
    <w:rsid w:val="00626AC9"/>
    <w:rsid w:val="00626B37"/>
    <w:rsid w:val="00626C26"/>
    <w:rsid w:val="00626C63"/>
    <w:rsid w:val="00626E8E"/>
    <w:rsid w:val="00626EA1"/>
    <w:rsid w:val="00627211"/>
    <w:rsid w:val="0062731A"/>
    <w:rsid w:val="006275B6"/>
    <w:rsid w:val="006277C3"/>
    <w:rsid w:val="0062781A"/>
    <w:rsid w:val="00627887"/>
    <w:rsid w:val="006278B4"/>
    <w:rsid w:val="006278F8"/>
    <w:rsid w:val="006278F9"/>
    <w:rsid w:val="0062791D"/>
    <w:rsid w:val="0062798A"/>
    <w:rsid w:val="00627B48"/>
    <w:rsid w:val="00627E35"/>
    <w:rsid w:val="00627E49"/>
    <w:rsid w:val="00627FD5"/>
    <w:rsid w:val="006304DC"/>
    <w:rsid w:val="006308E8"/>
    <w:rsid w:val="00630B74"/>
    <w:rsid w:val="00631119"/>
    <w:rsid w:val="0063123D"/>
    <w:rsid w:val="006312B1"/>
    <w:rsid w:val="0063146B"/>
    <w:rsid w:val="0063155C"/>
    <w:rsid w:val="006318AC"/>
    <w:rsid w:val="006319E7"/>
    <w:rsid w:val="00631CA1"/>
    <w:rsid w:val="00631F6A"/>
    <w:rsid w:val="006320A7"/>
    <w:rsid w:val="0063211F"/>
    <w:rsid w:val="006321DB"/>
    <w:rsid w:val="0063230D"/>
    <w:rsid w:val="006327D3"/>
    <w:rsid w:val="006327DF"/>
    <w:rsid w:val="00632C7D"/>
    <w:rsid w:val="00632D61"/>
    <w:rsid w:val="00632E07"/>
    <w:rsid w:val="00632E5A"/>
    <w:rsid w:val="00633549"/>
    <w:rsid w:val="00633894"/>
    <w:rsid w:val="00633AD6"/>
    <w:rsid w:val="00634022"/>
    <w:rsid w:val="00634128"/>
    <w:rsid w:val="00634149"/>
    <w:rsid w:val="00634427"/>
    <w:rsid w:val="00634ABD"/>
    <w:rsid w:val="0063516D"/>
    <w:rsid w:val="00635499"/>
    <w:rsid w:val="0063582C"/>
    <w:rsid w:val="00635864"/>
    <w:rsid w:val="00635931"/>
    <w:rsid w:val="00635A95"/>
    <w:rsid w:val="00635D4D"/>
    <w:rsid w:val="00635D74"/>
    <w:rsid w:val="00635E65"/>
    <w:rsid w:val="00636084"/>
    <w:rsid w:val="006361FF"/>
    <w:rsid w:val="00636832"/>
    <w:rsid w:val="00636869"/>
    <w:rsid w:val="00636884"/>
    <w:rsid w:val="006369D8"/>
    <w:rsid w:val="00636A37"/>
    <w:rsid w:val="00636ABF"/>
    <w:rsid w:val="00636BB9"/>
    <w:rsid w:val="00636C75"/>
    <w:rsid w:val="00636DF8"/>
    <w:rsid w:val="00636E83"/>
    <w:rsid w:val="00636FDC"/>
    <w:rsid w:val="0063701F"/>
    <w:rsid w:val="0063713D"/>
    <w:rsid w:val="006372DE"/>
    <w:rsid w:val="006374FA"/>
    <w:rsid w:val="00637735"/>
    <w:rsid w:val="00637B05"/>
    <w:rsid w:val="00637BD4"/>
    <w:rsid w:val="00640088"/>
    <w:rsid w:val="006403CC"/>
    <w:rsid w:val="00640713"/>
    <w:rsid w:val="00640D3B"/>
    <w:rsid w:val="00640E2B"/>
    <w:rsid w:val="00640FC5"/>
    <w:rsid w:val="006410FD"/>
    <w:rsid w:val="00641748"/>
    <w:rsid w:val="006418BF"/>
    <w:rsid w:val="0064193C"/>
    <w:rsid w:val="00641B3B"/>
    <w:rsid w:val="00641C53"/>
    <w:rsid w:val="00641CBD"/>
    <w:rsid w:val="00641D47"/>
    <w:rsid w:val="006420D2"/>
    <w:rsid w:val="0064250D"/>
    <w:rsid w:val="006426D0"/>
    <w:rsid w:val="006426F8"/>
    <w:rsid w:val="00642737"/>
    <w:rsid w:val="006429C5"/>
    <w:rsid w:val="00642B4C"/>
    <w:rsid w:val="00642F02"/>
    <w:rsid w:val="00642F38"/>
    <w:rsid w:val="00642F67"/>
    <w:rsid w:val="00643661"/>
    <w:rsid w:val="00643813"/>
    <w:rsid w:val="00644044"/>
    <w:rsid w:val="00644508"/>
    <w:rsid w:val="00644B69"/>
    <w:rsid w:val="0064503B"/>
    <w:rsid w:val="0064539D"/>
    <w:rsid w:val="0064548B"/>
    <w:rsid w:val="006455E5"/>
    <w:rsid w:val="0064590F"/>
    <w:rsid w:val="00645CE9"/>
    <w:rsid w:val="00645EFB"/>
    <w:rsid w:val="00645FDD"/>
    <w:rsid w:val="00646334"/>
    <w:rsid w:val="006464DD"/>
    <w:rsid w:val="00646644"/>
    <w:rsid w:val="006468A5"/>
    <w:rsid w:val="00646A5F"/>
    <w:rsid w:val="00646DF0"/>
    <w:rsid w:val="00646EA1"/>
    <w:rsid w:val="00646F9B"/>
    <w:rsid w:val="00647069"/>
    <w:rsid w:val="0064708A"/>
    <w:rsid w:val="00647399"/>
    <w:rsid w:val="0064751C"/>
    <w:rsid w:val="00647563"/>
    <w:rsid w:val="00647A92"/>
    <w:rsid w:val="00647E05"/>
    <w:rsid w:val="00647F09"/>
    <w:rsid w:val="00647F69"/>
    <w:rsid w:val="0064FC5E"/>
    <w:rsid w:val="00650110"/>
    <w:rsid w:val="006501DC"/>
    <w:rsid w:val="006502AF"/>
    <w:rsid w:val="006502F8"/>
    <w:rsid w:val="00650346"/>
    <w:rsid w:val="00650513"/>
    <w:rsid w:val="006507FE"/>
    <w:rsid w:val="00650967"/>
    <w:rsid w:val="00650CBA"/>
    <w:rsid w:val="00651530"/>
    <w:rsid w:val="006516C7"/>
    <w:rsid w:val="00651C9F"/>
    <w:rsid w:val="00651D9F"/>
    <w:rsid w:val="00651E1F"/>
    <w:rsid w:val="00652C20"/>
    <w:rsid w:val="006534D2"/>
    <w:rsid w:val="00653560"/>
    <w:rsid w:val="0065377D"/>
    <w:rsid w:val="00653803"/>
    <w:rsid w:val="00653849"/>
    <w:rsid w:val="006538F5"/>
    <w:rsid w:val="00653E22"/>
    <w:rsid w:val="0065409A"/>
    <w:rsid w:val="006540C1"/>
    <w:rsid w:val="0065428B"/>
    <w:rsid w:val="00654463"/>
    <w:rsid w:val="00654877"/>
    <w:rsid w:val="00654902"/>
    <w:rsid w:val="00654ACE"/>
    <w:rsid w:val="00654BC3"/>
    <w:rsid w:val="00654C5F"/>
    <w:rsid w:val="00654D9D"/>
    <w:rsid w:val="00654EBB"/>
    <w:rsid w:val="00655172"/>
    <w:rsid w:val="0065524E"/>
    <w:rsid w:val="0065547E"/>
    <w:rsid w:val="00655545"/>
    <w:rsid w:val="00655662"/>
    <w:rsid w:val="0065585A"/>
    <w:rsid w:val="006558B6"/>
    <w:rsid w:val="00655A12"/>
    <w:rsid w:val="00655F10"/>
    <w:rsid w:val="00655F50"/>
    <w:rsid w:val="0065604C"/>
    <w:rsid w:val="00656192"/>
    <w:rsid w:val="00656364"/>
    <w:rsid w:val="006564DC"/>
    <w:rsid w:val="00656716"/>
    <w:rsid w:val="0065672C"/>
    <w:rsid w:val="00656870"/>
    <w:rsid w:val="00656888"/>
    <w:rsid w:val="00656985"/>
    <w:rsid w:val="00656AC1"/>
    <w:rsid w:val="00656B2C"/>
    <w:rsid w:val="00657051"/>
    <w:rsid w:val="00657346"/>
    <w:rsid w:val="006576B3"/>
    <w:rsid w:val="00657720"/>
    <w:rsid w:val="006578AA"/>
    <w:rsid w:val="0065797C"/>
    <w:rsid w:val="00657AD4"/>
    <w:rsid w:val="006601F1"/>
    <w:rsid w:val="00660289"/>
    <w:rsid w:val="006604FB"/>
    <w:rsid w:val="006608E2"/>
    <w:rsid w:val="006608EE"/>
    <w:rsid w:val="00660BC8"/>
    <w:rsid w:val="00660BEC"/>
    <w:rsid w:val="00660D2E"/>
    <w:rsid w:val="00660DE0"/>
    <w:rsid w:val="00660F87"/>
    <w:rsid w:val="00661202"/>
    <w:rsid w:val="00661308"/>
    <w:rsid w:val="0066130C"/>
    <w:rsid w:val="00661345"/>
    <w:rsid w:val="006616B9"/>
    <w:rsid w:val="0066174F"/>
    <w:rsid w:val="00661960"/>
    <w:rsid w:val="006619AC"/>
    <w:rsid w:val="00661A23"/>
    <w:rsid w:val="00661B43"/>
    <w:rsid w:val="0066225B"/>
    <w:rsid w:val="00662308"/>
    <w:rsid w:val="00662496"/>
    <w:rsid w:val="006624B9"/>
    <w:rsid w:val="00662696"/>
    <w:rsid w:val="006627C1"/>
    <w:rsid w:val="006627D1"/>
    <w:rsid w:val="00662811"/>
    <w:rsid w:val="00662A04"/>
    <w:rsid w:val="00662C8D"/>
    <w:rsid w:val="00662C93"/>
    <w:rsid w:val="00662CD1"/>
    <w:rsid w:val="00662EB5"/>
    <w:rsid w:val="00662F8D"/>
    <w:rsid w:val="0066302B"/>
    <w:rsid w:val="0066312B"/>
    <w:rsid w:val="006632B2"/>
    <w:rsid w:val="00663819"/>
    <w:rsid w:val="00663962"/>
    <w:rsid w:val="00663F70"/>
    <w:rsid w:val="00663FEA"/>
    <w:rsid w:val="0066448D"/>
    <w:rsid w:val="006644B5"/>
    <w:rsid w:val="006644FD"/>
    <w:rsid w:val="006645D1"/>
    <w:rsid w:val="00664AD3"/>
    <w:rsid w:val="00664ED6"/>
    <w:rsid w:val="00665124"/>
    <w:rsid w:val="00665132"/>
    <w:rsid w:val="006651FB"/>
    <w:rsid w:val="0066528C"/>
    <w:rsid w:val="006652B9"/>
    <w:rsid w:val="0066548F"/>
    <w:rsid w:val="0066558B"/>
    <w:rsid w:val="00665593"/>
    <w:rsid w:val="00665E2F"/>
    <w:rsid w:val="00665FBE"/>
    <w:rsid w:val="0066600F"/>
    <w:rsid w:val="00666188"/>
    <w:rsid w:val="00666656"/>
    <w:rsid w:val="00666842"/>
    <w:rsid w:val="00666880"/>
    <w:rsid w:val="00666AF4"/>
    <w:rsid w:val="00666B95"/>
    <w:rsid w:val="00666B9B"/>
    <w:rsid w:val="00666E7F"/>
    <w:rsid w:val="00666EBF"/>
    <w:rsid w:val="00667664"/>
    <w:rsid w:val="006678AA"/>
    <w:rsid w:val="00667C34"/>
    <w:rsid w:val="00667ED5"/>
    <w:rsid w:val="0067016C"/>
    <w:rsid w:val="0067043B"/>
    <w:rsid w:val="0067049E"/>
    <w:rsid w:val="006706CB"/>
    <w:rsid w:val="00670B65"/>
    <w:rsid w:val="00670C97"/>
    <w:rsid w:val="00670DD9"/>
    <w:rsid w:val="00671245"/>
    <w:rsid w:val="00671A11"/>
    <w:rsid w:val="00671B85"/>
    <w:rsid w:val="00671CBE"/>
    <w:rsid w:val="0067201F"/>
    <w:rsid w:val="0067219C"/>
    <w:rsid w:val="006721A0"/>
    <w:rsid w:val="00672245"/>
    <w:rsid w:val="006722BA"/>
    <w:rsid w:val="006723FE"/>
    <w:rsid w:val="0067252C"/>
    <w:rsid w:val="00672894"/>
    <w:rsid w:val="00672EA6"/>
    <w:rsid w:val="00672ECB"/>
    <w:rsid w:val="00673110"/>
    <w:rsid w:val="0067315C"/>
    <w:rsid w:val="0067318A"/>
    <w:rsid w:val="00673630"/>
    <w:rsid w:val="0067398E"/>
    <w:rsid w:val="006743CA"/>
    <w:rsid w:val="00674628"/>
    <w:rsid w:val="006747FE"/>
    <w:rsid w:val="00674DC6"/>
    <w:rsid w:val="00674E4B"/>
    <w:rsid w:val="0067524C"/>
    <w:rsid w:val="00675392"/>
    <w:rsid w:val="006755DB"/>
    <w:rsid w:val="00675C4D"/>
    <w:rsid w:val="00675CD1"/>
    <w:rsid w:val="00675DC2"/>
    <w:rsid w:val="00675DF7"/>
    <w:rsid w:val="00675E7C"/>
    <w:rsid w:val="0067638D"/>
    <w:rsid w:val="00676565"/>
    <w:rsid w:val="006765D1"/>
    <w:rsid w:val="006767F4"/>
    <w:rsid w:val="00676817"/>
    <w:rsid w:val="00676D31"/>
    <w:rsid w:val="00676E6F"/>
    <w:rsid w:val="00676EE6"/>
    <w:rsid w:val="00677844"/>
    <w:rsid w:val="00677938"/>
    <w:rsid w:val="00677C3F"/>
    <w:rsid w:val="00677D0A"/>
    <w:rsid w:val="0068006B"/>
    <w:rsid w:val="00680219"/>
    <w:rsid w:val="00680224"/>
    <w:rsid w:val="00680727"/>
    <w:rsid w:val="0068099D"/>
    <w:rsid w:val="00680B44"/>
    <w:rsid w:val="00680EF2"/>
    <w:rsid w:val="006810BE"/>
    <w:rsid w:val="006812D7"/>
    <w:rsid w:val="006813C6"/>
    <w:rsid w:val="006814AE"/>
    <w:rsid w:val="006815EB"/>
    <w:rsid w:val="006818DA"/>
    <w:rsid w:val="00681A90"/>
    <w:rsid w:val="00681AB0"/>
    <w:rsid w:val="00681E24"/>
    <w:rsid w:val="00682278"/>
    <w:rsid w:val="00682387"/>
    <w:rsid w:val="006823B5"/>
    <w:rsid w:val="00682567"/>
    <w:rsid w:val="006825B0"/>
    <w:rsid w:val="006826AC"/>
    <w:rsid w:val="00682801"/>
    <w:rsid w:val="0068284B"/>
    <w:rsid w:val="00682A43"/>
    <w:rsid w:val="00682D33"/>
    <w:rsid w:val="00682DB6"/>
    <w:rsid w:val="00682DBF"/>
    <w:rsid w:val="00683029"/>
    <w:rsid w:val="006831DF"/>
    <w:rsid w:val="0068325F"/>
    <w:rsid w:val="006832BE"/>
    <w:rsid w:val="0068356F"/>
    <w:rsid w:val="00683698"/>
    <w:rsid w:val="00683741"/>
    <w:rsid w:val="00683823"/>
    <w:rsid w:val="00683B86"/>
    <w:rsid w:val="00683C28"/>
    <w:rsid w:val="00683C7E"/>
    <w:rsid w:val="00684054"/>
    <w:rsid w:val="00684436"/>
    <w:rsid w:val="006846F3"/>
    <w:rsid w:val="006847E1"/>
    <w:rsid w:val="006848A6"/>
    <w:rsid w:val="00684902"/>
    <w:rsid w:val="00684980"/>
    <w:rsid w:val="00684991"/>
    <w:rsid w:val="00684DD3"/>
    <w:rsid w:val="00684E02"/>
    <w:rsid w:val="00684ED9"/>
    <w:rsid w:val="0068501E"/>
    <w:rsid w:val="006852AC"/>
    <w:rsid w:val="006855B5"/>
    <w:rsid w:val="006855E8"/>
    <w:rsid w:val="00685887"/>
    <w:rsid w:val="006859BE"/>
    <w:rsid w:val="00685CEA"/>
    <w:rsid w:val="00685F04"/>
    <w:rsid w:val="00685F16"/>
    <w:rsid w:val="006860F7"/>
    <w:rsid w:val="00686150"/>
    <w:rsid w:val="006861FB"/>
    <w:rsid w:val="0068622A"/>
    <w:rsid w:val="006863BE"/>
    <w:rsid w:val="0068642F"/>
    <w:rsid w:val="006864CC"/>
    <w:rsid w:val="0068659F"/>
    <w:rsid w:val="00686FC3"/>
    <w:rsid w:val="0068711F"/>
    <w:rsid w:val="006877AD"/>
    <w:rsid w:val="006878F5"/>
    <w:rsid w:val="00687B83"/>
    <w:rsid w:val="00687F62"/>
    <w:rsid w:val="0069025B"/>
    <w:rsid w:val="00690747"/>
    <w:rsid w:val="0069076B"/>
    <w:rsid w:val="00690882"/>
    <w:rsid w:val="0069093D"/>
    <w:rsid w:val="00690E82"/>
    <w:rsid w:val="00690EE1"/>
    <w:rsid w:val="00691590"/>
    <w:rsid w:val="0069167B"/>
    <w:rsid w:val="006916B1"/>
    <w:rsid w:val="00691A95"/>
    <w:rsid w:val="00691C1D"/>
    <w:rsid w:val="00691CEB"/>
    <w:rsid w:val="00691CFE"/>
    <w:rsid w:val="00691F3C"/>
    <w:rsid w:val="00692114"/>
    <w:rsid w:val="0069231E"/>
    <w:rsid w:val="00692637"/>
    <w:rsid w:val="006926A9"/>
    <w:rsid w:val="006926FD"/>
    <w:rsid w:val="006927BB"/>
    <w:rsid w:val="006929F5"/>
    <w:rsid w:val="00692A63"/>
    <w:rsid w:val="00692AB0"/>
    <w:rsid w:val="006931E1"/>
    <w:rsid w:val="006932DD"/>
    <w:rsid w:val="0069346B"/>
    <w:rsid w:val="00693695"/>
    <w:rsid w:val="00693A7D"/>
    <w:rsid w:val="00693D2C"/>
    <w:rsid w:val="00693F43"/>
    <w:rsid w:val="00694479"/>
    <w:rsid w:val="00694518"/>
    <w:rsid w:val="0069465B"/>
    <w:rsid w:val="0069492B"/>
    <w:rsid w:val="00694DE6"/>
    <w:rsid w:val="00694FCF"/>
    <w:rsid w:val="00695117"/>
    <w:rsid w:val="006953EA"/>
    <w:rsid w:val="00695523"/>
    <w:rsid w:val="0069591C"/>
    <w:rsid w:val="00695CA4"/>
    <w:rsid w:val="00695D3C"/>
    <w:rsid w:val="00695ED4"/>
    <w:rsid w:val="0069607C"/>
    <w:rsid w:val="006966B4"/>
    <w:rsid w:val="0069678B"/>
    <w:rsid w:val="00696C9F"/>
    <w:rsid w:val="00696F10"/>
    <w:rsid w:val="00697182"/>
    <w:rsid w:val="006975B3"/>
    <w:rsid w:val="006975D0"/>
    <w:rsid w:val="006975E1"/>
    <w:rsid w:val="00697D6A"/>
    <w:rsid w:val="006A00B8"/>
    <w:rsid w:val="006A028D"/>
    <w:rsid w:val="006A0360"/>
    <w:rsid w:val="006A0540"/>
    <w:rsid w:val="006A05BB"/>
    <w:rsid w:val="006A05CB"/>
    <w:rsid w:val="006A0885"/>
    <w:rsid w:val="006A0A09"/>
    <w:rsid w:val="006A0C0D"/>
    <w:rsid w:val="006A0C71"/>
    <w:rsid w:val="006A0CA2"/>
    <w:rsid w:val="006A0CBC"/>
    <w:rsid w:val="006A0ECA"/>
    <w:rsid w:val="006A10D8"/>
    <w:rsid w:val="006A12A0"/>
    <w:rsid w:val="006A1306"/>
    <w:rsid w:val="006A1350"/>
    <w:rsid w:val="006A1461"/>
    <w:rsid w:val="006A1549"/>
    <w:rsid w:val="006A1588"/>
    <w:rsid w:val="006A17BD"/>
    <w:rsid w:val="006A18F3"/>
    <w:rsid w:val="006A1981"/>
    <w:rsid w:val="006A1BFF"/>
    <w:rsid w:val="006A1C18"/>
    <w:rsid w:val="006A1C2D"/>
    <w:rsid w:val="006A1C9F"/>
    <w:rsid w:val="006A1CDC"/>
    <w:rsid w:val="006A1D8E"/>
    <w:rsid w:val="006A1EA1"/>
    <w:rsid w:val="006A1FD9"/>
    <w:rsid w:val="006A23C7"/>
    <w:rsid w:val="006A2443"/>
    <w:rsid w:val="006A24CC"/>
    <w:rsid w:val="006A2586"/>
    <w:rsid w:val="006A28FA"/>
    <w:rsid w:val="006A2C3C"/>
    <w:rsid w:val="006A3001"/>
    <w:rsid w:val="006A30E6"/>
    <w:rsid w:val="006A3115"/>
    <w:rsid w:val="006A31CA"/>
    <w:rsid w:val="006A31F3"/>
    <w:rsid w:val="006A33BE"/>
    <w:rsid w:val="006A350A"/>
    <w:rsid w:val="006A370D"/>
    <w:rsid w:val="006A384F"/>
    <w:rsid w:val="006A3986"/>
    <w:rsid w:val="006A3BF7"/>
    <w:rsid w:val="006A3DAA"/>
    <w:rsid w:val="006A3DF5"/>
    <w:rsid w:val="006A4159"/>
    <w:rsid w:val="006A423E"/>
    <w:rsid w:val="006A4362"/>
    <w:rsid w:val="006A4385"/>
    <w:rsid w:val="006A4491"/>
    <w:rsid w:val="006A45E4"/>
    <w:rsid w:val="006A4649"/>
    <w:rsid w:val="006A4D96"/>
    <w:rsid w:val="006A4E36"/>
    <w:rsid w:val="006A4F7E"/>
    <w:rsid w:val="006A500E"/>
    <w:rsid w:val="006A5070"/>
    <w:rsid w:val="006A53A5"/>
    <w:rsid w:val="006A55BE"/>
    <w:rsid w:val="006A56FC"/>
    <w:rsid w:val="006A5981"/>
    <w:rsid w:val="006A5A61"/>
    <w:rsid w:val="006A5AF4"/>
    <w:rsid w:val="006A5B25"/>
    <w:rsid w:val="006A5BA5"/>
    <w:rsid w:val="006A5C6E"/>
    <w:rsid w:val="006A5D60"/>
    <w:rsid w:val="006A5DB1"/>
    <w:rsid w:val="006A5E61"/>
    <w:rsid w:val="006A644B"/>
    <w:rsid w:val="006A64EA"/>
    <w:rsid w:val="006A68CC"/>
    <w:rsid w:val="006A6E72"/>
    <w:rsid w:val="006A7079"/>
    <w:rsid w:val="006A72CE"/>
    <w:rsid w:val="006A736C"/>
    <w:rsid w:val="006A76A2"/>
    <w:rsid w:val="006A773D"/>
    <w:rsid w:val="006A7A25"/>
    <w:rsid w:val="006A7A8D"/>
    <w:rsid w:val="006A7F35"/>
    <w:rsid w:val="006B01B3"/>
    <w:rsid w:val="006B0582"/>
    <w:rsid w:val="006B06F9"/>
    <w:rsid w:val="006B073D"/>
    <w:rsid w:val="006B07DC"/>
    <w:rsid w:val="006B0865"/>
    <w:rsid w:val="006B0B74"/>
    <w:rsid w:val="006B0BF4"/>
    <w:rsid w:val="006B12CC"/>
    <w:rsid w:val="006B12E2"/>
    <w:rsid w:val="006B1319"/>
    <w:rsid w:val="006B133B"/>
    <w:rsid w:val="006B1471"/>
    <w:rsid w:val="006B156F"/>
    <w:rsid w:val="006B1573"/>
    <w:rsid w:val="006B159D"/>
    <w:rsid w:val="006B175C"/>
    <w:rsid w:val="006B1B4D"/>
    <w:rsid w:val="006B1C1A"/>
    <w:rsid w:val="006B1E41"/>
    <w:rsid w:val="006B1E8D"/>
    <w:rsid w:val="006B21C1"/>
    <w:rsid w:val="006B21C4"/>
    <w:rsid w:val="006B26A0"/>
    <w:rsid w:val="006B2AC1"/>
    <w:rsid w:val="006B2CF3"/>
    <w:rsid w:val="006B2DFB"/>
    <w:rsid w:val="006B2E3D"/>
    <w:rsid w:val="006B2E66"/>
    <w:rsid w:val="006B313F"/>
    <w:rsid w:val="006B34BF"/>
    <w:rsid w:val="006B39B2"/>
    <w:rsid w:val="006B3A54"/>
    <w:rsid w:val="006B3DA0"/>
    <w:rsid w:val="006B41A4"/>
    <w:rsid w:val="006B4213"/>
    <w:rsid w:val="006B421D"/>
    <w:rsid w:val="006B46CB"/>
    <w:rsid w:val="006B4A51"/>
    <w:rsid w:val="006B4B85"/>
    <w:rsid w:val="006B4BBE"/>
    <w:rsid w:val="006B50DE"/>
    <w:rsid w:val="006B5166"/>
    <w:rsid w:val="006B5241"/>
    <w:rsid w:val="006B543C"/>
    <w:rsid w:val="006B5580"/>
    <w:rsid w:val="006B565C"/>
    <w:rsid w:val="006B5BC4"/>
    <w:rsid w:val="006B5E9C"/>
    <w:rsid w:val="006B619C"/>
    <w:rsid w:val="006B662C"/>
    <w:rsid w:val="006B692B"/>
    <w:rsid w:val="006B6B7C"/>
    <w:rsid w:val="006B6EA5"/>
    <w:rsid w:val="006B6EAE"/>
    <w:rsid w:val="006B7094"/>
    <w:rsid w:val="006B78AA"/>
    <w:rsid w:val="006B795D"/>
    <w:rsid w:val="006B7960"/>
    <w:rsid w:val="006B7A63"/>
    <w:rsid w:val="006B7A84"/>
    <w:rsid w:val="006C01F0"/>
    <w:rsid w:val="006C03D5"/>
    <w:rsid w:val="006C05DC"/>
    <w:rsid w:val="006C076D"/>
    <w:rsid w:val="006C0912"/>
    <w:rsid w:val="006C0BEE"/>
    <w:rsid w:val="006C0F45"/>
    <w:rsid w:val="006C0F56"/>
    <w:rsid w:val="006C0F6F"/>
    <w:rsid w:val="006C0FA0"/>
    <w:rsid w:val="006C0FA9"/>
    <w:rsid w:val="006C129E"/>
    <w:rsid w:val="006C1674"/>
    <w:rsid w:val="006C1897"/>
    <w:rsid w:val="006C1A80"/>
    <w:rsid w:val="006C1BE7"/>
    <w:rsid w:val="006C1DCC"/>
    <w:rsid w:val="006C2110"/>
    <w:rsid w:val="006C23CD"/>
    <w:rsid w:val="006C23F4"/>
    <w:rsid w:val="006C2435"/>
    <w:rsid w:val="006C248A"/>
    <w:rsid w:val="006C27F6"/>
    <w:rsid w:val="006C2B2D"/>
    <w:rsid w:val="006C2DD3"/>
    <w:rsid w:val="006C2E6D"/>
    <w:rsid w:val="006C38DF"/>
    <w:rsid w:val="006C38F3"/>
    <w:rsid w:val="006C3C11"/>
    <w:rsid w:val="006C40F8"/>
    <w:rsid w:val="006C43B7"/>
    <w:rsid w:val="006C446A"/>
    <w:rsid w:val="006C4829"/>
    <w:rsid w:val="006C499B"/>
    <w:rsid w:val="006C4E0C"/>
    <w:rsid w:val="006C4E80"/>
    <w:rsid w:val="006C4E87"/>
    <w:rsid w:val="006C4F05"/>
    <w:rsid w:val="006C51CD"/>
    <w:rsid w:val="006C528D"/>
    <w:rsid w:val="006C53C2"/>
    <w:rsid w:val="006C5637"/>
    <w:rsid w:val="006C584D"/>
    <w:rsid w:val="006C5A6A"/>
    <w:rsid w:val="006C5B58"/>
    <w:rsid w:val="006C5D15"/>
    <w:rsid w:val="006C65D8"/>
    <w:rsid w:val="006C66CD"/>
    <w:rsid w:val="006C68A0"/>
    <w:rsid w:val="006C68EC"/>
    <w:rsid w:val="006C6B21"/>
    <w:rsid w:val="006C6B2D"/>
    <w:rsid w:val="006C6C04"/>
    <w:rsid w:val="006C6C1C"/>
    <w:rsid w:val="006C6C67"/>
    <w:rsid w:val="006C7095"/>
    <w:rsid w:val="006C7411"/>
    <w:rsid w:val="006C75E9"/>
    <w:rsid w:val="006C7629"/>
    <w:rsid w:val="006C765D"/>
    <w:rsid w:val="006C77D6"/>
    <w:rsid w:val="006C781E"/>
    <w:rsid w:val="006C78F0"/>
    <w:rsid w:val="006C7A30"/>
    <w:rsid w:val="006C7B5F"/>
    <w:rsid w:val="006C7B66"/>
    <w:rsid w:val="006C7CEB"/>
    <w:rsid w:val="006C7E91"/>
    <w:rsid w:val="006C7F75"/>
    <w:rsid w:val="006D001E"/>
    <w:rsid w:val="006D06D2"/>
    <w:rsid w:val="006D075F"/>
    <w:rsid w:val="006D08FE"/>
    <w:rsid w:val="006D0B1F"/>
    <w:rsid w:val="006D0D1D"/>
    <w:rsid w:val="006D0D6B"/>
    <w:rsid w:val="006D0E9F"/>
    <w:rsid w:val="006D10F2"/>
    <w:rsid w:val="006D11EE"/>
    <w:rsid w:val="006D175C"/>
    <w:rsid w:val="006D193E"/>
    <w:rsid w:val="006D1A1C"/>
    <w:rsid w:val="006D1A7A"/>
    <w:rsid w:val="006D1E22"/>
    <w:rsid w:val="006D1F51"/>
    <w:rsid w:val="006D2145"/>
    <w:rsid w:val="006D223F"/>
    <w:rsid w:val="006D227F"/>
    <w:rsid w:val="006D22D6"/>
    <w:rsid w:val="006D2448"/>
    <w:rsid w:val="006D288E"/>
    <w:rsid w:val="006D29DE"/>
    <w:rsid w:val="006D2B8E"/>
    <w:rsid w:val="006D3207"/>
    <w:rsid w:val="006D33AC"/>
    <w:rsid w:val="006D34DD"/>
    <w:rsid w:val="006D3621"/>
    <w:rsid w:val="006D3845"/>
    <w:rsid w:val="006D38D2"/>
    <w:rsid w:val="006D3916"/>
    <w:rsid w:val="006D3A36"/>
    <w:rsid w:val="006D3B7B"/>
    <w:rsid w:val="006D3BAB"/>
    <w:rsid w:val="006D3BD7"/>
    <w:rsid w:val="006D3C86"/>
    <w:rsid w:val="006D3E1C"/>
    <w:rsid w:val="006D443F"/>
    <w:rsid w:val="006D4B67"/>
    <w:rsid w:val="006D4BAC"/>
    <w:rsid w:val="006D4BDB"/>
    <w:rsid w:val="006D4DC4"/>
    <w:rsid w:val="006D4E0B"/>
    <w:rsid w:val="006D5238"/>
    <w:rsid w:val="006D5306"/>
    <w:rsid w:val="006D5307"/>
    <w:rsid w:val="006D56B8"/>
    <w:rsid w:val="006D588D"/>
    <w:rsid w:val="006D5963"/>
    <w:rsid w:val="006D59EA"/>
    <w:rsid w:val="006D5A04"/>
    <w:rsid w:val="006D5B55"/>
    <w:rsid w:val="006D5F9E"/>
    <w:rsid w:val="006D6078"/>
    <w:rsid w:val="006D615F"/>
    <w:rsid w:val="006D6343"/>
    <w:rsid w:val="006D6612"/>
    <w:rsid w:val="006D6750"/>
    <w:rsid w:val="006D681D"/>
    <w:rsid w:val="006D6B47"/>
    <w:rsid w:val="006D7077"/>
    <w:rsid w:val="006D709C"/>
    <w:rsid w:val="006D732A"/>
    <w:rsid w:val="006D7511"/>
    <w:rsid w:val="006D7F14"/>
    <w:rsid w:val="006D7FF9"/>
    <w:rsid w:val="006E003A"/>
    <w:rsid w:val="006E00F9"/>
    <w:rsid w:val="006E0179"/>
    <w:rsid w:val="006E035F"/>
    <w:rsid w:val="006E0543"/>
    <w:rsid w:val="006E070F"/>
    <w:rsid w:val="006E0828"/>
    <w:rsid w:val="006E0AD6"/>
    <w:rsid w:val="006E0D25"/>
    <w:rsid w:val="006E0D61"/>
    <w:rsid w:val="006E0E77"/>
    <w:rsid w:val="006E0EE3"/>
    <w:rsid w:val="006E0EF3"/>
    <w:rsid w:val="006E1176"/>
    <w:rsid w:val="006E1243"/>
    <w:rsid w:val="006E13B0"/>
    <w:rsid w:val="006E14F4"/>
    <w:rsid w:val="006E1963"/>
    <w:rsid w:val="006E1C44"/>
    <w:rsid w:val="006E1CB6"/>
    <w:rsid w:val="006E20AA"/>
    <w:rsid w:val="006E2194"/>
    <w:rsid w:val="006E2280"/>
    <w:rsid w:val="006E23B3"/>
    <w:rsid w:val="006E2688"/>
    <w:rsid w:val="006E280A"/>
    <w:rsid w:val="006E28A4"/>
    <w:rsid w:val="006E2EE7"/>
    <w:rsid w:val="006E310B"/>
    <w:rsid w:val="006E324E"/>
    <w:rsid w:val="006E35AD"/>
    <w:rsid w:val="006E3745"/>
    <w:rsid w:val="006E37FD"/>
    <w:rsid w:val="006E38FF"/>
    <w:rsid w:val="006E39D0"/>
    <w:rsid w:val="006E3CE2"/>
    <w:rsid w:val="006E3E49"/>
    <w:rsid w:val="006E3EA0"/>
    <w:rsid w:val="006E3FD9"/>
    <w:rsid w:val="006E4067"/>
    <w:rsid w:val="006E4079"/>
    <w:rsid w:val="006E41D8"/>
    <w:rsid w:val="006E452D"/>
    <w:rsid w:val="006E47A4"/>
    <w:rsid w:val="006E49E8"/>
    <w:rsid w:val="006E4D2D"/>
    <w:rsid w:val="006E4FC0"/>
    <w:rsid w:val="006E5101"/>
    <w:rsid w:val="006E53B4"/>
    <w:rsid w:val="006E5417"/>
    <w:rsid w:val="006E5695"/>
    <w:rsid w:val="006E57B7"/>
    <w:rsid w:val="006E5920"/>
    <w:rsid w:val="006E59AD"/>
    <w:rsid w:val="006E5DF6"/>
    <w:rsid w:val="006E5E1B"/>
    <w:rsid w:val="006E6286"/>
    <w:rsid w:val="006E65C6"/>
    <w:rsid w:val="006E6915"/>
    <w:rsid w:val="006E6AB5"/>
    <w:rsid w:val="006E6C61"/>
    <w:rsid w:val="006E6D8F"/>
    <w:rsid w:val="006E6E4E"/>
    <w:rsid w:val="006E7123"/>
    <w:rsid w:val="006E7338"/>
    <w:rsid w:val="006E7419"/>
    <w:rsid w:val="006E7488"/>
    <w:rsid w:val="006E755F"/>
    <w:rsid w:val="006E7889"/>
    <w:rsid w:val="006E78C6"/>
    <w:rsid w:val="006E78C9"/>
    <w:rsid w:val="006E7A2B"/>
    <w:rsid w:val="006E7A69"/>
    <w:rsid w:val="006E7B78"/>
    <w:rsid w:val="006ED4FF"/>
    <w:rsid w:val="006F0588"/>
    <w:rsid w:val="006F06A2"/>
    <w:rsid w:val="006F075F"/>
    <w:rsid w:val="006F0F29"/>
    <w:rsid w:val="006F0FBB"/>
    <w:rsid w:val="006F106F"/>
    <w:rsid w:val="006F10BA"/>
    <w:rsid w:val="006F1252"/>
    <w:rsid w:val="006F14FA"/>
    <w:rsid w:val="006F161F"/>
    <w:rsid w:val="006F1625"/>
    <w:rsid w:val="006F17C0"/>
    <w:rsid w:val="006F18FA"/>
    <w:rsid w:val="006F1FC3"/>
    <w:rsid w:val="006F208B"/>
    <w:rsid w:val="006F2141"/>
    <w:rsid w:val="006F21F8"/>
    <w:rsid w:val="006F2527"/>
    <w:rsid w:val="006F27BE"/>
    <w:rsid w:val="006F2907"/>
    <w:rsid w:val="006F2EBF"/>
    <w:rsid w:val="006F2F28"/>
    <w:rsid w:val="006F3151"/>
    <w:rsid w:val="006F334F"/>
    <w:rsid w:val="006F340A"/>
    <w:rsid w:val="006F345D"/>
    <w:rsid w:val="006F34A4"/>
    <w:rsid w:val="006F34E6"/>
    <w:rsid w:val="006F3624"/>
    <w:rsid w:val="006F3761"/>
    <w:rsid w:val="006F3938"/>
    <w:rsid w:val="006F3BB1"/>
    <w:rsid w:val="006F3BB2"/>
    <w:rsid w:val="006F3D27"/>
    <w:rsid w:val="006F3D9E"/>
    <w:rsid w:val="006F3DD9"/>
    <w:rsid w:val="006F3F63"/>
    <w:rsid w:val="006F47BE"/>
    <w:rsid w:val="006F47C3"/>
    <w:rsid w:val="006F49B5"/>
    <w:rsid w:val="006F4A77"/>
    <w:rsid w:val="006F4B75"/>
    <w:rsid w:val="006F4BE3"/>
    <w:rsid w:val="006F5081"/>
    <w:rsid w:val="006F50DC"/>
    <w:rsid w:val="006F50F9"/>
    <w:rsid w:val="006F5207"/>
    <w:rsid w:val="006F56A8"/>
    <w:rsid w:val="006F57BB"/>
    <w:rsid w:val="006F59A8"/>
    <w:rsid w:val="006F59B7"/>
    <w:rsid w:val="006F5CDF"/>
    <w:rsid w:val="006F5E23"/>
    <w:rsid w:val="006F603C"/>
    <w:rsid w:val="006F63CA"/>
    <w:rsid w:val="006F65AF"/>
    <w:rsid w:val="006F6CEE"/>
    <w:rsid w:val="006F719F"/>
    <w:rsid w:val="006F72E0"/>
    <w:rsid w:val="006F74C4"/>
    <w:rsid w:val="006F7677"/>
    <w:rsid w:val="006F76B7"/>
    <w:rsid w:val="006F7870"/>
    <w:rsid w:val="006F794B"/>
    <w:rsid w:val="006F7C92"/>
    <w:rsid w:val="006F7D31"/>
    <w:rsid w:val="006F7E21"/>
    <w:rsid w:val="00700159"/>
    <w:rsid w:val="00700A59"/>
    <w:rsid w:val="00700E85"/>
    <w:rsid w:val="00700EC5"/>
    <w:rsid w:val="007011C7"/>
    <w:rsid w:val="00701811"/>
    <w:rsid w:val="00701831"/>
    <w:rsid w:val="0070188C"/>
    <w:rsid w:val="007018AE"/>
    <w:rsid w:val="007018FC"/>
    <w:rsid w:val="00701C12"/>
    <w:rsid w:val="00701C40"/>
    <w:rsid w:val="00701DA4"/>
    <w:rsid w:val="00701DE3"/>
    <w:rsid w:val="00701F8C"/>
    <w:rsid w:val="00702484"/>
    <w:rsid w:val="00702A5F"/>
    <w:rsid w:val="00702BAE"/>
    <w:rsid w:val="00702F28"/>
    <w:rsid w:val="00703332"/>
    <w:rsid w:val="00703396"/>
    <w:rsid w:val="00703F28"/>
    <w:rsid w:val="00704005"/>
    <w:rsid w:val="0070406B"/>
    <w:rsid w:val="0070438A"/>
    <w:rsid w:val="007049C6"/>
    <w:rsid w:val="00704A2C"/>
    <w:rsid w:val="00704B3D"/>
    <w:rsid w:val="00704BC3"/>
    <w:rsid w:val="00704F6F"/>
    <w:rsid w:val="00704F92"/>
    <w:rsid w:val="00704FD2"/>
    <w:rsid w:val="00705374"/>
    <w:rsid w:val="007053E5"/>
    <w:rsid w:val="00705718"/>
    <w:rsid w:val="00705A2C"/>
    <w:rsid w:val="00705B03"/>
    <w:rsid w:val="00705EA2"/>
    <w:rsid w:val="007060BE"/>
    <w:rsid w:val="0070624A"/>
    <w:rsid w:val="00706687"/>
    <w:rsid w:val="00706E0C"/>
    <w:rsid w:val="00707BE1"/>
    <w:rsid w:val="00707BFC"/>
    <w:rsid w:val="00707C79"/>
    <w:rsid w:val="00707EA8"/>
    <w:rsid w:val="0071016E"/>
    <w:rsid w:val="007107D3"/>
    <w:rsid w:val="007111E4"/>
    <w:rsid w:val="0071140A"/>
    <w:rsid w:val="00711487"/>
    <w:rsid w:val="0071176B"/>
    <w:rsid w:val="007117E5"/>
    <w:rsid w:val="00711863"/>
    <w:rsid w:val="00711953"/>
    <w:rsid w:val="00711CC0"/>
    <w:rsid w:val="00711D1A"/>
    <w:rsid w:val="00711F91"/>
    <w:rsid w:val="00711FAA"/>
    <w:rsid w:val="007120B0"/>
    <w:rsid w:val="007121AB"/>
    <w:rsid w:val="00712226"/>
    <w:rsid w:val="007126CA"/>
    <w:rsid w:val="007126E6"/>
    <w:rsid w:val="007127D6"/>
    <w:rsid w:val="00712962"/>
    <w:rsid w:val="00712B21"/>
    <w:rsid w:val="00712BEC"/>
    <w:rsid w:val="00712E79"/>
    <w:rsid w:val="00713139"/>
    <w:rsid w:val="007135B9"/>
    <w:rsid w:val="007136D4"/>
    <w:rsid w:val="00713DC6"/>
    <w:rsid w:val="00713F37"/>
    <w:rsid w:val="00713FD9"/>
    <w:rsid w:val="00714014"/>
    <w:rsid w:val="007142BF"/>
    <w:rsid w:val="007144E1"/>
    <w:rsid w:val="007144FC"/>
    <w:rsid w:val="0071460D"/>
    <w:rsid w:val="00714870"/>
    <w:rsid w:val="00714937"/>
    <w:rsid w:val="00714B76"/>
    <w:rsid w:val="00714CA0"/>
    <w:rsid w:val="00714E4C"/>
    <w:rsid w:val="00715119"/>
    <w:rsid w:val="00715266"/>
    <w:rsid w:val="0071580B"/>
    <w:rsid w:val="00715A93"/>
    <w:rsid w:val="00716308"/>
    <w:rsid w:val="0071637A"/>
    <w:rsid w:val="007164F4"/>
    <w:rsid w:val="00716886"/>
    <w:rsid w:val="00716A5B"/>
    <w:rsid w:val="00716B85"/>
    <w:rsid w:val="00717383"/>
    <w:rsid w:val="0071761F"/>
    <w:rsid w:val="007176CD"/>
    <w:rsid w:val="00717737"/>
    <w:rsid w:val="00717821"/>
    <w:rsid w:val="00717958"/>
    <w:rsid w:val="00717A76"/>
    <w:rsid w:val="00717A82"/>
    <w:rsid w:val="00717AF5"/>
    <w:rsid w:val="00717BE4"/>
    <w:rsid w:val="00717F16"/>
    <w:rsid w:val="00717F41"/>
    <w:rsid w:val="00717FC3"/>
    <w:rsid w:val="00717FEB"/>
    <w:rsid w:val="0072012F"/>
    <w:rsid w:val="00720B33"/>
    <w:rsid w:val="00720C4D"/>
    <w:rsid w:val="00720E96"/>
    <w:rsid w:val="00720F10"/>
    <w:rsid w:val="0072118B"/>
    <w:rsid w:val="007216B5"/>
    <w:rsid w:val="00721753"/>
    <w:rsid w:val="007222CA"/>
    <w:rsid w:val="0072248F"/>
    <w:rsid w:val="00722802"/>
    <w:rsid w:val="00722A9A"/>
    <w:rsid w:val="00722BF2"/>
    <w:rsid w:val="00723603"/>
    <w:rsid w:val="00723937"/>
    <w:rsid w:val="00723A28"/>
    <w:rsid w:val="00723E13"/>
    <w:rsid w:val="0072417C"/>
    <w:rsid w:val="0072421C"/>
    <w:rsid w:val="00724389"/>
    <w:rsid w:val="007244B5"/>
    <w:rsid w:val="0072471D"/>
    <w:rsid w:val="007249DE"/>
    <w:rsid w:val="00724A0A"/>
    <w:rsid w:val="00724CCD"/>
    <w:rsid w:val="0072500D"/>
    <w:rsid w:val="0072519E"/>
    <w:rsid w:val="007251C6"/>
    <w:rsid w:val="00725414"/>
    <w:rsid w:val="00725BB2"/>
    <w:rsid w:val="00725EA1"/>
    <w:rsid w:val="00725EB1"/>
    <w:rsid w:val="0072655A"/>
    <w:rsid w:val="00726584"/>
    <w:rsid w:val="0072676D"/>
    <w:rsid w:val="007268C8"/>
    <w:rsid w:val="007268D0"/>
    <w:rsid w:val="00726A75"/>
    <w:rsid w:val="00726AB5"/>
    <w:rsid w:val="00726F1B"/>
    <w:rsid w:val="007271D3"/>
    <w:rsid w:val="007272BE"/>
    <w:rsid w:val="00727731"/>
    <w:rsid w:val="00727CE0"/>
    <w:rsid w:val="00727D6E"/>
    <w:rsid w:val="00727F47"/>
    <w:rsid w:val="0073044E"/>
    <w:rsid w:val="007305C9"/>
    <w:rsid w:val="00730DC5"/>
    <w:rsid w:val="00730EF5"/>
    <w:rsid w:val="00731070"/>
    <w:rsid w:val="00731433"/>
    <w:rsid w:val="007314A5"/>
    <w:rsid w:val="00731516"/>
    <w:rsid w:val="007315CC"/>
    <w:rsid w:val="00731928"/>
    <w:rsid w:val="00731A23"/>
    <w:rsid w:val="00731C65"/>
    <w:rsid w:val="00731DF2"/>
    <w:rsid w:val="00732571"/>
    <w:rsid w:val="00732674"/>
    <w:rsid w:val="00732A3B"/>
    <w:rsid w:val="00732F5D"/>
    <w:rsid w:val="0073314A"/>
    <w:rsid w:val="007333A3"/>
    <w:rsid w:val="007333D8"/>
    <w:rsid w:val="00733615"/>
    <w:rsid w:val="00733811"/>
    <w:rsid w:val="007339B1"/>
    <w:rsid w:val="007339D7"/>
    <w:rsid w:val="007339FD"/>
    <w:rsid w:val="00733A6E"/>
    <w:rsid w:val="00733B22"/>
    <w:rsid w:val="00734183"/>
    <w:rsid w:val="00734220"/>
    <w:rsid w:val="00734964"/>
    <w:rsid w:val="00734C6F"/>
    <w:rsid w:val="00734CA3"/>
    <w:rsid w:val="007351D4"/>
    <w:rsid w:val="0073546A"/>
    <w:rsid w:val="007355C9"/>
    <w:rsid w:val="007357A9"/>
    <w:rsid w:val="007357CE"/>
    <w:rsid w:val="00735A3F"/>
    <w:rsid w:val="00735AB9"/>
    <w:rsid w:val="00735BF8"/>
    <w:rsid w:val="00735FC6"/>
    <w:rsid w:val="00736009"/>
    <w:rsid w:val="00736033"/>
    <w:rsid w:val="0073606D"/>
    <w:rsid w:val="0073666D"/>
    <w:rsid w:val="007366B9"/>
    <w:rsid w:val="00736713"/>
    <w:rsid w:val="00736800"/>
    <w:rsid w:val="00736ACE"/>
    <w:rsid w:val="00736BC6"/>
    <w:rsid w:val="00736C26"/>
    <w:rsid w:val="00736DEA"/>
    <w:rsid w:val="00737687"/>
    <w:rsid w:val="0073782B"/>
    <w:rsid w:val="00737844"/>
    <w:rsid w:val="0073795E"/>
    <w:rsid w:val="007379EB"/>
    <w:rsid w:val="00737A45"/>
    <w:rsid w:val="00737A4E"/>
    <w:rsid w:val="00737AD9"/>
    <w:rsid w:val="00737B03"/>
    <w:rsid w:val="00738073"/>
    <w:rsid w:val="007400AE"/>
    <w:rsid w:val="0074023E"/>
    <w:rsid w:val="00740935"/>
    <w:rsid w:val="0074094A"/>
    <w:rsid w:val="00740AEA"/>
    <w:rsid w:val="00740CC8"/>
    <w:rsid w:val="007412CC"/>
    <w:rsid w:val="00741479"/>
    <w:rsid w:val="007414F9"/>
    <w:rsid w:val="007418A7"/>
    <w:rsid w:val="00741914"/>
    <w:rsid w:val="007419FB"/>
    <w:rsid w:val="00742E70"/>
    <w:rsid w:val="00742EA8"/>
    <w:rsid w:val="00742FAA"/>
    <w:rsid w:val="0074307E"/>
    <w:rsid w:val="0074310C"/>
    <w:rsid w:val="00743113"/>
    <w:rsid w:val="00743391"/>
    <w:rsid w:val="00743398"/>
    <w:rsid w:val="00743424"/>
    <w:rsid w:val="00743544"/>
    <w:rsid w:val="007435F1"/>
    <w:rsid w:val="007437E1"/>
    <w:rsid w:val="00743B42"/>
    <w:rsid w:val="00743E24"/>
    <w:rsid w:val="00743FA7"/>
    <w:rsid w:val="00744011"/>
    <w:rsid w:val="007442F2"/>
    <w:rsid w:val="00744745"/>
    <w:rsid w:val="00744B6C"/>
    <w:rsid w:val="00744CF2"/>
    <w:rsid w:val="00744DBC"/>
    <w:rsid w:val="0074513D"/>
    <w:rsid w:val="0074522D"/>
    <w:rsid w:val="00745236"/>
    <w:rsid w:val="00745344"/>
    <w:rsid w:val="0074537B"/>
    <w:rsid w:val="00745588"/>
    <w:rsid w:val="007456A2"/>
    <w:rsid w:val="00745A29"/>
    <w:rsid w:val="00745A35"/>
    <w:rsid w:val="00745A81"/>
    <w:rsid w:val="00745B9F"/>
    <w:rsid w:val="00745C32"/>
    <w:rsid w:val="00745D36"/>
    <w:rsid w:val="00745E91"/>
    <w:rsid w:val="0074617A"/>
    <w:rsid w:val="00746410"/>
    <w:rsid w:val="0074641F"/>
    <w:rsid w:val="007464E6"/>
    <w:rsid w:val="007464F6"/>
    <w:rsid w:val="007465C9"/>
    <w:rsid w:val="0074690A"/>
    <w:rsid w:val="00746B0A"/>
    <w:rsid w:val="00746B87"/>
    <w:rsid w:val="00746D35"/>
    <w:rsid w:val="007470A7"/>
    <w:rsid w:val="007470D0"/>
    <w:rsid w:val="00747124"/>
    <w:rsid w:val="0074765F"/>
    <w:rsid w:val="007476A4"/>
    <w:rsid w:val="00747769"/>
    <w:rsid w:val="00747C91"/>
    <w:rsid w:val="00747EE9"/>
    <w:rsid w:val="00747EF2"/>
    <w:rsid w:val="00750004"/>
    <w:rsid w:val="007503C4"/>
    <w:rsid w:val="00750DF5"/>
    <w:rsid w:val="00750FE5"/>
    <w:rsid w:val="007510D9"/>
    <w:rsid w:val="00751496"/>
    <w:rsid w:val="00751566"/>
    <w:rsid w:val="0075158A"/>
    <w:rsid w:val="007516D6"/>
    <w:rsid w:val="007517D7"/>
    <w:rsid w:val="00751D79"/>
    <w:rsid w:val="00751E10"/>
    <w:rsid w:val="00751FBC"/>
    <w:rsid w:val="00752145"/>
    <w:rsid w:val="007521A3"/>
    <w:rsid w:val="0075255E"/>
    <w:rsid w:val="007525E7"/>
    <w:rsid w:val="00752A3B"/>
    <w:rsid w:val="00752A72"/>
    <w:rsid w:val="0075320D"/>
    <w:rsid w:val="00753B7E"/>
    <w:rsid w:val="00753F58"/>
    <w:rsid w:val="007542E5"/>
    <w:rsid w:val="007546FA"/>
    <w:rsid w:val="00754856"/>
    <w:rsid w:val="00754926"/>
    <w:rsid w:val="00754BFF"/>
    <w:rsid w:val="00754C7C"/>
    <w:rsid w:val="007550AB"/>
    <w:rsid w:val="007553B9"/>
    <w:rsid w:val="00755899"/>
    <w:rsid w:val="0075597C"/>
    <w:rsid w:val="00755BA8"/>
    <w:rsid w:val="00755CFB"/>
    <w:rsid w:val="00755E41"/>
    <w:rsid w:val="00755F76"/>
    <w:rsid w:val="0075634D"/>
    <w:rsid w:val="0075657C"/>
    <w:rsid w:val="0075692C"/>
    <w:rsid w:val="00756C0D"/>
    <w:rsid w:val="00756D7E"/>
    <w:rsid w:val="00756F12"/>
    <w:rsid w:val="00756FBD"/>
    <w:rsid w:val="007575B6"/>
    <w:rsid w:val="00757673"/>
    <w:rsid w:val="00757858"/>
    <w:rsid w:val="00757D1E"/>
    <w:rsid w:val="00757D4A"/>
    <w:rsid w:val="00757D97"/>
    <w:rsid w:val="00757EDD"/>
    <w:rsid w:val="00757FBB"/>
    <w:rsid w:val="00757FCA"/>
    <w:rsid w:val="0076001B"/>
    <w:rsid w:val="00760375"/>
    <w:rsid w:val="0076038D"/>
    <w:rsid w:val="00760473"/>
    <w:rsid w:val="0076049D"/>
    <w:rsid w:val="00760585"/>
    <w:rsid w:val="00760684"/>
    <w:rsid w:val="007607F0"/>
    <w:rsid w:val="0076094C"/>
    <w:rsid w:val="00760ADE"/>
    <w:rsid w:val="00760D13"/>
    <w:rsid w:val="00760F10"/>
    <w:rsid w:val="007614D5"/>
    <w:rsid w:val="007614F3"/>
    <w:rsid w:val="00761639"/>
    <w:rsid w:val="0076163E"/>
    <w:rsid w:val="007616A3"/>
    <w:rsid w:val="00761BF6"/>
    <w:rsid w:val="00761D2D"/>
    <w:rsid w:val="00761ECB"/>
    <w:rsid w:val="007623D8"/>
    <w:rsid w:val="00762824"/>
    <w:rsid w:val="00762BE2"/>
    <w:rsid w:val="00762D3F"/>
    <w:rsid w:val="00762E9C"/>
    <w:rsid w:val="00762EF3"/>
    <w:rsid w:val="00762FB7"/>
    <w:rsid w:val="007630F0"/>
    <w:rsid w:val="007631DE"/>
    <w:rsid w:val="0076347A"/>
    <w:rsid w:val="007634BF"/>
    <w:rsid w:val="0076386D"/>
    <w:rsid w:val="00763956"/>
    <w:rsid w:val="007639AC"/>
    <w:rsid w:val="00763ED6"/>
    <w:rsid w:val="00763FF7"/>
    <w:rsid w:val="00764019"/>
    <w:rsid w:val="007640D9"/>
    <w:rsid w:val="0076414D"/>
    <w:rsid w:val="00764232"/>
    <w:rsid w:val="00764DB1"/>
    <w:rsid w:val="00764E5A"/>
    <w:rsid w:val="0076510B"/>
    <w:rsid w:val="0076538E"/>
    <w:rsid w:val="007654A2"/>
    <w:rsid w:val="007655B8"/>
    <w:rsid w:val="007655C5"/>
    <w:rsid w:val="00765695"/>
    <w:rsid w:val="007657D7"/>
    <w:rsid w:val="00765892"/>
    <w:rsid w:val="007659C5"/>
    <w:rsid w:val="00765E91"/>
    <w:rsid w:val="007661C9"/>
    <w:rsid w:val="007663BF"/>
    <w:rsid w:val="0076653E"/>
    <w:rsid w:val="007667CC"/>
    <w:rsid w:val="00766913"/>
    <w:rsid w:val="00766972"/>
    <w:rsid w:val="00766E43"/>
    <w:rsid w:val="00766FA3"/>
    <w:rsid w:val="0076723F"/>
    <w:rsid w:val="00767359"/>
    <w:rsid w:val="00767727"/>
    <w:rsid w:val="007677BD"/>
    <w:rsid w:val="0076793D"/>
    <w:rsid w:val="00767FE0"/>
    <w:rsid w:val="00770037"/>
    <w:rsid w:val="00770054"/>
    <w:rsid w:val="007702E5"/>
    <w:rsid w:val="007704A0"/>
    <w:rsid w:val="00770504"/>
    <w:rsid w:val="00770687"/>
    <w:rsid w:val="0077071B"/>
    <w:rsid w:val="00770882"/>
    <w:rsid w:val="007709DE"/>
    <w:rsid w:val="00770A56"/>
    <w:rsid w:val="00770AEF"/>
    <w:rsid w:val="00770C4C"/>
    <w:rsid w:val="00770CB3"/>
    <w:rsid w:val="00770CB4"/>
    <w:rsid w:val="00770E20"/>
    <w:rsid w:val="00770E2C"/>
    <w:rsid w:val="00770F5C"/>
    <w:rsid w:val="00771274"/>
    <w:rsid w:val="0077151E"/>
    <w:rsid w:val="00771637"/>
    <w:rsid w:val="0077178C"/>
    <w:rsid w:val="00771AFA"/>
    <w:rsid w:val="00771EC1"/>
    <w:rsid w:val="0077209F"/>
    <w:rsid w:val="007721A9"/>
    <w:rsid w:val="00772251"/>
    <w:rsid w:val="007722D9"/>
    <w:rsid w:val="00772774"/>
    <w:rsid w:val="00772A4A"/>
    <w:rsid w:val="00772AFE"/>
    <w:rsid w:val="00772EF2"/>
    <w:rsid w:val="00772FA6"/>
    <w:rsid w:val="00773302"/>
    <w:rsid w:val="0077370D"/>
    <w:rsid w:val="00773713"/>
    <w:rsid w:val="00773758"/>
    <w:rsid w:val="00773832"/>
    <w:rsid w:val="00773981"/>
    <w:rsid w:val="00773D32"/>
    <w:rsid w:val="00773F4E"/>
    <w:rsid w:val="007740C3"/>
    <w:rsid w:val="00774347"/>
    <w:rsid w:val="00774403"/>
    <w:rsid w:val="00774771"/>
    <w:rsid w:val="007747C6"/>
    <w:rsid w:val="00774881"/>
    <w:rsid w:val="007748A6"/>
    <w:rsid w:val="00774955"/>
    <w:rsid w:val="00774B22"/>
    <w:rsid w:val="00774BC8"/>
    <w:rsid w:val="00774E54"/>
    <w:rsid w:val="00774FA2"/>
    <w:rsid w:val="007753BF"/>
    <w:rsid w:val="007754AB"/>
    <w:rsid w:val="00775583"/>
    <w:rsid w:val="0077592A"/>
    <w:rsid w:val="0077597C"/>
    <w:rsid w:val="00775AC5"/>
    <w:rsid w:val="00775C68"/>
    <w:rsid w:val="0077603D"/>
    <w:rsid w:val="007761DF"/>
    <w:rsid w:val="007768CB"/>
    <w:rsid w:val="007768F8"/>
    <w:rsid w:val="00776970"/>
    <w:rsid w:val="00776EB2"/>
    <w:rsid w:val="007770FB"/>
    <w:rsid w:val="00777185"/>
    <w:rsid w:val="007774F5"/>
    <w:rsid w:val="0077783A"/>
    <w:rsid w:val="00777934"/>
    <w:rsid w:val="00777A52"/>
    <w:rsid w:val="00777E23"/>
    <w:rsid w:val="0078037A"/>
    <w:rsid w:val="00780AD2"/>
    <w:rsid w:val="00780C91"/>
    <w:rsid w:val="00780D9B"/>
    <w:rsid w:val="00780FC0"/>
    <w:rsid w:val="00781124"/>
    <w:rsid w:val="00781145"/>
    <w:rsid w:val="0078125D"/>
    <w:rsid w:val="00781280"/>
    <w:rsid w:val="00781593"/>
    <w:rsid w:val="007817D9"/>
    <w:rsid w:val="00781BFE"/>
    <w:rsid w:val="00781EBB"/>
    <w:rsid w:val="00782064"/>
    <w:rsid w:val="007820E5"/>
    <w:rsid w:val="00782152"/>
    <w:rsid w:val="007822AA"/>
    <w:rsid w:val="007822EA"/>
    <w:rsid w:val="00782435"/>
    <w:rsid w:val="00782713"/>
    <w:rsid w:val="00782876"/>
    <w:rsid w:val="007829BC"/>
    <w:rsid w:val="00782B24"/>
    <w:rsid w:val="00782D8F"/>
    <w:rsid w:val="007837E1"/>
    <w:rsid w:val="00783AAE"/>
    <w:rsid w:val="00783AE5"/>
    <w:rsid w:val="00783CF2"/>
    <w:rsid w:val="00783DDE"/>
    <w:rsid w:val="00783E1B"/>
    <w:rsid w:val="00783E4A"/>
    <w:rsid w:val="00783FFB"/>
    <w:rsid w:val="0078424F"/>
    <w:rsid w:val="007842DA"/>
    <w:rsid w:val="0078434A"/>
    <w:rsid w:val="007843B0"/>
    <w:rsid w:val="00784448"/>
    <w:rsid w:val="007845CC"/>
    <w:rsid w:val="00784B1D"/>
    <w:rsid w:val="007853AD"/>
    <w:rsid w:val="007853B3"/>
    <w:rsid w:val="0078558F"/>
    <w:rsid w:val="00785809"/>
    <w:rsid w:val="00785ABA"/>
    <w:rsid w:val="00785AEA"/>
    <w:rsid w:val="00785C3F"/>
    <w:rsid w:val="00785CD1"/>
    <w:rsid w:val="0078602C"/>
    <w:rsid w:val="007861DC"/>
    <w:rsid w:val="00786635"/>
    <w:rsid w:val="00786AAB"/>
    <w:rsid w:val="00787297"/>
    <w:rsid w:val="007875B4"/>
    <w:rsid w:val="00787626"/>
    <w:rsid w:val="007877DF"/>
    <w:rsid w:val="00787981"/>
    <w:rsid w:val="00787B75"/>
    <w:rsid w:val="00787D83"/>
    <w:rsid w:val="0079001D"/>
    <w:rsid w:val="00790088"/>
    <w:rsid w:val="0079049E"/>
    <w:rsid w:val="007908D8"/>
    <w:rsid w:val="00790997"/>
    <w:rsid w:val="007909D2"/>
    <w:rsid w:val="007909EC"/>
    <w:rsid w:val="00790DB6"/>
    <w:rsid w:val="00790E5D"/>
    <w:rsid w:val="00790F12"/>
    <w:rsid w:val="0079107F"/>
    <w:rsid w:val="0079110C"/>
    <w:rsid w:val="007911F5"/>
    <w:rsid w:val="00791358"/>
    <w:rsid w:val="007914D1"/>
    <w:rsid w:val="007916A5"/>
    <w:rsid w:val="00791766"/>
    <w:rsid w:val="0079177F"/>
    <w:rsid w:val="00791AD2"/>
    <w:rsid w:val="00791C1F"/>
    <w:rsid w:val="00791C2F"/>
    <w:rsid w:val="0079215A"/>
    <w:rsid w:val="007923D8"/>
    <w:rsid w:val="0079247D"/>
    <w:rsid w:val="00792485"/>
    <w:rsid w:val="007925E4"/>
    <w:rsid w:val="00792786"/>
    <w:rsid w:val="007929A5"/>
    <w:rsid w:val="007929BC"/>
    <w:rsid w:val="00792D1F"/>
    <w:rsid w:val="00792D7F"/>
    <w:rsid w:val="00792E61"/>
    <w:rsid w:val="00792F75"/>
    <w:rsid w:val="007931AB"/>
    <w:rsid w:val="0079332D"/>
    <w:rsid w:val="00793330"/>
    <w:rsid w:val="007933A1"/>
    <w:rsid w:val="0079343D"/>
    <w:rsid w:val="0079350C"/>
    <w:rsid w:val="0079359E"/>
    <w:rsid w:val="007937F0"/>
    <w:rsid w:val="00793C39"/>
    <w:rsid w:val="00793D8E"/>
    <w:rsid w:val="00794002"/>
    <w:rsid w:val="00794123"/>
    <w:rsid w:val="0079438B"/>
    <w:rsid w:val="00794394"/>
    <w:rsid w:val="007943DA"/>
    <w:rsid w:val="00794515"/>
    <w:rsid w:val="00794758"/>
    <w:rsid w:val="007947AB"/>
    <w:rsid w:val="007948CE"/>
    <w:rsid w:val="00794B79"/>
    <w:rsid w:val="00794FCF"/>
    <w:rsid w:val="007951E6"/>
    <w:rsid w:val="00795217"/>
    <w:rsid w:val="00795657"/>
    <w:rsid w:val="00795895"/>
    <w:rsid w:val="00795D2C"/>
    <w:rsid w:val="00795E22"/>
    <w:rsid w:val="00795E72"/>
    <w:rsid w:val="00795E77"/>
    <w:rsid w:val="00795EB8"/>
    <w:rsid w:val="00795EBD"/>
    <w:rsid w:val="00795EC6"/>
    <w:rsid w:val="00795FB6"/>
    <w:rsid w:val="0079601B"/>
    <w:rsid w:val="00796025"/>
    <w:rsid w:val="00796092"/>
    <w:rsid w:val="00796379"/>
    <w:rsid w:val="007965F3"/>
    <w:rsid w:val="007966E5"/>
    <w:rsid w:val="0079672B"/>
    <w:rsid w:val="00796974"/>
    <w:rsid w:val="007969EF"/>
    <w:rsid w:val="00796B70"/>
    <w:rsid w:val="007971FB"/>
    <w:rsid w:val="007973C4"/>
    <w:rsid w:val="0079798F"/>
    <w:rsid w:val="00797EF6"/>
    <w:rsid w:val="007A016B"/>
    <w:rsid w:val="007A0431"/>
    <w:rsid w:val="007A04F7"/>
    <w:rsid w:val="007A059F"/>
    <w:rsid w:val="007A061D"/>
    <w:rsid w:val="007A08FE"/>
    <w:rsid w:val="007A0958"/>
    <w:rsid w:val="007A0DCF"/>
    <w:rsid w:val="007A0EFC"/>
    <w:rsid w:val="007A1170"/>
    <w:rsid w:val="007A11BC"/>
    <w:rsid w:val="007A1345"/>
    <w:rsid w:val="007A1458"/>
    <w:rsid w:val="007A1557"/>
    <w:rsid w:val="007A176E"/>
    <w:rsid w:val="007A1DC0"/>
    <w:rsid w:val="007A27CD"/>
    <w:rsid w:val="007A2BD4"/>
    <w:rsid w:val="007A2C11"/>
    <w:rsid w:val="007A2DEB"/>
    <w:rsid w:val="007A2F0D"/>
    <w:rsid w:val="007A310F"/>
    <w:rsid w:val="007A328E"/>
    <w:rsid w:val="007A3991"/>
    <w:rsid w:val="007A3A25"/>
    <w:rsid w:val="007A3C71"/>
    <w:rsid w:val="007A3FAD"/>
    <w:rsid w:val="007A3FB3"/>
    <w:rsid w:val="007A40B0"/>
    <w:rsid w:val="007A4512"/>
    <w:rsid w:val="007A4ED3"/>
    <w:rsid w:val="007A4FC4"/>
    <w:rsid w:val="007A51B1"/>
    <w:rsid w:val="007A5659"/>
    <w:rsid w:val="007A5664"/>
    <w:rsid w:val="007A597C"/>
    <w:rsid w:val="007A5B04"/>
    <w:rsid w:val="007A623E"/>
    <w:rsid w:val="007A6638"/>
    <w:rsid w:val="007A67C3"/>
    <w:rsid w:val="007A6CDD"/>
    <w:rsid w:val="007A6E22"/>
    <w:rsid w:val="007A6F48"/>
    <w:rsid w:val="007A6F89"/>
    <w:rsid w:val="007A781F"/>
    <w:rsid w:val="007A7B8E"/>
    <w:rsid w:val="007A7D00"/>
    <w:rsid w:val="007B003F"/>
    <w:rsid w:val="007B0194"/>
    <w:rsid w:val="007B01CA"/>
    <w:rsid w:val="007B02E5"/>
    <w:rsid w:val="007B033E"/>
    <w:rsid w:val="007B0483"/>
    <w:rsid w:val="007B05E4"/>
    <w:rsid w:val="007B0717"/>
    <w:rsid w:val="007B0776"/>
    <w:rsid w:val="007B08E0"/>
    <w:rsid w:val="007B0913"/>
    <w:rsid w:val="007B099B"/>
    <w:rsid w:val="007B09C6"/>
    <w:rsid w:val="007B0FFE"/>
    <w:rsid w:val="007B1031"/>
    <w:rsid w:val="007B113A"/>
    <w:rsid w:val="007B12EA"/>
    <w:rsid w:val="007B133B"/>
    <w:rsid w:val="007B143E"/>
    <w:rsid w:val="007B14A6"/>
    <w:rsid w:val="007B15D6"/>
    <w:rsid w:val="007B17E9"/>
    <w:rsid w:val="007B1BBE"/>
    <w:rsid w:val="007B1C3E"/>
    <w:rsid w:val="007B1C54"/>
    <w:rsid w:val="007B1CAB"/>
    <w:rsid w:val="007B1CCB"/>
    <w:rsid w:val="007B22C6"/>
    <w:rsid w:val="007B25AA"/>
    <w:rsid w:val="007B2666"/>
    <w:rsid w:val="007B2680"/>
    <w:rsid w:val="007B27BB"/>
    <w:rsid w:val="007B2898"/>
    <w:rsid w:val="007B2F14"/>
    <w:rsid w:val="007B31D8"/>
    <w:rsid w:val="007B33F3"/>
    <w:rsid w:val="007B35EE"/>
    <w:rsid w:val="007B380D"/>
    <w:rsid w:val="007B3AB5"/>
    <w:rsid w:val="007B3BD0"/>
    <w:rsid w:val="007B3E59"/>
    <w:rsid w:val="007B41CA"/>
    <w:rsid w:val="007B43A7"/>
    <w:rsid w:val="007B44C4"/>
    <w:rsid w:val="007B4730"/>
    <w:rsid w:val="007B497A"/>
    <w:rsid w:val="007B498C"/>
    <w:rsid w:val="007B4BAB"/>
    <w:rsid w:val="007B4BCA"/>
    <w:rsid w:val="007B4C7D"/>
    <w:rsid w:val="007B4E11"/>
    <w:rsid w:val="007B4E8B"/>
    <w:rsid w:val="007B50FC"/>
    <w:rsid w:val="007B521C"/>
    <w:rsid w:val="007B54E8"/>
    <w:rsid w:val="007B55EB"/>
    <w:rsid w:val="007B56B6"/>
    <w:rsid w:val="007B58E0"/>
    <w:rsid w:val="007B5E87"/>
    <w:rsid w:val="007B5F34"/>
    <w:rsid w:val="007B63F3"/>
    <w:rsid w:val="007B6478"/>
    <w:rsid w:val="007B6487"/>
    <w:rsid w:val="007B64C2"/>
    <w:rsid w:val="007B65EF"/>
    <w:rsid w:val="007B66C5"/>
    <w:rsid w:val="007B68BD"/>
    <w:rsid w:val="007B69DB"/>
    <w:rsid w:val="007B6A33"/>
    <w:rsid w:val="007B6B09"/>
    <w:rsid w:val="007B6B13"/>
    <w:rsid w:val="007B6F0E"/>
    <w:rsid w:val="007B7347"/>
    <w:rsid w:val="007B758B"/>
    <w:rsid w:val="007B784A"/>
    <w:rsid w:val="007B7940"/>
    <w:rsid w:val="007B7A1D"/>
    <w:rsid w:val="007B7AB2"/>
    <w:rsid w:val="007B7C67"/>
    <w:rsid w:val="007B7CB1"/>
    <w:rsid w:val="007C0523"/>
    <w:rsid w:val="007C076D"/>
    <w:rsid w:val="007C0F9A"/>
    <w:rsid w:val="007C10A3"/>
    <w:rsid w:val="007C188C"/>
    <w:rsid w:val="007C1BF8"/>
    <w:rsid w:val="007C20E9"/>
    <w:rsid w:val="007C21F2"/>
    <w:rsid w:val="007C22EE"/>
    <w:rsid w:val="007C23F7"/>
    <w:rsid w:val="007C2503"/>
    <w:rsid w:val="007C25AB"/>
    <w:rsid w:val="007C25AC"/>
    <w:rsid w:val="007C29B1"/>
    <w:rsid w:val="007C2A78"/>
    <w:rsid w:val="007C2FB8"/>
    <w:rsid w:val="007C3154"/>
    <w:rsid w:val="007C31BF"/>
    <w:rsid w:val="007C3266"/>
    <w:rsid w:val="007C3339"/>
    <w:rsid w:val="007C3404"/>
    <w:rsid w:val="007C359C"/>
    <w:rsid w:val="007C3694"/>
    <w:rsid w:val="007C370A"/>
    <w:rsid w:val="007C39C2"/>
    <w:rsid w:val="007C3ADA"/>
    <w:rsid w:val="007C3DF8"/>
    <w:rsid w:val="007C4213"/>
    <w:rsid w:val="007C423F"/>
    <w:rsid w:val="007C4984"/>
    <w:rsid w:val="007C4DA6"/>
    <w:rsid w:val="007C4E50"/>
    <w:rsid w:val="007C4F42"/>
    <w:rsid w:val="007C503B"/>
    <w:rsid w:val="007C509D"/>
    <w:rsid w:val="007C533B"/>
    <w:rsid w:val="007C560F"/>
    <w:rsid w:val="007C583F"/>
    <w:rsid w:val="007C599A"/>
    <w:rsid w:val="007C5A70"/>
    <w:rsid w:val="007C5D9E"/>
    <w:rsid w:val="007C5DF8"/>
    <w:rsid w:val="007C5F6B"/>
    <w:rsid w:val="007C60A7"/>
    <w:rsid w:val="007C615C"/>
    <w:rsid w:val="007C625F"/>
    <w:rsid w:val="007C6297"/>
    <w:rsid w:val="007C62D6"/>
    <w:rsid w:val="007C6BBB"/>
    <w:rsid w:val="007C6F1C"/>
    <w:rsid w:val="007C7191"/>
    <w:rsid w:val="007C71BF"/>
    <w:rsid w:val="007C7574"/>
    <w:rsid w:val="007C7930"/>
    <w:rsid w:val="007CB798"/>
    <w:rsid w:val="007D0013"/>
    <w:rsid w:val="007D0261"/>
    <w:rsid w:val="007D0A36"/>
    <w:rsid w:val="007D0B1C"/>
    <w:rsid w:val="007D0E0D"/>
    <w:rsid w:val="007D0F00"/>
    <w:rsid w:val="007D110A"/>
    <w:rsid w:val="007D1136"/>
    <w:rsid w:val="007D1316"/>
    <w:rsid w:val="007D141F"/>
    <w:rsid w:val="007D14BC"/>
    <w:rsid w:val="007D165C"/>
    <w:rsid w:val="007D16CE"/>
    <w:rsid w:val="007D1863"/>
    <w:rsid w:val="007D1AA2"/>
    <w:rsid w:val="007D1C10"/>
    <w:rsid w:val="007D1CE5"/>
    <w:rsid w:val="007D1DD0"/>
    <w:rsid w:val="007D1E52"/>
    <w:rsid w:val="007D1F6B"/>
    <w:rsid w:val="007D2411"/>
    <w:rsid w:val="007D24F4"/>
    <w:rsid w:val="007D2555"/>
    <w:rsid w:val="007D273E"/>
    <w:rsid w:val="007D27EB"/>
    <w:rsid w:val="007D2854"/>
    <w:rsid w:val="007D2A1A"/>
    <w:rsid w:val="007D2ADC"/>
    <w:rsid w:val="007D2E7C"/>
    <w:rsid w:val="007D2E8F"/>
    <w:rsid w:val="007D31CA"/>
    <w:rsid w:val="007D3520"/>
    <w:rsid w:val="007D3809"/>
    <w:rsid w:val="007D3892"/>
    <w:rsid w:val="007D4209"/>
    <w:rsid w:val="007D4508"/>
    <w:rsid w:val="007D45BA"/>
    <w:rsid w:val="007D4E61"/>
    <w:rsid w:val="007D4E9C"/>
    <w:rsid w:val="007D4F0C"/>
    <w:rsid w:val="007D4F51"/>
    <w:rsid w:val="007D4F6D"/>
    <w:rsid w:val="007D5344"/>
    <w:rsid w:val="007D540E"/>
    <w:rsid w:val="007D56B1"/>
    <w:rsid w:val="007D5CDE"/>
    <w:rsid w:val="007D5E55"/>
    <w:rsid w:val="007D6085"/>
    <w:rsid w:val="007D632B"/>
    <w:rsid w:val="007D66BC"/>
    <w:rsid w:val="007D67EF"/>
    <w:rsid w:val="007D68E5"/>
    <w:rsid w:val="007D69D9"/>
    <w:rsid w:val="007D6D34"/>
    <w:rsid w:val="007D705F"/>
    <w:rsid w:val="007D7134"/>
    <w:rsid w:val="007D7189"/>
    <w:rsid w:val="007D71EF"/>
    <w:rsid w:val="007D7216"/>
    <w:rsid w:val="007D726A"/>
    <w:rsid w:val="007D74C8"/>
    <w:rsid w:val="007D74DA"/>
    <w:rsid w:val="007D790B"/>
    <w:rsid w:val="007D7EA0"/>
    <w:rsid w:val="007D7F27"/>
    <w:rsid w:val="007E0164"/>
    <w:rsid w:val="007E06E0"/>
    <w:rsid w:val="007E0875"/>
    <w:rsid w:val="007E093C"/>
    <w:rsid w:val="007E0964"/>
    <w:rsid w:val="007E0CE9"/>
    <w:rsid w:val="007E0D69"/>
    <w:rsid w:val="007E0FBD"/>
    <w:rsid w:val="007E110B"/>
    <w:rsid w:val="007E1232"/>
    <w:rsid w:val="007E123B"/>
    <w:rsid w:val="007E150A"/>
    <w:rsid w:val="007E1C32"/>
    <w:rsid w:val="007E1C60"/>
    <w:rsid w:val="007E1EAB"/>
    <w:rsid w:val="007E264C"/>
    <w:rsid w:val="007E268C"/>
    <w:rsid w:val="007E297B"/>
    <w:rsid w:val="007E29DF"/>
    <w:rsid w:val="007E2D60"/>
    <w:rsid w:val="007E30A2"/>
    <w:rsid w:val="007E3589"/>
    <w:rsid w:val="007E3D20"/>
    <w:rsid w:val="007E3D41"/>
    <w:rsid w:val="007E3D8A"/>
    <w:rsid w:val="007E3E4D"/>
    <w:rsid w:val="007E3E50"/>
    <w:rsid w:val="007E42A9"/>
    <w:rsid w:val="007E42C9"/>
    <w:rsid w:val="007E44EF"/>
    <w:rsid w:val="007E44F5"/>
    <w:rsid w:val="007E4531"/>
    <w:rsid w:val="007E47A0"/>
    <w:rsid w:val="007E4B12"/>
    <w:rsid w:val="007E4C07"/>
    <w:rsid w:val="007E4E73"/>
    <w:rsid w:val="007E4EB7"/>
    <w:rsid w:val="007E4F18"/>
    <w:rsid w:val="007E5206"/>
    <w:rsid w:val="007E55A8"/>
    <w:rsid w:val="007E59D4"/>
    <w:rsid w:val="007E5D44"/>
    <w:rsid w:val="007E5EDC"/>
    <w:rsid w:val="007E5F3D"/>
    <w:rsid w:val="007E6023"/>
    <w:rsid w:val="007E646B"/>
    <w:rsid w:val="007E663A"/>
    <w:rsid w:val="007E6A3A"/>
    <w:rsid w:val="007E6A75"/>
    <w:rsid w:val="007E6EA6"/>
    <w:rsid w:val="007E7369"/>
    <w:rsid w:val="007E742B"/>
    <w:rsid w:val="007E7545"/>
    <w:rsid w:val="007E778B"/>
    <w:rsid w:val="007E7BE3"/>
    <w:rsid w:val="007E7CBE"/>
    <w:rsid w:val="007E7F14"/>
    <w:rsid w:val="007F010C"/>
    <w:rsid w:val="007F01A8"/>
    <w:rsid w:val="007F0343"/>
    <w:rsid w:val="007F05E6"/>
    <w:rsid w:val="007F067A"/>
    <w:rsid w:val="007F068E"/>
    <w:rsid w:val="007F084B"/>
    <w:rsid w:val="007F09C0"/>
    <w:rsid w:val="007F1099"/>
    <w:rsid w:val="007F1133"/>
    <w:rsid w:val="007F11D0"/>
    <w:rsid w:val="007F11E7"/>
    <w:rsid w:val="007F12B1"/>
    <w:rsid w:val="007F176F"/>
    <w:rsid w:val="007F1795"/>
    <w:rsid w:val="007F1BEF"/>
    <w:rsid w:val="007F1D3D"/>
    <w:rsid w:val="007F1D5C"/>
    <w:rsid w:val="007F202B"/>
    <w:rsid w:val="007F212F"/>
    <w:rsid w:val="007F249A"/>
    <w:rsid w:val="007F24AF"/>
    <w:rsid w:val="007F2D83"/>
    <w:rsid w:val="007F2E7B"/>
    <w:rsid w:val="007F3B9E"/>
    <w:rsid w:val="007F3D9E"/>
    <w:rsid w:val="007F3F2D"/>
    <w:rsid w:val="007F40F6"/>
    <w:rsid w:val="007F4355"/>
    <w:rsid w:val="007F449F"/>
    <w:rsid w:val="007F4539"/>
    <w:rsid w:val="007F45F4"/>
    <w:rsid w:val="007F4678"/>
    <w:rsid w:val="007F4794"/>
    <w:rsid w:val="007F484A"/>
    <w:rsid w:val="007F4A88"/>
    <w:rsid w:val="007F4BC3"/>
    <w:rsid w:val="007F4D0B"/>
    <w:rsid w:val="007F4E8D"/>
    <w:rsid w:val="007F4EDE"/>
    <w:rsid w:val="007F4EE7"/>
    <w:rsid w:val="007F5039"/>
    <w:rsid w:val="007F510B"/>
    <w:rsid w:val="007F5137"/>
    <w:rsid w:val="007F5246"/>
    <w:rsid w:val="007F5307"/>
    <w:rsid w:val="007F5421"/>
    <w:rsid w:val="007F556E"/>
    <w:rsid w:val="007F57FB"/>
    <w:rsid w:val="007F5800"/>
    <w:rsid w:val="007F5879"/>
    <w:rsid w:val="007F5A02"/>
    <w:rsid w:val="007F5B42"/>
    <w:rsid w:val="007F5B60"/>
    <w:rsid w:val="007F5C7C"/>
    <w:rsid w:val="007F5D02"/>
    <w:rsid w:val="007F5E02"/>
    <w:rsid w:val="007F5E12"/>
    <w:rsid w:val="007F5F1F"/>
    <w:rsid w:val="007F6025"/>
    <w:rsid w:val="007F637B"/>
    <w:rsid w:val="007F63CD"/>
    <w:rsid w:val="007F63DC"/>
    <w:rsid w:val="007F6702"/>
    <w:rsid w:val="007F68A6"/>
    <w:rsid w:val="007F6A4C"/>
    <w:rsid w:val="007F6B2E"/>
    <w:rsid w:val="007F70F6"/>
    <w:rsid w:val="007F713F"/>
    <w:rsid w:val="007F72D3"/>
    <w:rsid w:val="007F738B"/>
    <w:rsid w:val="007F73E0"/>
    <w:rsid w:val="007F756D"/>
    <w:rsid w:val="007F7590"/>
    <w:rsid w:val="007F766D"/>
    <w:rsid w:val="007F766E"/>
    <w:rsid w:val="007F76FE"/>
    <w:rsid w:val="007F7904"/>
    <w:rsid w:val="007F79DA"/>
    <w:rsid w:val="007F7B3A"/>
    <w:rsid w:val="007F7B71"/>
    <w:rsid w:val="007F7B76"/>
    <w:rsid w:val="007F7D34"/>
    <w:rsid w:val="007F7F91"/>
    <w:rsid w:val="00800238"/>
    <w:rsid w:val="00800378"/>
    <w:rsid w:val="008006E0"/>
    <w:rsid w:val="008007D7"/>
    <w:rsid w:val="008009B7"/>
    <w:rsid w:val="00800B4F"/>
    <w:rsid w:val="00800F3A"/>
    <w:rsid w:val="00801162"/>
    <w:rsid w:val="0080137D"/>
    <w:rsid w:val="0080169D"/>
    <w:rsid w:val="00801713"/>
    <w:rsid w:val="00801866"/>
    <w:rsid w:val="00801E29"/>
    <w:rsid w:val="0080209A"/>
    <w:rsid w:val="0080229B"/>
    <w:rsid w:val="0080264E"/>
    <w:rsid w:val="0080269C"/>
    <w:rsid w:val="00802900"/>
    <w:rsid w:val="00802C8B"/>
    <w:rsid w:val="00802F74"/>
    <w:rsid w:val="00803013"/>
    <w:rsid w:val="00803090"/>
    <w:rsid w:val="008037B8"/>
    <w:rsid w:val="00803867"/>
    <w:rsid w:val="00803924"/>
    <w:rsid w:val="008039A2"/>
    <w:rsid w:val="008039DE"/>
    <w:rsid w:val="008039EC"/>
    <w:rsid w:val="00803EEA"/>
    <w:rsid w:val="00803FB4"/>
    <w:rsid w:val="0080419C"/>
    <w:rsid w:val="008041A1"/>
    <w:rsid w:val="008042A3"/>
    <w:rsid w:val="0080445D"/>
    <w:rsid w:val="00804515"/>
    <w:rsid w:val="00804856"/>
    <w:rsid w:val="00804C17"/>
    <w:rsid w:val="00804ECF"/>
    <w:rsid w:val="00805100"/>
    <w:rsid w:val="008052F8"/>
    <w:rsid w:val="00805392"/>
    <w:rsid w:val="00805692"/>
    <w:rsid w:val="008057A4"/>
    <w:rsid w:val="008058E2"/>
    <w:rsid w:val="00805B1B"/>
    <w:rsid w:val="00805C0F"/>
    <w:rsid w:val="00805C8F"/>
    <w:rsid w:val="00805F58"/>
    <w:rsid w:val="00806245"/>
    <w:rsid w:val="0080654C"/>
    <w:rsid w:val="008065E5"/>
    <w:rsid w:val="0080685E"/>
    <w:rsid w:val="008068BF"/>
    <w:rsid w:val="00806FCB"/>
    <w:rsid w:val="00807820"/>
    <w:rsid w:val="00807A15"/>
    <w:rsid w:val="00807B3A"/>
    <w:rsid w:val="00807BF1"/>
    <w:rsid w:val="00807D22"/>
    <w:rsid w:val="00807D3A"/>
    <w:rsid w:val="00807EA8"/>
    <w:rsid w:val="0081014D"/>
    <w:rsid w:val="008103E4"/>
    <w:rsid w:val="00810715"/>
    <w:rsid w:val="00810864"/>
    <w:rsid w:val="00810A64"/>
    <w:rsid w:val="00810D7D"/>
    <w:rsid w:val="00810DD7"/>
    <w:rsid w:val="008114B2"/>
    <w:rsid w:val="00811A6B"/>
    <w:rsid w:val="00811C2E"/>
    <w:rsid w:val="00811D67"/>
    <w:rsid w:val="00812058"/>
    <w:rsid w:val="008121D0"/>
    <w:rsid w:val="00812202"/>
    <w:rsid w:val="00812286"/>
    <w:rsid w:val="008124B5"/>
    <w:rsid w:val="0081250B"/>
    <w:rsid w:val="0081284E"/>
    <w:rsid w:val="008128E7"/>
    <w:rsid w:val="00813092"/>
    <w:rsid w:val="008130D5"/>
    <w:rsid w:val="008131EE"/>
    <w:rsid w:val="0081325E"/>
    <w:rsid w:val="008135D1"/>
    <w:rsid w:val="008135E8"/>
    <w:rsid w:val="00813A08"/>
    <w:rsid w:val="00813D5C"/>
    <w:rsid w:val="00813E91"/>
    <w:rsid w:val="008141A4"/>
    <w:rsid w:val="00814546"/>
    <w:rsid w:val="00814745"/>
    <w:rsid w:val="00814859"/>
    <w:rsid w:val="008149B6"/>
    <w:rsid w:val="00814CE1"/>
    <w:rsid w:val="00814E95"/>
    <w:rsid w:val="00815179"/>
    <w:rsid w:val="008151DA"/>
    <w:rsid w:val="00815270"/>
    <w:rsid w:val="008152B3"/>
    <w:rsid w:val="00815309"/>
    <w:rsid w:val="0081536B"/>
    <w:rsid w:val="008156D0"/>
    <w:rsid w:val="00815724"/>
    <w:rsid w:val="008157F0"/>
    <w:rsid w:val="00815920"/>
    <w:rsid w:val="008159EE"/>
    <w:rsid w:val="00815CDF"/>
    <w:rsid w:val="00815CF7"/>
    <w:rsid w:val="00815D65"/>
    <w:rsid w:val="00815DD0"/>
    <w:rsid w:val="00815DEA"/>
    <w:rsid w:val="00815F56"/>
    <w:rsid w:val="0081616F"/>
    <w:rsid w:val="008161A3"/>
    <w:rsid w:val="008161A6"/>
    <w:rsid w:val="00816622"/>
    <w:rsid w:val="0081683F"/>
    <w:rsid w:val="00816B28"/>
    <w:rsid w:val="00816CB8"/>
    <w:rsid w:val="00816D24"/>
    <w:rsid w:val="00816F7D"/>
    <w:rsid w:val="008174A3"/>
    <w:rsid w:val="008177ED"/>
    <w:rsid w:val="008178DC"/>
    <w:rsid w:val="0081791E"/>
    <w:rsid w:val="00817E39"/>
    <w:rsid w:val="00817ED5"/>
    <w:rsid w:val="0082017C"/>
    <w:rsid w:val="00820382"/>
    <w:rsid w:val="0082043D"/>
    <w:rsid w:val="0082047F"/>
    <w:rsid w:val="008204A1"/>
    <w:rsid w:val="0082077A"/>
    <w:rsid w:val="0082091E"/>
    <w:rsid w:val="00820ABC"/>
    <w:rsid w:val="00820E3C"/>
    <w:rsid w:val="00820EEC"/>
    <w:rsid w:val="00820F37"/>
    <w:rsid w:val="00821101"/>
    <w:rsid w:val="00821400"/>
    <w:rsid w:val="00821649"/>
    <w:rsid w:val="008217AA"/>
    <w:rsid w:val="00821B24"/>
    <w:rsid w:val="00821BEE"/>
    <w:rsid w:val="00821C3A"/>
    <w:rsid w:val="00821D91"/>
    <w:rsid w:val="00821DFD"/>
    <w:rsid w:val="0082219F"/>
    <w:rsid w:val="0082251E"/>
    <w:rsid w:val="008226CD"/>
    <w:rsid w:val="00822731"/>
    <w:rsid w:val="008228F2"/>
    <w:rsid w:val="00822954"/>
    <w:rsid w:val="00822E64"/>
    <w:rsid w:val="00823028"/>
    <w:rsid w:val="0082362B"/>
    <w:rsid w:val="0082394D"/>
    <w:rsid w:val="00823A2B"/>
    <w:rsid w:val="00823B16"/>
    <w:rsid w:val="00823B6F"/>
    <w:rsid w:val="00823C11"/>
    <w:rsid w:val="00824314"/>
    <w:rsid w:val="0082447C"/>
    <w:rsid w:val="008248CB"/>
    <w:rsid w:val="008249E2"/>
    <w:rsid w:val="00824A51"/>
    <w:rsid w:val="00824D74"/>
    <w:rsid w:val="00824E80"/>
    <w:rsid w:val="00824F0E"/>
    <w:rsid w:val="008251A1"/>
    <w:rsid w:val="008251ED"/>
    <w:rsid w:val="0082548D"/>
    <w:rsid w:val="00825918"/>
    <w:rsid w:val="00825FD9"/>
    <w:rsid w:val="008260B0"/>
    <w:rsid w:val="008260FD"/>
    <w:rsid w:val="008264C5"/>
    <w:rsid w:val="00826526"/>
    <w:rsid w:val="00826663"/>
    <w:rsid w:val="00826863"/>
    <w:rsid w:val="00826878"/>
    <w:rsid w:val="00826947"/>
    <w:rsid w:val="00826ABE"/>
    <w:rsid w:val="00826D1F"/>
    <w:rsid w:val="00826DE5"/>
    <w:rsid w:val="00826FD5"/>
    <w:rsid w:val="008271BC"/>
    <w:rsid w:val="008273A6"/>
    <w:rsid w:val="00827493"/>
    <w:rsid w:val="008275C8"/>
    <w:rsid w:val="008277B3"/>
    <w:rsid w:val="00827C95"/>
    <w:rsid w:val="0083010D"/>
    <w:rsid w:val="0083024B"/>
    <w:rsid w:val="008303A4"/>
    <w:rsid w:val="008303D4"/>
    <w:rsid w:val="00830506"/>
    <w:rsid w:val="00830A50"/>
    <w:rsid w:val="008310F0"/>
    <w:rsid w:val="0083162E"/>
    <w:rsid w:val="0083170B"/>
    <w:rsid w:val="00831741"/>
    <w:rsid w:val="00831920"/>
    <w:rsid w:val="00831A1F"/>
    <w:rsid w:val="00831B46"/>
    <w:rsid w:val="00831E4C"/>
    <w:rsid w:val="00831ECB"/>
    <w:rsid w:val="00832074"/>
    <w:rsid w:val="0083207A"/>
    <w:rsid w:val="00832177"/>
    <w:rsid w:val="008322EA"/>
    <w:rsid w:val="00832415"/>
    <w:rsid w:val="00832500"/>
    <w:rsid w:val="0083265C"/>
    <w:rsid w:val="00832746"/>
    <w:rsid w:val="00832CE0"/>
    <w:rsid w:val="00832FC3"/>
    <w:rsid w:val="008330EE"/>
    <w:rsid w:val="008331CA"/>
    <w:rsid w:val="0083352A"/>
    <w:rsid w:val="00833608"/>
    <w:rsid w:val="008341ED"/>
    <w:rsid w:val="00834360"/>
    <w:rsid w:val="0083469F"/>
    <w:rsid w:val="0083473A"/>
    <w:rsid w:val="00834BA2"/>
    <w:rsid w:val="00834C33"/>
    <w:rsid w:val="00834E00"/>
    <w:rsid w:val="0083533C"/>
    <w:rsid w:val="0083539E"/>
    <w:rsid w:val="008355EE"/>
    <w:rsid w:val="00835967"/>
    <w:rsid w:val="008359E8"/>
    <w:rsid w:val="00835EBA"/>
    <w:rsid w:val="00835F59"/>
    <w:rsid w:val="008360C1"/>
    <w:rsid w:val="0083616A"/>
    <w:rsid w:val="0083628F"/>
    <w:rsid w:val="008363A0"/>
    <w:rsid w:val="008363C8"/>
    <w:rsid w:val="00836984"/>
    <w:rsid w:val="00836AC1"/>
    <w:rsid w:val="00836BE5"/>
    <w:rsid w:val="00836E8B"/>
    <w:rsid w:val="00836E9B"/>
    <w:rsid w:val="008372D7"/>
    <w:rsid w:val="0083763B"/>
    <w:rsid w:val="00837D29"/>
    <w:rsid w:val="00840111"/>
    <w:rsid w:val="008403DC"/>
    <w:rsid w:val="00840DAA"/>
    <w:rsid w:val="00840E0A"/>
    <w:rsid w:val="00840E2B"/>
    <w:rsid w:val="00841024"/>
    <w:rsid w:val="00841157"/>
    <w:rsid w:val="0084125F"/>
    <w:rsid w:val="00841283"/>
    <w:rsid w:val="008413BB"/>
    <w:rsid w:val="00841664"/>
    <w:rsid w:val="008416C3"/>
    <w:rsid w:val="008419A5"/>
    <w:rsid w:val="008419D0"/>
    <w:rsid w:val="00841C13"/>
    <w:rsid w:val="00841DCC"/>
    <w:rsid w:val="00841F02"/>
    <w:rsid w:val="00841F1D"/>
    <w:rsid w:val="00841FDC"/>
    <w:rsid w:val="00842097"/>
    <w:rsid w:val="00842135"/>
    <w:rsid w:val="008423C0"/>
    <w:rsid w:val="0084240A"/>
    <w:rsid w:val="0084258A"/>
    <w:rsid w:val="0084258C"/>
    <w:rsid w:val="00842704"/>
    <w:rsid w:val="008427BA"/>
    <w:rsid w:val="008428C8"/>
    <w:rsid w:val="00842E22"/>
    <w:rsid w:val="00842F6E"/>
    <w:rsid w:val="0084309B"/>
    <w:rsid w:val="008431F3"/>
    <w:rsid w:val="00843B7A"/>
    <w:rsid w:val="00843FF9"/>
    <w:rsid w:val="008445B5"/>
    <w:rsid w:val="0084486C"/>
    <w:rsid w:val="008448BA"/>
    <w:rsid w:val="00844A54"/>
    <w:rsid w:val="00844AFC"/>
    <w:rsid w:val="00844EE0"/>
    <w:rsid w:val="008451EB"/>
    <w:rsid w:val="0084531E"/>
    <w:rsid w:val="00845346"/>
    <w:rsid w:val="008453EA"/>
    <w:rsid w:val="008454CB"/>
    <w:rsid w:val="008454F8"/>
    <w:rsid w:val="008457A0"/>
    <w:rsid w:val="00845E8C"/>
    <w:rsid w:val="00846341"/>
    <w:rsid w:val="0084639A"/>
    <w:rsid w:val="0084645F"/>
    <w:rsid w:val="00846F10"/>
    <w:rsid w:val="00846F63"/>
    <w:rsid w:val="008474A8"/>
    <w:rsid w:val="008475C2"/>
    <w:rsid w:val="008478C5"/>
    <w:rsid w:val="00847B54"/>
    <w:rsid w:val="00847EB7"/>
    <w:rsid w:val="00850189"/>
    <w:rsid w:val="0085040E"/>
    <w:rsid w:val="008505B1"/>
    <w:rsid w:val="008508CC"/>
    <w:rsid w:val="00850C64"/>
    <w:rsid w:val="0085105C"/>
    <w:rsid w:val="008514DC"/>
    <w:rsid w:val="0085186A"/>
    <w:rsid w:val="008518EE"/>
    <w:rsid w:val="008518FE"/>
    <w:rsid w:val="0085198A"/>
    <w:rsid w:val="008519C2"/>
    <w:rsid w:val="00851B30"/>
    <w:rsid w:val="00851BE3"/>
    <w:rsid w:val="008520B7"/>
    <w:rsid w:val="0085215E"/>
    <w:rsid w:val="00852241"/>
    <w:rsid w:val="008522C4"/>
    <w:rsid w:val="00852628"/>
    <w:rsid w:val="00852B12"/>
    <w:rsid w:val="00852BFC"/>
    <w:rsid w:val="00852DBE"/>
    <w:rsid w:val="00853316"/>
    <w:rsid w:val="008536B0"/>
    <w:rsid w:val="00853BCF"/>
    <w:rsid w:val="00853D69"/>
    <w:rsid w:val="00854069"/>
    <w:rsid w:val="00854216"/>
    <w:rsid w:val="00854C66"/>
    <w:rsid w:val="00854CAD"/>
    <w:rsid w:val="00854EA8"/>
    <w:rsid w:val="008552A9"/>
    <w:rsid w:val="008553F0"/>
    <w:rsid w:val="00855603"/>
    <w:rsid w:val="008557E2"/>
    <w:rsid w:val="008558C8"/>
    <w:rsid w:val="0085599A"/>
    <w:rsid w:val="008560D6"/>
    <w:rsid w:val="008563F0"/>
    <w:rsid w:val="008566A8"/>
    <w:rsid w:val="008566F0"/>
    <w:rsid w:val="00856956"/>
    <w:rsid w:val="00856AA3"/>
    <w:rsid w:val="00856AD9"/>
    <w:rsid w:val="008571D3"/>
    <w:rsid w:val="008571F6"/>
    <w:rsid w:val="00857297"/>
    <w:rsid w:val="00857389"/>
    <w:rsid w:val="0085755B"/>
    <w:rsid w:val="008576F7"/>
    <w:rsid w:val="008577EA"/>
    <w:rsid w:val="0085781D"/>
    <w:rsid w:val="00857BE3"/>
    <w:rsid w:val="00860140"/>
    <w:rsid w:val="008603CD"/>
    <w:rsid w:val="00860415"/>
    <w:rsid w:val="00860497"/>
    <w:rsid w:val="008605AC"/>
    <w:rsid w:val="00860DA5"/>
    <w:rsid w:val="00860DDF"/>
    <w:rsid w:val="00860E63"/>
    <w:rsid w:val="00860FDE"/>
    <w:rsid w:val="0086117C"/>
    <w:rsid w:val="00861241"/>
    <w:rsid w:val="00861801"/>
    <w:rsid w:val="0086181F"/>
    <w:rsid w:val="00861A1E"/>
    <w:rsid w:val="00861ADB"/>
    <w:rsid w:val="00861CC9"/>
    <w:rsid w:val="00861EDB"/>
    <w:rsid w:val="0086268F"/>
    <w:rsid w:val="008628CF"/>
    <w:rsid w:val="008629A9"/>
    <w:rsid w:val="00862A4C"/>
    <w:rsid w:val="00862A5D"/>
    <w:rsid w:val="00862A93"/>
    <w:rsid w:val="00862BD7"/>
    <w:rsid w:val="00862E70"/>
    <w:rsid w:val="008631A2"/>
    <w:rsid w:val="00863270"/>
    <w:rsid w:val="00863384"/>
    <w:rsid w:val="008633ED"/>
    <w:rsid w:val="00863575"/>
    <w:rsid w:val="00863745"/>
    <w:rsid w:val="00863AFF"/>
    <w:rsid w:val="00863CEA"/>
    <w:rsid w:val="00863E09"/>
    <w:rsid w:val="008648B6"/>
    <w:rsid w:val="008649B3"/>
    <w:rsid w:val="00865104"/>
    <w:rsid w:val="008651F7"/>
    <w:rsid w:val="00865332"/>
    <w:rsid w:val="008655CC"/>
    <w:rsid w:val="0086572A"/>
    <w:rsid w:val="00865802"/>
    <w:rsid w:val="00865B27"/>
    <w:rsid w:val="008663C6"/>
    <w:rsid w:val="008667DA"/>
    <w:rsid w:val="00866967"/>
    <w:rsid w:val="00866BB0"/>
    <w:rsid w:val="00866CC4"/>
    <w:rsid w:val="00866F1B"/>
    <w:rsid w:val="00867036"/>
    <w:rsid w:val="0086723F"/>
    <w:rsid w:val="008674D6"/>
    <w:rsid w:val="0086764E"/>
    <w:rsid w:val="00867685"/>
    <w:rsid w:val="008676A2"/>
    <w:rsid w:val="00867772"/>
    <w:rsid w:val="00867840"/>
    <w:rsid w:val="008678FD"/>
    <w:rsid w:val="0086795B"/>
    <w:rsid w:val="008701B2"/>
    <w:rsid w:val="00870224"/>
    <w:rsid w:val="008702B0"/>
    <w:rsid w:val="008702FC"/>
    <w:rsid w:val="008703D7"/>
    <w:rsid w:val="0087046E"/>
    <w:rsid w:val="00870880"/>
    <w:rsid w:val="008709FF"/>
    <w:rsid w:val="00870B91"/>
    <w:rsid w:val="00870CF9"/>
    <w:rsid w:val="00870ECC"/>
    <w:rsid w:val="00871206"/>
    <w:rsid w:val="0087121B"/>
    <w:rsid w:val="008714ED"/>
    <w:rsid w:val="00871604"/>
    <w:rsid w:val="00871969"/>
    <w:rsid w:val="00871B4E"/>
    <w:rsid w:val="00871B7D"/>
    <w:rsid w:val="00871C44"/>
    <w:rsid w:val="00871EC2"/>
    <w:rsid w:val="00871FB3"/>
    <w:rsid w:val="008724F9"/>
    <w:rsid w:val="008727FE"/>
    <w:rsid w:val="00872967"/>
    <w:rsid w:val="008729F5"/>
    <w:rsid w:val="0087369B"/>
    <w:rsid w:val="0087387E"/>
    <w:rsid w:val="0087392C"/>
    <w:rsid w:val="00873B05"/>
    <w:rsid w:val="00873BB4"/>
    <w:rsid w:val="00873D56"/>
    <w:rsid w:val="00873DDB"/>
    <w:rsid w:val="00873E47"/>
    <w:rsid w:val="00874197"/>
    <w:rsid w:val="00874321"/>
    <w:rsid w:val="00874488"/>
    <w:rsid w:val="008746DC"/>
    <w:rsid w:val="00874834"/>
    <w:rsid w:val="00874AF0"/>
    <w:rsid w:val="00874B41"/>
    <w:rsid w:val="008752F1"/>
    <w:rsid w:val="008755DF"/>
    <w:rsid w:val="00875611"/>
    <w:rsid w:val="00875991"/>
    <w:rsid w:val="00875ACE"/>
    <w:rsid w:val="00875B05"/>
    <w:rsid w:val="00875B35"/>
    <w:rsid w:val="00875CE1"/>
    <w:rsid w:val="00875E4D"/>
    <w:rsid w:val="00875FDE"/>
    <w:rsid w:val="00876189"/>
    <w:rsid w:val="0087622F"/>
    <w:rsid w:val="00876237"/>
    <w:rsid w:val="00876337"/>
    <w:rsid w:val="00876403"/>
    <w:rsid w:val="00876596"/>
    <w:rsid w:val="00876800"/>
    <w:rsid w:val="00876BC1"/>
    <w:rsid w:val="00876CA1"/>
    <w:rsid w:val="00876F6D"/>
    <w:rsid w:val="00876F7C"/>
    <w:rsid w:val="00876F85"/>
    <w:rsid w:val="00877085"/>
    <w:rsid w:val="0087724C"/>
    <w:rsid w:val="008778B1"/>
    <w:rsid w:val="008778FA"/>
    <w:rsid w:val="008779BC"/>
    <w:rsid w:val="00877CBA"/>
    <w:rsid w:val="00880005"/>
    <w:rsid w:val="008802FA"/>
    <w:rsid w:val="00880315"/>
    <w:rsid w:val="008803EE"/>
    <w:rsid w:val="0088060D"/>
    <w:rsid w:val="008808D5"/>
    <w:rsid w:val="00880D05"/>
    <w:rsid w:val="00880EED"/>
    <w:rsid w:val="00880FA4"/>
    <w:rsid w:val="0088101C"/>
    <w:rsid w:val="0088107D"/>
    <w:rsid w:val="008817A6"/>
    <w:rsid w:val="00881904"/>
    <w:rsid w:val="00881985"/>
    <w:rsid w:val="00881A5C"/>
    <w:rsid w:val="00881A63"/>
    <w:rsid w:val="00881B4D"/>
    <w:rsid w:val="00881E0B"/>
    <w:rsid w:val="008820ED"/>
    <w:rsid w:val="00882555"/>
    <w:rsid w:val="008825D9"/>
    <w:rsid w:val="0088266A"/>
    <w:rsid w:val="00882681"/>
    <w:rsid w:val="0088277B"/>
    <w:rsid w:val="00882825"/>
    <w:rsid w:val="008828C2"/>
    <w:rsid w:val="008828F3"/>
    <w:rsid w:val="008829AE"/>
    <w:rsid w:val="008829E1"/>
    <w:rsid w:val="00882BBA"/>
    <w:rsid w:val="00882BEC"/>
    <w:rsid w:val="00882DF1"/>
    <w:rsid w:val="00882E10"/>
    <w:rsid w:val="00882FDB"/>
    <w:rsid w:val="008830C7"/>
    <w:rsid w:val="008836CC"/>
    <w:rsid w:val="0088390B"/>
    <w:rsid w:val="008839E8"/>
    <w:rsid w:val="00883F21"/>
    <w:rsid w:val="0088438A"/>
    <w:rsid w:val="008844AF"/>
    <w:rsid w:val="0088489B"/>
    <w:rsid w:val="008848BB"/>
    <w:rsid w:val="008848DF"/>
    <w:rsid w:val="00884D96"/>
    <w:rsid w:val="0088507E"/>
    <w:rsid w:val="008851FA"/>
    <w:rsid w:val="00885491"/>
    <w:rsid w:val="00885519"/>
    <w:rsid w:val="0088583D"/>
    <w:rsid w:val="00885B3E"/>
    <w:rsid w:val="00885E30"/>
    <w:rsid w:val="00885FA1"/>
    <w:rsid w:val="008861CC"/>
    <w:rsid w:val="008864A6"/>
    <w:rsid w:val="00886545"/>
    <w:rsid w:val="008866C7"/>
    <w:rsid w:val="008869B5"/>
    <w:rsid w:val="00886CD7"/>
    <w:rsid w:val="00887312"/>
    <w:rsid w:val="00887346"/>
    <w:rsid w:val="0088747A"/>
    <w:rsid w:val="008874FD"/>
    <w:rsid w:val="008879A4"/>
    <w:rsid w:val="00887A5C"/>
    <w:rsid w:val="00887AB0"/>
    <w:rsid w:val="00887ACF"/>
    <w:rsid w:val="00887BEE"/>
    <w:rsid w:val="00887E02"/>
    <w:rsid w:val="00887E24"/>
    <w:rsid w:val="00888E2C"/>
    <w:rsid w:val="00890174"/>
    <w:rsid w:val="00890254"/>
    <w:rsid w:val="00890522"/>
    <w:rsid w:val="0089057A"/>
    <w:rsid w:val="008905BC"/>
    <w:rsid w:val="00890CCA"/>
    <w:rsid w:val="00890F45"/>
    <w:rsid w:val="008910B8"/>
    <w:rsid w:val="00891326"/>
    <w:rsid w:val="008913BB"/>
    <w:rsid w:val="00891A71"/>
    <w:rsid w:val="00891C98"/>
    <w:rsid w:val="00892843"/>
    <w:rsid w:val="00892A3E"/>
    <w:rsid w:val="00892B84"/>
    <w:rsid w:val="0089320B"/>
    <w:rsid w:val="008932E8"/>
    <w:rsid w:val="00893505"/>
    <w:rsid w:val="00893543"/>
    <w:rsid w:val="008935AF"/>
    <w:rsid w:val="008935E3"/>
    <w:rsid w:val="00893649"/>
    <w:rsid w:val="008939E5"/>
    <w:rsid w:val="00893A74"/>
    <w:rsid w:val="00893AD0"/>
    <w:rsid w:val="00893AF7"/>
    <w:rsid w:val="00893D3A"/>
    <w:rsid w:val="00893DC4"/>
    <w:rsid w:val="00893F2B"/>
    <w:rsid w:val="00894003"/>
    <w:rsid w:val="00894422"/>
    <w:rsid w:val="00894532"/>
    <w:rsid w:val="00894562"/>
    <w:rsid w:val="008945B0"/>
    <w:rsid w:val="00894618"/>
    <w:rsid w:val="008949FD"/>
    <w:rsid w:val="00894E62"/>
    <w:rsid w:val="00894F3A"/>
    <w:rsid w:val="00894F60"/>
    <w:rsid w:val="00895330"/>
    <w:rsid w:val="00895475"/>
    <w:rsid w:val="008954BB"/>
    <w:rsid w:val="00895543"/>
    <w:rsid w:val="008957A3"/>
    <w:rsid w:val="0089593D"/>
    <w:rsid w:val="00895958"/>
    <w:rsid w:val="00895D33"/>
    <w:rsid w:val="00895EA4"/>
    <w:rsid w:val="00895F1B"/>
    <w:rsid w:val="00896197"/>
    <w:rsid w:val="0089619A"/>
    <w:rsid w:val="008961EC"/>
    <w:rsid w:val="008961F0"/>
    <w:rsid w:val="00896682"/>
    <w:rsid w:val="008967BF"/>
    <w:rsid w:val="00896829"/>
    <w:rsid w:val="00896974"/>
    <w:rsid w:val="00896E60"/>
    <w:rsid w:val="008974C4"/>
    <w:rsid w:val="00897573"/>
    <w:rsid w:val="008979E2"/>
    <w:rsid w:val="00897A1C"/>
    <w:rsid w:val="00897F2B"/>
    <w:rsid w:val="008A0020"/>
    <w:rsid w:val="008A0149"/>
    <w:rsid w:val="008A016D"/>
    <w:rsid w:val="008A030C"/>
    <w:rsid w:val="008A0413"/>
    <w:rsid w:val="008A0600"/>
    <w:rsid w:val="008A0844"/>
    <w:rsid w:val="008A0868"/>
    <w:rsid w:val="008A08FF"/>
    <w:rsid w:val="008A0BFD"/>
    <w:rsid w:val="008A0D4B"/>
    <w:rsid w:val="008A121C"/>
    <w:rsid w:val="008A14E3"/>
    <w:rsid w:val="008A1521"/>
    <w:rsid w:val="008A1BC6"/>
    <w:rsid w:val="008A20DE"/>
    <w:rsid w:val="008A2297"/>
    <w:rsid w:val="008A2609"/>
    <w:rsid w:val="008A262D"/>
    <w:rsid w:val="008A2727"/>
    <w:rsid w:val="008A2800"/>
    <w:rsid w:val="008A2A7E"/>
    <w:rsid w:val="008A2AF3"/>
    <w:rsid w:val="008A2B92"/>
    <w:rsid w:val="008A2C53"/>
    <w:rsid w:val="008A2C94"/>
    <w:rsid w:val="008A3171"/>
    <w:rsid w:val="008A3192"/>
    <w:rsid w:val="008A350F"/>
    <w:rsid w:val="008A37C8"/>
    <w:rsid w:val="008A39E2"/>
    <w:rsid w:val="008A39E5"/>
    <w:rsid w:val="008A3BD9"/>
    <w:rsid w:val="008A3C4B"/>
    <w:rsid w:val="008A3C80"/>
    <w:rsid w:val="008A3CAA"/>
    <w:rsid w:val="008A3D76"/>
    <w:rsid w:val="008A3D9E"/>
    <w:rsid w:val="008A3F11"/>
    <w:rsid w:val="008A4152"/>
    <w:rsid w:val="008A422F"/>
    <w:rsid w:val="008A426F"/>
    <w:rsid w:val="008A435A"/>
    <w:rsid w:val="008A4E9E"/>
    <w:rsid w:val="008A5453"/>
    <w:rsid w:val="008A547F"/>
    <w:rsid w:val="008A5C8E"/>
    <w:rsid w:val="008A5F2A"/>
    <w:rsid w:val="008A616B"/>
    <w:rsid w:val="008A65C5"/>
    <w:rsid w:val="008A6717"/>
    <w:rsid w:val="008A69DA"/>
    <w:rsid w:val="008A6D1A"/>
    <w:rsid w:val="008A6E3D"/>
    <w:rsid w:val="008A759A"/>
    <w:rsid w:val="008A76E4"/>
    <w:rsid w:val="008A796B"/>
    <w:rsid w:val="008A7D6F"/>
    <w:rsid w:val="008A7DC8"/>
    <w:rsid w:val="008A7E76"/>
    <w:rsid w:val="008B0010"/>
    <w:rsid w:val="008B0058"/>
    <w:rsid w:val="008B01C7"/>
    <w:rsid w:val="008B04CA"/>
    <w:rsid w:val="008B0837"/>
    <w:rsid w:val="008B0B1F"/>
    <w:rsid w:val="008B0C38"/>
    <w:rsid w:val="008B0D64"/>
    <w:rsid w:val="008B0E96"/>
    <w:rsid w:val="008B0ED7"/>
    <w:rsid w:val="008B0F6F"/>
    <w:rsid w:val="008B0FFB"/>
    <w:rsid w:val="008B1140"/>
    <w:rsid w:val="008B1185"/>
    <w:rsid w:val="008B1398"/>
    <w:rsid w:val="008B1417"/>
    <w:rsid w:val="008B1508"/>
    <w:rsid w:val="008B15DD"/>
    <w:rsid w:val="008B18FA"/>
    <w:rsid w:val="008B1C33"/>
    <w:rsid w:val="008B1D5C"/>
    <w:rsid w:val="008B1DD4"/>
    <w:rsid w:val="008B1EBA"/>
    <w:rsid w:val="008B1EBE"/>
    <w:rsid w:val="008B2017"/>
    <w:rsid w:val="008B2134"/>
    <w:rsid w:val="008B21AD"/>
    <w:rsid w:val="008B241B"/>
    <w:rsid w:val="008B24FE"/>
    <w:rsid w:val="008B28E4"/>
    <w:rsid w:val="008B28F8"/>
    <w:rsid w:val="008B2928"/>
    <w:rsid w:val="008B2C43"/>
    <w:rsid w:val="008B2F28"/>
    <w:rsid w:val="008B329C"/>
    <w:rsid w:val="008B3319"/>
    <w:rsid w:val="008B3369"/>
    <w:rsid w:val="008B3431"/>
    <w:rsid w:val="008B3500"/>
    <w:rsid w:val="008B3BF8"/>
    <w:rsid w:val="008B3EEF"/>
    <w:rsid w:val="008B4101"/>
    <w:rsid w:val="008B4108"/>
    <w:rsid w:val="008B411B"/>
    <w:rsid w:val="008B433E"/>
    <w:rsid w:val="008B4708"/>
    <w:rsid w:val="008B48EB"/>
    <w:rsid w:val="008B48ED"/>
    <w:rsid w:val="008B4997"/>
    <w:rsid w:val="008B4ABF"/>
    <w:rsid w:val="008B4EF2"/>
    <w:rsid w:val="008B4FA0"/>
    <w:rsid w:val="008B5012"/>
    <w:rsid w:val="008B5017"/>
    <w:rsid w:val="008B5128"/>
    <w:rsid w:val="008B51D3"/>
    <w:rsid w:val="008B51E4"/>
    <w:rsid w:val="008B5274"/>
    <w:rsid w:val="008B53C9"/>
    <w:rsid w:val="008B54BC"/>
    <w:rsid w:val="008B5B6D"/>
    <w:rsid w:val="008B5CE9"/>
    <w:rsid w:val="008B5D4A"/>
    <w:rsid w:val="008B5F13"/>
    <w:rsid w:val="008B5F29"/>
    <w:rsid w:val="008B60AC"/>
    <w:rsid w:val="008B61F1"/>
    <w:rsid w:val="008B6606"/>
    <w:rsid w:val="008B6CC1"/>
    <w:rsid w:val="008B6EB7"/>
    <w:rsid w:val="008B6F18"/>
    <w:rsid w:val="008B7058"/>
    <w:rsid w:val="008B738D"/>
    <w:rsid w:val="008B7A23"/>
    <w:rsid w:val="008BB69B"/>
    <w:rsid w:val="008C01AA"/>
    <w:rsid w:val="008C01C9"/>
    <w:rsid w:val="008C01CD"/>
    <w:rsid w:val="008C047A"/>
    <w:rsid w:val="008C0643"/>
    <w:rsid w:val="008C06BC"/>
    <w:rsid w:val="008C0AE3"/>
    <w:rsid w:val="008C0BC0"/>
    <w:rsid w:val="008C0D13"/>
    <w:rsid w:val="008C127F"/>
    <w:rsid w:val="008C133F"/>
    <w:rsid w:val="008C1375"/>
    <w:rsid w:val="008C13AE"/>
    <w:rsid w:val="008C168D"/>
    <w:rsid w:val="008C18D0"/>
    <w:rsid w:val="008C1CA6"/>
    <w:rsid w:val="008C1E08"/>
    <w:rsid w:val="008C2148"/>
    <w:rsid w:val="008C2299"/>
    <w:rsid w:val="008C2AF7"/>
    <w:rsid w:val="008C2C98"/>
    <w:rsid w:val="008C2CA3"/>
    <w:rsid w:val="008C30ED"/>
    <w:rsid w:val="008C3475"/>
    <w:rsid w:val="008C3722"/>
    <w:rsid w:val="008C3A03"/>
    <w:rsid w:val="008C3E30"/>
    <w:rsid w:val="008C3FC0"/>
    <w:rsid w:val="008C4085"/>
    <w:rsid w:val="008C41DF"/>
    <w:rsid w:val="008C4722"/>
    <w:rsid w:val="008C4741"/>
    <w:rsid w:val="008C4A43"/>
    <w:rsid w:val="008C4C0E"/>
    <w:rsid w:val="008C5021"/>
    <w:rsid w:val="008C5058"/>
    <w:rsid w:val="008C5111"/>
    <w:rsid w:val="008C5181"/>
    <w:rsid w:val="008C5680"/>
    <w:rsid w:val="008C5A90"/>
    <w:rsid w:val="008C61C5"/>
    <w:rsid w:val="008C66F3"/>
    <w:rsid w:val="008C6993"/>
    <w:rsid w:val="008C6AF5"/>
    <w:rsid w:val="008C6DB6"/>
    <w:rsid w:val="008C6EEF"/>
    <w:rsid w:val="008C7001"/>
    <w:rsid w:val="008C7215"/>
    <w:rsid w:val="008C7363"/>
    <w:rsid w:val="008C7365"/>
    <w:rsid w:val="008C73A7"/>
    <w:rsid w:val="008C748F"/>
    <w:rsid w:val="008C7766"/>
    <w:rsid w:val="008C78C5"/>
    <w:rsid w:val="008C7A23"/>
    <w:rsid w:val="008C7D39"/>
    <w:rsid w:val="008C7D85"/>
    <w:rsid w:val="008C7D90"/>
    <w:rsid w:val="008D01FC"/>
    <w:rsid w:val="008D063A"/>
    <w:rsid w:val="008D068F"/>
    <w:rsid w:val="008D06BE"/>
    <w:rsid w:val="008D0AA5"/>
    <w:rsid w:val="008D0B9B"/>
    <w:rsid w:val="008D0DD0"/>
    <w:rsid w:val="008D0DD7"/>
    <w:rsid w:val="008D1048"/>
    <w:rsid w:val="008D129C"/>
    <w:rsid w:val="008D1550"/>
    <w:rsid w:val="008D1AC2"/>
    <w:rsid w:val="008D1FC5"/>
    <w:rsid w:val="008D218F"/>
    <w:rsid w:val="008D220D"/>
    <w:rsid w:val="008D2437"/>
    <w:rsid w:val="008D2D2B"/>
    <w:rsid w:val="008D3072"/>
    <w:rsid w:val="008D31D5"/>
    <w:rsid w:val="008D3240"/>
    <w:rsid w:val="008D32FA"/>
    <w:rsid w:val="008D3880"/>
    <w:rsid w:val="008D3CB5"/>
    <w:rsid w:val="008D4603"/>
    <w:rsid w:val="008D47DA"/>
    <w:rsid w:val="008D4816"/>
    <w:rsid w:val="008D4919"/>
    <w:rsid w:val="008D4A1A"/>
    <w:rsid w:val="008D4A48"/>
    <w:rsid w:val="008D4B9F"/>
    <w:rsid w:val="008D4D58"/>
    <w:rsid w:val="008D5096"/>
    <w:rsid w:val="008D5579"/>
    <w:rsid w:val="008D560E"/>
    <w:rsid w:val="008D5775"/>
    <w:rsid w:val="008D5840"/>
    <w:rsid w:val="008D5A6C"/>
    <w:rsid w:val="008D5DF8"/>
    <w:rsid w:val="008D5EF1"/>
    <w:rsid w:val="008D5F41"/>
    <w:rsid w:val="008D63F8"/>
    <w:rsid w:val="008D6734"/>
    <w:rsid w:val="008D69BE"/>
    <w:rsid w:val="008D6C68"/>
    <w:rsid w:val="008D6DC1"/>
    <w:rsid w:val="008D6DCF"/>
    <w:rsid w:val="008D6E3A"/>
    <w:rsid w:val="008D6EF0"/>
    <w:rsid w:val="008D6F59"/>
    <w:rsid w:val="008D7027"/>
    <w:rsid w:val="008D7167"/>
    <w:rsid w:val="008D72D8"/>
    <w:rsid w:val="008D754B"/>
    <w:rsid w:val="008D773D"/>
    <w:rsid w:val="008D7966"/>
    <w:rsid w:val="008D79C4"/>
    <w:rsid w:val="008D79CB"/>
    <w:rsid w:val="008D7BA6"/>
    <w:rsid w:val="008D7BE3"/>
    <w:rsid w:val="008D7C09"/>
    <w:rsid w:val="008E0191"/>
    <w:rsid w:val="008E05F7"/>
    <w:rsid w:val="008E0663"/>
    <w:rsid w:val="008E067A"/>
    <w:rsid w:val="008E07AC"/>
    <w:rsid w:val="008E07F3"/>
    <w:rsid w:val="008E0E90"/>
    <w:rsid w:val="008E1153"/>
    <w:rsid w:val="008E153E"/>
    <w:rsid w:val="008E183C"/>
    <w:rsid w:val="008E1BA1"/>
    <w:rsid w:val="008E1C28"/>
    <w:rsid w:val="008E1E00"/>
    <w:rsid w:val="008E1EF7"/>
    <w:rsid w:val="008E20A8"/>
    <w:rsid w:val="008E20F4"/>
    <w:rsid w:val="008E2626"/>
    <w:rsid w:val="008E294D"/>
    <w:rsid w:val="008E2B9F"/>
    <w:rsid w:val="008E2E04"/>
    <w:rsid w:val="008E3046"/>
    <w:rsid w:val="008E339C"/>
    <w:rsid w:val="008E35E8"/>
    <w:rsid w:val="008E37BA"/>
    <w:rsid w:val="008E3CC9"/>
    <w:rsid w:val="008E3F6E"/>
    <w:rsid w:val="008E42E1"/>
    <w:rsid w:val="008E4971"/>
    <w:rsid w:val="008E4D10"/>
    <w:rsid w:val="008E4EC1"/>
    <w:rsid w:val="008E500A"/>
    <w:rsid w:val="008E5174"/>
    <w:rsid w:val="008E53DA"/>
    <w:rsid w:val="008E5793"/>
    <w:rsid w:val="008E57D7"/>
    <w:rsid w:val="008E5C4B"/>
    <w:rsid w:val="008E5E54"/>
    <w:rsid w:val="008E5F44"/>
    <w:rsid w:val="008E5F90"/>
    <w:rsid w:val="008E6353"/>
    <w:rsid w:val="008E65CE"/>
    <w:rsid w:val="008E6858"/>
    <w:rsid w:val="008E68F5"/>
    <w:rsid w:val="008E6CF9"/>
    <w:rsid w:val="008E6EF4"/>
    <w:rsid w:val="008E72CA"/>
    <w:rsid w:val="008E7395"/>
    <w:rsid w:val="008E77CA"/>
    <w:rsid w:val="008E795B"/>
    <w:rsid w:val="008E7A77"/>
    <w:rsid w:val="008E7B5A"/>
    <w:rsid w:val="008E7BE5"/>
    <w:rsid w:val="008E7C5E"/>
    <w:rsid w:val="008E7DD4"/>
    <w:rsid w:val="008E7EDE"/>
    <w:rsid w:val="008F0058"/>
    <w:rsid w:val="008F043F"/>
    <w:rsid w:val="008F04C0"/>
    <w:rsid w:val="008F05CE"/>
    <w:rsid w:val="008F069F"/>
    <w:rsid w:val="008F0713"/>
    <w:rsid w:val="008F07B2"/>
    <w:rsid w:val="008F0939"/>
    <w:rsid w:val="008F0A5E"/>
    <w:rsid w:val="008F1315"/>
    <w:rsid w:val="008F1377"/>
    <w:rsid w:val="008F13AF"/>
    <w:rsid w:val="008F1558"/>
    <w:rsid w:val="008F1785"/>
    <w:rsid w:val="008F1B69"/>
    <w:rsid w:val="008F1BB7"/>
    <w:rsid w:val="008F23DC"/>
    <w:rsid w:val="008F27EA"/>
    <w:rsid w:val="008F2B8A"/>
    <w:rsid w:val="008F34B3"/>
    <w:rsid w:val="008F356F"/>
    <w:rsid w:val="008F36C3"/>
    <w:rsid w:val="008F373E"/>
    <w:rsid w:val="008F38B6"/>
    <w:rsid w:val="008F3998"/>
    <w:rsid w:val="008F3F97"/>
    <w:rsid w:val="008F40BB"/>
    <w:rsid w:val="008F4132"/>
    <w:rsid w:val="008F41F0"/>
    <w:rsid w:val="008F437B"/>
    <w:rsid w:val="008F4431"/>
    <w:rsid w:val="008F4670"/>
    <w:rsid w:val="008F46B5"/>
    <w:rsid w:val="008F47DA"/>
    <w:rsid w:val="008F4B97"/>
    <w:rsid w:val="008F4F74"/>
    <w:rsid w:val="008F523D"/>
    <w:rsid w:val="008F52AC"/>
    <w:rsid w:val="008F5385"/>
    <w:rsid w:val="008F5606"/>
    <w:rsid w:val="008F5880"/>
    <w:rsid w:val="008F59DC"/>
    <w:rsid w:val="008F5C1B"/>
    <w:rsid w:val="008F5CDD"/>
    <w:rsid w:val="008F5E49"/>
    <w:rsid w:val="008F642F"/>
    <w:rsid w:val="008F65D5"/>
    <w:rsid w:val="008F6B92"/>
    <w:rsid w:val="008F72BC"/>
    <w:rsid w:val="008F764F"/>
    <w:rsid w:val="008F77D5"/>
    <w:rsid w:val="008F77EF"/>
    <w:rsid w:val="008F7831"/>
    <w:rsid w:val="008F79CC"/>
    <w:rsid w:val="008F7B17"/>
    <w:rsid w:val="008F7B7F"/>
    <w:rsid w:val="008F7BCA"/>
    <w:rsid w:val="008F7C7D"/>
    <w:rsid w:val="008F7C8F"/>
    <w:rsid w:val="008F7FAE"/>
    <w:rsid w:val="00900653"/>
    <w:rsid w:val="00900727"/>
    <w:rsid w:val="0090076C"/>
    <w:rsid w:val="0090085C"/>
    <w:rsid w:val="00900A2B"/>
    <w:rsid w:val="00900B79"/>
    <w:rsid w:val="00900E0C"/>
    <w:rsid w:val="00900E4E"/>
    <w:rsid w:val="00900ED6"/>
    <w:rsid w:val="00901031"/>
    <w:rsid w:val="00901697"/>
    <w:rsid w:val="009017A0"/>
    <w:rsid w:val="009018BC"/>
    <w:rsid w:val="00901917"/>
    <w:rsid w:val="00901AB1"/>
    <w:rsid w:val="00901AF9"/>
    <w:rsid w:val="00901B0B"/>
    <w:rsid w:val="00901B36"/>
    <w:rsid w:val="00901BA0"/>
    <w:rsid w:val="00902194"/>
    <w:rsid w:val="0090229C"/>
    <w:rsid w:val="009023E1"/>
    <w:rsid w:val="009024D5"/>
    <w:rsid w:val="009028F2"/>
    <w:rsid w:val="00902B2D"/>
    <w:rsid w:val="00902CDC"/>
    <w:rsid w:val="00902D0B"/>
    <w:rsid w:val="00902D72"/>
    <w:rsid w:val="0090323B"/>
    <w:rsid w:val="009037DE"/>
    <w:rsid w:val="00903A0A"/>
    <w:rsid w:val="00903CC1"/>
    <w:rsid w:val="00903DA7"/>
    <w:rsid w:val="00903E13"/>
    <w:rsid w:val="00903E37"/>
    <w:rsid w:val="00903E5B"/>
    <w:rsid w:val="00903F69"/>
    <w:rsid w:val="00903FFE"/>
    <w:rsid w:val="009042A9"/>
    <w:rsid w:val="00904393"/>
    <w:rsid w:val="009044F4"/>
    <w:rsid w:val="00904540"/>
    <w:rsid w:val="009045C9"/>
    <w:rsid w:val="00904E93"/>
    <w:rsid w:val="009054FB"/>
    <w:rsid w:val="0090550A"/>
    <w:rsid w:val="009056FB"/>
    <w:rsid w:val="009058A2"/>
    <w:rsid w:val="00905B4F"/>
    <w:rsid w:val="00905CAC"/>
    <w:rsid w:val="00905D00"/>
    <w:rsid w:val="00905EB3"/>
    <w:rsid w:val="009062E5"/>
    <w:rsid w:val="009063D7"/>
    <w:rsid w:val="00906493"/>
    <w:rsid w:val="0090652B"/>
    <w:rsid w:val="0090677A"/>
    <w:rsid w:val="009067FA"/>
    <w:rsid w:val="00906899"/>
    <w:rsid w:val="00907265"/>
    <w:rsid w:val="009074B9"/>
    <w:rsid w:val="009074D8"/>
    <w:rsid w:val="00907562"/>
    <w:rsid w:val="00907710"/>
    <w:rsid w:val="00907884"/>
    <w:rsid w:val="009078CA"/>
    <w:rsid w:val="00907C4F"/>
    <w:rsid w:val="00907E72"/>
    <w:rsid w:val="00907EA9"/>
    <w:rsid w:val="00907EDB"/>
    <w:rsid w:val="0091009E"/>
    <w:rsid w:val="00910312"/>
    <w:rsid w:val="00910524"/>
    <w:rsid w:val="00910C16"/>
    <w:rsid w:val="00910DB1"/>
    <w:rsid w:val="00910ED1"/>
    <w:rsid w:val="0091105C"/>
    <w:rsid w:val="009110F2"/>
    <w:rsid w:val="0091141A"/>
    <w:rsid w:val="0091144D"/>
    <w:rsid w:val="00911778"/>
    <w:rsid w:val="00911B97"/>
    <w:rsid w:val="00911D72"/>
    <w:rsid w:val="00911E0B"/>
    <w:rsid w:val="00911FE3"/>
    <w:rsid w:val="0091233A"/>
    <w:rsid w:val="0091237D"/>
    <w:rsid w:val="009123C2"/>
    <w:rsid w:val="009123E3"/>
    <w:rsid w:val="009123E6"/>
    <w:rsid w:val="0091256F"/>
    <w:rsid w:val="00912573"/>
    <w:rsid w:val="00912A37"/>
    <w:rsid w:val="00912BA0"/>
    <w:rsid w:val="00912BC4"/>
    <w:rsid w:val="009130FA"/>
    <w:rsid w:val="009135AC"/>
    <w:rsid w:val="0091366D"/>
    <w:rsid w:val="00913803"/>
    <w:rsid w:val="00913825"/>
    <w:rsid w:val="00913839"/>
    <w:rsid w:val="00913946"/>
    <w:rsid w:val="00913AE0"/>
    <w:rsid w:val="00913E69"/>
    <w:rsid w:val="00914010"/>
    <w:rsid w:val="00914480"/>
    <w:rsid w:val="00914553"/>
    <w:rsid w:val="00914818"/>
    <w:rsid w:val="00914A33"/>
    <w:rsid w:val="00914CAA"/>
    <w:rsid w:val="00914D07"/>
    <w:rsid w:val="00915154"/>
    <w:rsid w:val="009156B1"/>
    <w:rsid w:val="00915CCD"/>
    <w:rsid w:val="00915EF6"/>
    <w:rsid w:val="00915FEC"/>
    <w:rsid w:val="009165AB"/>
    <w:rsid w:val="009165C1"/>
    <w:rsid w:val="0091670D"/>
    <w:rsid w:val="009167A8"/>
    <w:rsid w:val="00916C9F"/>
    <w:rsid w:val="00917035"/>
    <w:rsid w:val="00917350"/>
    <w:rsid w:val="009175CD"/>
    <w:rsid w:val="00917624"/>
    <w:rsid w:val="00917636"/>
    <w:rsid w:val="00917668"/>
    <w:rsid w:val="00917686"/>
    <w:rsid w:val="009179AA"/>
    <w:rsid w:val="00917AA3"/>
    <w:rsid w:val="00917D32"/>
    <w:rsid w:val="00917E54"/>
    <w:rsid w:val="00920177"/>
    <w:rsid w:val="00920911"/>
    <w:rsid w:val="00920A00"/>
    <w:rsid w:val="00920BF5"/>
    <w:rsid w:val="00920DBE"/>
    <w:rsid w:val="00920FA9"/>
    <w:rsid w:val="00920FEC"/>
    <w:rsid w:val="009213A2"/>
    <w:rsid w:val="009213E1"/>
    <w:rsid w:val="0092145E"/>
    <w:rsid w:val="009216B4"/>
    <w:rsid w:val="00921813"/>
    <w:rsid w:val="0092183F"/>
    <w:rsid w:val="00921DF5"/>
    <w:rsid w:val="009224A3"/>
    <w:rsid w:val="00922676"/>
    <w:rsid w:val="0092270C"/>
    <w:rsid w:val="00922909"/>
    <w:rsid w:val="00922BA4"/>
    <w:rsid w:val="00922CAA"/>
    <w:rsid w:val="00922E3F"/>
    <w:rsid w:val="00923901"/>
    <w:rsid w:val="0092413C"/>
    <w:rsid w:val="009242AD"/>
    <w:rsid w:val="0092438F"/>
    <w:rsid w:val="00924584"/>
    <w:rsid w:val="009245B7"/>
    <w:rsid w:val="00924E18"/>
    <w:rsid w:val="009251FB"/>
    <w:rsid w:val="00925289"/>
    <w:rsid w:val="009254EE"/>
    <w:rsid w:val="009254F6"/>
    <w:rsid w:val="00925862"/>
    <w:rsid w:val="009258E7"/>
    <w:rsid w:val="00925943"/>
    <w:rsid w:val="00925A16"/>
    <w:rsid w:val="00925BB5"/>
    <w:rsid w:val="00925DA6"/>
    <w:rsid w:val="00925FC7"/>
    <w:rsid w:val="00925FF2"/>
    <w:rsid w:val="009260E7"/>
    <w:rsid w:val="00926452"/>
    <w:rsid w:val="009265D0"/>
    <w:rsid w:val="00926771"/>
    <w:rsid w:val="00926815"/>
    <w:rsid w:val="009269EC"/>
    <w:rsid w:val="00926A37"/>
    <w:rsid w:val="00926FD2"/>
    <w:rsid w:val="00927093"/>
    <w:rsid w:val="00927289"/>
    <w:rsid w:val="009276F7"/>
    <w:rsid w:val="00927A0E"/>
    <w:rsid w:val="00927A34"/>
    <w:rsid w:val="00927C01"/>
    <w:rsid w:val="0093004A"/>
    <w:rsid w:val="0093011B"/>
    <w:rsid w:val="0093034D"/>
    <w:rsid w:val="0093048A"/>
    <w:rsid w:val="00930509"/>
    <w:rsid w:val="0093080D"/>
    <w:rsid w:val="00930998"/>
    <w:rsid w:val="00930B4A"/>
    <w:rsid w:val="00930CC7"/>
    <w:rsid w:val="0093112C"/>
    <w:rsid w:val="0093126B"/>
    <w:rsid w:val="00931423"/>
    <w:rsid w:val="00931428"/>
    <w:rsid w:val="00931888"/>
    <w:rsid w:val="009318B7"/>
    <w:rsid w:val="00931A1B"/>
    <w:rsid w:val="00931ACE"/>
    <w:rsid w:val="00931B44"/>
    <w:rsid w:val="00931C8E"/>
    <w:rsid w:val="009321B1"/>
    <w:rsid w:val="009321B3"/>
    <w:rsid w:val="009329F1"/>
    <w:rsid w:val="00932A2F"/>
    <w:rsid w:val="00932ECF"/>
    <w:rsid w:val="00932F42"/>
    <w:rsid w:val="00932FFB"/>
    <w:rsid w:val="009332D9"/>
    <w:rsid w:val="00933367"/>
    <w:rsid w:val="0093337F"/>
    <w:rsid w:val="0093368A"/>
    <w:rsid w:val="00933799"/>
    <w:rsid w:val="0093389C"/>
    <w:rsid w:val="009339F4"/>
    <w:rsid w:val="00933BC1"/>
    <w:rsid w:val="00933F09"/>
    <w:rsid w:val="00934165"/>
    <w:rsid w:val="00934208"/>
    <w:rsid w:val="00934549"/>
    <w:rsid w:val="00934585"/>
    <w:rsid w:val="0093494B"/>
    <w:rsid w:val="00934A29"/>
    <w:rsid w:val="00934A69"/>
    <w:rsid w:val="00934CE0"/>
    <w:rsid w:val="00934D79"/>
    <w:rsid w:val="00934D90"/>
    <w:rsid w:val="0093514F"/>
    <w:rsid w:val="00935469"/>
    <w:rsid w:val="0093578F"/>
    <w:rsid w:val="0093579E"/>
    <w:rsid w:val="0093582B"/>
    <w:rsid w:val="00935BE9"/>
    <w:rsid w:val="00935C5C"/>
    <w:rsid w:val="00935CDD"/>
    <w:rsid w:val="0093614D"/>
    <w:rsid w:val="009361D5"/>
    <w:rsid w:val="00936384"/>
    <w:rsid w:val="00936431"/>
    <w:rsid w:val="00936621"/>
    <w:rsid w:val="00936763"/>
    <w:rsid w:val="00936807"/>
    <w:rsid w:val="00936AE6"/>
    <w:rsid w:val="00936E3A"/>
    <w:rsid w:val="009371E5"/>
    <w:rsid w:val="009373EB"/>
    <w:rsid w:val="00937402"/>
    <w:rsid w:val="00937439"/>
    <w:rsid w:val="009376D5"/>
    <w:rsid w:val="00937944"/>
    <w:rsid w:val="00937D60"/>
    <w:rsid w:val="009400E9"/>
    <w:rsid w:val="0094012E"/>
    <w:rsid w:val="009401A6"/>
    <w:rsid w:val="009407A5"/>
    <w:rsid w:val="00940C51"/>
    <w:rsid w:val="00940D3D"/>
    <w:rsid w:val="00940D54"/>
    <w:rsid w:val="00940F45"/>
    <w:rsid w:val="0094173C"/>
    <w:rsid w:val="009418BF"/>
    <w:rsid w:val="009419B7"/>
    <w:rsid w:val="009419CD"/>
    <w:rsid w:val="00941BB4"/>
    <w:rsid w:val="00941C9C"/>
    <w:rsid w:val="00941E96"/>
    <w:rsid w:val="00942591"/>
    <w:rsid w:val="00942592"/>
    <w:rsid w:val="009426AF"/>
    <w:rsid w:val="00942919"/>
    <w:rsid w:val="0094297B"/>
    <w:rsid w:val="00942B10"/>
    <w:rsid w:val="00942BEC"/>
    <w:rsid w:val="00942F1E"/>
    <w:rsid w:val="00942F4E"/>
    <w:rsid w:val="009430B2"/>
    <w:rsid w:val="00943159"/>
    <w:rsid w:val="009431D6"/>
    <w:rsid w:val="009432B1"/>
    <w:rsid w:val="00943505"/>
    <w:rsid w:val="0094352B"/>
    <w:rsid w:val="009436E3"/>
    <w:rsid w:val="00943D49"/>
    <w:rsid w:val="00944089"/>
    <w:rsid w:val="009440BE"/>
    <w:rsid w:val="009441DF"/>
    <w:rsid w:val="009441E9"/>
    <w:rsid w:val="00944732"/>
    <w:rsid w:val="0094477E"/>
    <w:rsid w:val="0094486E"/>
    <w:rsid w:val="00944994"/>
    <w:rsid w:val="00944BD0"/>
    <w:rsid w:val="00944E3E"/>
    <w:rsid w:val="009450D9"/>
    <w:rsid w:val="0094530F"/>
    <w:rsid w:val="00945552"/>
    <w:rsid w:val="00945899"/>
    <w:rsid w:val="00945992"/>
    <w:rsid w:val="00945A2D"/>
    <w:rsid w:val="00945D8E"/>
    <w:rsid w:val="00945E23"/>
    <w:rsid w:val="00946289"/>
    <w:rsid w:val="00946386"/>
    <w:rsid w:val="00946397"/>
    <w:rsid w:val="00946449"/>
    <w:rsid w:val="0094699E"/>
    <w:rsid w:val="00946AE8"/>
    <w:rsid w:val="00946D04"/>
    <w:rsid w:val="00946EF6"/>
    <w:rsid w:val="00946F52"/>
    <w:rsid w:val="009470B5"/>
    <w:rsid w:val="00947263"/>
    <w:rsid w:val="0094726E"/>
    <w:rsid w:val="00947565"/>
    <w:rsid w:val="009476F6"/>
    <w:rsid w:val="009477B4"/>
    <w:rsid w:val="009478BA"/>
    <w:rsid w:val="00947923"/>
    <w:rsid w:val="00947B82"/>
    <w:rsid w:val="009500E0"/>
    <w:rsid w:val="00950323"/>
    <w:rsid w:val="0095052B"/>
    <w:rsid w:val="00950676"/>
    <w:rsid w:val="009506AB"/>
    <w:rsid w:val="00950A6C"/>
    <w:rsid w:val="00950D0B"/>
    <w:rsid w:val="00950F98"/>
    <w:rsid w:val="00951071"/>
    <w:rsid w:val="009512C9"/>
    <w:rsid w:val="00951564"/>
    <w:rsid w:val="009518D0"/>
    <w:rsid w:val="00951FAE"/>
    <w:rsid w:val="00952241"/>
    <w:rsid w:val="0095237B"/>
    <w:rsid w:val="009523E6"/>
    <w:rsid w:val="009523FE"/>
    <w:rsid w:val="00952552"/>
    <w:rsid w:val="009527F9"/>
    <w:rsid w:val="00952E13"/>
    <w:rsid w:val="00952E9B"/>
    <w:rsid w:val="00953039"/>
    <w:rsid w:val="009532D6"/>
    <w:rsid w:val="00953812"/>
    <w:rsid w:val="0095383C"/>
    <w:rsid w:val="00953FA2"/>
    <w:rsid w:val="0095427D"/>
    <w:rsid w:val="00954406"/>
    <w:rsid w:val="0095466F"/>
    <w:rsid w:val="009547BD"/>
    <w:rsid w:val="00954C0D"/>
    <w:rsid w:val="0095509B"/>
    <w:rsid w:val="009551A7"/>
    <w:rsid w:val="009552E1"/>
    <w:rsid w:val="0095559D"/>
    <w:rsid w:val="00955683"/>
    <w:rsid w:val="009559D2"/>
    <w:rsid w:val="00955A56"/>
    <w:rsid w:val="00955F2C"/>
    <w:rsid w:val="00955F67"/>
    <w:rsid w:val="009560BE"/>
    <w:rsid w:val="00956163"/>
    <w:rsid w:val="009562A5"/>
    <w:rsid w:val="0095664E"/>
    <w:rsid w:val="00956825"/>
    <w:rsid w:val="00956BB8"/>
    <w:rsid w:val="00956BF8"/>
    <w:rsid w:val="00956D54"/>
    <w:rsid w:val="0095747D"/>
    <w:rsid w:val="00957519"/>
    <w:rsid w:val="00957601"/>
    <w:rsid w:val="00957674"/>
    <w:rsid w:val="00957845"/>
    <w:rsid w:val="00957C73"/>
    <w:rsid w:val="00957EE6"/>
    <w:rsid w:val="009601C4"/>
    <w:rsid w:val="009602B1"/>
    <w:rsid w:val="0096040E"/>
    <w:rsid w:val="009604FA"/>
    <w:rsid w:val="009606E4"/>
    <w:rsid w:val="009607DB"/>
    <w:rsid w:val="00960A63"/>
    <w:rsid w:val="00960D5A"/>
    <w:rsid w:val="00960E9F"/>
    <w:rsid w:val="009610C8"/>
    <w:rsid w:val="0096110D"/>
    <w:rsid w:val="0096166F"/>
    <w:rsid w:val="00961867"/>
    <w:rsid w:val="00961F32"/>
    <w:rsid w:val="00961F49"/>
    <w:rsid w:val="00962324"/>
    <w:rsid w:val="00962328"/>
    <w:rsid w:val="00962449"/>
    <w:rsid w:val="009624EF"/>
    <w:rsid w:val="0096251D"/>
    <w:rsid w:val="0096254A"/>
    <w:rsid w:val="00962752"/>
    <w:rsid w:val="00962B4C"/>
    <w:rsid w:val="00962EAB"/>
    <w:rsid w:val="009630C6"/>
    <w:rsid w:val="00963363"/>
    <w:rsid w:val="00963403"/>
    <w:rsid w:val="00963566"/>
    <w:rsid w:val="0096358F"/>
    <w:rsid w:val="00963698"/>
    <w:rsid w:val="00963794"/>
    <w:rsid w:val="009638FD"/>
    <w:rsid w:val="00963939"/>
    <w:rsid w:val="00964079"/>
    <w:rsid w:val="009642F3"/>
    <w:rsid w:val="0096431B"/>
    <w:rsid w:val="00964320"/>
    <w:rsid w:val="009647A2"/>
    <w:rsid w:val="00964995"/>
    <w:rsid w:val="00964A41"/>
    <w:rsid w:val="00964AF1"/>
    <w:rsid w:val="00964B75"/>
    <w:rsid w:val="00964BB7"/>
    <w:rsid w:val="00964E39"/>
    <w:rsid w:val="00965291"/>
    <w:rsid w:val="009652BF"/>
    <w:rsid w:val="009653BB"/>
    <w:rsid w:val="009653D9"/>
    <w:rsid w:val="00965418"/>
    <w:rsid w:val="009657B3"/>
    <w:rsid w:val="009658CC"/>
    <w:rsid w:val="00965A44"/>
    <w:rsid w:val="00965B6D"/>
    <w:rsid w:val="00965CFF"/>
    <w:rsid w:val="00965D0B"/>
    <w:rsid w:val="00965EB7"/>
    <w:rsid w:val="00965F2E"/>
    <w:rsid w:val="00965F52"/>
    <w:rsid w:val="00966087"/>
    <w:rsid w:val="00966333"/>
    <w:rsid w:val="00966587"/>
    <w:rsid w:val="00966A59"/>
    <w:rsid w:val="00966A80"/>
    <w:rsid w:val="009670D4"/>
    <w:rsid w:val="0096712D"/>
    <w:rsid w:val="00967789"/>
    <w:rsid w:val="009678EF"/>
    <w:rsid w:val="00967996"/>
    <w:rsid w:val="00967B7A"/>
    <w:rsid w:val="00967C6B"/>
    <w:rsid w:val="00967CFC"/>
    <w:rsid w:val="00969564"/>
    <w:rsid w:val="0097030F"/>
    <w:rsid w:val="00970388"/>
    <w:rsid w:val="0097044F"/>
    <w:rsid w:val="00970B2F"/>
    <w:rsid w:val="00970DB2"/>
    <w:rsid w:val="0097120C"/>
    <w:rsid w:val="0097147D"/>
    <w:rsid w:val="009715D4"/>
    <w:rsid w:val="00971706"/>
    <w:rsid w:val="00971753"/>
    <w:rsid w:val="00971A45"/>
    <w:rsid w:val="00971B35"/>
    <w:rsid w:val="00971D2D"/>
    <w:rsid w:val="00971DA1"/>
    <w:rsid w:val="00971E9F"/>
    <w:rsid w:val="00971EFC"/>
    <w:rsid w:val="009723D7"/>
    <w:rsid w:val="009727C6"/>
    <w:rsid w:val="00972A5E"/>
    <w:rsid w:val="00972AC3"/>
    <w:rsid w:val="00972B8B"/>
    <w:rsid w:val="00972CE7"/>
    <w:rsid w:val="00972FFF"/>
    <w:rsid w:val="00973113"/>
    <w:rsid w:val="009731D7"/>
    <w:rsid w:val="009737E0"/>
    <w:rsid w:val="009737E4"/>
    <w:rsid w:val="0097407D"/>
    <w:rsid w:val="00974358"/>
    <w:rsid w:val="009743E9"/>
    <w:rsid w:val="00974544"/>
    <w:rsid w:val="009745B8"/>
    <w:rsid w:val="009747BF"/>
    <w:rsid w:val="00974F54"/>
    <w:rsid w:val="009753E1"/>
    <w:rsid w:val="009753F5"/>
    <w:rsid w:val="009756C8"/>
    <w:rsid w:val="009756F3"/>
    <w:rsid w:val="00975AD5"/>
    <w:rsid w:val="00975B35"/>
    <w:rsid w:val="00975CC4"/>
    <w:rsid w:val="00975CEB"/>
    <w:rsid w:val="0097602E"/>
    <w:rsid w:val="00976235"/>
    <w:rsid w:val="009762F3"/>
    <w:rsid w:val="009764E6"/>
    <w:rsid w:val="00976B9C"/>
    <w:rsid w:val="00976C7D"/>
    <w:rsid w:val="00976C9F"/>
    <w:rsid w:val="00976F04"/>
    <w:rsid w:val="00976FF9"/>
    <w:rsid w:val="00977078"/>
    <w:rsid w:val="00977454"/>
    <w:rsid w:val="00977526"/>
    <w:rsid w:val="00977527"/>
    <w:rsid w:val="00977991"/>
    <w:rsid w:val="00977A34"/>
    <w:rsid w:val="00977B34"/>
    <w:rsid w:val="00977B95"/>
    <w:rsid w:val="009800DB"/>
    <w:rsid w:val="0098015A"/>
    <w:rsid w:val="0098018B"/>
    <w:rsid w:val="009801A8"/>
    <w:rsid w:val="0098029E"/>
    <w:rsid w:val="00980321"/>
    <w:rsid w:val="00980706"/>
    <w:rsid w:val="00980914"/>
    <w:rsid w:val="009809E3"/>
    <w:rsid w:val="00980A7B"/>
    <w:rsid w:val="00980DAD"/>
    <w:rsid w:val="0098103E"/>
    <w:rsid w:val="00981396"/>
    <w:rsid w:val="00981466"/>
    <w:rsid w:val="009814B0"/>
    <w:rsid w:val="00981684"/>
    <w:rsid w:val="009817D3"/>
    <w:rsid w:val="00981AE5"/>
    <w:rsid w:val="00981C10"/>
    <w:rsid w:val="00981C69"/>
    <w:rsid w:val="00981E3E"/>
    <w:rsid w:val="00981EC4"/>
    <w:rsid w:val="00981F02"/>
    <w:rsid w:val="00982012"/>
    <w:rsid w:val="00982097"/>
    <w:rsid w:val="009825EE"/>
    <w:rsid w:val="009826C4"/>
    <w:rsid w:val="00982A4A"/>
    <w:rsid w:val="00982AF4"/>
    <w:rsid w:val="00982BDA"/>
    <w:rsid w:val="00982D58"/>
    <w:rsid w:val="00982DCA"/>
    <w:rsid w:val="00983494"/>
    <w:rsid w:val="009836D8"/>
    <w:rsid w:val="00983A5B"/>
    <w:rsid w:val="00984044"/>
    <w:rsid w:val="009840DB"/>
    <w:rsid w:val="00984172"/>
    <w:rsid w:val="00984220"/>
    <w:rsid w:val="009842CF"/>
    <w:rsid w:val="00984CE8"/>
    <w:rsid w:val="00985118"/>
    <w:rsid w:val="00985138"/>
    <w:rsid w:val="00985186"/>
    <w:rsid w:val="009854C9"/>
    <w:rsid w:val="00985694"/>
    <w:rsid w:val="009856F8"/>
    <w:rsid w:val="00985726"/>
    <w:rsid w:val="009858D4"/>
    <w:rsid w:val="00985DB6"/>
    <w:rsid w:val="00985E49"/>
    <w:rsid w:val="00985F46"/>
    <w:rsid w:val="00985F4F"/>
    <w:rsid w:val="00985F65"/>
    <w:rsid w:val="00986019"/>
    <w:rsid w:val="0098619C"/>
    <w:rsid w:val="00986242"/>
    <w:rsid w:val="009862D2"/>
    <w:rsid w:val="009867F6"/>
    <w:rsid w:val="0098701B"/>
    <w:rsid w:val="00987069"/>
    <w:rsid w:val="00987085"/>
    <w:rsid w:val="00987405"/>
    <w:rsid w:val="009874C7"/>
    <w:rsid w:val="00987625"/>
    <w:rsid w:val="0098766D"/>
    <w:rsid w:val="009876EE"/>
    <w:rsid w:val="00987CE2"/>
    <w:rsid w:val="00987DC7"/>
    <w:rsid w:val="00987DE0"/>
    <w:rsid w:val="0099006F"/>
    <w:rsid w:val="009902A8"/>
    <w:rsid w:val="009902ED"/>
    <w:rsid w:val="009904A2"/>
    <w:rsid w:val="009904E5"/>
    <w:rsid w:val="0099059A"/>
    <w:rsid w:val="009905E8"/>
    <w:rsid w:val="009906BB"/>
    <w:rsid w:val="009906D8"/>
    <w:rsid w:val="00990A3E"/>
    <w:rsid w:val="00990D10"/>
    <w:rsid w:val="00990E41"/>
    <w:rsid w:val="009912C3"/>
    <w:rsid w:val="0099176C"/>
    <w:rsid w:val="009918DF"/>
    <w:rsid w:val="00991A6F"/>
    <w:rsid w:val="00991D1E"/>
    <w:rsid w:val="00991FCC"/>
    <w:rsid w:val="0099209D"/>
    <w:rsid w:val="00992283"/>
    <w:rsid w:val="00992D27"/>
    <w:rsid w:val="00992DB5"/>
    <w:rsid w:val="00992DDA"/>
    <w:rsid w:val="00992EE7"/>
    <w:rsid w:val="00993107"/>
    <w:rsid w:val="0099328F"/>
    <w:rsid w:val="009936C5"/>
    <w:rsid w:val="00993F5F"/>
    <w:rsid w:val="00993F61"/>
    <w:rsid w:val="00994084"/>
    <w:rsid w:val="009943F1"/>
    <w:rsid w:val="0099491A"/>
    <w:rsid w:val="00994C39"/>
    <w:rsid w:val="00994CC0"/>
    <w:rsid w:val="00994D17"/>
    <w:rsid w:val="00994E45"/>
    <w:rsid w:val="00994F91"/>
    <w:rsid w:val="00995000"/>
    <w:rsid w:val="009952D8"/>
    <w:rsid w:val="0099549F"/>
    <w:rsid w:val="00995505"/>
    <w:rsid w:val="009955F6"/>
    <w:rsid w:val="009957BC"/>
    <w:rsid w:val="00995DE2"/>
    <w:rsid w:val="00995EA6"/>
    <w:rsid w:val="00995FDD"/>
    <w:rsid w:val="00996001"/>
    <w:rsid w:val="00996042"/>
    <w:rsid w:val="00996055"/>
    <w:rsid w:val="009963D6"/>
    <w:rsid w:val="00996563"/>
    <w:rsid w:val="00996663"/>
    <w:rsid w:val="009968E5"/>
    <w:rsid w:val="00996921"/>
    <w:rsid w:val="00996A09"/>
    <w:rsid w:val="00996DEF"/>
    <w:rsid w:val="00997075"/>
    <w:rsid w:val="0099708F"/>
    <w:rsid w:val="009970E8"/>
    <w:rsid w:val="0099719D"/>
    <w:rsid w:val="00997220"/>
    <w:rsid w:val="0099727D"/>
    <w:rsid w:val="009972DC"/>
    <w:rsid w:val="00997502"/>
    <w:rsid w:val="009977E1"/>
    <w:rsid w:val="009979CE"/>
    <w:rsid w:val="00997A9E"/>
    <w:rsid w:val="00997BCD"/>
    <w:rsid w:val="00997CF1"/>
    <w:rsid w:val="00997D0B"/>
    <w:rsid w:val="009A0172"/>
    <w:rsid w:val="009A05BA"/>
    <w:rsid w:val="009A05DD"/>
    <w:rsid w:val="009A08D9"/>
    <w:rsid w:val="009A0950"/>
    <w:rsid w:val="009A0BF5"/>
    <w:rsid w:val="009A0F98"/>
    <w:rsid w:val="009A100D"/>
    <w:rsid w:val="009A1061"/>
    <w:rsid w:val="009A1351"/>
    <w:rsid w:val="009A14EF"/>
    <w:rsid w:val="009A1838"/>
    <w:rsid w:val="009A1850"/>
    <w:rsid w:val="009A1BF1"/>
    <w:rsid w:val="009A1DD6"/>
    <w:rsid w:val="009A1F8A"/>
    <w:rsid w:val="009A23B3"/>
    <w:rsid w:val="009A2EA8"/>
    <w:rsid w:val="009A306F"/>
    <w:rsid w:val="009A312D"/>
    <w:rsid w:val="009A34F8"/>
    <w:rsid w:val="009A3708"/>
    <w:rsid w:val="009A37E7"/>
    <w:rsid w:val="009A3F5D"/>
    <w:rsid w:val="009A430A"/>
    <w:rsid w:val="009A4348"/>
    <w:rsid w:val="009A44FF"/>
    <w:rsid w:val="009A45AD"/>
    <w:rsid w:val="009A46B2"/>
    <w:rsid w:val="009A4A29"/>
    <w:rsid w:val="009A4BFE"/>
    <w:rsid w:val="009A4CCE"/>
    <w:rsid w:val="009A4CDD"/>
    <w:rsid w:val="009A4FBC"/>
    <w:rsid w:val="009A51C7"/>
    <w:rsid w:val="009A5469"/>
    <w:rsid w:val="009A54F5"/>
    <w:rsid w:val="009A56DE"/>
    <w:rsid w:val="009A595E"/>
    <w:rsid w:val="009A5BAA"/>
    <w:rsid w:val="009A5BB7"/>
    <w:rsid w:val="009A5E7A"/>
    <w:rsid w:val="009A5F0F"/>
    <w:rsid w:val="009A600A"/>
    <w:rsid w:val="009A6014"/>
    <w:rsid w:val="009A60DE"/>
    <w:rsid w:val="009A63D0"/>
    <w:rsid w:val="009A64BB"/>
    <w:rsid w:val="009A65AB"/>
    <w:rsid w:val="009A69D2"/>
    <w:rsid w:val="009A6B5E"/>
    <w:rsid w:val="009A6B97"/>
    <w:rsid w:val="009A6DE6"/>
    <w:rsid w:val="009A7033"/>
    <w:rsid w:val="009A7380"/>
    <w:rsid w:val="009A748F"/>
    <w:rsid w:val="009A758D"/>
    <w:rsid w:val="009A7595"/>
    <w:rsid w:val="009A77DC"/>
    <w:rsid w:val="009A7811"/>
    <w:rsid w:val="009A7B94"/>
    <w:rsid w:val="009A7BED"/>
    <w:rsid w:val="009B024B"/>
    <w:rsid w:val="009B0542"/>
    <w:rsid w:val="009B05B8"/>
    <w:rsid w:val="009B06D1"/>
    <w:rsid w:val="009B07D3"/>
    <w:rsid w:val="009B0887"/>
    <w:rsid w:val="009B0967"/>
    <w:rsid w:val="009B0C46"/>
    <w:rsid w:val="009B0F8A"/>
    <w:rsid w:val="009B0FAE"/>
    <w:rsid w:val="009B11D2"/>
    <w:rsid w:val="009B1463"/>
    <w:rsid w:val="009B17DB"/>
    <w:rsid w:val="009B1B09"/>
    <w:rsid w:val="009B1CB4"/>
    <w:rsid w:val="009B1D2E"/>
    <w:rsid w:val="009B1EDF"/>
    <w:rsid w:val="009B1F83"/>
    <w:rsid w:val="009B2228"/>
    <w:rsid w:val="009B2342"/>
    <w:rsid w:val="009B23E2"/>
    <w:rsid w:val="009B2421"/>
    <w:rsid w:val="009B2C3C"/>
    <w:rsid w:val="009B2D71"/>
    <w:rsid w:val="009B2F29"/>
    <w:rsid w:val="009B2FF6"/>
    <w:rsid w:val="009B301D"/>
    <w:rsid w:val="009B30CA"/>
    <w:rsid w:val="009B30F1"/>
    <w:rsid w:val="009B365B"/>
    <w:rsid w:val="009B36BF"/>
    <w:rsid w:val="009B3824"/>
    <w:rsid w:val="009B3941"/>
    <w:rsid w:val="009B39D2"/>
    <w:rsid w:val="009B3B9A"/>
    <w:rsid w:val="009B3C03"/>
    <w:rsid w:val="009B3CA1"/>
    <w:rsid w:val="009B3D13"/>
    <w:rsid w:val="009B3E70"/>
    <w:rsid w:val="009B3ED2"/>
    <w:rsid w:val="009B42B5"/>
    <w:rsid w:val="009B438C"/>
    <w:rsid w:val="009B46D4"/>
    <w:rsid w:val="009B47ED"/>
    <w:rsid w:val="009B4B5B"/>
    <w:rsid w:val="009B4BEB"/>
    <w:rsid w:val="009B51A8"/>
    <w:rsid w:val="009B53B8"/>
    <w:rsid w:val="009B5744"/>
    <w:rsid w:val="009B57D4"/>
    <w:rsid w:val="009B5A6D"/>
    <w:rsid w:val="009B5B28"/>
    <w:rsid w:val="009B5F94"/>
    <w:rsid w:val="009B60F5"/>
    <w:rsid w:val="009B61D2"/>
    <w:rsid w:val="009B6515"/>
    <w:rsid w:val="009B6670"/>
    <w:rsid w:val="009B66CD"/>
    <w:rsid w:val="009B6B13"/>
    <w:rsid w:val="009B6DE3"/>
    <w:rsid w:val="009B6EF3"/>
    <w:rsid w:val="009B6FF3"/>
    <w:rsid w:val="009B719B"/>
    <w:rsid w:val="009B719D"/>
    <w:rsid w:val="009B7503"/>
    <w:rsid w:val="009B7759"/>
    <w:rsid w:val="009B7975"/>
    <w:rsid w:val="009B7BDE"/>
    <w:rsid w:val="009B7E5B"/>
    <w:rsid w:val="009C0125"/>
    <w:rsid w:val="009C0345"/>
    <w:rsid w:val="009C0575"/>
    <w:rsid w:val="009C0646"/>
    <w:rsid w:val="009C067B"/>
    <w:rsid w:val="009C0780"/>
    <w:rsid w:val="009C07AE"/>
    <w:rsid w:val="009C07E5"/>
    <w:rsid w:val="009C083C"/>
    <w:rsid w:val="009C0A59"/>
    <w:rsid w:val="009C0A64"/>
    <w:rsid w:val="009C0BCB"/>
    <w:rsid w:val="009C0FAB"/>
    <w:rsid w:val="009C14C0"/>
    <w:rsid w:val="009C17D8"/>
    <w:rsid w:val="009C1A82"/>
    <w:rsid w:val="009C1DCD"/>
    <w:rsid w:val="009C1F24"/>
    <w:rsid w:val="009C1FDD"/>
    <w:rsid w:val="009C200F"/>
    <w:rsid w:val="009C202F"/>
    <w:rsid w:val="009C243A"/>
    <w:rsid w:val="009C269B"/>
    <w:rsid w:val="009C2926"/>
    <w:rsid w:val="009C2D86"/>
    <w:rsid w:val="009C30BB"/>
    <w:rsid w:val="009C3328"/>
    <w:rsid w:val="009C336A"/>
    <w:rsid w:val="009C359B"/>
    <w:rsid w:val="009C379C"/>
    <w:rsid w:val="009C385F"/>
    <w:rsid w:val="009C3963"/>
    <w:rsid w:val="009C3A6F"/>
    <w:rsid w:val="009C3DDE"/>
    <w:rsid w:val="009C40E6"/>
    <w:rsid w:val="009C42F5"/>
    <w:rsid w:val="009C477E"/>
    <w:rsid w:val="009C480D"/>
    <w:rsid w:val="009C4A08"/>
    <w:rsid w:val="009C4A4E"/>
    <w:rsid w:val="009C4A7A"/>
    <w:rsid w:val="009C518B"/>
    <w:rsid w:val="009C51A9"/>
    <w:rsid w:val="009C523D"/>
    <w:rsid w:val="009C5418"/>
    <w:rsid w:val="009C5811"/>
    <w:rsid w:val="009C58E4"/>
    <w:rsid w:val="009C5B79"/>
    <w:rsid w:val="009C5B80"/>
    <w:rsid w:val="009C5B82"/>
    <w:rsid w:val="009C5C49"/>
    <w:rsid w:val="009C5EA0"/>
    <w:rsid w:val="009C5F79"/>
    <w:rsid w:val="009C6018"/>
    <w:rsid w:val="009C613F"/>
    <w:rsid w:val="009C63D8"/>
    <w:rsid w:val="009C6463"/>
    <w:rsid w:val="009C67D7"/>
    <w:rsid w:val="009C6A1C"/>
    <w:rsid w:val="009C6C88"/>
    <w:rsid w:val="009C6CC3"/>
    <w:rsid w:val="009C6D61"/>
    <w:rsid w:val="009C6DC6"/>
    <w:rsid w:val="009C6E2B"/>
    <w:rsid w:val="009C6F90"/>
    <w:rsid w:val="009C7409"/>
    <w:rsid w:val="009C7441"/>
    <w:rsid w:val="009C751D"/>
    <w:rsid w:val="009C7684"/>
    <w:rsid w:val="009C76C1"/>
    <w:rsid w:val="009C7A53"/>
    <w:rsid w:val="009C7BD0"/>
    <w:rsid w:val="009C7C4A"/>
    <w:rsid w:val="009C7D81"/>
    <w:rsid w:val="009C7E8E"/>
    <w:rsid w:val="009C7EE4"/>
    <w:rsid w:val="009C7FC2"/>
    <w:rsid w:val="009CC444"/>
    <w:rsid w:val="009D00C5"/>
    <w:rsid w:val="009D0259"/>
    <w:rsid w:val="009D041D"/>
    <w:rsid w:val="009D0526"/>
    <w:rsid w:val="009D0539"/>
    <w:rsid w:val="009D07F1"/>
    <w:rsid w:val="009D0AD0"/>
    <w:rsid w:val="009D0D10"/>
    <w:rsid w:val="009D1072"/>
    <w:rsid w:val="009D109F"/>
    <w:rsid w:val="009D11C9"/>
    <w:rsid w:val="009D131A"/>
    <w:rsid w:val="009D143F"/>
    <w:rsid w:val="009D1E18"/>
    <w:rsid w:val="009D1E4E"/>
    <w:rsid w:val="009D1E81"/>
    <w:rsid w:val="009D1E90"/>
    <w:rsid w:val="009D1F50"/>
    <w:rsid w:val="009D2352"/>
    <w:rsid w:val="009D24A6"/>
    <w:rsid w:val="009D259E"/>
    <w:rsid w:val="009D291E"/>
    <w:rsid w:val="009D2D4A"/>
    <w:rsid w:val="009D2D52"/>
    <w:rsid w:val="009D2F91"/>
    <w:rsid w:val="009D3010"/>
    <w:rsid w:val="009D30D1"/>
    <w:rsid w:val="009D3115"/>
    <w:rsid w:val="009D319C"/>
    <w:rsid w:val="009D3224"/>
    <w:rsid w:val="009D3471"/>
    <w:rsid w:val="009D34DC"/>
    <w:rsid w:val="009D3548"/>
    <w:rsid w:val="009D35F9"/>
    <w:rsid w:val="009D36BC"/>
    <w:rsid w:val="009D3B9F"/>
    <w:rsid w:val="009D3BF6"/>
    <w:rsid w:val="009D3C36"/>
    <w:rsid w:val="009D4039"/>
    <w:rsid w:val="009D4198"/>
    <w:rsid w:val="009D43A5"/>
    <w:rsid w:val="009D43EC"/>
    <w:rsid w:val="009D453E"/>
    <w:rsid w:val="009D4580"/>
    <w:rsid w:val="009D466E"/>
    <w:rsid w:val="009D494E"/>
    <w:rsid w:val="009D4A5D"/>
    <w:rsid w:val="009D4BAE"/>
    <w:rsid w:val="009D4DB5"/>
    <w:rsid w:val="009D50E0"/>
    <w:rsid w:val="009D5310"/>
    <w:rsid w:val="009D547D"/>
    <w:rsid w:val="009D54E7"/>
    <w:rsid w:val="009D56BE"/>
    <w:rsid w:val="009D57B4"/>
    <w:rsid w:val="009D58F6"/>
    <w:rsid w:val="009D5FD6"/>
    <w:rsid w:val="009D614F"/>
    <w:rsid w:val="009D618B"/>
    <w:rsid w:val="009D623D"/>
    <w:rsid w:val="009D65A1"/>
    <w:rsid w:val="009D6AD5"/>
    <w:rsid w:val="009D6B55"/>
    <w:rsid w:val="009D6BAA"/>
    <w:rsid w:val="009D6F0E"/>
    <w:rsid w:val="009D6F60"/>
    <w:rsid w:val="009D70B2"/>
    <w:rsid w:val="009D71FC"/>
    <w:rsid w:val="009D7248"/>
    <w:rsid w:val="009D7A66"/>
    <w:rsid w:val="009D7BA5"/>
    <w:rsid w:val="009D7FF5"/>
    <w:rsid w:val="009E0138"/>
    <w:rsid w:val="009E0258"/>
    <w:rsid w:val="009E0274"/>
    <w:rsid w:val="009E067E"/>
    <w:rsid w:val="009E08D1"/>
    <w:rsid w:val="009E0A59"/>
    <w:rsid w:val="009E0C20"/>
    <w:rsid w:val="009E110A"/>
    <w:rsid w:val="009E1180"/>
    <w:rsid w:val="009E11BC"/>
    <w:rsid w:val="009E12A9"/>
    <w:rsid w:val="009E12B5"/>
    <w:rsid w:val="009E12B6"/>
    <w:rsid w:val="009E14AA"/>
    <w:rsid w:val="009E166E"/>
    <w:rsid w:val="009E16DA"/>
    <w:rsid w:val="009E16FA"/>
    <w:rsid w:val="009E17CF"/>
    <w:rsid w:val="009E1E00"/>
    <w:rsid w:val="009E2225"/>
    <w:rsid w:val="009E247C"/>
    <w:rsid w:val="009E2493"/>
    <w:rsid w:val="009E2694"/>
    <w:rsid w:val="009E2801"/>
    <w:rsid w:val="009E2943"/>
    <w:rsid w:val="009E2C22"/>
    <w:rsid w:val="009E2E89"/>
    <w:rsid w:val="009E2FE6"/>
    <w:rsid w:val="009E3234"/>
    <w:rsid w:val="009E33A4"/>
    <w:rsid w:val="009E35C1"/>
    <w:rsid w:val="009E3644"/>
    <w:rsid w:val="009E3723"/>
    <w:rsid w:val="009E3749"/>
    <w:rsid w:val="009E3CFA"/>
    <w:rsid w:val="009E3E4A"/>
    <w:rsid w:val="009E3FD6"/>
    <w:rsid w:val="009E40CE"/>
    <w:rsid w:val="009E41FC"/>
    <w:rsid w:val="009E45B6"/>
    <w:rsid w:val="009E4660"/>
    <w:rsid w:val="009E483F"/>
    <w:rsid w:val="009E4DC5"/>
    <w:rsid w:val="009E5006"/>
    <w:rsid w:val="009E51F5"/>
    <w:rsid w:val="009E5521"/>
    <w:rsid w:val="009E5A48"/>
    <w:rsid w:val="009E5AD9"/>
    <w:rsid w:val="009E60D7"/>
    <w:rsid w:val="009E622F"/>
    <w:rsid w:val="009E6774"/>
    <w:rsid w:val="009E6C3C"/>
    <w:rsid w:val="009E6CB6"/>
    <w:rsid w:val="009E6E45"/>
    <w:rsid w:val="009E6E4D"/>
    <w:rsid w:val="009E77B1"/>
    <w:rsid w:val="009E782C"/>
    <w:rsid w:val="009E7A7D"/>
    <w:rsid w:val="009E7AE4"/>
    <w:rsid w:val="009F02A1"/>
    <w:rsid w:val="009F036F"/>
    <w:rsid w:val="009F05DD"/>
    <w:rsid w:val="009F064A"/>
    <w:rsid w:val="009F0710"/>
    <w:rsid w:val="009F0AB9"/>
    <w:rsid w:val="009F0C23"/>
    <w:rsid w:val="009F0D63"/>
    <w:rsid w:val="009F0EC0"/>
    <w:rsid w:val="009F118F"/>
    <w:rsid w:val="009F143D"/>
    <w:rsid w:val="009F14CA"/>
    <w:rsid w:val="009F14DD"/>
    <w:rsid w:val="009F1529"/>
    <w:rsid w:val="009F165C"/>
    <w:rsid w:val="009F1AE7"/>
    <w:rsid w:val="009F1C9F"/>
    <w:rsid w:val="009F210F"/>
    <w:rsid w:val="009F215C"/>
    <w:rsid w:val="009F2347"/>
    <w:rsid w:val="009F23DA"/>
    <w:rsid w:val="009F29E3"/>
    <w:rsid w:val="009F2C26"/>
    <w:rsid w:val="009F2CEF"/>
    <w:rsid w:val="009F2D2F"/>
    <w:rsid w:val="009F2E4B"/>
    <w:rsid w:val="009F2FD4"/>
    <w:rsid w:val="009F3087"/>
    <w:rsid w:val="009F32C6"/>
    <w:rsid w:val="009F36E8"/>
    <w:rsid w:val="009F3759"/>
    <w:rsid w:val="009F37FF"/>
    <w:rsid w:val="009F39AE"/>
    <w:rsid w:val="009F3C1D"/>
    <w:rsid w:val="009F48CD"/>
    <w:rsid w:val="009F48EE"/>
    <w:rsid w:val="009F49AC"/>
    <w:rsid w:val="009F4A25"/>
    <w:rsid w:val="009F4D03"/>
    <w:rsid w:val="009F4E19"/>
    <w:rsid w:val="009F4EAC"/>
    <w:rsid w:val="009F5226"/>
    <w:rsid w:val="009F534D"/>
    <w:rsid w:val="009F537F"/>
    <w:rsid w:val="009F54C4"/>
    <w:rsid w:val="009F5547"/>
    <w:rsid w:val="009F55CC"/>
    <w:rsid w:val="009F564C"/>
    <w:rsid w:val="009F583B"/>
    <w:rsid w:val="009F5842"/>
    <w:rsid w:val="009F59B9"/>
    <w:rsid w:val="009F59E1"/>
    <w:rsid w:val="009F5E9B"/>
    <w:rsid w:val="009F5EA4"/>
    <w:rsid w:val="009F5EE1"/>
    <w:rsid w:val="009F5FE8"/>
    <w:rsid w:val="009F60A9"/>
    <w:rsid w:val="009F616E"/>
    <w:rsid w:val="009F61D4"/>
    <w:rsid w:val="009F634E"/>
    <w:rsid w:val="009F6362"/>
    <w:rsid w:val="009F63A3"/>
    <w:rsid w:val="009F64A0"/>
    <w:rsid w:val="009F672E"/>
    <w:rsid w:val="009F6815"/>
    <w:rsid w:val="009F6895"/>
    <w:rsid w:val="009F6902"/>
    <w:rsid w:val="009F6927"/>
    <w:rsid w:val="009F695F"/>
    <w:rsid w:val="009F6C9A"/>
    <w:rsid w:val="009F6DEA"/>
    <w:rsid w:val="009F6DFD"/>
    <w:rsid w:val="009F6E9C"/>
    <w:rsid w:val="009F71DC"/>
    <w:rsid w:val="009F75A7"/>
    <w:rsid w:val="009F776C"/>
    <w:rsid w:val="009F792E"/>
    <w:rsid w:val="009F7EC0"/>
    <w:rsid w:val="009F7ED0"/>
    <w:rsid w:val="009F7EFE"/>
    <w:rsid w:val="009F99B6"/>
    <w:rsid w:val="00A0003F"/>
    <w:rsid w:val="00A005C7"/>
    <w:rsid w:val="00A0072E"/>
    <w:rsid w:val="00A007C5"/>
    <w:rsid w:val="00A009C6"/>
    <w:rsid w:val="00A00AC9"/>
    <w:rsid w:val="00A00B08"/>
    <w:rsid w:val="00A00B34"/>
    <w:rsid w:val="00A00B6B"/>
    <w:rsid w:val="00A00D56"/>
    <w:rsid w:val="00A00F20"/>
    <w:rsid w:val="00A011F7"/>
    <w:rsid w:val="00A0151B"/>
    <w:rsid w:val="00A01603"/>
    <w:rsid w:val="00A016F0"/>
    <w:rsid w:val="00A01999"/>
    <w:rsid w:val="00A019FF"/>
    <w:rsid w:val="00A01CF9"/>
    <w:rsid w:val="00A01F91"/>
    <w:rsid w:val="00A0223A"/>
    <w:rsid w:val="00A025A3"/>
    <w:rsid w:val="00A02811"/>
    <w:rsid w:val="00A02C5E"/>
    <w:rsid w:val="00A02CAC"/>
    <w:rsid w:val="00A02D2A"/>
    <w:rsid w:val="00A03144"/>
    <w:rsid w:val="00A032A2"/>
    <w:rsid w:val="00A03431"/>
    <w:rsid w:val="00A03547"/>
    <w:rsid w:val="00A03611"/>
    <w:rsid w:val="00A03616"/>
    <w:rsid w:val="00A036BF"/>
    <w:rsid w:val="00A03E36"/>
    <w:rsid w:val="00A03E98"/>
    <w:rsid w:val="00A03EA1"/>
    <w:rsid w:val="00A042A0"/>
    <w:rsid w:val="00A04604"/>
    <w:rsid w:val="00A04637"/>
    <w:rsid w:val="00A04C4A"/>
    <w:rsid w:val="00A04CCC"/>
    <w:rsid w:val="00A05067"/>
    <w:rsid w:val="00A050DA"/>
    <w:rsid w:val="00A05929"/>
    <w:rsid w:val="00A060DA"/>
    <w:rsid w:val="00A0615B"/>
    <w:rsid w:val="00A06277"/>
    <w:rsid w:val="00A06284"/>
    <w:rsid w:val="00A06365"/>
    <w:rsid w:val="00A06771"/>
    <w:rsid w:val="00A06A1F"/>
    <w:rsid w:val="00A06D14"/>
    <w:rsid w:val="00A06E23"/>
    <w:rsid w:val="00A0726B"/>
    <w:rsid w:val="00A07313"/>
    <w:rsid w:val="00A074E9"/>
    <w:rsid w:val="00A079A1"/>
    <w:rsid w:val="00A07CCF"/>
    <w:rsid w:val="00A07DD0"/>
    <w:rsid w:val="00A07F46"/>
    <w:rsid w:val="00A1006D"/>
    <w:rsid w:val="00A100FE"/>
    <w:rsid w:val="00A10236"/>
    <w:rsid w:val="00A1032E"/>
    <w:rsid w:val="00A1037D"/>
    <w:rsid w:val="00A104B1"/>
    <w:rsid w:val="00A10C2B"/>
    <w:rsid w:val="00A10C9C"/>
    <w:rsid w:val="00A10F65"/>
    <w:rsid w:val="00A1121C"/>
    <w:rsid w:val="00A1127E"/>
    <w:rsid w:val="00A112A7"/>
    <w:rsid w:val="00A11725"/>
    <w:rsid w:val="00A11935"/>
    <w:rsid w:val="00A11A85"/>
    <w:rsid w:val="00A11BC5"/>
    <w:rsid w:val="00A11CCD"/>
    <w:rsid w:val="00A12124"/>
    <w:rsid w:val="00A125F4"/>
    <w:rsid w:val="00A12792"/>
    <w:rsid w:val="00A12C59"/>
    <w:rsid w:val="00A12F54"/>
    <w:rsid w:val="00A134BB"/>
    <w:rsid w:val="00A134BC"/>
    <w:rsid w:val="00A1362E"/>
    <w:rsid w:val="00A1371C"/>
    <w:rsid w:val="00A138B7"/>
    <w:rsid w:val="00A13A3A"/>
    <w:rsid w:val="00A13A46"/>
    <w:rsid w:val="00A13BB1"/>
    <w:rsid w:val="00A13C6E"/>
    <w:rsid w:val="00A13E5F"/>
    <w:rsid w:val="00A13E70"/>
    <w:rsid w:val="00A14099"/>
    <w:rsid w:val="00A14119"/>
    <w:rsid w:val="00A142D1"/>
    <w:rsid w:val="00A143FD"/>
    <w:rsid w:val="00A1447A"/>
    <w:rsid w:val="00A145AE"/>
    <w:rsid w:val="00A14BDE"/>
    <w:rsid w:val="00A14EDB"/>
    <w:rsid w:val="00A1513C"/>
    <w:rsid w:val="00A15257"/>
    <w:rsid w:val="00A1547A"/>
    <w:rsid w:val="00A156C2"/>
    <w:rsid w:val="00A1592E"/>
    <w:rsid w:val="00A15990"/>
    <w:rsid w:val="00A15A8C"/>
    <w:rsid w:val="00A15B74"/>
    <w:rsid w:val="00A160EC"/>
    <w:rsid w:val="00A16145"/>
    <w:rsid w:val="00A1618D"/>
    <w:rsid w:val="00A165E9"/>
    <w:rsid w:val="00A16695"/>
    <w:rsid w:val="00A17700"/>
    <w:rsid w:val="00A17A2D"/>
    <w:rsid w:val="00A17B23"/>
    <w:rsid w:val="00A17B91"/>
    <w:rsid w:val="00A17C90"/>
    <w:rsid w:val="00A17CC3"/>
    <w:rsid w:val="00A17E08"/>
    <w:rsid w:val="00A17ED4"/>
    <w:rsid w:val="00A2039D"/>
    <w:rsid w:val="00A20534"/>
    <w:rsid w:val="00A2085F"/>
    <w:rsid w:val="00A20B3D"/>
    <w:rsid w:val="00A20CD8"/>
    <w:rsid w:val="00A21002"/>
    <w:rsid w:val="00A210E0"/>
    <w:rsid w:val="00A211B9"/>
    <w:rsid w:val="00A212F9"/>
    <w:rsid w:val="00A2134E"/>
    <w:rsid w:val="00A21391"/>
    <w:rsid w:val="00A21A24"/>
    <w:rsid w:val="00A21A9D"/>
    <w:rsid w:val="00A221CB"/>
    <w:rsid w:val="00A22204"/>
    <w:rsid w:val="00A22A08"/>
    <w:rsid w:val="00A22DEC"/>
    <w:rsid w:val="00A22F23"/>
    <w:rsid w:val="00A231A8"/>
    <w:rsid w:val="00A232D9"/>
    <w:rsid w:val="00A23584"/>
    <w:rsid w:val="00A235D3"/>
    <w:rsid w:val="00A23AF0"/>
    <w:rsid w:val="00A23AF2"/>
    <w:rsid w:val="00A23F9D"/>
    <w:rsid w:val="00A2427A"/>
    <w:rsid w:val="00A2448B"/>
    <w:rsid w:val="00A245F7"/>
    <w:rsid w:val="00A24946"/>
    <w:rsid w:val="00A249FB"/>
    <w:rsid w:val="00A24AB0"/>
    <w:rsid w:val="00A2519E"/>
    <w:rsid w:val="00A25261"/>
    <w:rsid w:val="00A25622"/>
    <w:rsid w:val="00A258B8"/>
    <w:rsid w:val="00A259B6"/>
    <w:rsid w:val="00A25CF9"/>
    <w:rsid w:val="00A25EB4"/>
    <w:rsid w:val="00A262A4"/>
    <w:rsid w:val="00A264EE"/>
    <w:rsid w:val="00A2650B"/>
    <w:rsid w:val="00A26589"/>
    <w:rsid w:val="00A265DB"/>
    <w:rsid w:val="00A26663"/>
    <w:rsid w:val="00A26B11"/>
    <w:rsid w:val="00A27120"/>
    <w:rsid w:val="00A27411"/>
    <w:rsid w:val="00A276C8"/>
    <w:rsid w:val="00A27884"/>
    <w:rsid w:val="00A279C7"/>
    <w:rsid w:val="00A3000D"/>
    <w:rsid w:val="00A300A2"/>
    <w:rsid w:val="00A300E6"/>
    <w:rsid w:val="00A304A4"/>
    <w:rsid w:val="00A304E4"/>
    <w:rsid w:val="00A30861"/>
    <w:rsid w:val="00A30911"/>
    <w:rsid w:val="00A30A30"/>
    <w:rsid w:val="00A31194"/>
    <w:rsid w:val="00A31225"/>
    <w:rsid w:val="00A312BB"/>
    <w:rsid w:val="00A31352"/>
    <w:rsid w:val="00A313B0"/>
    <w:rsid w:val="00A315ED"/>
    <w:rsid w:val="00A31701"/>
    <w:rsid w:val="00A31E40"/>
    <w:rsid w:val="00A3204A"/>
    <w:rsid w:val="00A321D6"/>
    <w:rsid w:val="00A3263D"/>
    <w:rsid w:val="00A32A70"/>
    <w:rsid w:val="00A32AD6"/>
    <w:rsid w:val="00A32DF1"/>
    <w:rsid w:val="00A32F46"/>
    <w:rsid w:val="00A331F5"/>
    <w:rsid w:val="00A334CF"/>
    <w:rsid w:val="00A33516"/>
    <w:rsid w:val="00A3358E"/>
    <w:rsid w:val="00A33748"/>
    <w:rsid w:val="00A33A0E"/>
    <w:rsid w:val="00A33DB0"/>
    <w:rsid w:val="00A340D7"/>
    <w:rsid w:val="00A3433C"/>
    <w:rsid w:val="00A34511"/>
    <w:rsid w:val="00A34590"/>
    <w:rsid w:val="00A34754"/>
    <w:rsid w:val="00A34774"/>
    <w:rsid w:val="00A34E42"/>
    <w:rsid w:val="00A34E64"/>
    <w:rsid w:val="00A34FA8"/>
    <w:rsid w:val="00A35405"/>
    <w:rsid w:val="00A3554E"/>
    <w:rsid w:val="00A3559C"/>
    <w:rsid w:val="00A35805"/>
    <w:rsid w:val="00A35B6E"/>
    <w:rsid w:val="00A35BF5"/>
    <w:rsid w:val="00A35C33"/>
    <w:rsid w:val="00A35CEB"/>
    <w:rsid w:val="00A3683A"/>
    <w:rsid w:val="00A3686D"/>
    <w:rsid w:val="00A36957"/>
    <w:rsid w:val="00A36970"/>
    <w:rsid w:val="00A36B48"/>
    <w:rsid w:val="00A36F50"/>
    <w:rsid w:val="00A36F9B"/>
    <w:rsid w:val="00A36FB8"/>
    <w:rsid w:val="00A37429"/>
    <w:rsid w:val="00A37687"/>
    <w:rsid w:val="00A3781E"/>
    <w:rsid w:val="00A378C6"/>
    <w:rsid w:val="00A37CE0"/>
    <w:rsid w:val="00A37E5F"/>
    <w:rsid w:val="00A37EC0"/>
    <w:rsid w:val="00A37FED"/>
    <w:rsid w:val="00A40001"/>
    <w:rsid w:val="00A400A9"/>
    <w:rsid w:val="00A401CB"/>
    <w:rsid w:val="00A402E1"/>
    <w:rsid w:val="00A4030E"/>
    <w:rsid w:val="00A404B1"/>
    <w:rsid w:val="00A40752"/>
    <w:rsid w:val="00A40831"/>
    <w:rsid w:val="00A4088B"/>
    <w:rsid w:val="00A409FF"/>
    <w:rsid w:val="00A40C0F"/>
    <w:rsid w:val="00A40C70"/>
    <w:rsid w:val="00A40CD9"/>
    <w:rsid w:val="00A40E38"/>
    <w:rsid w:val="00A41256"/>
    <w:rsid w:val="00A41647"/>
    <w:rsid w:val="00A416C4"/>
    <w:rsid w:val="00A417E8"/>
    <w:rsid w:val="00A41A4E"/>
    <w:rsid w:val="00A41A7C"/>
    <w:rsid w:val="00A42046"/>
    <w:rsid w:val="00A42421"/>
    <w:rsid w:val="00A4270B"/>
    <w:rsid w:val="00A4285B"/>
    <w:rsid w:val="00A42E00"/>
    <w:rsid w:val="00A42EEA"/>
    <w:rsid w:val="00A43247"/>
    <w:rsid w:val="00A43B24"/>
    <w:rsid w:val="00A43BB3"/>
    <w:rsid w:val="00A43BD0"/>
    <w:rsid w:val="00A43CC4"/>
    <w:rsid w:val="00A43F27"/>
    <w:rsid w:val="00A441FB"/>
    <w:rsid w:val="00A44239"/>
    <w:rsid w:val="00A4452A"/>
    <w:rsid w:val="00A44579"/>
    <w:rsid w:val="00A445F8"/>
    <w:rsid w:val="00A447C3"/>
    <w:rsid w:val="00A44BB5"/>
    <w:rsid w:val="00A4524E"/>
    <w:rsid w:val="00A45299"/>
    <w:rsid w:val="00A45665"/>
    <w:rsid w:val="00A45B34"/>
    <w:rsid w:val="00A45B67"/>
    <w:rsid w:val="00A45C00"/>
    <w:rsid w:val="00A45C69"/>
    <w:rsid w:val="00A45FBE"/>
    <w:rsid w:val="00A46332"/>
    <w:rsid w:val="00A463CF"/>
    <w:rsid w:val="00A46611"/>
    <w:rsid w:val="00A467B5"/>
    <w:rsid w:val="00A4691E"/>
    <w:rsid w:val="00A46D02"/>
    <w:rsid w:val="00A46D33"/>
    <w:rsid w:val="00A471B1"/>
    <w:rsid w:val="00A4722E"/>
    <w:rsid w:val="00A47433"/>
    <w:rsid w:val="00A4756D"/>
    <w:rsid w:val="00A475AF"/>
    <w:rsid w:val="00A4767E"/>
    <w:rsid w:val="00A4782B"/>
    <w:rsid w:val="00A47925"/>
    <w:rsid w:val="00A47950"/>
    <w:rsid w:val="00A47975"/>
    <w:rsid w:val="00A47B26"/>
    <w:rsid w:val="00A47BE9"/>
    <w:rsid w:val="00A47DB1"/>
    <w:rsid w:val="00A47E26"/>
    <w:rsid w:val="00A50274"/>
    <w:rsid w:val="00A504C4"/>
    <w:rsid w:val="00A50512"/>
    <w:rsid w:val="00A5072E"/>
    <w:rsid w:val="00A50883"/>
    <w:rsid w:val="00A509C3"/>
    <w:rsid w:val="00A50A80"/>
    <w:rsid w:val="00A50ACB"/>
    <w:rsid w:val="00A50B6B"/>
    <w:rsid w:val="00A50E93"/>
    <w:rsid w:val="00A50EBF"/>
    <w:rsid w:val="00A5104A"/>
    <w:rsid w:val="00A51119"/>
    <w:rsid w:val="00A511CC"/>
    <w:rsid w:val="00A51671"/>
    <w:rsid w:val="00A516CD"/>
    <w:rsid w:val="00A51F21"/>
    <w:rsid w:val="00A520E7"/>
    <w:rsid w:val="00A52136"/>
    <w:rsid w:val="00A52231"/>
    <w:rsid w:val="00A52343"/>
    <w:rsid w:val="00A52857"/>
    <w:rsid w:val="00A529C1"/>
    <w:rsid w:val="00A52DE4"/>
    <w:rsid w:val="00A52F32"/>
    <w:rsid w:val="00A532E8"/>
    <w:rsid w:val="00A5336E"/>
    <w:rsid w:val="00A53927"/>
    <w:rsid w:val="00A5396D"/>
    <w:rsid w:val="00A53A27"/>
    <w:rsid w:val="00A53C98"/>
    <w:rsid w:val="00A53F7C"/>
    <w:rsid w:val="00A54114"/>
    <w:rsid w:val="00A5426B"/>
    <w:rsid w:val="00A544E2"/>
    <w:rsid w:val="00A546FF"/>
    <w:rsid w:val="00A547E7"/>
    <w:rsid w:val="00A548EA"/>
    <w:rsid w:val="00A54AC4"/>
    <w:rsid w:val="00A54CE7"/>
    <w:rsid w:val="00A5535B"/>
    <w:rsid w:val="00A553FA"/>
    <w:rsid w:val="00A555D1"/>
    <w:rsid w:val="00A55608"/>
    <w:rsid w:val="00A557D2"/>
    <w:rsid w:val="00A55899"/>
    <w:rsid w:val="00A55A1B"/>
    <w:rsid w:val="00A55D36"/>
    <w:rsid w:val="00A55F7B"/>
    <w:rsid w:val="00A56304"/>
    <w:rsid w:val="00A56357"/>
    <w:rsid w:val="00A566DE"/>
    <w:rsid w:val="00A56801"/>
    <w:rsid w:val="00A56895"/>
    <w:rsid w:val="00A569E3"/>
    <w:rsid w:val="00A56A1C"/>
    <w:rsid w:val="00A56E72"/>
    <w:rsid w:val="00A56FCF"/>
    <w:rsid w:val="00A57104"/>
    <w:rsid w:val="00A5744E"/>
    <w:rsid w:val="00A57672"/>
    <w:rsid w:val="00A57746"/>
    <w:rsid w:val="00A5786E"/>
    <w:rsid w:val="00A578E8"/>
    <w:rsid w:val="00A57AD0"/>
    <w:rsid w:val="00A57D0E"/>
    <w:rsid w:val="00A57E45"/>
    <w:rsid w:val="00A60614"/>
    <w:rsid w:val="00A60630"/>
    <w:rsid w:val="00A60967"/>
    <w:rsid w:val="00A609C3"/>
    <w:rsid w:val="00A60B3D"/>
    <w:rsid w:val="00A60D5D"/>
    <w:rsid w:val="00A6101E"/>
    <w:rsid w:val="00A6102D"/>
    <w:rsid w:val="00A611A6"/>
    <w:rsid w:val="00A61296"/>
    <w:rsid w:val="00A616CD"/>
    <w:rsid w:val="00A61D71"/>
    <w:rsid w:val="00A61D83"/>
    <w:rsid w:val="00A61DE5"/>
    <w:rsid w:val="00A61E19"/>
    <w:rsid w:val="00A62046"/>
    <w:rsid w:val="00A621C9"/>
    <w:rsid w:val="00A623D7"/>
    <w:rsid w:val="00A62443"/>
    <w:rsid w:val="00A6271C"/>
    <w:rsid w:val="00A627D4"/>
    <w:rsid w:val="00A62817"/>
    <w:rsid w:val="00A62892"/>
    <w:rsid w:val="00A62C25"/>
    <w:rsid w:val="00A63515"/>
    <w:rsid w:val="00A638B6"/>
    <w:rsid w:val="00A638CC"/>
    <w:rsid w:val="00A63B90"/>
    <w:rsid w:val="00A63EBA"/>
    <w:rsid w:val="00A63FC7"/>
    <w:rsid w:val="00A64186"/>
    <w:rsid w:val="00A645F0"/>
    <w:rsid w:val="00A6492A"/>
    <w:rsid w:val="00A649BC"/>
    <w:rsid w:val="00A64A59"/>
    <w:rsid w:val="00A64F77"/>
    <w:rsid w:val="00A65375"/>
    <w:rsid w:val="00A653E1"/>
    <w:rsid w:val="00A65858"/>
    <w:rsid w:val="00A65923"/>
    <w:rsid w:val="00A65946"/>
    <w:rsid w:val="00A65B5E"/>
    <w:rsid w:val="00A66043"/>
    <w:rsid w:val="00A662A2"/>
    <w:rsid w:val="00A662ED"/>
    <w:rsid w:val="00A6670D"/>
    <w:rsid w:val="00A6671E"/>
    <w:rsid w:val="00A667D9"/>
    <w:rsid w:val="00A668F2"/>
    <w:rsid w:val="00A66971"/>
    <w:rsid w:val="00A66B75"/>
    <w:rsid w:val="00A66E0D"/>
    <w:rsid w:val="00A66F43"/>
    <w:rsid w:val="00A66F51"/>
    <w:rsid w:val="00A67267"/>
    <w:rsid w:val="00A673F1"/>
    <w:rsid w:val="00A676BC"/>
    <w:rsid w:val="00A67D47"/>
    <w:rsid w:val="00A67F3B"/>
    <w:rsid w:val="00A67F69"/>
    <w:rsid w:val="00A701B9"/>
    <w:rsid w:val="00A705B5"/>
    <w:rsid w:val="00A70733"/>
    <w:rsid w:val="00A70793"/>
    <w:rsid w:val="00A70C73"/>
    <w:rsid w:val="00A713E1"/>
    <w:rsid w:val="00A713F8"/>
    <w:rsid w:val="00A71586"/>
    <w:rsid w:val="00A717BC"/>
    <w:rsid w:val="00A71C0B"/>
    <w:rsid w:val="00A71CF1"/>
    <w:rsid w:val="00A71D4A"/>
    <w:rsid w:val="00A72182"/>
    <w:rsid w:val="00A721B6"/>
    <w:rsid w:val="00A72654"/>
    <w:rsid w:val="00A726C6"/>
    <w:rsid w:val="00A7280F"/>
    <w:rsid w:val="00A728B8"/>
    <w:rsid w:val="00A72938"/>
    <w:rsid w:val="00A72FB8"/>
    <w:rsid w:val="00A731E6"/>
    <w:rsid w:val="00A7333E"/>
    <w:rsid w:val="00A733F5"/>
    <w:rsid w:val="00A734FF"/>
    <w:rsid w:val="00A73688"/>
    <w:rsid w:val="00A73B6B"/>
    <w:rsid w:val="00A73CC0"/>
    <w:rsid w:val="00A73DDE"/>
    <w:rsid w:val="00A73EBB"/>
    <w:rsid w:val="00A73EFB"/>
    <w:rsid w:val="00A740F7"/>
    <w:rsid w:val="00A741F4"/>
    <w:rsid w:val="00A74309"/>
    <w:rsid w:val="00A74601"/>
    <w:rsid w:val="00A74725"/>
    <w:rsid w:val="00A749F1"/>
    <w:rsid w:val="00A74E7E"/>
    <w:rsid w:val="00A74F5E"/>
    <w:rsid w:val="00A7501D"/>
    <w:rsid w:val="00A75114"/>
    <w:rsid w:val="00A75172"/>
    <w:rsid w:val="00A75226"/>
    <w:rsid w:val="00A7539F"/>
    <w:rsid w:val="00A758E3"/>
    <w:rsid w:val="00A75963"/>
    <w:rsid w:val="00A75B8A"/>
    <w:rsid w:val="00A76403"/>
    <w:rsid w:val="00A7677F"/>
    <w:rsid w:val="00A76855"/>
    <w:rsid w:val="00A76992"/>
    <w:rsid w:val="00A771F1"/>
    <w:rsid w:val="00A7774C"/>
    <w:rsid w:val="00A7779C"/>
    <w:rsid w:val="00A77C46"/>
    <w:rsid w:val="00A77F10"/>
    <w:rsid w:val="00A8004C"/>
    <w:rsid w:val="00A800E1"/>
    <w:rsid w:val="00A80298"/>
    <w:rsid w:val="00A802EE"/>
    <w:rsid w:val="00A805E4"/>
    <w:rsid w:val="00A80642"/>
    <w:rsid w:val="00A8072E"/>
    <w:rsid w:val="00A8097A"/>
    <w:rsid w:val="00A80CCC"/>
    <w:rsid w:val="00A80CED"/>
    <w:rsid w:val="00A80E50"/>
    <w:rsid w:val="00A8139C"/>
    <w:rsid w:val="00A813E8"/>
    <w:rsid w:val="00A81448"/>
    <w:rsid w:val="00A81790"/>
    <w:rsid w:val="00A817F8"/>
    <w:rsid w:val="00A81925"/>
    <w:rsid w:val="00A81C01"/>
    <w:rsid w:val="00A81D8C"/>
    <w:rsid w:val="00A81E00"/>
    <w:rsid w:val="00A81F38"/>
    <w:rsid w:val="00A82517"/>
    <w:rsid w:val="00A8268E"/>
    <w:rsid w:val="00A8276D"/>
    <w:rsid w:val="00A8289D"/>
    <w:rsid w:val="00A829D8"/>
    <w:rsid w:val="00A82A35"/>
    <w:rsid w:val="00A82A49"/>
    <w:rsid w:val="00A82DBB"/>
    <w:rsid w:val="00A82F1F"/>
    <w:rsid w:val="00A82FAF"/>
    <w:rsid w:val="00A8321B"/>
    <w:rsid w:val="00A83281"/>
    <w:rsid w:val="00A83302"/>
    <w:rsid w:val="00A8332D"/>
    <w:rsid w:val="00A83837"/>
    <w:rsid w:val="00A83B0F"/>
    <w:rsid w:val="00A83C17"/>
    <w:rsid w:val="00A83C2B"/>
    <w:rsid w:val="00A83DF1"/>
    <w:rsid w:val="00A84021"/>
    <w:rsid w:val="00A84274"/>
    <w:rsid w:val="00A842E8"/>
    <w:rsid w:val="00A843F6"/>
    <w:rsid w:val="00A84B20"/>
    <w:rsid w:val="00A84BCA"/>
    <w:rsid w:val="00A84FAF"/>
    <w:rsid w:val="00A850FE"/>
    <w:rsid w:val="00A851D6"/>
    <w:rsid w:val="00A851F0"/>
    <w:rsid w:val="00A85349"/>
    <w:rsid w:val="00A8553A"/>
    <w:rsid w:val="00A855C4"/>
    <w:rsid w:val="00A8573B"/>
    <w:rsid w:val="00A85763"/>
    <w:rsid w:val="00A8584D"/>
    <w:rsid w:val="00A85C3F"/>
    <w:rsid w:val="00A85C7E"/>
    <w:rsid w:val="00A85DD5"/>
    <w:rsid w:val="00A85ECB"/>
    <w:rsid w:val="00A86234"/>
    <w:rsid w:val="00A8623C"/>
    <w:rsid w:val="00A86357"/>
    <w:rsid w:val="00A86374"/>
    <w:rsid w:val="00A867AF"/>
    <w:rsid w:val="00A86886"/>
    <w:rsid w:val="00A868FB"/>
    <w:rsid w:val="00A86D28"/>
    <w:rsid w:val="00A86D47"/>
    <w:rsid w:val="00A86F42"/>
    <w:rsid w:val="00A86F5E"/>
    <w:rsid w:val="00A8704D"/>
    <w:rsid w:val="00A871B1"/>
    <w:rsid w:val="00A87299"/>
    <w:rsid w:val="00A8785E"/>
    <w:rsid w:val="00A87883"/>
    <w:rsid w:val="00A87A72"/>
    <w:rsid w:val="00A87E65"/>
    <w:rsid w:val="00A90479"/>
    <w:rsid w:val="00A906ED"/>
    <w:rsid w:val="00A9074C"/>
    <w:rsid w:val="00A907E6"/>
    <w:rsid w:val="00A91107"/>
    <w:rsid w:val="00A9149B"/>
    <w:rsid w:val="00A91871"/>
    <w:rsid w:val="00A91898"/>
    <w:rsid w:val="00A9192C"/>
    <w:rsid w:val="00A91B1A"/>
    <w:rsid w:val="00A9218C"/>
    <w:rsid w:val="00A921FA"/>
    <w:rsid w:val="00A9241D"/>
    <w:rsid w:val="00A925C8"/>
    <w:rsid w:val="00A9273C"/>
    <w:rsid w:val="00A929E8"/>
    <w:rsid w:val="00A92DCB"/>
    <w:rsid w:val="00A93600"/>
    <w:rsid w:val="00A936B9"/>
    <w:rsid w:val="00A93A26"/>
    <w:rsid w:val="00A93C4B"/>
    <w:rsid w:val="00A93C7F"/>
    <w:rsid w:val="00A93EFF"/>
    <w:rsid w:val="00A93F5C"/>
    <w:rsid w:val="00A93F68"/>
    <w:rsid w:val="00A9429A"/>
    <w:rsid w:val="00A94418"/>
    <w:rsid w:val="00A94492"/>
    <w:rsid w:val="00A94497"/>
    <w:rsid w:val="00A9454A"/>
    <w:rsid w:val="00A94C48"/>
    <w:rsid w:val="00A94CE0"/>
    <w:rsid w:val="00A94FCA"/>
    <w:rsid w:val="00A95256"/>
    <w:rsid w:val="00A955BD"/>
    <w:rsid w:val="00A955EA"/>
    <w:rsid w:val="00A955F9"/>
    <w:rsid w:val="00A9567F"/>
    <w:rsid w:val="00A9589E"/>
    <w:rsid w:val="00A958CB"/>
    <w:rsid w:val="00A95A87"/>
    <w:rsid w:val="00A95C30"/>
    <w:rsid w:val="00A962BD"/>
    <w:rsid w:val="00A96324"/>
    <w:rsid w:val="00A96337"/>
    <w:rsid w:val="00A965CE"/>
    <w:rsid w:val="00A966CC"/>
    <w:rsid w:val="00A96818"/>
    <w:rsid w:val="00A96857"/>
    <w:rsid w:val="00A9702E"/>
    <w:rsid w:val="00A9719B"/>
    <w:rsid w:val="00A97346"/>
    <w:rsid w:val="00A973B8"/>
    <w:rsid w:val="00A97834"/>
    <w:rsid w:val="00A97941"/>
    <w:rsid w:val="00A97EBF"/>
    <w:rsid w:val="00A97FD8"/>
    <w:rsid w:val="00AA0028"/>
    <w:rsid w:val="00AA00A8"/>
    <w:rsid w:val="00AA01C1"/>
    <w:rsid w:val="00AA03BB"/>
    <w:rsid w:val="00AA07CE"/>
    <w:rsid w:val="00AA08A0"/>
    <w:rsid w:val="00AA092C"/>
    <w:rsid w:val="00AA0B0E"/>
    <w:rsid w:val="00AA0FAC"/>
    <w:rsid w:val="00AA10D3"/>
    <w:rsid w:val="00AA1338"/>
    <w:rsid w:val="00AA1596"/>
    <w:rsid w:val="00AA16F8"/>
    <w:rsid w:val="00AA1756"/>
    <w:rsid w:val="00AA1AF0"/>
    <w:rsid w:val="00AA1B7F"/>
    <w:rsid w:val="00AA1B91"/>
    <w:rsid w:val="00AA1CA4"/>
    <w:rsid w:val="00AA1D8E"/>
    <w:rsid w:val="00AA2393"/>
    <w:rsid w:val="00AA2575"/>
    <w:rsid w:val="00AA27FD"/>
    <w:rsid w:val="00AA28D4"/>
    <w:rsid w:val="00AA29BA"/>
    <w:rsid w:val="00AA2AD1"/>
    <w:rsid w:val="00AA3035"/>
    <w:rsid w:val="00AA31CA"/>
    <w:rsid w:val="00AA31E6"/>
    <w:rsid w:val="00AA31F6"/>
    <w:rsid w:val="00AA3500"/>
    <w:rsid w:val="00AA350F"/>
    <w:rsid w:val="00AA37CF"/>
    <w:rsid w:val="00AA4198"/>
    <w:rsid w:val="00AA420C"/>
    <w:rsid w:val="00AA4287"/>
    <w:rsid w:val="00AA4404"/>
    <w:rsid w:val="00AA44CF"/>
    <w:rsid w:val="00AA44E4"/>
    <w:rsid w:val="00AA45DD"/>
    <w:rsid w:val="00AA45FA"/>
    <w:rsid w:val="00AA49F9"/>
    <w:rsid w:val="00AA4AC0"/>
    <w:rsid w:val="00AA4ADF"/>
    <w:rsid w:val="00AA4C65"/>
    <w:rsid w:val="00AA5215"/>
    <w:rsid w:val="00AA521B"/>
    <w:rsid w:val="00AA5311"/>
    <w:rsid w:val="00AA5630"/>
    <w:rsid w:val="00AA5B82"/>
    <w:rsid w:val="00AA5E84"/>
    <w:rsid w:val="00AA5E99"/>
    <w:rsid w:val="00AA6224"/>
    <w:rsid w:val="00AA62B2"/>
    <w:rsid w:val="00AA62C7"/>
    <w:rsid w:val="00AA64E3"/>
    <w:rsid w:val="00AA6691"/>
    <w:rsid w:val="00AA67C0"/>
    <w:rsid w:val="00AA6CB2"/>
    <w:rsid w:val="00AA714E"/>
    <w:rsid w:val="00AA7311"/>
    <w:rsid w:val="00AA7376"/>
    <w:rsid w:val="00AA7583"/>
    <w:rsid w:val="00AA766F"/>
    <w:rsid w:val="00AA79E1"/>
    <w:rsid w:val="00AA7A5B"/>
    <w:rsid w:val="00AA7FB8"/>
    <w:rsid w:val="00AB0027"/>
    <w:rsid w:val="00AB02F3"/>
    <w:rsid w:val="00AB049C"/>
    <w:rsid w:val="00AB09BA"/>
    <w:rsid w:val="00AB0BBA"/>
    <w:rsid w:val="00AB0EC2"/>
    <w:rsid w:val="00AB0FDC"/>
    <w:rsid w:val="00AB10A0"/>
    <w:rsid w:val="00AB10E7"/>
    <w:rsid w:val="00AB13CE"/>
    <w:rsid w:val="00AB1771"/>
    <w:rsid w:val="00AB1A72"/>
    <w:rsid w:val="00AB1CA1"/>
    <w:rsid w:val="00AB20EA"/>
    <w:rsid w:val="00AB20F5"/>
    <w:rsid w:val="00AB22D8"/>
    <w:rsid w:val="00AB232D"/>
    <w:rsid w:val="00AB25D5"/>
    <w:rsid w:val="00AB25D9"/>
    <w:rsid w:val="00AB273F"/>
    <w:rsid w:val="00AB2E1E"/>
    <w:rsid w:val="00AB31F9"/>
    <w:rsid w:val="00AB3294"/>
    <w:rsid w:val="00AB32D6"/>
    <w:rsid w:val="00AB34A0"/>
    <w:rsid w:val="00AB3697"/>
    <w:rsid w:val="00AB3738"/>
    <w:rsid w:val="00AB383F"/>
    <w:rsid w:val="00AB386C"/>
    <w:rsid w:val="00AB3971"/>
    <w:rsid w:val="00AB3BEF"/>
    <w:rsid w:val="00AB3E78"/>
    <w:rsid w:val="00AB3FAF"/>
    <w:rsid w:val="00AB4107"/>
    <w:rsid w:val="00AB416D"/>
    <w:rsid w:val="00AB4252"/>
    <w:rsid w:val="00AB44AB"/>
    <w:rsid w:val="00AB4735"/>
    <w:rsid w:val="00AB47C2"/>
    <w:rsid w:val="00AB496F"/>
    <w:rsid w:val="00AB4F53"/>
    <w:rsid w:val="00AB520E"/>
    <w:rsid w:val="00AB52CD"/>
    <w:rsid w:val="00AB52E8"/>
    <w:rsid w:val="00AB5399"/>
    <w:rsid w:val="00AB539E"/>
    <w:rsid w:val="00AB5A5E"/>
    <w:rsid w:val="00AB5ADB"/>
    <w:rsid w:val="00AB5B69"/>
    <w:rsid w:val="00AB5D75"/>
    <w:rsid w:val="00AB6023"/>
    <w:rsid w:val="00AB604F"/>
    <w:rsid w:val="00AB66D7"/>
    <w:rsid w:val="00AB68E7"/>
    <w:rsid w:val="00AB6916"/>
    <w:rsid w:val="00AB69CF"/>
    <w:rsid w:val="00AB6DF0"/>
    <w:rsid w:val="00AB6EA6"/>
    <w:rsid w:val="00AB716D"/>
    <w:rsid w:val="00AB71A1"/>
    <w:rsid w:val="00AB71A9"/>
    <w:rsid w:val="00AB7666"/>
    <w:rsid w:val="00AB771B"/>
    <w:rsid w:val="00AB7787"/>
    <w:rsid w:val="00AB7847"/>
    <w:rsid w:val="00AB7D6F"/>
    <w:rsid w:val="00AB7FB9"/>
    <w:rsid w:val="00AC0121"/>
    <w:rsid w:val="00AC039B"/>
    <w:rsid w:val="00AC03CE"/>
    <w:rsid w:val="00AC05CC"/>
    <w:rsid w:val="00AC07D4"/>
    <w:rsid w:val="00AC0C06"/>
    <w:rsid w:val="00AC0F25"/>
    <w:rsid w:val="00AC0F6F"/>
    <w:rsid w:val="00AC1339"/>
    <w:rsid w:val="00AC1446"/>
    <w:rsid w:val="00AC15FF"/>
    <w:rsid w:val="00AC1609"/>
    <w:rsid w:val="00AC1812"/>
    <w:rsid w:val="00AC18A9"/>
    <w:rsid w:val="00AC18F9"/>
    <w:rsid w:val="00AC2124"/>
    <w:rsid w:val="00AC23AB"/>
    <w:rsid w:val="00AC246F"/>
    <w:rsid w:val="00AC265F"/>
    <w:rsid w:val="00AC278E"/>
    <w:rsid w:val="00AC291C"/>
    <w:rsid w:val="00AC3122"/>
    <w:rsid w:val="00AC3143"/>
    <w:rsid w:val="00AC34BB"/>
    <w:rsid w:val="00AC3586"/>
    <w:rsid w:val="00AC35D9"/>
    <w:rsid w:val="00AC38D2"/>
    <w:rsid w:val="00AC3A62"/>
    <w:rsid w:val="00AC3ABC"/>
    <w:rsid w:val="00AC3B31"/>
    <w:rsid w:val="00AC3EDB"/>
    <w:rsid w:val="00AC4070"/>
    <w:rsid w:val="00AC40CD"/>
    <w:rsid w:val="00AC42A8"/>
    <w:rsid w:val="00AC42C0"/>
    <w:rsid w:val="00AC4336"/>
    <w:rsid w:val="00AC43C1"/>
    <w:rsid w:val="00AC45EF"/>
    <w:rsid w:val="00AC4AC5"/>
    <w:rsid w:val="00AC4B5D"/>
    <w:rsid w:val="00AC4B94"/>
    <w:rsid w:val="00AC4C48"/>
    <w:rsid w:val="00AC4CD9"/>
    <w:rsid w:val="00AC4E98"/>
    <w:rsid w:val="00AC535B"/>
    <w:rsid w:val="00AC53EC"/>
    <w:rsid w:val="00AC5720"/>
    <w:rsid w:val="00AC5804"/>
    <w:rsid w:val="00AC5BB6"/>
    <w:rsid w:val="00AC5D0B"/>
    <w:rsid w:val="00AC5D69"/>
    <w:rsid w:val="00AC5F3E"/>
    <w:rsid w:val="00AC608A"/>
    <w:rsid w:val="00AC6588"/>
    <w:rsid w:val="00AC6632"/>
    <w:rsid w:val="00AC672D"/>
    <w:rsid w:val="00AC67AC"/>
    <w:rsid w:val="00AC6AEA"/>
    <w:rsid w:val="00AC6E46"/>
    <w:rsid w:val="00AC7120"/>
    <w:rsid w:val="00AC7281"/>
    <w:rsid w:val="00AC72B6"/>
    <w:rsid w:val="00AC72F4"/>
    <w:rsid w:val="00AC766D"/>
    <w:rsid w:val="00AC76F5"/>
    <w:rsid w:val="00AC7861"/>
    <w:rsid w:val="00AD01A5"/>
    <w:rsid w:val="00AD01A9"/>
    <w:rsid w:val="00AD0277"/>
    <w:rsid w:val="00AD05AC"/>
    <w:rsid w:val="00AD080E"/>
    <w:rsid w:val="00AD0A97"/>
    <w:rsid w:val="00AD0C0F"/>
    <w:rsid w:val="00AD11AC"/>
    <w:rsid w:val="00AD1709"/>
    <w:rsid w:val="00AD1B97"/>
    <w:rsid w:val="00AD1BBE"/>
    <w:rsid w:val="00AD1C8F"/>
    <w:rsid w:val="00AD1DAA"/>
    <w:rsid w:val="00AD1E79"/>
    <w:rsid w:val="00AD2174"/>
    <w:rsid w:val="00AD221C"/>
    <w:rsid w:val="00AD2384"/>
    <w:rsid w:val="00AD24C2"/>
    <w:rsid w:val="00AD2966"/>
    <w:rsid w:val="00AD2C33"/>
    <w:rsid w:val="00AD2CFA"/>
    <w:rsid w:val="00AD32E4"/>
    <w:rsid w:val="00AD346F"/>
    <w:rsid w:val="00AD3657"/>
    <w:rsid w:val="00AD3769"/>
    <w:rsid w:val="00AD37A6"/>
    <w:rsid w:val="00AD3B57"/>
    <w:rsid w:val="00AD3E92"/>
    <w:rsid w:val="00AD4234"/>
    <w:rsid w:val="00AD42B4"/>
    <w:rsid w:val="00AD42E2"/>
    <w:rsid w:val="00AD43C4"/>
    <w:rsid w:val="00AD44CD"/>
    <w:rsid w:val="00AD44D6"/>
    <w:rsid w:val="00AD498E"/>
    <w:rsid w:val="00AD4AD8"/>
    <w:rsid w:val="00AD4AF3"/>
    <w:rsid w:val="00AD4C45"/>
    <w:rsid w:val="00AD4DB4"/>
    <w:rsid w:val="00AD51FC"/>
    <w:rsid w:val="00AD54FA"/>
    <w:rsid w:val="00AD55AC"/>
    <w:rsid w:val="00AD5723"/>
    <w:rsid w:val="00AD58B8"/>
    <w:rsid w:val="00AD5B0D"/>
    <w:rsid w:val="00AD5DBD"/>
    <w:rsid w:val="00AD5FC8"/>
    <w:rsid w:val="00AD60AA"/>
    <w:rsid w:val="00AD62E6"/>
    <w:rsid w:val="00AD62E9"/>
    <w:rsid w:val="00AD6489"/>
    <w:rsid w:val="00AD6623"/>
    <w:rsid w:val="00AD664D"/>
    <w:rsid w:val="00AD66D9"/>
    <w:rsid w:val="00AD6873"/>
    <w:rsid w:val="00AD6B62"/>
    <w:rsid w:val="00AD6CA1"/>
    <w:rsid w:val="00AD6FD9"/>
    <w:rsid w:val="00AD7187"/>
    <w:rsid w:val="00AD72D0"/>
    <w:rsid w:val="00AD7364"/>
    <w:rsid w:val="00AD73CC"/>
    <w:rsid w:val="00AD744C"/>
    <w:rsid w:val="00AD74A7"/>
    <w:rsid w:val="00AD752D"/>
    <w:rsid w:val="00AD7B58"/>
    <w:rsid w:val="00AD7D5A"/>
    <w:rsid w:val="00AE00D5"/>
    <w:rsid w:val="00AE0464"/>
    <w:rsid w:val="00AE04ED"/>
    <w:rsid w:val="00AE076A"/>
    <w:rsid w:val="00AE1529"/>
    <w:rsid w:val="00AE1693"/>
    <w:rsid w:val="00AE1723"/>
    <w:rsid w:val="00AE1C8B"/>
    <w:rsid w:val="00AE1ED5"/>
    <w:rsid w:val="00AE1FCE"/>
    <w:rsid w:val="00AE206C"/>
    <w:rsid w:val="00AE26FF"/>
    <w:rsid w:val="00AE2BDD"/>
    <w:rsid w:val="00AE2FF7"/>
    <w:rsid w:val="00AE30ED"/>
    <w:rsid w:val="00AE3562"/>
    <w:rsid w:val="00AE3573"/>
    <w:rsid w:val="00AE35F6"/>
    <w:rsid w:val="00AE384B"/>
    <w:rsid w:val="00AE3EC7"/>
    <w:rsid w:val="00AE3F12"/>
    <w:rsid w:val="00AE3F6D"/>
    <w:rsid w:val="00AE411C"/>
    <w:rsid w:val="00AE4151"/>
    <w:rsid w:val="00AE436F"/>
    <w:rsid w:val="00AE44C8"/>
    <w:rsid w:val="00AE44C9"/>
    <w:rsid w:val="00AE452C"/>
    <w:rsid w:val="00AE4DA4"/>
    <w:rsid w:val="00AE4E19"/>
    <w:rsid w:val="00AE4E97"/>
    <w:rsid w:val="00AE4F28"/>
    <w:rsid w:val="00AE4F88"/>
    <w:rsid w:val="00AE4FC3"/>
    <w:rsid w:val="00AE503C"/>
    <w:rsid w:val="00AE526D"/>
    <w:rsid w:val="00AE539F"/>
    <w:rsid w:val="00AE53EF"/>
    <w:rsid w:val="00AE5C72"/>
    <w:rsid w:val="00AE5EA7"/>
    <w:rsid w:val="00AE62D2"/>
    <w:rsid w:val="00AE64E1"/>
    <w:rsid w:val="00AE6560"/>
    <w:rsid w:val="00AE65FF"/>
    <w:rsid w:val="00AE6885"/>
    <w:rsid w:val="00AE6900"/>
    <w:rsid w:val="00AE6B70"/>
    <w:rsid w:val="00AE6DD5"/>
    <w:rsid w:val="00AE6FCD"/>
    <w:rsid w:val="00AE7064"/>
    <w:rsid w:val="00AE720D"/>
    <w:rsid w:val="00AE72E7"/>
    <w:rsid w:val="00AE7344"/>
    <w:rsid w:val="00AE7408"/>
    <w:rsid w:val="00AE7524"/>
    <w:rsid w:val="00AE78F4"/>
    <w:rsid w:val="00AE7B7A"/>
    <w:rsid w:val="00AE7BA6"/>
    <w:rsid w:val="00AE7C68"/>
    <w:rsid w:val="00AF000D"/>
    <w:rsid w:val="00AF0355"/>
    <w:rsid w:val="00AF0527"/>
    <w:rsid w:val="00AF055C"/>
    <w:rsid w:val="00AF0730"/>
    <w:rsid w:val="00AF07BA"/>
    <w:rsid w:val="00AF0967"/>
    <w:rsid w:val="00AF0973"/>
    <w:rsid w:val="00AF0A6D"/>
    <w:rsid w:val="00AF0B51"/>
    <w:rsid w:val="00AF0D15"/>
    <w:rsid w:val="00AF0D63"/>
    <w:rsid w:val="00AF0EBE"/>
    <w:rsid w:val="00AF1114"/>
    <w:rsid w:val="00AF11DA"/>
    <w:rsid w:val="00AF14CA"/>
    <w:rsid w:val="00AF1BB5"/>
    <w:rsid w:val="00AF1E8A"/>
    <w:rsid w:val="00AF21CA"/>
    <w:rsid w:val="00AF21FE"/>
    <w:rsid w:val="00AF2330"/>
    <w:rsid w:val="00AF2482"/>
    <w:rsid w:val="00AF25F5"/>
    <w:rsid w:val="00AF27FF"/>
    <w:rsid w:val="00AF2F61"/>
    <w:rsid w:val="00AF2FB1"/>
    <w:rsid w:val="00AF3176"/>
    <w:rsid w:val="00AF326E"/>
    <w:rsid w:val="00AF3278"/>
    <w:rsid w:val="00AF32EB"/>
    <w:rsid w:val="00AF35BA"/>
    <w:rsid w:val="00AF35F7"/>
    <w:rsid w:val="00AF366D"/>
    <w:rsid w:val="00AF373B"/>
    <w:rsid w:val="00AF39C3"/>
    <w:rsid w:val="00AF3B7C"/>
    <w:rsid w:val="00AF3CE5"/>
    <w:rsid w:val="00AF3ED9"/>
    <w:rsid w:val="00AF424A"/>
    <w:rsid w:val="00AF42B9"/>
    <w:rsid w:val="00AF42BE"/>
    <w:rsid w:val="00AF4342"/>
    <w:rsid w:val="00AF4698"/>
    <w:rsid w:val="00AF4C10"/>
    <w:rsid w:val="00AF4F4A"/>
    <w:rsid w:val="00AF4FB8"/>
    <w:rsid w:val="00AF4FF7"/>
    <w:rsid w:val="00AF519B"/>
    <w:rsid w:val="00AF5312"/>
    <w:rsid w:val="00AF5368"/>
    <w:rsid w:val="00AF5469"/>
    <w:rsid w:val="00AF5558"/>
    <w:rsid w:val="00AF5CFF"/>
    <w:rsid w:val="00AF5F32"/>
    <w:rsid w:val="00AF609E"/>
    <w:rsid w:val="00AF61CA"/>
    <w:rsid w:val="00AF63C6"/>
    <w:rsid w:val="00AF6588"/>
    <w:rsid w:val="00AF699E"/>
    <w:rsid w:val="00AF6B6B"/>
    <w:rsid w:val="00AF6D35"/>
    <w:rsid w:val="00AF71D7"/>
    <w:rsid w:val="00AF73A3"/>
    <w:rsid w:val="00AF7643"/>
    <w:rsid w:val="00AF7A06"/>
    <w:rsid w:val="00AF7E67"/>
    <w:rsid w:val="00AF7F17"/>
    <w:rsid w:val="00B001F8"/>
    <w:rsid w:val="00B00241"/>
    <w:rsid w:val="00B00AC8"/>
    <w:rsid w:val="00B00B34"/>
    <w:rsid w:val="00B00DF8"/>
    <w:rsid w:val="00B010FC"/>
    <w:rsid w:val="00B013D9"/>
    <w:rsid w:val="00B0150F"/>
    <w:rsid w:val="00B0172B"/>
    <w:rsid w:val="00B01E4B"/>
    <w:rsid w:val="00B0203A"/>
    <w:rsid w:val="00B0208A"/>
    <w:rsid w:val="00B0219F"/>
    <w:rsid w:val="00B02434"/>
    <w:rsid w:val="00B02570"/>
    <w:rsid w:val="00B0264E"/>
    <w:rsid w:val="00B028BA"/>
    <w:rsid w:val="00B029E2"/>
    <w:rsid w:val="00B03097"/>
    <w:rsid w:val="00B031F6"/>
    <w:rsid w:val="00B032B1"/>
    <w:rsid w:val="00B03DB1"/>
    <w:rsid w:val="00B03DC1"/>
    <w:rsid w:val="00B03E1B"/>
    <w:rsid w:val="00B03FE8"/>
    <w:rsid w:val="00B04363"/>
    <w:rsid w:val="00B04376"/>
    <w:rsid w:val="00B04ADF"/>
    <w:rsid w:val="00B04C66"/>
    <w:rsid w:val="00B04DAB"/>
    <w:rsid w:val="00B04E24"/>
    <w:rsid w:val="00B04E3C"/>
    <w:rsid w:val="00B04E6B"/>
    <w:rsid w:val="00B04EC0"/>
    <w:rsid w:val="00B05141"/>
    <w:rsid w:val="00B0531B"/>
    <w:rsid w:val="00B05379"/>
    <w:rsid w:val="00B0586E"/>
    <w:rsid w:val="00B058BB"/>
    <w:rsid w:val="00B059B9"/>
    <w:rsid w:val="00B05BBD"/>
    <w:rsid w:val="00B05F08"/>
    <w:rsid w:val="00B06024"/>
    <w:rsid w:val="00B06092"/>
    <w:rsid w:val="00B06162"/>
    <w:rsid w:val="00B06647"/>
    <w:rsid w:val="00B067A9"/>
    <w:rsid w:val="00B069FB"/>
    <w:rsid w:val="00B06CA8"/>
    <w:rsid w:val="00B06E62"/>
    <w:rsid w:val="00B06EAF"/>
    <w:rsid w:val="00B06F33"/>
    <w:rsid w:val="00B0713B"/>
    <w:rsid w:val="00B072C1"/>
    <w:rsid w:val="00B073DC"/>
    <w:rsid w:val="00B076BC"/>
    <w:rsid w:val="00B076BF"/>
    <w:rsid w:val="00B0797E"/>
    <w:rsid w:val="00B07ADB"/>
    <w:rsid w:val="00B07BC4"/>
    <w:rsid w:val="00B07D07"/>
    <w:rsid w:val="00B07EC3"/>
    <w:rsid w:val="00B100D3"/>
    <w:rsid w:val="00B10629"/>
    <w:rsid w:val="00B10ABF"/>
    <w:rsid w:val="00B10B4C"/>
    <w:rsid w:val="00B10BED"/>
    <w:rsid w:val="00B10D19"/>
    <w:rsid w:val="00B11006"/>
    <w:rsid w:val="00B110CC"/>
    <w:rsid w:val="00B111BC"/>
    <w:rsid w:val="00B112A5"/>
    <w:rsid w:val="00B112D9"/>
    <w:rsid w:val="00B11348"/>
    <w:rsid w:val="00B113D2"/>
    <w:rsid w:val="00B115D7"/>
    <w:rsid w:val="00B115D9"/>
    <w:rsid w:val="00B11F9E"/>
    <w:rsid w:val="00B12165"/>
    <w:rsid w:val="00B12595"/>
    <w:rsid w:val="00B125E9"/>
    <w:rsid w:val="00B133A3"/>
    <w:rsid w:val="00B134C8"/>
    <w:rsid w:val="00B138A0"/>
    <w:rsid w:val="00B139DD"/>
    <w:rsid w:val="00B13A8F"/>
    <w:rsid w:val="00B142A2"/>
    <w:rsid w:val="00B1440E"/>
    <w:rsid w:val="00B14574"/>
    <w:rsid w:val="00B14657"/>
    <w:rsid w:val="00B14679"/>
    <w:rsid w:val="00B1484F"/>
    <w:rsid w:val="00B14B36"/>
    <w:rsid w:val="00B15675"/>
    <w:rsid w:val="00B1570B"/>
    <w:rsid w:val="00B15E2E"/>
    <w:rsid w:val="00B15EB6"/>
    <w:rsid w:val="00B15FAB"/>
    <w:rsid w:val="00B15FCD"/>
    <w:rsid w:val="00B1601A"/>
    <w:rsid w:val="00B1626B"/>
    <w:rsid w:val="00B166E1"/>
    <w:rsid w:val="00B1671B"/>
    <w:rsid w:val="00B16781"/>
    <w:rsid w:val="00B16994"/>
    <w:rsid w:val="00B16DE8"/>
    <w:rsid w:val="00B16E26"/>
    <w:rsid w:val="00B16F06"/>
    <w:rsid w:val="00B1717E"/>
    <w:rsid w:val="00B17276"/>
    <w:rsid w:val="00B173B1"/>
    <w:rsid w:val="00B1748B"/>
    <w:rsid w:val="00B17928"/>
    <w:rsid w:val="00B1799E"/>
    <w:rsid w:val="00B17A84"/>
    <w:rsid w:val="00B17BFA"/>
    <w:rsid w:val="00B17D64"/>
    <w:rsid w:val="00B17F8F"/>
    <w:rsid w:val="00B17FAA"/>
    <w:rsid w:val="00B201C6"/>
    <w:rsid w:val="00B204BC"/>
    <w:rsid w:val="00B20539"/>
    <w:rsid w:val="00B205C8"/>
    <w:rsid w:val="00B2063A"/>
    <w:rsid w:val="00B2083E"/>
    <w:rsid w:val="00B208A7"/>
    <w:rsid w:val="00B20D70"/>
    <w:rsid w:val="00B20DC7"/>
    <w:rsid w:val="00B20EA5"/>
    <w:rsid w:val="00B21092"/>
    <w:rsid w:val="00B214D3"/>
    <w:rsid w:val="00B2150C"/>
    <w:rsid w:val="00B217BA"/>
    <w:rsid w:val="00B21B02"/>
    <w:rsid w:val="00B21B78"/>
    <w:rsid w:val="00B21CD4"/>
    <w:rsid w:val="00B21F02"/>
    <w:rsid w:val="00B2213F"/>
    <w:rsid w:val="00B2237F"/>
    <w:rsid w:val="00B22594"/>
    <w:rsid w:val="00B22C1C"/>
    <w:rsid w:val="00B22D70"/>
    <w:rsid w:val="00B2315C"/>
    <w:rsid w:val="00B232F3"/>
    <w:rsid w:val="00B236A4"/>
    <w:rsid w:val="00B2392C"/>
    <w:rsid w:val="00B23C18"/>
    <w:rsid w:val="00B23FFA"/>
    <w:rsid w:val="00B2454B"/>
    <w:rsid w:val="00B245DA"/>
    <w:rsid w:val="00B24758"/>
    <w:rsid w:val="00B24824"/>
    <w:rsid w:val="00B24866"/>
    <w:rsid w:val="00B2495F"/>
    <w:rsid w:val="00B24AF5"/>
    <w:rsid w:val="00B24CEE"/>
    <w:rsid w:val="00B24E10"/>
    <w:rsid w:val="00B24F09"/>
    <w:rsid w:val="00B25275"/>
    <w:rsid w:val="00B2539C"/>
    <w:rsid w:val="00B2567F"/>
    <w:rsid w:val="00B257B3"/>
    <w:rsid w:val="00B25AF0"/>
    <w:rsid w:val="00B25B7D"/>
    <w:rsid w:val="00B25B86"/>
    <w:rsid w:val="00B25C68"/>
    <w:rsid w:val="00B25DB1"/>
    <w:rsid w:val="00B25F34"/>
    <w:rsid w:val="00B26396"/>
    <w:rsid w:val="00B26397"/>
    <w:rsid w:val="00B266D1"/>
    <w:rsid w:val="00B26808"/>
    <w:rsid w:val="00B26E47"/>
    <w:rsid w:val="00B271F9"/>
    <w:rsid w:val="00B27214"/>
    <w:rsid w:val="00B274B4"/>
    <w:rsid w:val="00B27AE7"/>
    <w:rsid w:val="00B27F00"/>
    <w:rsid w:val="00B30587"/>
    <w:rsid w:val="00B30712"/>
    <w:rsid w:val="00B307D1"/>
    <w:rsid w:val="00B30D29"/>
    <w:rsid w:val="00B30E23"/>
    <w:rsid w:val="00B30E79"/>
    <w:rsid w:val="00B30F9F"/>
    <w:rsid w:val="00B314DF"/>
    <w:rsid w:val="00B31507"/>
    <w:rsid w:val="00B31571"/>
    <w:rsid w:val="00B315D0"/>
    <w:rsid w:val="00B3168E"/>
    <w:rsid w:val="00B31798"/>
    <w:rsid w:val="00B31CED"/>
    <w:rsid w:val="00B31ED8"/>
    <w:rsid w:val="00B3200E"/>
    <w:rsid w:val="00B3229A"/>
    <w:rsid w:val="00B328E2"/>
    <w:rsid w:val="00B32A88"/>
    <w:rsid w:val="00B32DC7"/>
    <w:rsid w:val="00B32E1F"/>
    <w:rsid w:val="00B32EF1"/>
    <w:rsid w:val="00B32F91"/>
    <w:rsid w:val="00B3313B"/>
    <w:rsid w:val="00B333DA"/>
    <w:rsid w:val="00B335DB"/>
    <w:rsid w:val="00B3365B"/>
    <w:rsid w:val="00B336ED"/>
    <w:rsid w:val="00B33870"/>
    <w:rsid w:val="00B33893"/>
    <w:rsid w:val="00B338CE"/>
    <w:rsid w:val="00B33BE4"/>
    <w:rsid w:val="00B33CDC"/>
    <w:rsid w:val="00B33DB9"/>
    <w:rsid w:val="00B34021"/>
    <w:rsid w:val="00B3437F"/>
    <w:rsid w:val="00B343FF"/>
    <w:rsid w:val="00B34470"/>
    <w:rsid w:val="00B3450F"/>
    <w:rsid w:val="00B346D2"/>
    <w:rsid w:val="00B347C7"/>
    <w:rsid w:val="00B34829"/>
    <w:rsid w:val="00B34ACE"/>
    <w:rsid w:val="00B34D37"/>
    <w:rsid w:val="00B3546A"/>
    <w:rsid w:val="00B3547C"/>
    <w:rsid w:val="00B356CD"/>
    <w:rsid w:val="00B356E4"/>
    <w:rsid w:val="00B35BC9"/>
    <w:rsid w:val="00B35E7B"/>
    <w:rsid w:val="00B361CF"/>
    <w:rsid w:val="00B365AD"/>
    <w:rsid w:val="00B36648"/>
    <w:rsid w:val="00B367B5"/>
    <w:rsid w:val="00B36D95"/>
    <w:rsid w:val="00B36DD5"/>
    <w:rsid w:val="00B36F61"/>
    <w:rsid w:val="00B370E4"/>
    <w:rsid w:val="00B37115"/>
    <w:rsid w:val="00B376A2"/>
    <w:rsid w:val="00B376D0"/>
    <w:rsid w:val="00B376F7"/>
    <w:rsid w:val="00B3775B"/>
    <w:rsid w:val="00B37793"/>
    <w:rsid w:val="00B378BE"/>
    <w:rsid w:val="00B37C0E"/>
    <w:rsid w:val="00B37C94"/>
    <w:rsid w:val="00B37D83"/>
    <w:rsid w:val="00B37EE4"/>
    <w:rsid w:val="00B4024D"/>
    <w:rsid w:val="00B402F3"/>
    <w:rsid w:val="00B4037E"/>
    <w:rsid w:val="00B403C9"/>
    <w:rsid w:val="00B4049D"/>
    <w:rsid w:val="00B40534"/>
    <w:rsid w:val="00B40780"/>
    <w:rsid w:val="00B40823"/>
    <w:rsid w:val="00B40B14"/>
    <w:rsid w:val="00B40C3C"/>
    <w:rsid w:val="00B40E93"/>
    <w:rsid w:val="00B40EAC"/>
    <w:rsid w:val="00B41051"/>
    <w:rsid w:val="00B41599"/>
    <w:rsid w:val="00B41738"/>
    <w:rsid w:val="00B4179F"/>
    <w:rsid w:val="00B41880"/>
    <w:rsid w:val="00B41ED8"/>
    <w:rsid w:val="00B41FC9"/>
    <w:rsid w:val="00B4276B"/>
    <w:rsid w:val="00B4286E"/>
    <w:rsid w:val="00B42A0E"/>
    <w:rsid w:val="00B42BAF"/>
    <w:rsid w:val="00B42BF1"/>
    <w:rsid w:val="00B42C13"/>
    <w:rsid w:val="00B42E25"/>
    <w:rsid w:val="00B42EC9"/>
    <w:rsid w:val="00B430FA"/>
    <w:rsid w:val="00B430FE"/>
    <w:rsid w:val="00B431D0"/>
    <w:rsid w:val="00B43452"/>
    <w:rsid w:val="00B434DC"/>
    <w:rsid w:val="00B437CB"/>
    <w:rsid w:val="00B438A8"/>
    <w:rsid w:val="00B43D12"/>
    <w:rsid w:val="00B43EF3"/>
    <w:rsid w:val="00B43F6A"/>
    <w:rsid w:val="00B440DC"/>
    <w:rsid w:val="00B441E3"/>
    <w:rsid w:val="00B446E6"/>
    <w:rsid w:val="00B44767"/>
    <w:rsid w:val="00B449BE"/>
    <w:rsid w:val="00B44DC5"/>
    <w:rsid w:val="00B458B5"/>
    <w:rsid w:val="00B458BD"/>
    <w:rsid w:val="00B45A3A"/>
    <w:rsid w:val="00B45CFD"/>
    <w:rsid w:val="00B45D5F"/>
    <w:rsid w:val="00B45EC1"/>
    <w:rsid w:val="00B45F5F"/>
    <w:rsid w:val="00B45F79"/>
    <w:rsid w:val="00B45FCA"/>
    <w:rsid w:val="00B461E9"/>
    <w:rsid w:val="00B4621A"/>
    <w:rsid w:val="00B4654B"/>
    <w:rsid w:val="00B465C5"/>
    <w:rsid w:val="00B468E6"/>
    <w:rsid w:val="00B46BC0"/>
    <w:rsid w:val="00B46D4C"/>
    <w:rsid w:val="00B46DB8"/>
    <w:rsid w:val="00B470B1"/>
    <w:rsid w:val="00B470C9"/>
    <w:rsid w:val="00B471C1"/>
    <w:rsid w:val="00B47226"/>
    <w:rsid w:val="00B4727E"/>
    <w:rsid w:val="00B4751B"/>
    <w:rsid w:val="00B475AC"/>
    <w:rsid w:val="00B47C2E"/>
    <w:rsid w:val="00B47D19"/>
    <w:rsid w:val="00B47F04"/>
    <w:rsid w:val="00B50008"/>
    <w:rsid w:val="00B507B8"/>
    <w:rsid w:val="00B508C0"/>
    <w:rsid w:val="00B50C44"/>
    <w:rsid w:val="00B50E94"/>
    <w:rsid w:val="00B510D7"/>
    <w:rsid w:val="00B51166"/>
    <w:rsid w:val="00B511CC"/>
    <w:rsid w:val="00B51455"/>
    <w:rsid w:val="00B518F7"/>
    <w:rsid w:val="00B51AC3"/>
    <w:rsid w:val="00B51ACC"/>
    <w:rsid w:val="00B51E2F"/>
    <w:rsid w:val="00B51E9F"/>
    <w:rsid w:val="00B52A28"/>
    <w:rsid w:val="00B52AB3"/>
    <w:rsid w:val="00B52B3B"/>
    <w:rsid w:val="00B52B90"/>
    <w:rsid w:val="00B52C09"/>
    <w:rsid w:val="00B52C1F"/>
    <w:rsid w:val="00B531A0"/>
    <w:rsid w:val="00B5335A"/>
    <w:rsid w:val="00B53876"/>
    <w:rsid w:val="00B538A4"/>
    <w:rsid w:val="00B53AC7"/>
    <w:rsid w:val="00B53BCA"/>
    <w:rsid w:val="00B53D67"/>
    <w:rsid w:val="00B54146"/>
    <w:rsid w:val="00B54149"/>
    <w:rsid w:val="00B54251"/>
    <w:rsid w:val="00B54269"/>
    <w:rsid w:val="00B543A1"/>
    <w:rsid w:val="00B543B4"/>
    <w:rsid w:val="00B543B8"/>
    <w:rsid w:val="00B54769"/>
    <w:rsid w:val="00B54868"/>
    <w:rsid w:val="00B548CA"/>
    <w:rsid w:val="00B5494F"/>
    <w:rsid w:val="00B54AF3"/>
    <w:rsid w:val="00B54C29"/>
    <w:rsid w:val="00B54D7B"/>
    <w:rsid w:val="00B54F52"/>
    <w:rsid w:val="00B55065"/>
    <w:rsid w:val="00B551F2"/>
    <w:rsid w:val="00B55651"/>
    <w:rsid w:val="00B557CC"/>
    <w:rsid w:val="00B55859"/>
    <w:rsid w:val="00B55BC4"/>
    <w:rsid w:val="00B56069"/>
    <w:rsid w:val="00B560C0"/>
    <w:rsid w:val="00B56672"/>
    <w:rsid w:val="00B56876"/>
    <w:rsid w:val="00B56A18"/>
    <w:rsid w:val="00B56C6F"/>
    <w:rsid w:val="00B56EA3"/>
    <w:rsid w:val="00B56EA5"/>
    <w:rsid w:val="00B56F20"/>
    <w:rsid w:val="00B5708F"/>
    <w:rsid w:val="00B57177"/>
    <w:rsid w:val="00B57180"/>
    <w:rsid w:val="00B573A8"/>
    <w:rsid w:val="00B573F0"/>
    <w:rsid w:val="00B576B1"/>
    <w:rsid w:val="00B577EC"/>
    <w:rsid w:val="00B578DF"/>
    <w:rsid w:val="00B57919"/>
    <w:rsid w:val="00B5795E"/>
    <w:rsid w:val="00B579CA"/>
    <w:rsid w:val="00B57C89"/>
    <w:rsid w:val="00B57D15"/>
    <w:rsid w:val="00B57F2F"/>
    <w:rsid w:val="00B57F99"/>
    <w:rsid w:val="00B602BF"/>
    <w:rsid w:val="00B60873"/>
    <w:rsid w:val="00B60950"/>
    <w:rsid w:val="00B60D14"/>
    <w:rsid w:val="00B60D1B"/>
    <w:rsid w:val="00B60E5C"/>
    <w:rsid w:val="00B619B0"/>
    <w:rsid w:val="00B61BBF"/>
    <w:rsid w:val="00B61E36"/>
    <w:rsid w:val="00B6208E"/>
    <w:rsid w:val="00B621AC"/>
    <w:rsid w:val="00B621FD"/>
    <w:rsid w:val="00B6225A"/>
    <w:rsid w:val="00B626B3"/>
    <w:rsid w:val="00B6295B"/>
    <w:rsid w:val="00B62ADC"/>
    <w:rsid w:val="00B63175"/>
    <w:rsid w:val="00B63189"/>
    <w:rsid w:val="00B63516"/>
    <w:rsid w:val="00B637B1"/>
    <w:rsid w:val="00B63958"/>
    <w:rsid w:val="00B63BBD"/>
    <w:rsid w:val="00B640C2"/>
    <w:rsid w:val="00B64373"/>
    <w:rsid w:val="00B6438D"/>
    <w:rsid w:val="00B646FA"/>
    <w:rsid w:val="00B64993"/>
    <w:rsid w:val="00B64B23"/>
    <w:rsid w:val="00B64E67"/>
    <w:rsid w:val="00B64F7D"/>
    <w:rsid w:val="00B64FD5"/>
    <w:rsid w:val="00B6528F"/>
    <w:rsid w:val="00B65B0D"/>
    <w:rsid w:val="00B65C76"/>
    <w:rsid w:val="00B65DC5"/>
    <w:rsid w:val="00B65F32"/>
    <w:rsid w:val="00B6631A"/>
    <w:rsid w:val="00B66365"/>
    <w:rsid w:val="00B667B6"/>
    <w:rsid w:val="00B66D9F"/>
    <w:rsid w:val="00B67129"/>
    <w:rsid w:val="00B67623"/>
    <w:rsid w:val="00B67E20"/>
    <w:rsid w:val="00B67E8D"/>
    <w:rsid w:val="00B67EE0"/>
    <w:rsid w:val="00B70519"/>
    <w:rsid w:val="00B70943"/>
    <w:rsid w:val="00B70AC9"/>
    <w:rsid w:val="00B70B54"/>
    <w:rsid w:val="00B70CAC"/>
    <w:rsid w:val="00B70DBE"/>
    <w:rsid w:val="00B70EC8"/>
    <w:rsid w:val="00B70F4D"/>
    <w:rsid w:val="00B70F80"/>
    <w:rsid w:val="00B71164"/>
    <w:rsid w:val="00B7122E"/>
    <w:rsid w:val="00B718DF"/>
    <w:rsid w:val="00B71F57"/>
    <w:rsid w:val="00B7220D"/>
    <w:rsid w:val="00B72293"/>
    <w:rsid w:val="00B7235D"/>
    <w:rsid w:val="00B7254A"/>
    <w:rsid w:val="00B72784"/>
    <w:rsid w:val="00B72B38"/>
    <w:rsid w:val="00B72D27"/>
    <w:rsid w:val="00B72F12"/>
    <w:rsid w:val="00B72FF7"/>
    <w:rsid w:val="00B731BE"/>
    <w:rsid w:val="00B73C0E"/>
    <w:rsid w:val="00B73CC2"/>
    <w:rsid w:val="00B740EC"/>
    <w:rsid w:val="00B74144"/>
    <w:rsid w:val="00B7415D"/>
    <w:rsid w:val="00B74468"/>
    <w:rsid w:val="00B74630"/>
    <w:rsid w:val="00B7492A"/>
    <w:rsid w:val="00B74A20"/>
    <w:rsid w:val="00B74D0B"/>
    <w:rsid w:val="00B74FA2"/>
    <w:rsid w:val="00B75074"/>
    <w:rsid w:val="00B75416"/>
    <w:rsid w:val="00B75449"/>
    <w:rsid w:val="00B754C6"/>
    <w:rsid w:val="00B755C8"/>
    <w:rsid w:val="00B75649"/>
    <w:rsid w:val="00B757F1"/>
    <w:rsid w:val="00B758A0"/>
    <w:rsid w:val="00B75C78"/>
    <w:rsid w:val="00B75DB8"/>
    <w:rsid w:val="00B761D1"/>
    <w:rsid w:val="00B76317"/>
    <w:rsid w:val="00B7651C"/>
    <w:rsid w:val="00B76AEE"/>
    <w:rsid w:val="00B76B3C"/>
    <w:rsid w:val="00B76D86"/>
    <w:rsid w:val="00B76F76"/>
    <w:rsid w:val="00B77043"/>
    <w:rsid w:val="00B770F1"/>
    <w:rsid w:val="00B776C3"/>
    <w:rsid w:val="00B77807"/>
    <w:rsid w:val="00B7795B"/>
    <w:rsid w:val="00B77A50"/>
    <w:rsid w:val="00B77CDA"/>
    <w:rsid w:val="00B77F74"/>
    <w:rsid w:val="00B77F7E"/>
    <w:rsid w:val="00B77FCD"/>
    <w:rsid w:val="00B7CA61"/>
    <w:rsid w:val="00B80229"/>
    <w:rsid w:val="00B805DF"/>
    <w:rsid w:val="00B807F1"/>
    <w:rsid w:val="00B80AE9"/>
    <w:rsid w:val="00B80BEE"/>
    <w:rsid w:val="00B80C64"/>
    <w:rsid w:val="00B80CE6"/>
    <w:rsid w:val="00B80D1D"/>
    <w:rsid w:val="00B80F95"/>
    <w:rsid w:val="00B812C1"/>
    <w:rsid w:val="00B81367"/>
    <w:rsid w:val="00B81525"/>
    <w:rsid w:val="00B81626"/>
    <w:rsid w:val="00B816E9"/>
    <w:rsid w:val="00B81715"/>
    <w:rsid w:val="00B81A5D"/>
    <w:rsid w:val="00B81B44"/>
    <w:rsid w:val="00B81DB7"/>
    <w:rsid w:val="00B81E10"/>
    <w:rsid w:val="00B81E9C"/>
    <w:rsid w:val="00B81EE9"/>
    <w:rsid w:val="00B82158"/>
    <w:rsid w:val="00B82220"/>
    <w:rsid w:val="00B824A2"/>
    <w:rsid w:val="00B825CE"/>
    <w:rsid w:val="00B8269F"/>
    <w:rsid w:val="00B82921"/>
    <w:rsid w:val="00B82CD8"/>
    <w:rsid w:val="00B82D4B"/>
    <w:rsid w:val="00B82F62"/>
    <w:rsid w:val="00B82FF0"/>
    <w:rsid w:val="00B83140"/>
    <w:rsid w:val="00B831A5"/>
    <w:rsid w:val="00B832E2"/>
    <w:rsid w:val="00B83303"/>
    <w:rsid w:val="00B83384"/>
    <w:rsid w:val="00B83A37"/>
    <w:rsid w:val="00B83BBD"/>
    <w:rsid w:val="00B83BE1"/>
    <w:rsid w:val="00B83EB6"/>
    <w:rsid w:val="00B84041"/>
    <w:rsid w:val="00B84109"/>
    <w:rsid w:val="00B84154"/>
    <w:rsid w:val="00B84406"/>
    <w:rsid w:val="00B847DB"/>
    <w:rsid w:val="00B8492F"/>
    <w:rsid w:val="00B849D5"/>
    <w:rsid w:val="00B84B93"/>
    <w:rsid w:val="00B84C30"/>
    <w:rsid w:val="00B85721"/>
    <w:rsid w:val="00B85722"/>
    <w:rsid w:val="00B8582C"/>
    <w:rsid w:val="00B85AFC"/>
    <w:rsid w:val="00B85E02"/>
    <w:rsid w:val="00B861AF"/>
    <w:rsid w:val="00B861D1"/>
    <w:rsid w:val="00B86344"/>
    <w:rsid w:val="00B86691"/>
    <w:rsid w:val="00B86BAE"/>
    <w:rsid w:val="00B86E02"/>
    <w:rsid w:val="00B86E7C"/>
    <w:rsid w:val="00B8743A"/>
    <w:rsid w:val="00B8770B"/>
    <w:rsid w:val="00B87827"/>
    <w:rsid w:val="00B87944"/>
    <w:rsid w:val="00B87BFD"/>
    <w:rsid w:val="00B87C68"/>
    <w:rsid w:val="00B87F38"/>
    <w:rsid w:val="00B87F69"/>
    <w:rsid w:val="00B901F6"/>
    <w:rsid w:val="00B90245"/>
    <w:rsid w:val="00B9058F"/>
    <w:rsid w:val="00B90624"/>
    <w:rsid w:val="00B90737"/>
    <w:rsid w:val="00B90864"/>
    <w:rsid w:val="00B90BDB"/>
    <w:rsid w:val="00B90C6F"/>
    <w:rsid w:val="00B90D74"/>
    <w:rsid w:val="00B90F60"/>
    <w:rsid w:val="00B90F69"/>
    <w:rsid w:val="00B9120E"/>
    <w:rsid w:val="00B91580"/>
    <w:rsid w:val="00B91640"/>
    <w:rsid w:val="00B916A0"/>
    <w:rsid w:val="00B92013"/>
    <w:rsid w:val="00B9216F"/>
    <w:rsid w:val="00B92362"/>
    <w:rsid w:val="00B9287F"/>
    <w:rsid w:val="00B928BE"/>
    <w:rsid w:val="00B929A5"/>
    <w:rsid w:val="00B929B6"/>
    <w:rsid w:val="00B92A68"/>
    <w:rsid w:val="00B92C65"/>
    <w:rsid w:val="00B93158"/>
    <w:rsid w:val="00B932DB"/>
    <w:rsid w:val="00B93304"/>
    <w:rsid w:val="00B9333D"/>
    <w:rsid w:val="00B93512"/>
    <w:rsid w:val="00B9355D"/>
    <w:rsid w:val="00B93997"/>
    <w:rsid w:val="00B93CCD"/>
    <w:rsid w:val="00B93E54"/>
    <w:rsid w:val="00B94140"/>
    <w:rsid w:val="00B9419A"/>
    <w:rsid w:val="00B941DB"/>
    <w:rsid w:val="00B94537"/>
    <w:rsid w:val="00B947BB"/>
    <w:rsid w:val="00B947DB"/>
    <w:rsid w:val="00B94875"/>
    <w:rsid w:val="00B94AFE"/>
    <w:rsid w:val="00B94CC4"/>
    <w:rsid w:val="00B94DC8"/>
    <w:rsid w:val="00B95576"/>
    <w:rsid w:val="00B958E7"/>
    <w:rsid w:val="00B95952"/>
    <w:rsid w:val="00B959EF"/>
    <w:rsid w:val="00B95CAF"/>
    <w:rsid w:val="00B95D91"/>
    <w:rsid w:val="00B95EF0"/>
    <w:rsid w:val="00B9619F"/>
    <w:rsid w:val="00B96264"/>
    <w:rsid w:val="00B96302"/>
    <w:rsid w:val="00B966F1"/>
    <w:rsid w:val="00B968FD"/>
    <w:rsid w:val="00B96C30"/>
    <w:rsid w:val="00B96C6B"/>
    <w:rsid w:val="00B96CE1"/>
    <w:rsid w:val="00B972E4"/>
    <w:rsid w:val="00B976DC"/>
    <w:rsid w:val="00B977CB"/>
    <w:rsid w:val="00B97E93"/>
    <w:rsid w:val="00BA0133"/>
    <w:rsid w:val="00BA0148"/>
    <w:rsid w:val="00BA0442"/>
    <w:rsid w:val="00BA060C"/>
    <w:rsid w:val="00BA064B"/>
    <w:rsid w:val="00BA0748"/>
    <w:rsid w:val="00BA0AD2"/>
    <w:rsid w:val="00BA0E93"/>
    <w:rsid w:val="00BA0ED2"/>
    <w:rsid w:val="00BA0F10"/>
    <w:rsid w:val="00BA0F91"/>
    <w:rsid w:val="00BA1535"/>
    <w:rsid w:val="00BA1564"/>
    <w:rsid w:val="00BA15A1"/>
    <w:rsid w:val="00BA171B"/>
    <w:rsid w:val="00BA18A2"/>
    <w:rsid w:val="00BA1957"/>
    <w:rsid w:val="00BA1CC6"/>
    <w:rsid w:val="00BA1D88"/>
    <w:rsid w:val="00BA1EED"/>
    <w:rsid w:val="00BA1FA8"/>
    <w:rsid w:val="00BA2427"/>
    <w:rsid w:val="00BA28E0"/>
    <w:rsid w:val="00BA2A7A"/>
    <w:rsid w:val="00BA2A8E"/>
    <w:rsid w:val="00BA2E80"/>
    <w:rsid w:val="00BA2F70"/>
    <w:rsid w:val="00BA2FB3"/>
    <w:rsid w:val="00BA3034"/>
    <w:rsid w:val="00BA3127"/>
    <w:rsid w:val="00BA3374"/>
    <w:rsid w:val="00BA385C"/>
    <w:rsid w:val="00BA3A29"/>
    <w:rsid w:val="00BA3B68"/>
    <w:rsid w:val="00BA3C03"/>
    <w:rsid w:val="00BA4191"/>
    <w:rsid w:val="00BA4223"/>
    <w:rsid w:val="00BA46B7"/>
    <w:rsid w:val="00BA484F"/>
    <w:rsid w:val="00BA48A6"/>
    <w:rsid w:val="00BA4CE0"/>
    <w:rsid w:val="00BA4ED8"/>
    <w:rsid w:val="00BA4F7E"/>
    <w:rsid w:val="00BA505E"/>
    <w:rsid w:val="00BA557F"/>
    <w:rsid w:val="00BA5BA9"/>
    <w:rsid w:val="00BA5C33"/>
    <w:rsid w:val="00BA623E"/>
    <w:rsid w:val="00BA6775"/>
    <w:rsid w:val="00BA6997"/>
    <w:rsid w:val="00BA6E63"/>
    <w:rsid w:val="00BA7089"/>
    <w:rsid w:val="00BA70D5"/>
    <w:rsid w:val="00BA72EB"/>
    <w:rsid w:val="00BA7337"/>
    <w:rsid w:val="00BA78EC"/>
    <w:rsid w:val="00BA7928"/>
    <w:rsid w:val="00BA7A52"/>
    <w:rsid w:val="00BA7BAE"/>
    <w:rsid w:val="00BA7BDF"/>
    <w:rsid w:val="00BB025E"/>
    <w:rsid w:val="00BB0674"/>
    <w:rsid w:val="00BB072B"/>
    <w:rsid w:val="00BB085A"/>
    <w:rsid w:val="00BB0903"/>
    <w:rsid w:val="00BB090F"/>
    <w:rsid w:val="00BB0AFF"/>
    <w:rsid w:val="00BB0B64"/>
    <w:rsid w:val="00BB0B9F"/>
    <w:rsid w:val="00BB0BB4"/>
    <w:rsid w:val="00BB0C43"/>
    <w:rsid w:val="00BB0E4F"/>
    <w:rsid w:val="00BB0E64"/>
    <w:rsid w:val="00BB11FD"/>
    <w:rsid w:val="00BB1464"/>
    <w:rsid w:val="00BB16D3"/>
    <w:rsid w:val="00BB1A3A"/>
    <w:rsid w:val="00BB1E0E"/>
    <w:rsid w:val="00BB1E39"/>
    <w:rsid w:val="00BB1F54"/>
    <w:rsid w:val="00BB2081"/>
    <w:rsid w:val="00BB237F"/>
    <w:rsid w:val="00BB248C"/>
    <w:rsid w:val="00BB25F3"/>
    <w:rsid w:val="00BB2641"/>
    <w:rsid w:val="00BB27C4"/>
    <w:rsid w:val="00BB27D4"/>
    <w:rsid w:val="00BB27E9"/>
    <w:rsid w:val="00BB28B4"/>
    <w:rsid w:val="00BB2C88"/>
    <w:rsid w:val="00BB2F33"/>
    <w:rsid w:val="00BB3346"/>
    <w:rsid w:val="00BB347A"/>
    <w:rsid w:val="00BB3644"/>
    <w:rsid w:val="00BB3870"/>
    <w:rsid w:val="00BB3946"/>
    <w:rsid w:val="00BB3AAA"/>
    <w:rsid w:val="00BB3AC9"/>
    <w:rsid w:val="00BB3B02"/>
    <w:rsid w:val="00BB3C0A"/>
    <w:rsid w:val="00BB3ECB"/>
    <w:rsid w:val="00BB4425"/>
    <w:rsid w:val="00BB44B3"/>
    <w:rsid w:val="00BB48C3"/>
    <w:rsid w:val="00BB4C13"/>
    <w:rsid w:val="00BB528C"/>
    <w:rsid w:val="00BB5674"/>
    <w:rsid w:val="00BB580A"/>
    <w:rsid w:val="00BB5856"/>
    <w:rsid w:val="00BB5BF9"/>
    <w:rsid w:val="00BB5E4D"/>
    <w:rsid w:val="00BB62A2"/>
    <w:rsid w:val="00BB6387"/>
    <w:rsid w:val="00BB6439"/>
    <w:rsid w:val="00BB65DF"/>
    <w:rsid w:val="00BB65F9"/>
    <w:rsid w:val="00BB6632"/>
    <w:rsid w:val="00BB68D3"/>
    <w:rsid w:val="00BB6A21"/>
    <w:rsid w:val="00BB6D3A"/>
    <w:rsid w:val="00BB6DEF"/>
    <w:rsid w:val="00BB6E5D"/>
    <w:rsid w:val="00BB741B"/>
    <w:rsid w:val="00BB74E7"/>
    <w:rsid w:val="00BB76CA"/>
    <w:rsid w:val="00BB7AC1"/>
    <w:rsid w:val="00BB7E05"/>
    <w:rsid w:val="00BC02D0"/>
    <w:rsid w:val="00BC0386"/>
    <w:rsid w:val="00BC03FB"/>
    <w:rsid w:val="00BC04CD"/>
    <w:rsid w:val="00BC04D7"/>
    <w:rsid w:val="00BC050D"/>
    <w:rsid w:val="00BC0585"/>
    <w:rsid w:val="00BC0660"/>
    <w:rsid w:val="00BC0980"/>
    <w:rsid w:val="00BC099C"/>
    <w:rsid w:val="00BC0D8D"/>
    <w:rsid w:val="00BC0E7D"/>
    <w:rsid w:val="00BC10F6"/>
    <w:rsid w:val="00BC1855"/>
    <w:rsid w:val="00BC18EF"/>
    <w:rsid w:val="00BC18F0"/>
    <w:rsid w:val="00BC2269"/>
    <w:rsid w:val="00BC250D"/>
    <w:rsid w:val="00BC256F"/>
    <w:rsid w:val="00BC27A4"/>
    <w:rsid w:val="00BC27BC"/>
    <w:rsid w:val="00BC2873"/>
    <w:rsid w:val="00BC2A9F"/>
    <w:rsid w:val="00BC2B59"/>
    <w:rsid w:val="00BC2E7D"/>
    <w:rsid w:val="00BC2F16"/>
    <w:rsid w:val="00BC33CE"/>
    <w:rsid w:val="00BC34F7"/>
    <w:rsid w:val="00BC361F"/>
    <w:rsid w:val="00BC3BDE"/>
    <w:rsid w:val="00BC3C6E"/>
    <w:rsid w:val="00BC3E08"/>
    <w:rsid w:val="00BC3E8C"/>
    <w:rsid w:val="00BC40A0"/>
    <w:rsid w:val="00BC4221"/>
    <w:rsid w:val="00BC445B"/>
    <w:rsid w:val="00BC4581"/>
    <w:rsid w:val="00BC46A6"/>
    <w:rsid w:val="00BC4B3E"/>
    <w:rsid w:val="00BC4CA8"/>
    <w:rsid w:val="00BC4CF5"/>
    <w:rsid w:val="00BC4D59"/>
    <w:rsid w:val="00BC5197"/>
    <w:rsid w:val="00BC51FF"/>
    <w:rsid w:val="00BC52A9"/>
    <w:rsid w:val="00BC52E9"/>
    <w:rsid w:val="00BC5549"/>
    <w:rsid w:val="00BC5D51"/>
    <w:rsid w:val="00BC5D56"/>
    <w:rsid w:val="00BC6019"/>
    <w:rsid w:val="00BC6102"/>
    <w:rsid w:val="00BC6115"/>
    <w:rsid w:val="00BC6491"/>
    <w:rsid w:val="00BC6B79"/>
    <w:rsid w:val="00BC70CC"/>
    <w:rsid w:val="00BC7295"/>
    <w:rsid w:val="00BC74AF"/>
    <w:rsid w:val="00BC7BDA"/>
    <w:rsid w:val="00BC7F2B"/>
    <w:rsid w:val="00BD0528"/>
    <w:rsid w:val="00BD0839"/>
    <w:rsid w:val="00BD086E"/>
    <w:rsid w:val="00BD093F"/>
    <w:rsid w:val="00BD0E5C"/>
    <w:rsid w:val="00BD1077"/>
    <w:rsid w:val="00BD10AB"/>
    <w:rsid w:val="00BD1193"/>
    <w:rsid w:val="00BD1248"/>
    <w:rsid w:val="00BD2771"/>
    <w:rsid w:val="00BD27DE"/>
    <w:rsid w:val="00BD284F"/>
    <w:rsid w:val="00BD2EEC"/>
    <w:rsid w:val="00BD2F6A"/>
    <w:rsid w:val="00BD31DE"/>
    <w:rsid w:val="00BD3738"/>
    <w:rsid w:val="00BD397E"/>
    <w:rsid w:val="00BD398E"/>
    <w:rsid w:val="00BD3D09"/>
    <w:rsid w:val="00BD3F84"/>
    <w:rsid w:val="00BD440B"/>
    <w:rsid w:val="00BD4592"/>
    <w:rsid w:val="00BD4832"/>
    <w:rsid w:val="00BD4A0B"/>
    <w:rsid w:val="00BD4E94"/>
    <w:rsid w:val="00BD53E9"/>
    <w:rsid w:val="00BD56B7"/>
    <w:rsid w:val="00BD57F3"/>
    <w:rsid w:val="00BD5835"/>
    <w:rsid w:val="00BD58E3"/>
    <w:rsid w:val="00BD5D3D"/>
    <w:rsid w:val="00BD5D6D"/>
    <w:rsid w:val="00BD63B4"/>
    <w:rsid w:val="00BD6771"/>
    <w:rsid w:val="00BD691A"/>
    <w:rsid w:val="00BD6B54"/>
    <w:rsid w:val="00BD6BFF"/>
    <w:rsid w:val="00BD735E"/>
    <w:rsid w:val="00BE0359"/>
    <w:rsid w:val="00BE06BE"/>
    <w:rsid w:val="00BE07B4"/>
    <w:rsid w:val="00BE0886"/>
    <w:rsid w:val="00BE0893"/>
    <w:rsid w:val="00BE0A4D"/>
    <w:rsid w:val="00BE0BF2"/>
    <w:rsid w:val="00BE0DF1"/>
    <w:rsid w:val="00BE1096"/>
    <w:rsid w:val="00BE121E"/>
    <w:rsid w:val="00BE1397"/>
    <w:rsid w:val="00BE147B"/>
    <w:rsid w:val="00BE162B"/>
    <w:rsid w:val="00BE17E6"/>
    <w:rsid w:val="00BE1825"/>
    <w:rsid w:val="00BE18ED"/>
    <w:rsid w:val="00BE207C"/>
    <w:rsid w:val="00BE2312"/>
    <w:rsid w:val="00BE257F"/>
    <w:rsid w:val="00BE2840"/>
    <w:rsid w:val="00BE28FB"/>
    <w:rsid w:val="00BE29F5"/>
    <w:rsid w:val="00BE2BDD"/>
    <w:rsid w:val="00BE2ED0"/>
    <w:rsid w:val="00BE347B"/>
    <w:rsid w:val="00BE3789"/>
    <w:rsid w:val="00BE3B63"/>
    <w:rsid w:val="00BE3B89"/>
    <w:rsid w:val="00BE3BA4"/>
    <w:rsid w:val="00BE3E0E"/>
    <w:rsid w:val="00BE40A0"/>
    <w:rsid w:val="00BE4127"/>
    <w:rsid w:val="00BE4550"/>
    <w:rsid w:val="00BE498C"/>
    <w:rsid w:val="00BE4A25"/>
    <w:rsid w:val="00BE4B2C"/>
    <w:rsid w:val="00BE4BDF"/>
    <w:rsid w:val="00BE4D73"/>
    <w:rsid w:val="00BE52F5"/>
    <w:rsid w:val="00BE550B"/>
    <w:rsid w:val="00BE57E5"/>
    <w:rsid w:val="00BE58F4"/>
    <w:rsid w:val="00BE592F"/>
    <w:rsid w:val="00BE5967"/>
    <w:rsid w:val="00BE5F20"/>
    <w:rsid w:val="00BE63E3"/>
    <w:rsid w:val="00BE655B"/>
    <w:rsid w:val="00BE6627"/>
    <w:rsid w:val="00BE687B"/>
    <w:rsid w:val="00BE6A13"/>
    <w:rsid w:val="00BE6D93"/>
    <w:rsid w:val="00BE72B8"/>
    <w:rsid w:val="00BE751B"/>
    <w:rsid w:val="00BE7602"/>
    <w:rsid w:val="00BE7689"/>
    <w:rsid w:val="00BE76AB"/>
    <w:rsid w:val="00BE76D7"/>
    <w:rsid w:val="00BE76F6"/>
    <w:rsid w:val="00BE78C9"/>
    <w:rsid w:val="00BE793C"/>
    <w:rsid w:val="00BE7941"/>
    <w:rsid w:val="00BE7A02"/>
    <w:rsid w:val="00BE7FDE"/>
    <w:rsid w:val="00BE8371"/>
    <w:rsid w:val="00BF0537"/>
    <w:rsid w:val="00BF0667"/>
    <w:rsid w:val="00BF07FA"/>
    <w:rsid w:val="00BF0B69"/>
    <w:rsid w:val="00BF0DCC"/>
    <w:rsid w:val="00BF10B9"/>
    <w:rsid w:val="00BF11DA"/>
    <w:rsid w:val="00BF13B0"/>
    <w:rsid w:val="00BF1D82"/>
    <w:rsid w:val="00BF1F5B"/>
    <w:rsid w:val="00BF1FD2"/>
    <w:rsid w:val="00BF1FD4"/>
    <w:rsid w:val="00BF2465"/>
    <w:rsid w:val="00BF2616"/>
    <w:rsid w:val="00BF2C31"/>
    <w:rsid w:val="00BF2E0B"/>
    <w:rsid w:val="00BF2FFA"/>
    <w:rsid w:val="00BF3388"/>
    <w:rsid w:val="00BF35D3"/>
    <w:rsid w:val="00BF37C4"/>
    <w:rsid w:val="00BF3826"/>
    <w:rsid w:val="00BF3B38"/>
    <w:rsid w:val="00BF3BE1"/>
    <w:rsid w:val="00BF3C92"/>
    <w:rsid w:val="00BF3D39"/>
    <w:rsid w:val="00BF3E6D"/>
    <w:rsid w:val="00BF411F"/>
    <w:rsid w:val="00BF462A"/>
    <w:rsid w:val="00BF46AE"/>
    <w:rsid w:val="00BF4881"/>
    <w:rsid w:val="00BF4A03"/>
    <w:rsid w:val="00BF4B11"/>
    <w:rsid w:val="00BF4B62"/>
    <w:rsid w:val="00BF4B86"/>
    <w:rsid w:val="00BF4C78"/>
    <w:rsid w:val="00BF4CB8"/>
    <w:rsid w:val="00BF4D0C"/>
    <w:rsid w:val="00BF4E0F"/>
    <w:rsid w:val="00BF5125"/>
    <w:rsid w:val="00BF52A5"/>
    <w:rsid w:val="00BF58A8"/>
    <w:rsid w:val="00BF58E0"/>
    <w:rsid w:val="00BF5928"/>
    <w:rsid w:val="00BF5EA3"/>
    <w:rsid w:val="00BF6097"/>
    <w:rsid w:val="00BF62E2"/>
    <w:rsid w:val="00BF653A"/>
    <w:rsid w:val="00BF66E1"/>
    <w:rsid w:val="00BF7034"/>
    <w:rsid w:val="00BF7077"/>
    <w:rsid w:val="00BF7123"/>
    <w:rsid w:val="00BF7702"/>
    <w:rsid w:val="00BF7A64"/>
    <w:rsid w:val="00BF7EBD"/>
    <w:rsid w:val="00BF7FCF"/>
    <w:rsid w:val="00C00022"/>
    <w:rsid w:val="00C005E6"/>
    <w:rsid w:val="00C006BA"/>
    <w:rsid w:val="00C0070F"/>
    <w:rsid w:val="00C007E7"/>
    <w:rsid w:val="00C008E7"/>
    <w:rsid w:val="00C00997"/>
    <w:rsid w:val="00C009CB"/>
    <w:rsid w:val="00C00B0A"/>
    <w:rsid w:val="00C00B95"/>
    <w:rsid w:val="00C00C89"/>
    <w:rsid w:val="00C00CF4"/>
    <w:rsid w:val="00C00D46"/>
    <w:rsid w:val="00C00DB5"/>
    <w:rsid w:val="00C01183"/>
    <w:rsid w:val="00C016E7"/>
    <w:rsid w:val="00C022F1"/>
    <w:rsid w:val="00C02350"/>
    <w:rsid w:val="00C02703"/>
    <w:rsid w:val="00C02A01"/>
    <w:rsid w:val="00C02A8D"/>
    <w:rsid w:val="00C03574"/>
    <w:rsid w:val="00C0363A"/>
    <w:rsid w:val="00C0365C"/>
    <w:rsid w:val="00C03C10"/>
    <w:rsid w:val="00C03FA8"/>
    <w:rsid w:val="00C04009"/>
    <w:rsid w:val="00C0400B"/>
    <w:rsid w:val="00C04240"/>
    <w:rsid w:val="00C04376"/>
    <w:rsid w:val="00C043B5"/>
    <w:rsid w:val="00C044F8"/>
    <w:rsid w:val="00C046B4"/>
    <w:rsid w:val="00C046F2"/>
    <w:rsid w:val="00C04CC5"/>
    <w:rsid w:val="00C05268"/>
    <w:rsid w:val="00C054F9"/>
    <w:rsid w:val="00C055B5"/>
    <w:rsid w:val="00C05746"/>
    <w:rsid w:val="00C058F2"/>
    <w:rsid w:val="00C05E90"/>
    <w:rsid w:val="00C0677D"/>
    <w:rsid w:val="00C06795"/>
    <w:rsid w:val="00C0686C"/>
    <w:rsid w:val="00C0689F"/>
    <w:rsid w:val="00C06A14"/>
    <w:rsid w:val="00C06A7D"/>
    <w:rsid w:val="00C06C19"/>
    <w:rsid w:val="00C06EB7"/>
    <w:rsid w:val="00C07585"/>
    <w:rsid w:val="00C07771"/>
    <w:rsid w:val="00C07940"/>
    <w:rsid w:val="00C079C5"/>
    <w:rsid w:val="00C07C98"/>
    <w:rsid w:val="00C07E60"/>
    <w:rsid w:val="00C07F0D"/>
    <w:rsid w:val="00C10270"/>
    <w:rsid w:val="00C103BD"/>
    <w:rsid w:val="00C107AD"/>
    <w:rsid w:val="00C107B0"/>
    <w:rsid w:val="00C107D5"/>
    <w:rsid w:val="00C108AA"/>
    <w:rsid w:val="00C108FB"/>
    <w:rsid w:val="00C1094F"/>
    <w:rsid w:val="00C109A3"/>
    <w:rsid w:val="00C10B17"/>
    <w:rsid w:val="00C10C14"/>
    <w:rsid w:val="00C10D24"/>
    <w:rsid w:val="00C10DAD"/>
    <w:rsid w:val="00C10DF8"/>
    <w:rsid w:val="00C10FF7"/>
    <w:rsid w:val="00C1117C"/>
    <w:rsid w:val="00C112B4"/>
    <w:rsid w:val="00C11388"/>
    <w:rsid w:val="00C11681"/>
    <w:rsid w:val="00C11908"/>
    <w:rsid w:val="00C11A09"/>
    <w:rsid w:val="00C11AFC"/>
    <w:rsid w:val="00C11B75"/>
    <w:rsid w:val="00C11CD2"/>
    <w:rsid w:val="00C11D9F"/>
    <w:rsid w:val="00C11DDA"/>
    <w:rsid w:val="00C11FA2"/>
    <w:rsid w:val="00C11FE1"/>
    <w:rsid w:val="00C12062"/>
    <w:rsid w:val="00C12135"/>
    <w:rsid w:val="00C123A0"/>
    <w:rsid w:val="00C12606"/>
    <w:rsid w:val="00C12679"/>
    <w:rsid w:val="00C12A98"/>
    <w:rsid w:val="00C12C6A"/>
    <w:rsid w:val="00C12D4A"/>
    <w:rsid w:val="00C1316C"/>
    <w:rsid w:val="00C13337"/>
    <w:rsid w:val="00C1378A"/>
    <w:rsid w:val="00C13966"/>
    <w:rsid w:val="00C13C12"/>
    <w:rsid w:val="00C13C57"/>
    <w:rsid w:val="00C13E3E"/>
    <w:rsid w:val="00C13ED7"/>
    <w:rsid w:val="00C14487"/>
    <w:rsid w:val="00C144B7"/>
    <w:rsid w:val="00C147EF"/>
    <w:rsid w:val="00C14979"/>
    <w:rsid w:val="00C14A24"/>
    <w:rsid w:val="00C14B04"/>
    <w:rsid w:val="00C14C52"/>
    <w:rsid w:val="00C14E39"/>
    <w:rsid w:val="00C151A3"/>
    <w:rsid w:val="00C15222"/>
    <w:rsid w:val="00C15952"/>
    <w:rsid w:val="00C15ADB"/>
    <w:rsid w:val="00C15BFC"/>
    <w:rsid w:val="00C16069"/>
    <w:rsid w:val="00C16A2B"/>
    <w:rsid w:val="00C16C56"/>
    <w:rsid w:val="00C1713B"/>
    <w:rsid w:val="00C175B9"/>
    <w:rsid w:val="00C1783F"/>
    <w:rsid w:val="00C17AB4"/>
    <w:rsid w:val="00C17BFA"/>
    <w:rsid w:val="00C2023F"/>
    <w:rsid w:val="00C2024B"/>
    <w:rsid w:val="00C20414"/>
    <w:rsid w:val="00C20A43"/>
    <w:rsid w:val="00C20B71"/>
    <w:rsid w:val="00C20FBC"/>
    <w:rsid w:val="00C21081"/>
    <w:rsid w:val="00C2188F"/>
    <w:rsid w:val="00C218EA"/>
    <w:rsid w:val="00C21D2D"/>
    <w:rsid w:val="00C21D3A"/>
    <w:rsid w:val="00C22061"/>
    <w:rsid w:val="00C2218E"/>
    <w:rsid w:val="00C221B9"/>
    <w:rsid w:val="00C224F1"/>
    <w:rsid w:val="00C22C66"/>
    <w:rsid w:val="00C22F15"/>
    <w:rsid w:val="00C2332B"/>
    <w:rsid w:val="00C23CE6"/>
    <w:rsid w:val="00C23E32"/>
    <w:rsid w:val="00C23F6C"/>
    <w:rsid w:val="00C24385"/>
    <w:rsid w:val="00C244AD"/>
    <w:rsid w:val="00C245A2"/>
    <w:rsid w:val="00C2461B"/>
    <w:rsid w:val="00C248D7"/>
    <w:rsid w:val="00C24949"/>
    <w:rsid w:val="00C24A3E"/>
    <w:rsid w:val="00C253DE"/>
    <w:rsid w:val="00C255FA"/>
    <w:rsid w:val="00C257DC"/>
    <w:rsid w:val="00C259D1"/>
    <w:rsid w:val="00C25A55"/>
    <w:rsid w:val="00C25A5D"/>
    <w:rsid w:val="00C25AEE"/>
    <w:rsid w:val="00C25AF8"/>
    <w:rsid w:val="00C25E00"/>
    <w:rsid w:val="00C25ED0"/>
    <w:rsid w:val="00C26264"/>
    <w:rsid w:val="00C26343"/>
    <w:rsid w:val="00C26347"/>
    <w:rsid w:val="00C26486"/>
    <w:rsid w:val="00C26529"/>
    <w:rsid w:val="00C26570"/>
    <w:rsid w:val="00C266F9"/>
    <w:rsid w:val="00C26718"/>
    <w:rsid w:val="00C26724"/>
    <w:rsid w:val="00C2757A"/>
    <w:rsid w:val="00C27819"/>
    <w:rsid w:val="00C2787A"/>
    <w:rsid w:val="00C27C10"/>
    <w:rsid w:val="00C27E81"/>
    <w:rsid w:val="00C27FBF"/>
    <w:rsid w:val="00C300F0"/>
    <w:rsid w:val="00C30154"/>
    <w:rsid w:val="00C302D8"/>
    <w:rsid w:val="00C3049E"/>
    <w:rsid w:val="00C30719"/>
    <w:rsid w:val="00C3083D"/>
    <w:rsid w:val="00C30A93"/>
    <w:rsid w:val="00C30B37"/>
    <w:rsid w:val="00C30BD0"/>
    <w:rsid w:val="00C30CFE"/>
    <w:rsid w:val="00C310AD"/>
    <w:rsid w:val="00C31125"/>
    <w:rsid w:val="00C313C1"/>
    <w:rsid w:val="00C31546"/>
    <w:rsid w:val="00C31554"/>
    <w:rsid w:val="00C3177E"/>
    <w:rsid w:val="00C31A49"/>
    <w:rsid w:val="00C31B66"/>
    <w:rsid w:val="00C31C37"/>
    <w:rsid w:val="00C31D75"/>
    <w:rsid w:val="00C320B8"/>
    <w:rsid w:val="00C322A2"/>
    <w:rsid w:val="00C32498"/>
    <w:rsid w:val="00C325E2"/>
    <w:rsid w:val="00C32A49"/>
    <w:rsid w:val="00C32CC9"/>
    <w:rsid w:val="00C32FA4"/>
    <w:rsid w:val="00C33058"/>
    <w:rsid w:val="00C330B3"/>
    <w:rsid w:val="00C33129"/>
    <w:rsid w:val="00C331AC"/>
    <w:rsid w:val="00C33256"/>
    <w:rsid w:val="00C33306"/>
    <w:rsid w:val="00C3348B"/>
    <w:rsid w:val="00C334DD"/>
    <w:rsid w:val="00C334FD"/>
    <w:rsid w:val="00C337E8"/>
    <w:rsid w:val="00C339D4"/>
    <w:rsid w:val="00C33A16"/>
    <w:rsid w:val="00C33C84"/>
    <w:rsid w:val="00C33D24"/>
    <w:rsid w:val="00C33DB9"/>
    <w:rsid w:val="00C33E10"/>
    <w:rsid w:val="00C340AA"/>
    <w:rsid w:val="00C34103"/>
    <w:rsid w:val="00C34110"/>
    <w:rsid w:val="00C341EF"/>
    <w:rsid w:val="00C3423C"/>
    <w:rsid w:val="00C342CE"/>
    <w:rsid w:val="00C343A0"/>
    <w:rsid w:val="00C349FC"/>
    <w:rsid w:val="00C34C26"/>
    <w:rsid w:val="00C34E04"/>
    <w:rsid w:val="00C34EF5"/>
    <w:rsid w:val="00C3513E"/>
    <w:rsid w:val="00C354B3"/>
    <w:rsid w:val="00C35748"/>
    <w:rsid w:val="00C35AB5"/>
    <w:rsid w:val="00C35D0A"/>
    <w:rsid w:val="00C360C8"/>
    <w:rsid w:val="00C3621F"/>
    <w:rsid w:val="00C36282"/>
    <w:rsid w:val="00C362E8"/>
    <w:rsid w:val="00C3650E"/>
    <w:rsid w:val="00C36707"/>
    <w:rsid w:val="00C36A8F"/>
    <w:rsid w:val="00C36D4A"/>
    <w:rsid w:val="00C36EDE"/>
    <w:rsid w:val="00C372F7"/>
    <w:rsid w:val="00C373B8"/>
    <w:rsid w:val="00C374A7"/>
    <w:rsid w:val="00C3757B"/>
    <w:rsid w:val="00C37B44"/>
    <w:rsid w:val="00C37D48"/>
    <w:rsid w:val="00C37E3E"/>
    <w:rsid w:val="00C37E82"/>
    <w:rsid w:val="00C37F85"/>
    <w:rsid w:val="00C37FF7"/>
    <w:rsid w:val="00C40505"/>
    <w:rsid w:val="00C40508"/>
    <w:rsid w:val="00C4051B"/>
    <w:rsid w:val="00C407AC"/>
    <w:rsid w:val="00C408B3"/>
    <w:rsid w:val="00C409BA"/>
    <w:rsid w:val="00C410EF"/>
    <w:rsid w:val="00C411B1"/>
    <w:rsid w:val="00C412E4"/>
    <w:rsid w:val="00C412F6"/>
    <w:rsid w:val="00C41329"/>
    <w:rsid w:val="00C417B8"/>
    <w:rsid w:val="00C4186F"/>
    <w:rsid w:val="00C418FC"/>
    <w:rsid w:val="00C41D4C"/>
    <w:rsid w:val="00C4213A"/>
    <w:rsid w:val="00C4219A"/>
    <w:rsid w:val="00C422CC"/>
    <w:rsid w:val="00C4253D"/>
    <w:rsid w:val="00C428B5"/>
    <w:rsid w:val="00C42979"/>
    <w:rsid w:val="00C42A32"/>
    <w:rsid w:val="00C42AE4"/>
    <w:rsid w:val="00C42B62"/>
    <w:rsid w:val="00C42BCB"/>
    <w:rsid w:val="00C43056"/>
    <w:rsid w:val="00C43163"/>
    <w:rsid w:val="00C438FF"/>
    <w:rsid w:val="00C44115"/>
    <w:rsid w:val="00C4446D"/>
    <w:rsid w:val="00C444A1"/>
    <w:rsid w:val="00C44721"/>
    <w:rsid w:val="00C4484F"/>
    <w:rsid w:val="00C44A30"/>
    <w:rsid w:val="00C44BF5"/>
    <w:rsid w:val="00C44C8E"/>
    <w:rsid w:val="00C4548F"/>
    <w:rsid w:val="00C45514"/>
    <w:rsid w:val="00C4591F"/>
    <w:rsid w:val="00C45F6E"/>
    <w:rsid w:val="00C46126"/>
    <w:rsid w:val="00C464FB"/>
    <w:rsid w:val="00C4661E"/>
    <w:rsid w:val="00C466E7"/>
    <w:rsid w:val="00C468B4"/>
    <w:rsid w:val="00C46B5A"/>
    <w:rsid w:val="00C46B62"/>
    <w:rsid w:val="00C46E77"/>
    <w:rsid w:val="00C46F26"/>
    <w:rsid w:val="00C46FB8"/>
    <w:rsid w:val="00C46FFB"/>
    <w:rsid w:val="00C473C3"/>
    <w:rsid w:val="00C47734"/>
    <w:rsid w:val="00C478C0"/>
    <w:rsid w:val="00C47A63"/>
    <w:rsid w:val="00C47AF5"/>
    <w:rsid w:val="00C47BDA"/>
    <w:rsid w:val="00C47D10"/>
    <w:rsid w:val="00C47D73"/>
    <w:rsid w:val="00C47FBE"/>
    <w:rsid w:val="00C5025F"/>
    <w:rsid w:val="00C502A2"/>
    <w:rsid w:val="00C507B9"/>
    <w:rsid w:val="00C507F1"/>
    <w:rsid w:val="00C508DD"/>
    <w:rsid w:val="00C50A60"/>
    <w:rsid w:val="00C50BB7"/>
    <w:rsid w:val="00C50C58"/>
    <w:rsid w:val="00C50D0E"/>
    <w:rsid w:val="00C5125C"/>
    <w:rsid w:val="00C51317"/>
    <w:rsid w:val="00C51320"/>
    <w:rsid w:val="00C5139C"/>
    <w:rsid w:val="00C515D3"/>
    <w:rsid w:val="00C517CC"/>
    <w:rsid w:val="00C51841"/>
    <w:rsid w:val="00C51961"/>
    <w:rsid w:val="00C51A57"/>
    <w:rsid w:val="00C51BD7"/>
    <w:rsid w:val="00C51F3F"/>
    <w:rsid w:val="00C51FA5"/>
    <w:rsid w:val="00C52051"/>
    <w:rsid w:val="00C520E1"/>
    <w:rsid w:val="00C52215"/>
    <w:rsid w:val="00C5226F"/>
    <w:rsid w:val="00C526D7"/>
    <w:rsid w:val="00C52827"/>
    <w:rsid w:val="00C52C9F"/>
    <w:rsid w:val="00C52F4F"/>
    <w:rsid w:val="00C530C4"/>
    <w:rsid w:val="00C53207"/>
    <w:rsid w:val="00C5351B"/>
    <w:rsid w:val="00C53562"/>
    <w:rsid w:val="00C53A3B"/>
    <w:rsid w:val="00C53E3E"/>
    <w:rsid w:val="00C53F58"/>
    <w:rsid w:val="00C53FDB"/>
    <w:rsid w:val="00C5402C"/>
    <w:rsid w:val="00C5409A"/>
    <w:rsid w:val="00C540D1"/>
    <w:rsid w:val="00C54301"/>
    <w:rsid w:val="00C5447C"/>
    <w:rsid w:val="00C547AA"/>
    <w:rsid w:val="00C54B64"/>
    <w:rsid w:val="00C54C45"/>
    <w:rsid w:val="00C54DA3"/>
    <w:rsid w:val="00C54DEF"/>
    <w:rsid w:val="00C5502E"/>
    <w:rsid w:val="00C55089"/>
    <w:rsid w:val="00C550A7"/>
    <w:rsid w:val="00C552AA"/>
    <w:rsid w:val="00C5535D"/>
    <w:rsid w:val="00C555B7"/>
    <w:rsid w:val="00C556F6"/>
    <w:rsid w:val="00C557E4"/>
    <w:rsid w:val="00C55931"/>
    <w:rsid w:val="00C55A4F"/>
    <w:rsid w:val="00C55B00"/>
    <w:rsid w:val="00C55C20"/>
    <w:rsid w:val="00C55C76"/>
    <w:rsid w:val="00C55F89"/>
    <w:rsid w:val="00C55F97"/>
    <w:rsid w:val="00C55FCA"/>
    <w:rsid w:val="00C55FED"/>
    <w:rsid w:val="00C56049"/>
    <w:rsid w:val="00C56460"/>
    <w:rsid w:val="00C5668F"/>
    <w:rsid w:val="00C56774"/>
    <w:rsid w:val="00C56B97"/>
    <w:rsid w:val="00C56C0E"/>
    <w:rsid w:val="00C56EF0"/>
    <w:rsid w:val="00C56F9A"/>
    <w:rsid w:val="00C5710B"/>
    <w:rsid w:val="00C57278"/>
    <w:rsid w:val="00C57358"/>
    <w:rsid w:val="00C57706"/>
    <w:rsid w:val="00C577BE"/>
    <w:rsid w:val="00C57A8B"/>
    <w:rsid w:val="00C57ADA"/>
    <w:rsid w:val="00C57E69"/>
    <w:rsid w:val="00C57EAB"/>
    <w:rsid w:val="00C57F8B"/>
    <w:rsid w:val="00C57FDC"/>
    <w:rsid w:val="00C60032"/>
    <w:rsid w:val="00C6015E"/>
    <w:rsid w:val="00C6053E"/>
    <w:rsid w:val="00C60651"/>
    <w:rsid w:val="00C6066E"/>
    <w:rsid w:val="00C60FFF"/>
    <w:rsid w:val="00C61124"/>
    <w:rsid w:val="00C6132D"/>
    <w:rsid w:val="00C6151C"/>
    <w:rsid w:val="00C6164E"/>
    <w:rsid w:val="00C6168F"/>
    <w:rsid w:val="00C61874"/>
    <w:rsid w:val="00C618D8"/>
    <w:rsid w:val="00C61CAA"/>
    <w:rsid w:val="00C62047"/>
    <w:rsid w:val="00C6211E"/>
    <w:rsid w:val="00C62357"/>
    <w:rsid w:val="00C625AB"/>
    <w:rsid w:val="00C62868"/>
    <w:rsid w:val="00C62A89"/>
    <w:rsid w:val="00C62B7D"/>
    <w:rsid w:val="00C62F19"/>
    <w:rsid w:val="00C6324C"/>
    <w:rsid w:val="00C638C5"/>
    <w:rsid w:val="00C63A0A"/>
    <w:rsid w:val="00C63BB5"/>
    <w:rsid w:val="00C63C09"/>
    <w:rsid w:val="00C63D57"/>
    <w:rsid w:val="00C63EDF"/>
    <w:rsid w:val="00C63F8F"/>
    <w:rsid w:val="00C6402A"/>
    <w:rsid w:val="00C64239"/>
    <w:rsid w:val="00C64252"/>
    <w:rsid w:val="00C6443A"/>
    <w:rsid w:val="00C64614"/>
    <w:rsid w:val="00C64714"/>
    <w:rsid w:val="00C64821"/>
    <w:rsid w:val="00C64835"/>
    <w:rsid w:val="00C64A40"/>
    <w:rsid w:val="00C64A99"/>
    <w:rsid w:val="00C64FBF"/>
    <w:rsid w:val="00C64FD9"/>
    <w:rsid w:val="00C65118"/>
    <w:rsid w:val="00C6539A"/>
    <w:rsid w:val="00C65455"/>
    <w:rsid w:val="00C65809"/>
    <w:rsid w:val="00C6594C"/>
    <w:rsid w:val="00C65D9E"/>
    <w:rsid w:val="00C65FDA"/>
    <w:rsid w:val="00C6604C"/>
    <w:rsid w:val="00C660D9"/>
    <w:rsid w:val="00C6620F"/>
    <w:rsid w:val="00C664E9"/>
    <w:rsid w:val="00C666D3"/>
    <w:rsid w:val="00C66811"/>
    <w:rsid w:val="00C66B35"/>
    <w:rsid w:val="00C66CE8"/>
    <w:rsid w:val="00C66D3E"/>
    <w:rsid w:val="00C66EDA"/>
    <w:rsid w:val="00C66FD7"/>
    <w:rsid w:val="00C67023"/>
    <w:rsid w:val="00C6716D"/>
    <w:rsid w:val="00C6756D"/>
    <w:rsid w:val="00C676C4"/>
    <w:rsid w:val="00C67850"/>
    <w:rsid w:val="00C67867"/>
    <w:rsid w:val="00C6791E"/>
    <w:rsid w:val="00C67BF6"/>
    <w:rsid w:val="00C67CC9"/>
    <w:rsid w:val="00C67D05"/>
    <w:rsid w:val="00C67DCB"/>
    <w:rsid w:val="00C701AA"/>
    <w:rsid w:val="00C703B4"/>
    <w:rsid w:val="00C703ED"/>
    <w:rsid w:val="00C704EA"/>
    <w:rsid w:val="00C707B5"/>
    <w:rsid w:val="00C707DA"/>
    <w:rsid w:val="00C709FA"/>
    <w:rsid w:val="00C70AE0"/>
    <w:rsid w:val="00C70AF6"/>
    <w:rsid w:val="00C70B91"/>
    <w:rsid w:val="00C70BA8"/>
    <w:rsid w:val="00C70BB0"/>
    <w:rsid w:val="00C70C59"/>
    <w:rsid w:val="00C71082"/>
    <w:rsid w:val="00C71183"/>
    <w:rsid w:val="00C711B2"/>
    <w:rsid w:val="00C714D9"/>
    <w:rsid w:val="00C716A1"/>
    <w:rsid w:val="00C7170D"/>
    <w:rsid w:val="00C71729"/>
    <w:rsid w:val="00C718C5"/>
    <w:rsid w:val="00C721DE"/>
    <w:rsid w:val="00C725A7"/>
    <w:rsid w:val="00C729EF"/>
    <w:rsid w:val="00C72D05"/>
    <w:rsid w:val="00C72DB1"/>
    <w:rsid w:val="00C72E7F"/>
    <w:rsid w:val="00C72EC6"/>
    <w:rsid w:val="00C72F55"/>
    <w:rsid w:val="00C73230"/>
    <w:rsid w:val="00C7338F"/>
    <w:rsid w:val="00C73641"/>
    <w:rsid w:val="00C73932"/>
    <w:rsid w:val="00C73ACC"/>
    <w:rsid w:val="00C73CEE"/>
    <w:rsid w:val="00C73EE6"/>
    <w:rsid w:val="00C7424B"/>
    <w:rsid w:val="00C7439E"/>
    <w:rsid w:val="00C743E9"/>
    <w:rsid w:val="00C7470A"/>
    <w:rsid w:val="00C74A7B"/>
    <w:rsid w:val="00C74DD0"/>
    <w:rsid w:val="00C74E42"/>
    <w:rsid w:val="00C752DD"/>
    <w:rsid w:val="00C754B0"/>
    <w:rsid w:val="00C757DF"/>
    <w:rsid w:val="00C758BE"/>
    <w:rsid w:val="00C75AAC"/>
    <w:rsid w:val="00C75C69"/>
    <w:rsid w:val="00C75DBC"/>
    <w:rsid w:val="00C75DFE"/>
    <w:rsid w:val="00C75EE0"/>
    <w:rsid w:val="00C75F68"/>
    <w:rsid w:val="00C76312"/>
    <w:rsid w:val="00C764E4"/>
    <w:rsid w:val="00C76574"/>
    <w:rsid w:val="00C765D4"/>
    <w:rsid w:val="00C76BAA"/>
    <w:rsid w:val="00C76FDC"/>
    <w:rsid w:val="00C77025"/>
    <w:rsid w:val="00C77182"/>
    <w:rsid w:val="00C773A7"/>
    <w:rsid w:val="00C773B6"/>
    <w:rsid w:val="00C7762D"/>
    <w:rsid w:val="00C77C1C"/>
    <w:rsid w:val="00C77C57"/>
    <w:rsid w:val="00C77DA1"/>
    <w:rsid w:val="00C77F67"/>
    <w:rsid w:val="00C7B701"/>
    <w:rsid w:val="00C801E4"/>
    <w:rsid w:val="00C801E7"/>
    <w:rsid w:val="00C802F7"/>
    <w:rsid w:val="00C8036C"/>
    <w:rsid w:val="00C803B9"/>
    <w:rsid w:val="00C804EC"/>
    <w:rsid w:val="00C80582"/>
    <w:rsid w:val="00C80657"/>
    <w:rsid w:val="00C80B16"/>
    <w:rsid w:val="00C80FAB"/>
    <w:rsid w:val="00C8113C"/>
    <w:rsid w:val="00C81141"/>
    <w:rsid w:val="00C811BF"/>
    <w:rsid w:val="00C812C5"/>
    <w:rsid w:val="00C814DA"/>
    <w:rsid w:val="00C81590"/>
    <w:rsid w:val="00C81813"/>
    <w:rsid w:val="00C81940"/>
    <w:rsid w:val="00C81EFA"/>
    <w:rsid w:val="00C81F64"/>
    <w:rsid w:val="00C8207B"/>
    <w:rsid w:val="00C821E2"/>
    <w:rsid w:val="00C8246F"/>
    <w:rsid w:val="00C824EC"/>
    <w:rsid w:val="00C82551"/>
    <w:rsid w:val="00C8297D"/>
    <w:rsid w:val="00C82B0C"/>
    <w:rsid w:val="00C82C30"/>
    <w:rsid w:val="00C82C85"/>
    <w:rsid w:val="00C82F10"/>
    <w:rsid w:val="00C82F56"/>
    <w:rsid w:val="00C82F58"/>
    <w:rsid w:val="00C83237"/>
    <w:rsid w:val="00C8372E"/>
    <w:rsid w:val="00C837C1"/>
    <w:rsid w:val="00C837C6"/>
    <w:rsid w:val="00C83918"/>
    <w:rsid w:val="00C83C1F"/>
    <w:rsid w:val="00C8412A"/>
    <w:rsid w:val="00C8421B"/>
    <w:rsid w:val="00C844F3"/>
    <w:rsid w:val="00C8459B"/>
    <w:rsid w:val="00C8488C"/>
    <w:rsid w:val="00C84A3B"/>
    <w:rsid w:val="00C8513B"/>
    <w:rsid w:val="00C85493"/>
    <w:rsid w:val="00C85619"/>
    <w:rsid w:val="00C85877"/>
    <w:rsid w:val="00C85BEA"/>
    <w:rsid w:val="00C85F59"/>
    <w:rsid w:val="00C860AD"/>
    <w:rsid w:val="00C860E6"/>
    <w:rsid w:val="00C86275"/>
    <w:rsid w:val="00C865B8"/>
    <w:rsid w:val="00C86A7D"/>
    <w:rsid w:val="00C86BD9"/>
    <w:rsid w:val="00C86C5B"/>
    <w:rsid w:val="00C86E4F"/>
    <w:rsid w:val="00C8703A"/>
    <w:rsid w:val="00C8776D"/>
    <w:rsid w:val="00C87836"/>
    <w:rsid w:val="00C87903"/>
    <w:rsid w:val="00C87917"/>
    <w:rsid w:val="00C87A9C"/>
    <w:rsid w:val="00C87C5D"/>
    <w:rsid w:val="00C87EE3"/>
    <w:rsid w:val="00C9011F"/>
    <w:rsid w:val="00C9023A"/>
    <w:rsid w:val="00C90694"/>
    <w:rsid w:val="00C9096A"/>
    <w:rsid w:val="00C90CF0"/>
    <w:rsid w:val="00C90D47"/>
    <w:rsid w:val="00C90F65"/>
    <w:rsid w:val="00C91046"/>
    <w:rsid w:val="00C910D5"/>
    <w:rsid w:val="00C913C1"/>
    <w:rsid w:val="00C914A8"/>
    <w:rsid w:val="00C91562"/>
    <w:rsid w:val="00C91571"/>
    <w:rsid w:val="00C91590"/>
    <w:rsid w:val="00C91938"/>
    <w:rsid w:val="00C91A11"/>
    <w:rsid w:val="00C91AED"/>
    <w:rsid w:val="00C91D11"/>
    <w:rsid w:val="00C92088"/>
    <w:rsid w:val="00C92134"/>
    <w:rsid w:val="00C923EE"/>
    <w:rsid w:val="00C92985"/>
    <w:rsid w:val="00C92AF0"/>
    <w:rsid w:val="00C92B4B"/>
    <w:rsid w:val="00C9309A"/>
    <w:rsid w:val="00C930EE"/>
    <w:rsid w:val="00C9315B"/>
    <w:rsid w:val="00C931B2"/>
    <w:rsid w:val="00C93468"/>
    <w:rsid w:val="00C934CA"/>
    <w:rsid w:val="00C93A8E"/>
    <w:rsid w:val="00C93B16"/>
    <w:rsid w:val="00C94426"/>
    <w:rsid w:val="00C948B7"/>
    <w:rsid w:val="00C94ABE"/>
    <w:rsid w:val="00C94B3B"/>
    <w:rsid w:val="00C94CAB"/>
    <w:rsid w:val="00C94F55"/>
    <w:rsid w:val="00C94F73"/>
    <w:rsid w:val="00C95052"/>
    <w:rsid w:val="00C952CD"/>
    <w:rsid w:val="00C95484"/>
    <w:rsid w:val="00C954C1"/>
    <w:rsid w:val="00C95D3D"/>
    <w:rsid w:val="00C95F31"/>
    <w:rsid w:val="00C9605C"/>
    <w:rsid w:val="00C9613A"/>
    <w:rsid w:val="00C961F6"/>
    <w:rsid w:val="00C96C5D"/>
    <w:rsid w:val="00C96D2B"/>
    <w:rsid w:val="00C96F96"/>
    <w:rsid w:val="00C96FB9"/>
    <w:rsid w:val="00C9702F"/>
    <w:rsid w:val="00C97318"/>
    <w:rsid w:val="00C97669"/>
    <w:rsid w:val="00C97670"/>
    <w:rsid w:val="00C97731"/>
    <w:rsid w:val="00C97984"/>
    <w:rsid w:val="00C97C3B"/>
    <w:rsid w:val="00C97D9B"/>
    <w:rsid w:val="00C97E32"/>
    <w:rsid w:val="00CA0017"/>
    <w:rsid w:val="00CA006A"/>
    <w:rsid w:val="00CA00BE"/>
    <w:rsid w:val="00CA00CD"/>
    <w:rsid w:val="00CA03F0"/>
    <w:rsid w:val="00CA05CC"/>
    <w:rsid w:val="00CA0730"/>
    <w:rsid w:val="00CA0743"/>
    <w:rsid w:val="00CA0D32"/>
    <w:rsid w:val="00CA0DC8"/>
    <w:rsid w:val="00CA11C0"/>
    <w:rsid w:val="00CA11E1"/>
    <w:rsid w:val="00CA15EC"/>
    <w:rsid w:val="00CA1970"/>
    <w:rsid w:val="00CA1B66"/>
    <w:rsid w:val="00CA1BA9"/>
    <w:rsid w:val="00CA1BF0"/>
    <w:rsid w:val="00CA1C24"/>
    <w:rsid w:val="00CA1D47"/>
    <w:rsid w:val="00CA287B"/>
    <w:rsid w:val="00CA2B58"/>
    <w:rsid w:val="00CA3157"/>
    <w:rsid w:val="00CA3262"/>
    <w:rsid w:val="00CA369F"/>
    <w:rsid w:val="00CA398C"/>
    <w:rsid w:val="00CA3B10"/>
    <w:rsid w:val="00CA3D5F"/>
    <w:rsid w:val="00CA423F"/>
    <w:rsid w:val="00CA42E0"/>
    <w:rsid w:val="00CA4300"/>
    <w:rsid w:val="00CA4796"/>
    <w:rsid w:val="00CA4800"/>
    <w:rsid w:val="00CA49C6"/>
    <w:rsid w:val="00CA4AA6"/>
    <w:rsid w:val="00CA4B13"/>
    <w:rsid w:val="00CA4BAD"/>
    <w:rsid w:val="00CA4BBE"/>
    <w:rsid w:val="00CA4ED7"/>
    <w:rsid w:val="00CA4FA0"/>
    <w:rsid w:val="00CA500B"/>
    <w:rsid w:val="00CA50E1"/>
    <w:rsid w:val="00CA50F7"/>
    <w:rsid w:val="00CA51ED"/>
    <w:rsid w:val="00CA528A"/>
    <w:rsid w:val="00CA5A11"/>
    <w:rsid w:val="00CA5A5B"/>
    <w:rsid w:val="00CA5DA6"/>
    <w:rsid w:val="00CA5EF0"/>
    <w:rsid w:val="00CA60CD"/>
    <w:rsid w:val="00CA65D9"/>
    <w:rsid w:val="00CA6913"/>
    <w:rsid w:val="00CA6A01"/>
    <w:rsid w:val="00CA6BC8"/>
    <w:rsid w:val="00CA6C12"/>
    <w:rsid w:val="00CA6E72"/>
    <w:rsid w:val="00CA70E6"/>
    <w:rsid w:val="00CA7146"/>
    <w:rsid w:val="00CA7222"/>
    <w:rsid w:val="00CA7227"/>
    <w:rsid w:val="00CA753F"/>
    <w:rsid w:val="00CA769E"/>
    <w:rsid w:val="00CA7A8A"/>
    <w:rsid w:val="00CA7B2B"/>
    <w:rsid w:val="00CA7DAB"/>
    <w:rsid w:val="00CA7FC4"/>
    <w:rsid w:val="00CB0018"/>
    <w:rsid w:val="00CB0684"/>
    <w:rsid w:val="00CB0748"/>
    <w:rsid w:val="00CB0A44"/>
    <w:rsid w:val="00CB12AE"/>
    <w:rsid w:val="00CB1599"/>
    <w:rsid w:val="00CB1EE8"/>
    <w:rsid w:val="00CB1FA5"/>
    <w:rsid w:val="00CB2072"/>
    <w:rsid w:val="00CB211B"/>
    <w:rsid w:val="00CB2600"/>
    <w:rsid w:val="00CB2602"/>
    <w:rsid w:val="00CB27AC"/>
    <w:rsid w:val="00CB2D27"/>
    <w:rsid w:val="00CB2FA3"/>
    <w:rsid w:val="00CB321F"/>
    <w:rsid w:val="00CB325F"/>
    <w:rsid w:val="00CB3637"/>
    <w:rsid w:val="00CB3769"/>
    <w:rsid w:val="00CB3CD8"/>
    <w:rsid w:val="00CB3D40"/>
    <w:rsid w:val="00CB3D4E"/>
    <w:rsid w:val="00CB3D50"/>
    <w:rsid w:val="00CB400E"/>
    <w:rsid w:val="00CB430E"/>
    <w:rsid w:val="00CB44B5"/>
    <w:rsid w:val="00CB45BB"/>
    <w:rsid w:val="00CB45D7"/>
    <w:rsid w:val="00CB4762"/>
    <w:rsid w:val="00CB47B3"/>
    <w:rsid w:val="00CB4824"/>
    <w:rsid w:val="00CB48DB"/>
    <w:rsid w:val="00CB4DD6"/>
    <w:rsid w:val="00CB4EA5"/>
    <w:rsid w:val="00CB50F3"/>
    <w:rsid w:val="00CB5111"/>
    <w:rsid w:val="00CB5306"/>
    <w:rsid w:val="00CB53C6"/>
    <w:rsid w:val="00CB5507"/>
    <w:rsid w:val="00CB5A6E"/>
    <w:rsid w:val="00CB5BB4"/>
    <w:rsid w:val="00CB5D21"/>
    <w:rsid w:val="00CB610B"/>
    <w:rsid w:val="00CB6157"/>
    <w:rsid w:val="00CB6D79"/>
    <w:rsid w:val="00CB6DE5"/>
    <w:rsid w:val="00CB6E6E"/>
    <w:rsid w:val="00CB714E"/>
    <w:rsid w:val="00CB716B"/>
    <w:rsid w:val="00CB72D8"/>
    <w:rsid w:val="00CB73FB"/>
    <w:rsid w:val="00CB74EE"/>
    <w:rsid w:val="00CB76EF"/>
    <w:rsid w:val="00CB77A3"/>
    <w:rsid w:val="00CB78EE"/>
    <w:rsid w:val="00CB7EF9"/>
    <w:rsid w:val="00CC019F"/>
    <w:rsid w:val="00CC01DD"/>
    <w:rsid w:val="00CC0F87"/>
    <w:rsid w:val="00CC1289"/>
    <w:rsid w:val="00CC12F0"/>
    <w:rsid w:val="00CC158A"/>
    <w:rsid w:val="00CC1629"/>
    <w:rsid w:val="00CC16EC"/>
    <w:rsid w:val="00CC18BA"/>
    <w:rsid w:val="00CC1B7D"/>
    <w:rsid w:val="00CC1D57"/>
    <w:rsid w:val="00CC1DE0"/>
    <w:rsid w:val="00CC208B"/>
    <w:rsid w:val="00CC20E5"/>
    <w:rsid w:val="00CC2ABC"/>
    <w:rsid w:val="00CC2BD6"/>
    <w:rsid w:val="00CC2BF9"/>
    <w:rsid w:val="00CC2FF1"/>
    <w:rsid w:val="00CC31EE"/>
    <w:rsid w:val="00CC325D"/>
    <w:rsid w:val="00CC3276"/>
    <w:rsid w:val="00CC3280"/>
    <w:rsid w:val="00CC358C"/>
    <w:rsid w:val="00CC36CA"/>
    <w:rsid w:val="00CC3909"/>
    <w:rsid w:val="00CC3B4B"/>
    <w:rsid w:val="00CC3B70"/>
    <w:rsid w:val="00CC3F33"/>
    <w:rsid w:val="00CC41E6"/>
    <w:rsid w:val="00CC4527"/>
    <w:rsid w:val="00CC4566"/>
    <w:rsid w:val="00CC4666"/>
    <w:rsid w:val="00CC4CB9"/>
    <w:rsid w:val="00CC4F77"/>
    <w:rsid w:val="00CC557C"/>
    <w:rsid w:val="00CC5C39"/>
    <w:rsid w:val="00CC5ECC"/>
    <w:rsid w:val="00CC607B"/>
    <w:rsid w:val="00CC6400"/>
    <w:rsid w:val="00CC69FD"/>
    <w:rsid w:val="00CC6CBA"/>
    <w:rsid w:val="00CC6E10"/>
    <w:rsid w:val="00CC6F75"/>
    <w:rsid w:val="00CC7629"/>
    <w:rsid w:val="00CC7671"/>
    <w:rsid w:val="00CC76A6"/>
    <w:rsid w:val="00CC7A8E"/>
    <w:rsid w:val="00CC7CA0"/>
    <w:rsid w:val="00CD01C5"/>
    <w:rsid w:val="00CD068F"/>
    <w:rsid w:val="00CD0784"/>
    <w:rsid w:val="00CD07C5"/>
    <w:rsid w:val="00CD0839"/>
    <w:rsid w:val="00CD09C7"/>
    <w:rsid w:val="00CD0DAD"/>
    <w:rsid w:val="00CD100E"/>
    <w:rsid w:val="00CD1074"/>
    <w:rsid w:val="00CD10D2"/>
    <w:rsid w:val="00CD11D4"/>
    <w:rsid w:val="00CD1222"/>
    <w:rsid w:val="00CD126F"/>
    <w:rsid w:val="00CD13F0"/>
    <w:rsid w:val="00CD1681"/>
    <w:rsid w:val="00CD16E8"/>
    <w:rsid w:val="00CD1B57"/>
    <w:rsid w:val="00CD1D87"/>
    <w:rsid w:val="00CD26D4"/>
    <w:rsid w:val="00CD27B4"/>
    <w:rsid w:val="00CD2871"/>
    <w:rsid w:val="00CD2A40"/>
    <w:rsid w:val="00CD30CB"/>
    <w:rsid w:val="00CD3160"/>
    <w:rsid w:val="00CD3175"/>
    <w:rsid w:val="00CD32AD"/>
    <w:rsid w:val="00CD354D"/>
    <w:rsid w:val="00CD3706"/>
    <w:rsid w:val="00CD374D"/>
    <w:rsid w:val="00CD381C"/>
    <w:rsid w:val="00CD3B0A"/>
    <w:rsid w:val="00CD3DB6"/>
    <w:rsid w:val="00CD4A5A"/>
    <w:rsid w:val="00CD4E77"/>
    <w:rsid w:val="00CD52C9"/>
    <w:rsid w:val="00CD5304"/>
    <w:rsid w:val="00CD5648"/>
    <w:rsid w:val="00CD56CA"/>
    <w:rsid w:val="00CD5829"/>
    <w:rsid w:val="00CD5A59"/>
    <w:rsid w:val="00CD5AFF"/>
    <w:rsid w:val="00CD5DB4"/>
    <w:rsid w:val="00CD5EBF"/>
    <w:rsid w:val="00CD6086"/>
    <w:rsid w:val="00CD60A0"/>
    <w:rsid w:val="00CD613A"/>
    <w:rsid w:val="00CD62F7"/>
    <w:rsid w:val="00CD681D"/>
    <w:rsid w:val="00CD69C4"/>
    <w:rsid w:val="00CD6A8C"/>
    <w:rsid w:val="00CD6ACF"/>
    <w:rsid w:val="00CD6BD1"/>
    <w:rsid w:val="00CD6E58"/>
    <w:rsid w:val="00CD7464"/>
    <w:rsid w:val="00CD78CF"/>
    <w:rsid w:val="00CD7B27"/>
    <w:rsid w:val="00CD7B29"/>
    <w:rsid w:val="00CD7C39"/>
    <w:rsid w:val="00CD7CA8"/>
    <w:rsid w:val="00CD7DA5"/>
    <w:rsid w:val="00CE025D"/>
    <w:rsid w:val="00CE0447"/>
    <w:rsid w:val="00CE056A"/>
    <w:rsid w:val="00CE057D"/>
    <w:rsid w:val="00CE078F"/>
    <w:rsid w:val="00CE07E0"/>
    <w:rsid w:val="00CE0A0A"/>
    <w:rsid w:val="00CE0AE2"/>
    <w:rsid w:val="00CE0F72"/>
    <w:rsid w:val="00CE0F91"/>
    <w:rsid w:val="00CE130D"/>
    <w:rsid w:val="00CE15E2"/>
    <w:rsid w:val="00CE1634"/>
    <w:rsid w:val="00CE168F"/>
    <w:rsid w:val="00CE1E90"/>
    <w:rsid w:val="00CE1F7B"/>
    <w:rsid w:val="00CE1FB5"/>
    <w:rsid w:val="00CE2080"/>
    <w:rsid w:val="00CE20AF"/>
    <w:rsid w:val="00CE24BD"/>
    <w:rsid w:val="00CE26CE"/>
    <w:rsid w:val="00CE29BE"/>
    <w:rsid w:val="00CE2B82"/>
    <w:rsid w:val="00CE2C7C"/>
    <w:rsid w:val="00CE2CC3"/>
    <w:rsid w:val="00CE2E98"/>
    <w:rsid w:val="00CE3127"/>
    <w:rsid w:val="00CE338E"/>
    <w:rsid w:val="00CE33B5"/>
    <w:rsid w:val="00CE35CE"/>
    <w:rsid w:val="00CE3844"/>
    <w:rsid w:val="00CE3CD1"/>
    <w:rsid w:val="00CE3F60"/>
    <w:rsid w:val="00CE3FBA"/>
    <w:rsid w:val="00CE4718"/>
    <w:rsid w:val="00CE47A2"/>
    <w:rsid w:val="00CE4A3D"/>
    <w:rsid w:val="00CE4BD4"/>
    <w:rsid w:val="00CE5160"/>
    <w:rsid w:val="00CE52DD"/>
    <w:rsid w:val="00CE53E0"/>
    <w:rsid w:val="00CE5C93"/>
    <w:rsid w:val="00CE5E96"/>
    <w:rsid w:val="00CE6062"/>
    <w:rsid w:val="00CE61F8"/>
    <w:rsid w:val="00CE63FA"/>
    <w:rsid w:val="00CE63FD"/>
    <w:rsid w:val="00CE65E6"/>
    <w:rsid w:val="00CE68B8"/>
    <w:rsid w:val="00CE690D"/>
    <w:rsid w:val="00CE6D71"/>
    <w:rsid w:val="00CE7083"/>
    <w:rsid w:val="00CE7085"/>
    <w:rsid w:val="00CE70F8"/>
    <w:rsid w:val="00CE7160"/>
    <w:rsid w:val="00CE72B3"/>
    <w:rsid w:val="00CE73A3"/>
    <w:rsid w:val="00CE7406"/>
    <w:rsid w:val="00CE742B"/>
    <w:rsid w:val="00CE7B27"/>
    <w:rsid w:val="00CE7B96"/>
    <w:rsid w:val="00CE7CCA"/>
    <w:rsid w:val="00CE7D24"/>
    <w:rsid w:val="00CE7D4D"/>
    <w:rsid w:val="00CE7EE8"/>
    <w:rsid w:val="00CF0056"/>
    <w:rsid w:val="00CF0148"/>
    <w:rsid w:val="00CF036D"/>
    <w:rsid w:val="00CF045B"/>
    <w:rsid w:val="00CF053D"/>
    <w:rsid w:val="00CF05E3"/>
    <w:rsid w:val="00CF080C"/>
    <w:rsid w:val="00CF0992"/>
    <w:rsid w:val="00CF0A3D"/>
    <w:rsid w:val="00CF0BDC"/>
    <w:rsid w:val="00CF0BE7"/>
    <w:rsid w:val="00CF10A5"/>
    <w:rsid w:val="00CF16EC"/>
    <w:rsid w:val="00CF17D9"/>
    <w:rsid w:val="00CF1AB4"/>
    <w:rsid w:val="00CF1C2A"/>
    <w:rsid w:val="00CF1CF7"/>
    <w:rsid w:val="00CF1D48"/>
    <w:rsid w:val="00CF20BC"/>
    <w:rsid w:val="00CF21A6"/>
    <w:rsid w:val="00CF2309"/>
    <w:rsid w:val="00CF25FD"/>
    <w:rsid w:val="00CF2801"/>
    <w:rsid w:val="00CF28FF"/>
    <w:rsid w:val="00CF2B3B"/>
    <w:rsid w:val="00CF2BE8"/>
    <w:rsid w:val="00CF31A6"/>
    <w:rsid w:val="00CF31AF"/>
    <w:rsid w:val="00CF3306"/>
    <w:rsid w:val="00CF3603"/>
    <w:rsid w:val="00CF3842"/>
    <w:rsid w:val="00CF3920"/>
    <w:rsid w:val="00CF3AEE"/>
    <w:rsid w:val="00CF3C64"/>
    <w:rsid w:val="00CF3C72"/>
    <w:rsid w:val="00CF3EAD"/>
    <w:rsid w:val="00CF4281"/>
    <w:rsid w:val="00CF4478"/>
    <w:rsid w:val="00CF467F"/>
    <w:rsid w:val="00CF4CE8"/>
    <w:rsid w:val="00CF4E43"/>
    <w:rsid w:val="00CF5110"/>
    <w:rsid w:val="00CF51A4"/>
    <w:rsid w:val="00CF54E4"/>
    <w:rsid w:val="00CF5A66"/>
    <w:rsid w:val="00CF5A96"/>
    <w:rsid w:val="00CF6654"/>
    <w:rsid w:val="00CF692B"/>
    <w:rsid w:val="00CF69C0"/>
    <w:rsid w:val="00CF6A3D"/>
    <w:rsid w:val="00CF6A55"/>
    <w:rsid w:val="00CF6C43"/>
    <w:rsid w:val="00CF6E21"/>
    <w:rsid w:val="00CF6F19"/>
    <w:rsid w:val="00CF715B"/>
    <w:rsid w:val="00CF7181"/>
    <w:rsid w:val="00CF7380"/>
    <w:rsid w:val="00CF7660"/>
    <w:rsid w:val="00CF7AA2"/>
    <w:rsid w:val="00CF7BAF"/>
    <w:rsid w:val="00CF7D91"/>
    <w:rsid w:val="00CF7DC6"/>
    <w:rsid w:val="00CF7E69"/>
    <w:rsid w:val="00D0024C"/>
    <w:rsid w:val="00D00292"/>
    <w:rsid w:val="00D002A9"/>
    <w:rsid w:val="00D008CA"/>
    <w:rsid w:val="00D00CB7"/>
    <w:rsid w:val="00D00D3B"/>
    <w:rsid w:val="00D012C5"/>
    <w:rsid w:val="00D01321"/>
    <w:rsid w:val="00D014EC"/>
    <w:rsid w:val="00D01E7D"/>
    <w:rsid w:val="00D01F1F"/>
    <w:rsid w:val="00D021AD"/>
    <w:rsid w:val="00D0225E"/>
    <w:rsid w:val="00D02479"/>
    <w:rsid w:val="00D02492"/>
    <w:rsid w:val="00D0251B"/>
    <w:rsid w:val="00D02618"/>
    <w:rsid w:val="00D026AF"/>
    <w:rsid w:val="00D0277E"/>
    <w:rsid w:val="00D02F27"/>
    <w:rsid w:val="00D0303A"/>
    <w:rsid w:val="00D030A9"/>
    <w:rsid w:val="00D030FC"/>
    <w:rsid w:val="00D0316D"/>
    <w:rsid w:val="00D03A4D"/>
    <w:rsid w:val="00D04032"/>
    <w:rsid w:val="00D0406D"/>
    <w:rsid w:val="00D0408A"/>
    <w:rsid w:val="00D04220"/>
    <w:rsid w:val="00D044CB"/>
    <w:rsid w:val="00D04813"/>
    <w:rsid w:val="00D04881"/>
    <w:rsid w:val="00D04AA3"/>
    <w:rsid w:val="00D04B05"/>
    <w:rsid w:val="00D05199"/>
    <w:rsid w:val="00D05379"/>
    <w:rsid w:val="00D05507"/>
    <w:rsid w:val="00D0550A"/>
    <w:rsid w:val="00D0566D"/>
    <w:rsid w:val="00D05671"/>
    <w:rsid w:val="00D05D36"/>
    <w:rsid w:val="00D05D5B"/>
    <w:rsid w:val="00D05D7B"/>
    <w:rsid w:val="00D06432"/>
    <w:rsid w:val="00D067ED"/>
    <w:rsid w:val="00D06A72"/>
    <w:rsid w:val="00D06C50"/>
    <w:rsid w:val="00D06C99"/>
    <w:rsid w:val="00D06E1F"/>
    <w:rsid w:val="00D06F76"/>
    <w:rsid w:val="00D06F7C"/>
    <w:rsid w:val="00D0714D"/>
    <w:rsid w:val="00D07A21"/>
    <w:rsid w:val="00D1009C"/>
    <w:rsid w:val="00D10330"/>
    <w:rsid w:val="00D105DE"/>
    <w:rsid w:val="00D107D5"/>
    <w:rsid w:val="00D1083A"/>
    <w:rsid w:val="00D10A3E"/>
    <w:rsid w:val="00D10BC4"/>
    <w:rsid w:val="00D10DB7"/>
    <w:rsid w:val="00D10F5A"/>
    <w:rsid w:val="00D1110A"/>
    <w:rsid w:val="00D114FA"/>
    <w:rsid w:val="00D11988"/>
    <w:rsid w:val="00D119D7"/>
    <w:rsid w:val="00D11C30"/>
    <w:rsid w:val="00D11D93"/>
    <w:rsid w:val="00D1210C"/>
    <w:rsid w:val="00D122C2"/>
    <w:rsid w:val="00D12649"/>
    <w:rsid w:val="00D1274E"/>
    <w:rsid w:val="00D12838"/>
    <w:rsid w:val="00D12A49"/>
    <w:rsid w:val="00D12CB4"/>
    <w:rsid w:val="00D12D16"/>
    <w:rsid w:val="00D12E7A"/>
    <w:rsid w:val="00D12FD6"/>
    <w:rsid w:val="00D13051"/>
    <w:rsid w:val="00D131A9"/>
    <w:rsid w:val="00D133FB"/>
    <w:rsid w:val="00D134A3"/>
    <w:rsid w:val="00D13779"/>
    <w:rsid w:val="00D13A86"/>
    <w:rsid w:val="00D13B49"/>
    <w:rsid w:val="00D13D94"/>
    <w:rsid w:val="00D13EB8"/>
    <w:rsid w:val="00D13F45"/>
    <w:rsid w:val="00D1421D"/>
    <w:rsid w:val="00D14699"/>
    <w:rsid w:val="00D146E6"/>
    <w:rsid w:val="00D1495B"/>
    <w:rsid w:val="00D149E7"/>
    <w:rsid w:val="00D14B89"/>
    <w:rsid w:val="00D14BD0"/>
    <w:rsid w:val="00D14C53"/>
    <w:rsid w:val="00D14D3D"/>
    <w:rsid w:val="00D15500"/>
    <w:rsid w:val="00D1569C"/>
    <w:rsid w:val="00D15E8D"/>
    <w:rsid w:val="00D15E91"/>
    <w:rsid w:val="00D16A19"/>
    <w:rsid w:val="00D16F60"/>
    <w:rsid w:val="00D16FCA"/>
    <w:rsid w:val="00D174B3"/>
    <w:rsid w:val="00D17802"/>
    <w:rsid w:val="00D17884"/>
    <w:rsid w:val="00D17E32"/>
    <w:rsid w:val="00D17EAF"/>
    <w:rsid w:val="00D20731"/>
    <w:rsid w:val="00D20742"/>
    <w:rsid w:val="00D20A68"/>
    <w:rsid w:val="00D20A8A"/>
    <w:rsid w:val="00D20C7B"/>
    <w:rsid w:val="00D20D55"/>
    <w:rsid w:val="00D210D9"/>
    <w:rsid w:val="00D215CA"/>
    <w:rsid w:val="00D21615"/>
    <w:rsid w:val="00D2162C"/>
    <w:rsid w:val="00D21B44"/>
    <w:rsid w:val="00D21BCF"/>
    <w:rsid w:val="00D21EF6"/>
    <w:rsid w:val="00D21F2C"/>
    <w:rsid w:val="00D21FDB"/>
    <w:rsid w:val="00D220FF"/>
    <w:rsid w:val="00D224D7"/>
    <w:rsid w:val="00D228FE"/>
    <w:rsid w:val="00D229CF"/>
    <w:rsid w:val="00D22D40"/>
    <w:rsid w:val="00D22D7E"/>
    <w:rsid w:val="00D23530"/>
    <w:rsid w:val="00D23806"/>
    <w:rsid w:val="00D238AA"/>
    <w:rsid w:val="00D2391F"/>
    <w:rsid w:val="00D23A65"/>
    <w:rsid w:val="00D23B49"/>
    <w:rsid w:val="00D23DFC"/>
    <w:rsid w:val="00D23F4D"/>
    <w:rsid w:val="00D23F5D"/>
    <w:rsid w:val="00D23FEF"/>
    <w:rsid w:val="00D2407E"/>
    <w:rsid w:val="00D24274"/>
    <w:rsid w:val="00D242F5"/>
    <w:rsid w:val="00D2467A"/>
    <w:rsid w:val="00D2474A"/>
    <w:rsid w:val="00D2491F"/>
    <w:rsid w:val="00D249AB"/>
    <w:rsid w:val="00D24B52"/>
    <w:rsid w:val="00D24D71"/>
    <w:rsid w:val="00D24F27"/>
    <w:rsid w:val="00D24F78"/>
    <w:rsid w:val="00D250EF"/>
    <w:rsid w:val="00D2547D"/>
    <w:rsid w:val="00D25512"/>
    <w:rsid w:val="00D2573B"/>
    <w:rsid w:val="00D25981"/>
    <w:rsid w:val="00D25AD0"/>
    <w:rsid w:val="00D25E53"/>
    <w:rsid w:val="00D25EC5"/>
    <w:rsid w:val="00D266FB"/>
    <w:rsid w:val="00D267B9"/>
    <w:rsid w:val="00D26820"/>
    <w:rsid w:val="00D26B31"/>
    <w:rsid w:val="00D26C65"/>
    <w:rsid w:val="00D26E3F"/>
    <w:rsid w:val="00D271CF"/>
    <w:rsid w:val="00D27742"/>
    <w:rsid w:val="00D2779D"/>
    <w:rsid w:val="00D27A7F"/>
    <w:rsid w:val="00D2D6A2"/>
    <w:rsid w:val="00D304A2"/>
    <w:rsid w:val="00D305E5"/>
    <w:rsid w:val="00D3080B"/>
    <w:rsid w:val="00D308C2"/>
    <w:rsid w:val="00D308FA"/>
    <w:rsid w:val="00D30936"/>
    <w:rsid w:val="00D309AD"/>
    <w:rsid w:val="00D30CFD"/>
    <w:rsid w:val="00D30E0F"/>
    <w:rsid w:val="00D3134F"/>
    <w:rsid w:val="00D314F3"/>
    <w:rsid w:val="00D31755"/>
    <w:rsid w:val="00D3189D"/>
    <w:rsid w:val="00D31927"/>
    <w:rsid w:val="00D31997"/>
    <w:rsid w:val="00D31B3F"/>
    <w:rsid w:val="00D3218C"/>
    <w:rsid w:val="00D326EF"/>
    <w:rsid w:val="00D329D5"/>
    <w:rsid w:val="00D32D3C"/>
    <w:rsid w:val="00D32FE3"/>
    <w:rsid w:val="00D331C7"/>
    <w:rsid w:val="00D333CE"/>
    <w:rsid w:val="00D335EB"/>
    <w:rsid w:val="00D335FF"/>
    <w:rsid w:val="00D336D0"/>
    <w:rsid w:val="00D336DC"/>
    <w:rsid w:val="00D3384D"/>
    <w:rsid w:val="00D3385D"/>
    <w:rsid w:val="00D33908"/>
    <w:rsid w:val="00D33A7F"/>
    <w:rsid w:val="00D33ABC"/>
    <w:rsid w:val="00D33AC9"/>
    <w:rsid w:val="00D33F0E"/>
    <w:rsid w:val="00D33F37"/>
    <w:rsid w:val="00D341D2"/>
    <w:rsid w:val="00D3426B"/>
    <w:rsid w:val="00D34421"/>
    <w:rsid w:val="00D3463F"/>
    <w:rsid w:val="00D34933"/>
    <w:rsid w:val="00D34C5C"/>
    <w:rsid w:val="00D34E44"/>
    <w:rsid w:val="00D34FAA"/>
    <w:rsid w:val="00D3500E"/>
    <w:rsid w:val="00D35245"/>
    <w:rsid w:val="00D3565A"/>
    <w:rsid w:val="00D3581C"/>
    <w:rsid w:val="00D3586A"/>
    <w:rsid w:val="00D3588B"/>
    <w:rsid w:val="00D35A74"/>
    <w:rsid w:val="00D35C7F"/>
    <w:rsid w:val="00D35CE8"/>
    <w:rsid w:val="00D35D23"/>
    <w:rsid w:val="00D35F41"/>
    <w:rsid w:val="00D36075"/>
    <w:rsid w:val="00D363C0"/>
    <w:rsid w:val="00D36578"/>
    <w:rsid w:val="00D367F7"/>
    <w:rsid w:val="00D368A7"/>
    <w:rsid w:val="00D36A2C"/>
    <w:rsid w:val="00D37050"/>
    <w:rsid w:val="00D3707B"/>
    <w:rsid w:val="00D3725D"/>
    <w:rsid w:val="00D376EA"/>
    <w:rsid w:val="00D37724"/>
    <w:rsid w:val="00D379AD"/>
    <w:rsid w:val="00D37C63"/>
    <w:rsid w:val="00D37EFD"/>
    <w:rsid w:val="00D402F4"/>
    <w:rsid w:val="00D404BB"/>
    <w:rsid w:val="00D40601"/>
    <w:rsid w:val="00D40712"/>
    <w:rsid w:val="00D40846"/>
    <w:rsid w:val="00D408A1"/>
    <w:rsid w:val="00D408C4"/>
    <w:rsid w:val="00D40D0C"/>
    <w:rsid w:val="00D40FC6"/>
    <w:rsid w:val="00D41179"/>
    <w:rsid w:val="00D4127F"/>
    <w:rsid w:val="00D41401"/>
    <w:rsid w:val="00D414D3"/>
    <w:rsid w:val="00D4150F"/>
    <w:rsid w:val="00D41530"/>
    <w:rsid w:val="00D415DE"/>
    <w:rsid w:val="00D41C0F"/>
    <w:rsid w:val="00D41C2A"/>
    <w:rsid w:val="00D41EBE"/>
    <w:rsid w:val="00D42046"/>
    <w:rsid w:val="00D4246E"/>
    <w:rsid w:val="00D427B9"/>
    <w:rsid w:val="00D428BF"/>
    <w:rsid w:val="00D42A90"/>
    <w:rsid w:val="00D42C70"/>
    <w:rsid w:val="00D42D53"/>
    <w:rsid w:val="00D4346D"/>
    <w:rsid w:val="00D43704"/>
    <w:rsid w:val="00D439C0"/>
    <w:rsid w:val="00D43AF0"/>
    <w:rsid w:val="00D44008"/>
    <w:rsid w:val="00D441B4"/>
    <w:rsid w:val="00D4423B"/>
    <w:rsid w:val="00D4430E"/>
    <w:rsid w:val="00D44356"/>
    <w:rsid w:val="00D44435"/>
    <w:rsid w:val="00D445FE"/>
    <w:rsid w:val="00D4463A"/>
    <w:rsid w:val="00D446EE"/>
    <w:rsid w:val="00D44790"/>
    <w:rsid w:val="00D45866"/>
    <w:rsid w:val="00D459F8"/>
    <w:rsid w:val="00D45AEF"/>
    <w:rsid w:val="00D46115"/>
    <w:rsid w:val="00D46153"/>
    <w:rsid w:val="00D462FA"/>
    <w:rsid w:val="00D464E3"/>
    <w:rsid w:val="00D46775"/>
    <w:rsid w:val="00D46941"/>
    <w:rsid w:val="00D46A90"/>
    <w:rsid w:val="00D47265"/>
    <w:rsid w:val="00D47474"/>
    <w:rsid w:val="00D474BA"/>
    <w:rsid w:val="00D475B6"/>
    <w:rsid w:val="00D479E1"/>
    <w:rsid w:val="00D47A3A"/>
    <w:rsid w:val="00D47A51"/>
    <w:rsid w:val="00D50107"/>
    <w:rsid w:val="00D507F0"/>
    <w:rsid w:val="00D5088F"/>
    <w:rsid w:val="00D50BE4"/>
    <w:rsid w:val="00D50DFB"/>
    <w:rsid w:val="00D50E16"/>
    <w:rsid w:val="00D50F2E"/>
    <w:rsid w:val="00D518BB"/>
    <w:rsid w:val="00D5192C"/>
    <w:rsid w:val="00D519C8"/>
    <w:rsid w:val="00D51CB5"/>
    <w:rsid w:val="00D51F34"/>
    <w:rsid w:val="00D52335"/>
    <w:rsid w:val="00D52516"/>
    <w:rsid w:val="00D52865"/>
    <w:rsid w:val="00D528E8"/>
    <w:rsid w:val="00D52C7F"/>
    <w:rsid w:val="00D52E20"/>
    <w:rsid w:val="00D52E52"/>
    <w:rsid w:val="00D5314A"/>
    <w:rsid w:val="00D532BA"/>
    <w:rsid w:val="00D533F1"/>
    <w:rsid w:val="00D53451"/>
    <w:rsid w:val="00D535BB"/>
    <w:rsid w:val="00D5367A"/>
    <w:rsid w:val="00D536EF"/>
    <w:rsid w:val="00D53761"/>
    <w:rsid w:val="00D5387D"/>
    <w:rsid w:val="00D53942"/>
    <w:rsid w:val="00D5398E"/>
    <w:rsid w:val="00D53AC6"/>
    <w:rsid w:val="00D53D31"/>
    <w:rsid w:val="00D53DEC"/>
    <w:rsid w:val="00D53FF3"/>
    <w:rsid w:val="00D540D3"/>
    <w:rsid w:val="00D5417B"/>
    <w:rsid w:val="00D5431E"/>
    <w:rsid w:val="00D54383"/>
    <w:rsid w:val="00D5438F"/>
    <w:rsid w:val="00D54401"/>
    <w:rsid w:val="00D548EB"/>
    <w:rsid w:val="00D54932"/>
    <w:rsid w:val="00D54A07"/>
    <w:rsid w:val="00D54B9D"/>
    <w:rsid w:val="00D54C7E"/>
    <w:rsid w:val="00D54DC6"/>
    <w:rsid w:val="00D54F9C"/>
    <w:rsid w:val="00D5514F"/>
    <w:rsid w:val="00D55203"/>
    <w:rsid w:val="00D5540E"/>
    <w:rsid w:val="00D556A8"/>
    <w:rsid w:val="00D559B3"/>
    <w:rsid w:val="00D55BC8"/>
    <w:rsid w:val="00D55F6C"/>
    <w:rsid w:val="00D5616E"/>
    <w:rsid w:val="00D561D6"/>
    <w:rsid w:val="00D56229"/>
    <w:rsid w:val="00D56577"/>
    <w:rsid w:val="00D56BB5"/>
    <w:rsid w:val="00D56D51"/>
    <w:rsid w:val="00D56EB6"/>
    <w:rsid w:val="00D5759E"/>
    <w:rsid w:val="00D57847"/>
    <w:rsid w:val="00D5793E"/>
    <w:rsid w:val="00D57B75"/>
    <w:rsid w:val="00D57CAE"/>
    <w:rsid w:val="00D6032D"/>
    <w:rsid w:val="00D603AF"/>
    <w:rsid w:val="00D605DC"/>
    <w:rsid w:val="00D6074D"/>
    <w:rsid w:val="00D6081B"/>
    <w:rsid w:val="00D60A0B"/>
    <w:rsid w:val="00D60CF1"/>
    <w:rsid w:val="00D60FDB"/>
    <w:rsid w:val="00D60FE5"/>
    <w:rsid w:val="00D610A2"/>
    <w:rsid w:val="00D6161F"/>
    <w:rsid w:val="00D6162A"/>
    <w:rsid w:val="00D61653"/>
    <w:rsid w:val="00D61693"/>
    <w:rsid w:val="00D61A6E"/>
    <w:rsid w:val="00D61C35"/>
    <w:rsid w:val="00D61C78"/>
    <w:rsid w:val="00D61CE6"/>
    <w:rsid w:val="00D61D1D"/>
    <w:rsid w:val="00D61DB1"/>
    <w:rsid w:val="00D61E1B"/>
    <w:rsid w:val="00D61E5E"/>
    <w:rsid w:val="00D61FFA"/>
    <w:rsid w:val="00D620B9"/>
    <w:rsid w:val="00D62554"/>
    <w:rsid w:val="00D626B3"/>
    <w:rsid w:val="00D6288D"/>
    <w:rsid w:val="00D6288E"/>
    <w:rsid w:val="00D62D30"/>
    <w:rsid w:val="00D62F81"/>
    <w:rsid w:val="00D632F1"/>
    <w:rsid w:val="00D63772"/>
    <w:rsid w:val="00D637DD"/>
    <w:rsid w:val="00D638D7"/>
    <w:rsid w:val="00D63BC4"/>
    <w:rsid w:val="00D63BD9"/>
    <w:rsid w:val="00D63E4A"/>
    <w:rsid w:val="00D63E91"/>
    <w:rsid w:val="00D643F0"/>
    <w:rsid w:val="00D646E6"/>
    <w:rsid w:val="00D647A6"/>
    <w:rsid w:val="00D64863"/>
    <w:rsid w:val="00D6491E"/>
    <w:rsid w:val="00D65226"/>
    <w:rsid w:val="00D65262"/>
    <w:rsid w:val="00D65635"/>
    <w:rsid w:val="00D657BA"/>
    <w:rsid w:val="00D65902"/>
    <w:rsid w:val="00D65C17"/>
    <w:rsid w:val="00D65D67"/>
    <w:rsid w:val="00D65DA7"/>
    <w:rsid w:val="00D65E61"/>
    <w:rsid w:val="00D6629F"/>
    <w:rsid w:val="00D662C0"/>
    <w:rsid w:val="00D6646E"/>
    <w:rsid w:val="00D664FB"/>
    <w:rsid w:val="00D666E1"/>
    <w:rsid w:val="00D668E0"/>
    <w:rsid w:val="00D66B72"/>
    <w:rsid w:val="00D66CA5"/>
    <w:rsid w:val="00D66E48"/>
    <w:rsid w:val="00D66FB1"/>
    <w:rsid w:val="00D67001"/>
    <w:rsid w:val="00D67196"/>
    <w:rsid w:val="00D672BD"/>
    <w:rsid w:val="00D672CF"/>
    <w:rsid w:val="00D673AD"/>
    <w:rsid w:val="00D674E5"/>
    <w:rsid w:val="00D67617"/>
    <w:rsid w:val="00D67840"/>
    <w:rsid w:val="00D6796F"/>
    <w:rsid w:val="00D67A49"/>
    <w:rsid w:val="00D67F11"/>
    <w:rsid w:val="00D67F9B"/>
    <w:rsid w:val="00D700B3"/>
    <w:rsid w:val="00D70314"/>
    <w:rsid w:val="00D7066D"/>
    <w:rsid w:val="00D70681"/>
    <w:rsid w:val="00D7078F"/>
    <w:rsid w:val="00D707C5"/>
    <w:rsid w:val="00D70BE9"/>
    <w:rsid w:val="00D70E5B"/>
    <w:rsid w:val="00D70FF9"/>
    <w:rsid w:val="00D71328"/>
    <w:rsid w:val="00D714E5"/>
    <w:rsid w:val="00D7172E"/>
    <w:rsid w:val="00D71761"/>
    <w:rsid w:val="00D717B1"/>
    <w:rsid w:val="00D719A8"/>
    <w:rsid w:val="00D71ABF"/>
    <w:rsid w:val="00D71CE6"/>
    <w:rsid w:val="00D71E18"/>
    <w:rsid w:val="00D7220B"/>
    <w:rsid w:val="00D722E5"/>
    <w:rsid w:val="00D72353"/>
    <w:rsid w:val="00D7237E"/>
    <w:rsid w:val="00D725F2"/>
    <w:rsid w:val="00D727E4"/>
    <w:rsid w:val="00D7299D"/>
    <w:rsid w:val="00D7299F"/>
    <w:rsid w:val="00D72ADD"/>
    <w:rsid w:val="00D72B77"/>
    <w:rsid w:val="00D72C2B"/>
    <w:rsid w:val="00D72CC2"/>
    <w:rsid w:val="00D72E70"/>
    <w:rsid w:val="00D72F9F"/>
    <w:rsid w:val="00D731D6"/>
    <w:rsid w:val="00D735E3"/>
    <w:rsid w:val="00D73B7A"/>
    <w:rsid w:val="00D73FA2"/>
    <w:rsid w:val="00D7416E"/>
    <w:rsid w:val="00D741F6"/>
    <w:rsid w:val="00D743A2"/>
    <w:rsid w:val="00D74474"/>
    <w:rsid w:val="00D745AF"/>
    <w:rsid w:val="00D74695"/>
    <w:rsid w:val="00D74A2D"/>
    <w:rsid w:val="00D74B3E"/>
    <w:rsid w:val="00D74F44"/>
    <w:rsid w:val="00D74F7E"/>
    <w:rsid w:val="00D74FC2"/>
    <w:rsid w:val="00D74FE9"/>
    <w:rsid w:val="00D753CA"/>
    <w:rsid w:val="00D75422"/>
    <w:rsid w:val="00D7545E"/>
    <w:rsid w:val="00D7598C"/>
    <w:rsid w:val="00D75A95"/>
    <w:rsid w:val="00D75C80"/>
    <w:rsid w:val="00D75FD0"/>
    <w:rsid w:val="00D7601B"/>
    <w:rsid w:val="00D76304"/>
    <w:rsid w:val="00D7675E"/>
    <w:rsid w:val="00D767C5"/>
    <w:rsid w:val="00D76BB5"/>
    <w:rsid w:val="00D76DBC"/>
    <w:rsid w:val="00D76DDC"/>
    <w:rsid w:val="00D76E12"/>
    <w:rsid w:val="00D76EFF"/>
    <w:rsid w:val="00D76F2D"/>
    <w:rsid w:val="00D76F44"/>
    <w:rsid w:val="00D76FF4"/>
    <w:rsid w:val="00D77068"/>
    <w:rsid w:val="00D771BC"/>
    <w:rsid w:val="00D7794C"/>
    <w:rsid w:val="00D77AB2"/>
    <w:rsid w:val="00D77ABD"/>
    <w:rsid w:val="00D77E26"/>
    <w:rsid w:val="00D77E41"/>
    <w:rsid w:val="00D8013D"/>
    <w:rsid w:val="00D801B2"/>
    <w:rsid w:val="00D801C8"/>
    <w:rsid w:val="00D801F4"/>
    <w:rsid w:val="00D8067C"/>
    <w:rsid w:val="00D80834"/>
    <w:rsid w:val="00D8089C"/>
    <w:rsid w:val="00D80E5F"/>
    <w:rsid w:val="00D80F73"/>
    <w:rsid w:val="00D81143"/>
    <w:rsid w:val="00D8126C"/>
    <w:rsid w:val="00D812BE"/>
    <w:rsid w:val="00D81918"/>
    <w:rsid w:val="00D819FA"/>
    <w:rsid w:val="00D81B26"/>
    <w:rsid w:val="00D82393"/>
    <w:rsid w:val="00D8246F"/>
    <w:rsid w:val="00D82651"/>
    <w:rsid w:val="00D826C4"/>
    <w:rsid w:val="00D82760"/>
    <w:rsid w:val="00D829B4"/>
    <w:rsid w:val="00D82A00"/>
    <w:rsid w:val="00D82AB4"/>
    <w:rsid w:val="00D82EE3"/>
    <w:rsid w:val="00D838C0"/>
    <w:rsid w:val="00D839B6"/>
    <w:rsid w:val="00D83A54"/>
    <w:rsid w:val="00D83BFD"/>
    <w:rsid w:val="00D83E09"/>
    <w:rsid w:val="00D83F91"/>
    <w:rsid w:val="00D841AD"/>
    <w:rsid w:val="00D84200"/>
    <w:rsid w:val="00D8420F"/>
    <w:rsid w:val="00D8451C"/>
    <w:rsid w:val="00D84827"/>
    <w:rsid w:val="00D8507B"/>
    <w:rsid w:val="00D8551A"/>
    <w:rsid w:val="00D8593C"/>
    <w:rsid w:val="00D85BC2"/>
    <w:rsid w:val="00D85C22"/>
    <w:rsid w:val="00D8601E"/>
    <w:rsid w:val="00D860B1"/>
    <w:rsid w:val="00D86139"/>
    <w:rsid w:val="00D863AB"/>
    <w:rsid w:val="00D86630"/>
    <w:rsid w:val="00D86A08"/>
    <w:rsid w:val="00D86B0E"/>
    <w:rsid w:val="00D87008"/>
    <w:rsid w:val="00D87094"/>
    <w:rsid w:val="00D87201"/>
    <w:rsid w:val="00D87320"/>
    <w:rsid w:val="00D87332"/>
    <w:rsid w:val="00D876D1"/>
    <w:rsid w:val="00D87828"/>
    <w:rsid w:val="00D878CA"/>
    <w:rsid w:val="00D87980"/>
    <w:rsid w:val="00D87A4B"/>
    <w:rsid w:val="00D87C73"/>
    <w:rsid w:val="00D87E37"/>
    <w:rsid w:val="00D87FA5"/>
    <w:rsid w:val="00D90087"/>
    <w:rsid w:val="00D9027F"/>
    <w:rsid w:val="00D90747"/>
    <w:rsid w:val="00D9098B"/>
    <w:rsid w:val="00D90B90"/>
    <w:rsid w:val="00D90D08"/>
    <w:rsid w:val="00D90F50"/>
    <w:rsid w:val="00D90FF0"/>
    <w:rsid w:val="00D9100C"/>
    <w:rsid w:val="00D914D6"/>
    <w:rsid w:val="00D91C2B"/>
    <w:rsid w:val="00D92035"/>
    <w:rsid w:val="00D9203F"/>
    <w:rsid w:val="00D92291"/>
    <w:rsid w:val="00D925BA"/>
    <w:rsid w:val="00D928F4"/>
    <w:rsid w:val="00D92A98"/>
    <w:rsid w:val="00D92AFF"/>
    <w:rsid w:val="00D92BD7"/>
    <w:rsid w:val="00D92E89"/>
    <w:rsid w:val="00D92F14"/>
    <w:rsid w:val="00D92FBE"/>
    <w:rsid w:val="00D9306A"/>
    <w:rsid w:val="00D9317B"/>
    <w:rsid w:val="00D93531"/>
    <w:rsid w:val="00D9354A"/>
    <w:rsid w:val="00D9360E"/>
    <w:rsid w:val="00D937FA"/>
    <w:rsid w:val="00D93A00"/>
    <w:rsid w:val="00D93AB0"/>
    <w:rsid w:val="00D93D89"/>
    <w:rsid w:val="00D9408E"/>
    <w:rsid w:val="00D94190"/>
    <w:rsid w:val="00D94346"/>
    <w:rsid w:val="00D94439"/>
    <w:rsid w:val="00D94587"/>
    <w:rsid w:val="00D9475B"/>
    <w:rsid w:val="00D94815"/>
    <w:rsid w:val="00D94890"/>
    <w:rsid w:val="00D94B9A"/>
    <w:rsid w:val="00D94D7B"/>
    <w:rsid w:val="00D94F41"/>
    <w:rsid w:val="00D95126"/>
    <w:rsid w:val="00D953BA"/>
    <w:rsid w:val="00D95436"/>
    <w:rsid w:val="00D95E6B"/>
    <w:rsid w:val="00D96016"/>
    <w:rsid w:val="00D96C15"/>
    <w:rsid w:val="00D96E2B"/>
    <w:rsid w:val="00D97169"/>
    <w:rsid w:val="00D97381"/>
    <w:rsid w:val="00D97483"/>
    <w:rsid w:val="00D97970"/>
    <w:rsid w:val="00D97B43"/>
    <w:rsid w:val="00D97B4F"/>
    <w:rsid w:val="00D97B52"/>
    <w:rsid w:val="00D97D9C"/>
    <w:rsid w:val="00D97EA3"/>
    <w:rsid w:val="00DA03BC"/>
    <w:rsid w:val="00DA03C2"/>
    <w:rsid w:val="00DA0623"/>
    <w:rsid w:val="00DA0ADB"/>
    <w:rsid w:val="00DA0B1A"/>
    <w:rsid w:val="00DA10AB"/>
    <w:rsid w:val="00DA111A"/>
    <w:rsid w:val="00DA1319"/>
    <w:rsid w:val="00DA1392"/>
    <w:rsid w:val="00DA1486"/>
    <w:rsid w:val="00DA172D"/>
    <w:rsid w:val="00DA176C"/>
    <w:rsid w:val="00DA1C60"/>
    <w:rsid w:val="00DA1D63"/>
    <w:rsid w:val="00DA1E94"/>
    <w:rsid w:val="00DA1F8F"/>
    <w:rsid w:val="00DA2643"/>
    <w:rsid w:val="00DA308F"/>
    <w:rsid w:val="00DA31B2"/>
    <w:rsid w:val="00DA31E0"/>
    <w:rsid w:val="00DA34C7"/>
    <w:rsid w:val="00DA36AE"/>
    <w:rsid w:val="00DA3713"/>
    <w:rsid w:val="00DA378E"/>
    <w:rsid w:val="00DA392D"/>
    <w:rsid w:val="00DA3B8C"/>
    <w:rsid w:val="00DA3CBF"/>
    <w:rsid w:val="00DA3E50"/>
    <w:rsid w:val="00DA40EB"/>
    <w:rsid w:val="00DA417D"/>
    <w:rsid w:val="00DA4214"/>
    <w:rsid w:val="00DA4873"/>
    <w:rsid w:val="00DA48B9"/>
    <w:rsid w:val="00DA4A96"/>
    <w:rsid w:val="00DA4EEE"/>
    <w:rsid w:val="00DA53B2"/>
    <w:rsid w:val="00DA54FF"/>
    <w:rsid w:val="00DA56CF"/>
    <w:rsid w:val="00DA5859"/>
    <w:rsid w:val="00DA5CA2"/>
    <w:rsid w:val="00DA5CE5"/>
    <w:rsid w:val="00DA5FB8"/>
    <w:rsid w:val="00DA6192"/>
    <w:rsid w:val="00DA638C"/>
    <w:rsid w:val="00DA6538"/>
    <w:rsid w:val="00DA65F5"/>
    <w:rsid w:val="00DA6D50"/>
    <w:rsid w:val="00DA6E85"/>
    <w:rsid w:val="00DA72D2"/>
    <w:rsid w:val="00DA7321"/>
    <w:rsid w:val="00DA736D"/>
    <w:rsid w:val="00DA747F"/>
    <w:rsid w:val="00DA7538"/>
    <w:rsid w:val="00DA7582"/>
    <w:rsid w:val="00DA7A4D"/>
    <w:rsid w:val="00DA7C54"/>
    <w:rsid w:val="00DA7C6A"/>
    <w:rsid w:val="00DA7D76"/>
    <w:rsid w:val="00DA7DDF"/>
    <w:rsid w:val="00DA7F74"/>
    <w:rsid w:val="00DA7FCA"/>
    <w:rsid w:val="00DB00F4"/>
    <w:rsid w:val="00DB01DC"/>
    <w:rsid w:val="00DB059D"/>
    <w:rsid w:val="00DB0C60"/>
    <w:rsid w:val="00DB0CAC"/>
    <w:rsid w:val="00DB0EA3"/>
    <w:rsid w:val="00DB0F3C"/>
    <w:rsid w:val="00DB0F9A"/>
    <w:rsid w:val="00DB1109"/>
    <w:rsid w:val="00DB1170"/>
    <w:rsid w:val="00DB14B3"/>
    <w:rsid w:val="00DB15C2"/>
    <w:rsid w:val="00DB15EB"/>
    <w:rsid w:val="00DB170D"/>
    <w:rsid w:val="00DB18FC"/>
    <w:rsid w:val="00DB23B8"/>
    <w:rsid w:val="00DB2403"/>
    <w:rsid w:val="00DB2504"/>
    <w:rsid w:val="00DB2588"/>
    <w:rsid w:val="00DB25BE"/>
    <w:rsid w:val="00DB29F6"/>
    <w:rsid w:val="00DB2ACF"/>
    <w:rsid w:val="00DB2D1C"/>
    <w:rsid w:val="00DB2D1E"/>
    <w:rsid w:val="00DB2FCA"/>
    <w:rsid w:val="00DB2FDF"/>
    <w:rsid w:val="00DB32B9"/>
    <w:rsid w:val="00DB33CE"/>
    <w:rsid w:val="00DB33ED"/>
    <w:rsid w:val="00DB34D9"/>
    <w:rsid w:val="00DB3A15"/>
    <w:rsid w:val="00DB3C7F"/>
    <w:rsid w:val="00DB3C8E"/>
    <w:rsid w:val="00DB4047"/>
    <w:rsid w:val="00DB410F"/>
    <w:rsid w:val="00DB421B"/>
    <w:rsid w:val="00DB423A"/>
    <w:rsid w:val="00DB44E9"/>
    <w:rsid w:val="00DB49D0"/>
    <w:rsid w:val="00DB4A3B"/>
    <w:rsid w:val="00DB4A90"/>
    <w:rsid w:val="00DB501E"/>
    <w:rsid w:val="00DB514B"/>
    <w:rsid w:val="00DB54AC"/>
    <w:rsid w:val="00DB562F"/>
    <w:rsid w:val="00DB5651"/>
    <w:rsid w:val="00DB57C4"/>
    <w:rsid w:val="00DB5A21"/>
    <w:rsid w:val="00DB6137"/>
    <w:rsid w:val="00DB61BC"/>
    <w:rsid w:val="00DB628E"/>
    <w:rsid w:val="00DB6367"/>
    <w:rsid w:val="00DB663E"/>
    <w:rsid w:val="00DB6702"/>
    <w:rsid w:val="00DB6965"/>
    <w:rsid w:val="00DB6B45"/>
    <w:rsid w:val="00DB6CE0"/>
    <w:rsid w:val="00DB6DAE"/>
    <w:rsid w:val="00DB7002"/>
    <w:rsid w:val="00DB7178"/>
    <w:rsid w:val="00DB72DB"/>
    <w:rsid w:val="00DB7393"/>
    <w:rsid w:val="00DB73B5"/>
    <w:rsid w:val="00DB74D6"/>
    <w:rsid w:val="00DB74DC"/>
    <w:rsid w:val="00DB7728"/>
    <w:rsid w:val="00DB77EA"/>
    <w:rsid w:val="00DB793C"/>
    <w:rsid w:val="00DC055D"/>
    <w:rsid w:val="00DC068B"/>
    <w:rsid w:val="00DC0B2C"/>
    <w:rsid w:val="00DC0CE7"/>
    <w:rsid w:val="00DC0D07"/>
    <w:rsid w:val="00DC0DB5"/>
    <w:rsid w:val="00DC0EBA"/>
    <w:rsid w:val="00DC0F22"/>
    <w:rsid w:val="00DC1136"/>
    <w:rsid w:val="00DC1156"/>
    <w:rsid w:val="00DC13BB"/>
    <w:rsid w:val="00DC186F"/>
    <w:rsid w:val="00DC1961"/>
    <w:rsid w:val="00DC1A68"/>
    <w:rsid w:val="00DC1B26"/>
    <w:rsid w:val="00DC1BC1"/>
    <w:rsid w:val="00DC1BCD"/>
    <w:rsid w:val="00DC1D47"/>
    <w:rsid w:val="00DC1FB9"/>
    <w:rsid w:val="00DC20B4"/>
    <w:rsid w:val="00DC2132"/>
    <w:rsid w:val="00DC22B3"/>
    <w:rsid w:val="00DC2491"/>
    <w:rsid w:val="00DC2568"/>
    <w:rsid w:val="00DC25D6"/>
    <w:rsid w:val="00DC25E3"/>
    <w:rsid w:val="00DC279C"/>
    <w:rsid w:val="00DC288B"/>
    <w:rsid w:val="00DC2DF5"/>
    <w:rsid w:val="00DC2E46"/>
    <w:rsid w:val="00DC2F66"/>
    <w:rsid w:val="00DC3201"/>
    <w:rsid w:val="00DC322F"/>
    <w:rsid w:val="00DC362E"/>
    <w:rsid w:val="00DC3829"/>
    <w:rsid w:val="00DC3C97"/>
    <w:rsid w:val="00DC3D36"/>
    <w:rsid w:val="00DC3ED3"/>
    <w:rsid w:val="00DC3EFB"/>
    <w:rsid w:val="00DC4393"/>
    <w:rsid w:val="00DC448B"/>
    <w:rsid w:val="00DC474E"/>
    <w:rsid w:val="00DC4E9C"/>
    <w:rsid w:val="00DC4F55"/>
    <w:rsid w:val="00DC546D"/>
    <w:rsid w:val="00DC57A6"/>
    <w:rsid w:val="00DC57CA"/>
    <w:rsid w:val="00DC593A"/>
    <w:rsid w:val="00DC5A84"/>
    <w:rsid w:val="00DC5C35"/>
    <w:rsid w:val="00DC5C64"/>
    <w:rsid w:val="00DC5E7D"/>
    <w:rsid w:val="00DC6014"/>
    <w:rsid w:val="00DC61AC"/>
    <w:rsid w:val="00DC6349"/>
    <w:rsid w:val="00DC63B9"/>
    <w:rsid w:val="00DC6525"/>
    <w:rsid w:val="00DC697F"/>
    <w:rsid w:val="00DC69AB"/>
    <w:rsid w:val="00DC6A33"/>
    <w:rsid w:val="00DC6AD0"/>
    <w:rsid w:val="00DC6F4D"/>
    <w:rsid w:val="00DC719B"/>
    <w:rsid w:val="00DC7252"/>
    <w:rsid w:val="00DC7516"/>
    <w:rsid w:val="00DC7542"/>
    <w:rsid w:val="00DC75F9"/>
    <w:rsid w:val="00DC76C0"/>
    <w:rsid w:val="00DC76DF"/>
    <w:rsid w:val="00DC771F"/>
    <w:rsid w:val="00DC78AE"/>
    <w:rsid w:val="00DC7D5F"/>
    <w:rsid w:val="00DCCF7E"/>
    <w:rsid w:val="00DD00AF"/>
    <w:rsid w:val="00DD05AB"/>
    <w:rsid w:val="00DD06B8"/>
    <w:rsid w:val="00DD0A7D"/>
    <w:rsid w:val="00DD0C06"/>
    <w:rsid w:val="00DD0C34"/>
    <w:rsid w:val="00DD10F5"/>
    <w:rsid w:val="00DD115B"/>
    <w:rsid w:val="00DD163D"/>
    <w:rsid w:val="00DD1658"/>
    <w:rsid w:val="00DD1828"/>
    <w:rsid w:val="00DD18D7"/>
    <w:rsid w:val="00DD18FC"/>
    <w:rsid w:val="00DD1922"/>
    <w:rsid w:val="00DD192C"/>
    <w:rsid w:val="00DD1C57"/>
    <w:rsid w:val="00DD1CA6"/>
    <w:rsid w:val="00DD1E42"/>
    <w:rsid w:val="00DD1E81"/>
    <w:rsid w:val="00DD24C4"/>
    <w:rsid w:val="00DD2AB9"/>
    <w:rsid w:val="00DD2B01"/>
    <w:rsid w:val="00DD2D73"/>
    <w:rsid w:val="00DD30EB"/>
    <w:rsid w:val="00DD34B0"/>
    <w:rsid w:val="00DD3BE4"/>
    <w:rsid w:val="00DD3CC1"/>
    <w:rsid w:val="00DD3CC3"/>
    <w:rsid w:val="00DD3EE1"/>
    <w:rsid w:val="00DD41EF"/>
    <w:rsid w:val="00DD42F3"/>
    <w:rsid w:val="00DD43CA"/>
    <w:rsid w:val="00DD46C0"/>
    <w:rsid w:val="00DD47A9"/>
    <w:rsid w:val="00DD4B59"/>
    <w:rsid w:val="00DD4CE1"/>
    <w:rsid w:val="00DD4D5B"/>
    <w:rsid w:val="00DD4EDA"/>
    <w:rsid w:val="00DD4F76"/>
    <w:rsid w:val="00DD50E3"/>
    <w:rsid w:val="00DD5120"/>
    <w:rsid w:val="00DD5534"/>
    <w:rsid w:val="00DD555A"/>
    <w:rsid w:val="00DD5603"/>
    <w:rsid w:val="00DD573A"/>
    <w:rsid w:val="00DD57D2"/>
    <w:rsid w:val="00DD5B13"/>
    <w:rsid w:val="00DD5C4F"/>
    <w:rsid w:val="00DD605B"/>
    <w:rsid w:val="00DD605C"/>
    <w:rsid w:val="00DD64E6"/>
    <w:rsid w:val="00DD6513"/>
    <w:rsid w:val="00DD651D"/>
    <w:rsid w:val="00DD663C"/>
    <w:rsid w:val="00DD679B"/>
    <w:rsid w:val="00DD67CC"/>
    <w:rsid w:val="00DD7188"/>
    <w:rsid w:val="00DD744C"/>
    <w:rsid w:val="00DD746B"/>
    <w:rsid w:val="00DD7AE1"/>
    <w:rsid w:val="00DD7BE4"/>
    <w:rsid w:val="00DD7CA3"/>
    <w:rsid w:val="00DD7CC5"/>
    <w:rsid w:val="00DD7ED0"/>
    <w:rsid w:val="00DE0175"/>
    <w:rsid w:val="00DE01FC"/>
    <w:rsid w:val="00DE04E6"/>
    <w:rsid w:val="00DE0618"/>
    <w:rsid w:val="00DE07C7"/>
    <w:rsid w:val="00DE0A85"/>
    <w:rsid w:val="00DE0A8C"/>
    <w:rsid w:val="00DE0B62"/>
    <w:rsid w:val="00DE0F1C"/>
    <w:rsid w:val="00DE0F4A"/>
    <w:rsid w:val="00DE1391"/>
    <w:rsid w:val="00DE15B6"/>
    <w:rsid w:val="00DE1685"/>
    <w:rsid w:val="00DE18D4"/>
    <w:rsid w:val="00DE1DD3"/>
    <w:rsid w:val="00DE1DD4"/>
    <w:rsid w:val="00DE2015"/>
    <w:rsid w:val="00DE20E9"/>
    <w:rsid w:val="00DE2211"/>
    <w:rsid w:val="00DE26DF"/>
    <w:rsid w:val="00DE28E1"/>
    <w:rsid w:val="00DE2A0A"/>
    <w:rsid w:val="00DE2A9B"/>
    <w:rsid w:val="00DE2E98"/>
    <w:rsid w:val="00DE300D"/>
    <w:rsid w:val="00DE3057"/>
    <w:rsid w:val="00DE32C4"/>
    <w:rsid w:val="00DE35EA"/>
    <w:rsid w:val="00DE3606"/>
    <w:rsid w:val="00DE3C53"/>
    <w:rsid w:val="00DE3E05"/>
    <w:rsid w:val="00DE3F30"/>
    <w:rsid w:val="00DE40A5"/>
    <w:rsid w:val="00DE40BD"/>
    <w:rsid w:val="00DE4391"/>
    <w:rsid w:val="00DE447B"/>
    <w:rsid w:val="00DE452D"/>
    <w:rsid w:val="00DE46D4"/>
    <w:rsid w:val="00DE4A30"/>
    <w:rsid w:val="00DE4B66"/>
    <w:rsid w:val="00DE4C25"/>
    <w:rsid w:val="00DE4C5E"/>
    <w:rsid w:val="00DE5449"/>
    <w:rsid w:val="00DE5773"/>
    <w:rsid w:val="00DE5839"/>
    <w:rsid w:val="00DE5C79"/>
    <w:rsid w:val="00DE626D"/>
    <w:rsid w:val="00DE62B6"/>
    <w:rsid w:val="00DE64DC"/>
    <w:rsid w:val="00DE665D"/>
    <w:rsid w:val="00DE6D68"/>
    <w:rsid w:val="00DE6DEF"/>
    <w:rsid w:val="00DE6EBD"/>
    <w:rsid w:val="00DE6ECA"/>
    <w:rsid w:val="00DE6F28"/>
    <w:rsid w:val="00DE73FF"/>
    <w:rsid w:val="00DE747E"/>
    <w:rsid w:val="00DE74F4"/>
    <w:rsid w:val="00DE7529"/>
    <w:rsid w:val="00DE76E4"/>
    <w:rsid w:val="00DE774B"/>
    <w:rsid w:val="00DE780B"/>
    <w:rsid w:val="00DE7899"/>
    <w:rsid w:val="00DF0072"/>
    <w:rsid w:val="00DF00A8"/>
    <w:rsid w:val="00DF0829"/>
    <w:rsid w:val="00DF0AC8"/>
    <w:rsid w:val="00DF0B63"/>
    <w:rsid w:val="00DF0BE4"/>
    <w:rsid w:val="00DF0C1E"/>
    <w:rsid w:val="00DF0CF0"/>
    <w:rsid w:val="00DF0DF1"/>
    <w:rsid w:val="00DF0DFE"/>
    <w:rsid w:val="00DF0EF7"/>
    <w:rsid w:val="00DF12D6"/>
    <w:rsid w:val="00DF1445"/>
    <w:rsid w:val="00DF14FB"/>
    <w:rsid w:val="00DF153C"/>
    <w:rsid w:val="00DF181A"/>
    <w:rsid w:val="00DF1900"/>
    <w:rsid w:val="00DF1A56"/>
    <w:rsid w:val="00DF1BB9"/>
    <w:rsid w:val="00DF1C09"/>
    <w:rsid w:val="00DF1E42"/>
    <w:rsid w:val="00DF1F34"/>
    <w:rsid w:val="00DF217E"/>
    <w:rsid w:val="00DF21EE"/>
    <w:rsid w:val="00DF23EB"/>
    <w:rsid w:val="00DF242E"/>
    <w:rsid w:val="00DF2829"/>
    <w:rsid w:val="00DF2B0F"/>
    <w:rsid w:val="00DF2B45"/>
    <w:rsid w:val="00DF2EB9"/>
    <w:rsid w:val="00DF333F"/>
    <w:rsid w:val="00DF3563"/>
    <w:rsid w:val="00DF35CF"/>
    <w:rsid w:val="00DF3720"/>
    <w:rsid w:val="00DF3763"/>
    <w:rsid w:val="00DF3B4D"/>
    <w:rsid w:val="00DF3C97"/>
    <w:rsid w:val="00DF3D1F"/>
    <w:rsid w:val="00DF3F26"/>
    <w:rsid w:val="00DF3FF6"/>
    <w:rsid w:val="00DF4383"/>
    <w:rsid w:val="00DF43DA"/>
    <w:rsid w:val="00DF485C"/>
    <w:rsid w:val="00DF48AA"/>
    <w:rsid w:val="00DF4969"/>
    <w:rsid w:val="00DF4D89"/>
    <w:rsid w:val="00DF512A"/>
    <w:rsid w:val="00DF512B"/>
    <w:rsid w:val="00DF5246"/>
    <w:rsid w:val="00DF55B1"/>
    <w:rsid w:val="00DF55D6"/>
    <w:rsid w:val="00DF579A"/>
    <w:rsid w:val="00DF57AD"/>
    <w:rsid w:val="00DF5A3A"/>
    <w:rsid w:val="00DF5FA0"/>
    <w:rsid w:val="00DF643C"/>
    <w:rsid w:val="00DF651F"/>
    <w:rsid w:val="00DF661E"/>
    <w:rsid w:val="00DF67F0"/>
    <w:rsid w:val="00DF697D"/>
    <w:rsid w:val="00DF6D41"/>
    <w:rsid w:val="00DF6E28"/>
    <w:rsid w:val="00DF706C"/>
    <w:rsid w:val="00DF71A8"/>
    <w:rsid w:val="00DF723A"/>
    <w:rsid w:val="00DF7278"/>
    <w:rsid w:val="00DF739A"/>
    <w:rsid w:val="00DF73E1"/>
    <w:rsid w:val="00DF7809"/>
    <w:rsid w:val="00DF79D9"/>
    <w:rsid w:val="00DF7C27"/>
    <w:rsid w:val="00E001D7"/>
    <w:rsid w:val="00E005B8"/>
    <w:rsid w:val="00E0066C"/>
    <w:rsid w:val="00E00937"/>
    <w:rsid w:val="00E0094B"/>
    <w:rsid w:val="00E009B6"/>
    <w:rsid w:val="00E00FF8"/>
    <w:rsid w:val="00E0164F"/>
    <w:rsid w:val="00E0174A"/>
    <w:rsid w:val="00E01C52"/>
    <w:rsid w:val="00E0209A"/>
    <w:rsid w:val="00E02114"/>
    <w:rsid w:val="00E022AA"/>
    <w:rsid w:val="00E02784"/>
    <w:rsid w:val="00E027DB"/>
    <w:rsid w:val="00E027F0"/>
    <w:rsid w:val="00E02CA1"/>
    <w:rsid w:val="00E02D29"/>
    <w:rsid w:val="00E02DA2"/>
    <w:rsid w:val="00E039CA"/>
    <w:rsid w:val="00E03A56"/>
    <w:rsid w:val="00E03C48"/>
    <w:rsid w:val="00E03C64"/>
    <w:rsid w:val="00E03C83"/>
    <w:rsid w:val="00E03ECD"/>
    <w:rsid w:val="00E041B8"/>
    <w:rsid w:val="00E04215"/>
    <w:rsid w:val="00E043A1"/>
    <w:rsid w:val="00E04E42"/>
    <w:rsid w:val="00E05124"/>
    <w:rsid w:val="00E054F8"/>
    <w:rsid w:val="00E05547"/>
    <w:rsid w:val="00E05672"/>
    <w:rsid w:val="00E05854"/>
    <w:rsid w:val="00E058B0"/>
    <w:rsid w:val="00E05996"/>
    <w:rsid w:val="00E05A0E"/>
    <w:rsid w:val="00E05D1E"/>
    <w:rsid w:val="00E05FC6"/>
    <w:rsid w:val="00E05FDF"/>
    <w:rsid w:val="00E0603E"/>
    <w:rsid w:val="00E0659F"/>
    <w:rsid w:val="00E066E2"/>
    <w:rsid w:val="00E06776"/>
    <w:rsid w:val="00E068B2"/>
    <w:rsid w:val="00E06CE0"/>
    <w:rsid w:val="00E06D6A"/>
    <w:rsid w:val="00E06E5E"/>
    <w:rsid w:val="00E06F39"/>
    <w:rsid w:val="00E0708A"/>
    <w:rsid w:val="00E07418"/>
    <w:rsid w:val="00E07428"/>
    <w:rsid w:val="00E074B4"/>
    <w:rsid w:val="00E07671"/>
    <w:rsid w:val="00E07800"/>
    <w:rsid w:val="00E07957"/>
    <w:rsid w:val="00E07B9F"/>
    <w:rsid w:val="00E07C63"/>
    <w:rsid w:val="00E07D02"/>
    <w:rsid w:val="00E07EDF"/>
    <w:rsid w:val="00E100A6"/>
    <w:rsid w:val="00E1011F"/>
    <w:rsid w:val="00E1052C"/>
    <w:rsid w:val="00E105EB"/>
    <w:rsid w:val="00E10997"/>
    <w:rsid w:val="00E10C65"/>
    <w:rsid w:val="00E10D2C"/>
    <w:rsid w:val="00E10EB7"/>
    <w:rsid w:val="00E10FB3"/>
    <w:rsid w:val="00E10FDA"/>
    <w:rsid w:val="00E11119"/>
    <w:rsid w:val="00E11124"/>
    <w:rsid w:val="00E1126E"/>
    <w:rsid w:val="00E11887"/>
    <w:rsid w:val="00E11D84"/>
    <w:rsid w:val="00E11DC2"/>
    <w:rsid w:val="00E12073"/>
    <w:rsid w:val="00E1207F"/>
    <w:rsid w:val="00E121F9"/>
    <w:rsid w:val="00E124E7"/>
    <w:rsid w:val="00E12556"/>
    <w:rsid w:val="00E12562"/>
    <w:rsid w:val="00E1269A"/>
    <w:rsid w:val="00E12810"/>
    <w:rsid w:val="00E1292C"/>
    <w:rsid w:val="00E12A67"/>
    <w:rsid w:val="00E12B77"/>
    <w:rsid w:val="00E12C4F"/>
    <w:rsid w:val="00E12CED"/>
    <w:rsid w:val="00E12D9E"/>
    <w:rsid w:val="00E1322F"/>
    <w:rsid w:val="00E1339C"/>
    <w:rsid w:val="00E134AD"/>
    <w:rsid w:val="00E136ED"/>
    <w:rsid w:val="00E13B89"/>
    <w:rsid w:val="00E13E56"/>
    <w:rsid w:val="00E14015"/>
    <w:rsid w:val="00E1420E"/>
    <w:rsid w:val="00E1442A"/>
    <w:rsid w:val="00E144AA"/>
    <w:rsid w:val="00E14643"/>
    <w:rsid w:val="00E146D3"/>
    <w:rsid w:val="00E149F6"/>
    <w:rsid w:val="00E14AFA"/>
    <w:rsid w:val="00E14B74"/>
    <w:rsid w:val="00E14D92"/>
    <w:rsid w:val="00E15000"/>
    <w:rsid w:val="00E15042"/>
    <w:rsid w:val="00E15103"/>
    <w:rsid w:val="00E1551E"/>
    <w:rsid w:val="00E155D8"/>
    <w:rsid w:val="00E15605"/>
    <w:rsid w:val="00E15A00"/>
    <w:rsid w:val="00E15C63"/>
    <w:rsid w:val="00E15DDF"/>
    <w:rsid w:val="00E167DB"/>
    <w:rsid w:val="00E1736B"/>
    <w:rsid w:val="00E17404"/>
    <w:rsid w:val="00E175EF"/>
    <w:rsid w:val="00E177E5"/>
    <w:rsid w:val="00E17ABD"/>
    <w:rsid w:val="00E17B85"/>
    <w:rsid w:val="00E17CD5"/>
    <w:rsid w:val="00E202C0"/>
    <w:rsid w:val="00E202DF"/>
    <w:rsid w:val="00E20400"/>
    <w:rsid w:val="00E2065F"/>
    <w:rsid w:val="00E20A61"/>
    <w:rsid w:val="00E20EE2"/>
    <w:rsid w:val="00E214AF"/>
    <w:rsid w:val="00E21573"/>
    <w:rsid w:val="00E217E8"/>
    <w:rsid w:val="00E21805"/>
    <w:rsid w:val="00E219DF"/>
    <w:rsid w:val="00E21BE7"/>
    <w:rsid w:val="00E21CC8"/>
    <w:rsid w:val="00E21D23"/>
    <w:rsid w:val="00E21EBD"/>
    <w:rsid w:val="00E226A6"/>
    <w:rsid w:val="00E228AF"/>
    <w:rsid w:val="00E22C90"/>
    <w:rsid w:val="00E230DF"/>
    <w:rsid w:val="00E2326B"/>
    <w:rsid w:val="00E236F8"/>
    <w:rsid w:val="00E2383E"/>
    <w:rsid w:val="00E23B79"/>
    <w:rsid w:val="00E23BAC"/>
    <w:rsid w:val="00E24051"/>
    <w:rsid w:val="00E240CF"/>
    <w:rsid w:val="00E240E2"/>
    <w:rsid w:val="00E241E0"/>
    <w:rsid w:val="00E24561"/>
    <w:rsid w:val="00E24773"/>
    <w:rsid w:val="00E247CA"/>
    <w:rsid w:val="00E2495F"/>
    <w:rsid w:val="00E24BF1"/>
    <w:rsid w:val="00E24D51"/>
    <w:rsid w:val="00E24DC4"/>
    <w:rsid w:val="00E24EBE"/>
    <w:rsid w:val="00E24FE1"/>
    <w:rsid w:val="00E250D8"/>
    <w:rsid w:val="00E253C5"/>
    <w:rsid w:val="00E25563"/>
    <w:rsid w:val="00E2558E"/>
    <w:rsid w:val="00E25622"/>
    <w:rsid w:val="00E25639"/>
    <w:rsid w:val="00E25A33"/>
    <w:rsid w:val="00E25E01"/>
    <w:rsid w:val="00E25E76"/>
    <w:rsid w:val="00E25F2A"/>
    <w:rsid w:val="00E2638F"/>
    <w:rsid w:val="00E26470"/>
    <w:rsid w:val="00E264C0"/>
    <w:rsid w:val="00E26634"/>
    <w:rsid w:val="00E26959"/>
    <w:rsid w:val="00E26964"/>
    <w:rsid w:val="00E26C70"/>
    <w:rsid w:val="00E26D45"/>
    <w:rsid w:val="00E272D0"/>
    <w:rsid w:val="00E274A8"/>
    <w:rsid w:val="00E278E5"/>
    <w:rsid w:val="00E27AB9"/>
    <w:rsid w:val="00E30623"/>
    <w:rsid w:val="00E30A02"/>
    <w:rsid w:val="00E30A6E"/>
    <w:rsid w:val="00E30C41"/>
    <w:rsid w:val="00E30CA7"/>
    <w:rsid w:val="00E312DF"/>
    <w:rsid w:val="00E3149C"/>
    <w:rsid w:val="00E314D5"/>
    <w:rsid w:val="00E314F1"/>
    <w:rsid w:val="00E31851"/>
    <w:rsid w:val="00E318C4"/>
    <w:rsid w:val="00E31AA7"/>
    <w:rsid w:val="00E31CBE"/>
    <w:rsid w:val="00E31CFC"/>
    <w:rsid w:val="00E31D19"/>
    <w:rsid w:val="00E31D47"/>
    <w:rsid w:val="00E31F2B"/>
    <w:rsid w:val="00E3202B"/>
    <w:rsid w:val="00E321B9"/>
    <w:rsid w:val="00E32B82"/>
    <w:rsid w:val="00E32EC3"/>
    <w:rsid w:val="00E33187"/>
    <w:rsid w:val="00E33574"/>
    <w:rsid w:val="00E337F4"/>
    <w:rsid w:val="00E3382B"/>
    <w:rsid w:val="00E33862"/>
    <w:rsid w:val="00E33871"/>
    <w:rsid w:val="00E33C5C"/>
    <w:rsid w:val="00E341CB"/>
    <w:rsid w:val="00E34348"/>
    <w:rsid w:val="00E34459"/>
    <w:rsid w:val="00E34801"/>
    <w:rsid w:val="00E34875"/>
    <w:rsid w:val="00E348DC"/>
    <w:rsid w:val="00E34AE5"/>
    <w:rsid w:val="00E34D8B"/>
    <w:rsid w:val="00E35727"/>
    <w:rsid w:val="00E358C1"/>
    <w:rsid w:val="00E3592B"/>
    <w:rsid w:val="00E35DCB"/>
    <w:rsid w:val="00E36061"/>
    <w:rsid w:val="00E3622D"/>
    <w:rsid w:val="00E362AB"/>
    <w:rsid w:val="00E3641E"/>
    <w:rsid w:val="00E36519"/>
    <w:rsid w:val="00E36781"/>
    <w:rsid w:val="00E367B7"/>
    <w:rsid w:val="00E36DBF"/>
    <w:rsid w:val="00E3703E"/>
    <w:rsid w:val="00E37182"/>
    <w:rsid w:val="00E371C3"/>
    <w:rsid w:val="00E37359"/>
    <w:rsid w:val="00E373BB"/>
    <w:rsid w:val="00E375AD"/>
    <w:rsid w:val="00E37878"/>
    <w:rsid w:val="00E37D7C"/>
    <w:rsid w:val="00E37DCA"/>
    <w:rsid w:val="00E37DF5"/>
    <w:rsid w:val="00E37F3C"/>
    <w:rsid w:val="00E3CF5C"/>
    <w:rsid w:val="00E40510"/>
    <w:rsid w:val="00E40966"/>
    <w:rsid w:val="00E40A5A"/>
    <w:rsid w:val="00E40AD2"/>
    <w:rsid w:val="00E40BFC"/>
    <w:rsid w:val="00E40ECA"/>
    <w:rsid w:val="00E40FC7"/>
    <w:rsid w:val="00E410F3"/>
    <w:rsid w:val="00E414FB"/>
    <w:rsid w:val="00E41711"/>
    <w:rsid w:val="00E41B2C"/>
    <w:rsid w:val="00E41CE0"/>
    <w:rsid w:val="00E41EAD"/>
    <w:rsid w:val="00E41EE9"/>
    <w:rsid w:val="00E41FEC"/>
    <w:rsid w:val="00E42004"/>
    <w:rsid w:val="00E4201F"/>
    <w:rsid w:val="00E420BE"/>
    <w:rsid w:val="00E42106"/>
    <w:rsid w:val="00E421A3"/>
    <w:rsid w:val="00E42546"/>
    <w:rsid w:val="00E42F36"/>
    <w:rsid w:val="00E4306F"/>
    <w:rsid w:val="00E430C0"/>
    <w:rsid w:val="00E430DE"/>
    <w:rsid w:val="00E434F3"/>
    <w:rsid w:val="00E4358C"/>
    <w:rsid w:val="00E43A46"/>
    <w:rsid w:val="00E43ACC"/>
    <w:rsid w:val="00E43B58"/>
    <w:rsid w:val="00E43CF1"/>
    <w:rsid w:val="00E43D9D"/>
    <w:rsid w:val="00E43DE2"/>
    <w:rsid w:val="00E43E96"/>
    <w:rsid w:val="00E43F9E"/>
    <w:rsid w:val="00E44321"/>
    <w:rsid w:val="00E44364"/>
    <w:rsid w:val="00E44520"/>
    <w:rsid w:val="00E44847"/>
    <w:rsid w:val="00E44A21"/>
    <w:rsid w:val="00E44BBF"/>
    <w:rsid w:val="00E44FC9"/>
    <w:rsid w:val="00E45044"/>
    <w:rsid w:val="00E45228"/>
    <w:rsid w:val="00E45692"/>
    <w:rsid w:val="00E456F9"/>
    <w:rsid w:val="00E45739"/>
    <w:rsid w:val="00E45977"/>
    <w:rsid w:val="00E45A60"/>
    <w:rsid w:val="00E45AA9"/>
    <w:rsid w:val="00E45C9A"/>
    <w:rsid w:val="00E45DEC"/>
    <w:rsid w:val="00E45F83"/>
    <w:rsid w:val="00E46000"/>
    <w:rsid w:val="00E46042"/>
    <w:rsid w:val="00E462BB"/>
    <w:rsid w:val="00E463B5"/>
    <w:rsid w:val="00E46638"/>
    <w:rsid w:val="00E4688B"/>
    <w:rsid w:val="00E468A8"/>
    <w:rsid w:val="00E46920"/>
    <w:rsid w:val="00E46AE5"/>
    <w:rsid w:val="00E46B32"/>
    <w:rsid w:val="00E46C9C"/>
    <w:rsid w:val="00E4702D"/>
    <w:rsid w:val="00E470C0"/>
    <w:rsid w:val="00E470E2"/>
    <w:rsid w:val="00E471B1"/>
    <w:rsid w:val="00E4722C"/>
    <w:rsid w:val="00E47232"/>
    <w:rsid w:val="00E475B3"/>
    <w:rsid w:val="00E47646"/>
    <w:rsid w:val="00E4768F"/>
    <w:rsid w:val="00E47931"/>
    <w:rsid w:val="00E47EAF"/>
    <w:rsid w:val="00E5018F"/>
    <w:rsid w:val="00E502D9"/>
    <w:rsid w:val="00E50782"/>
    <w:rsid w:val="00E5079A"/>
    <w:rsid w:val="00E507F9"/>
    <w:rsid w:val="00E508CB"/>
    <w:rsid w:val="00E509CA"/>
    <w:rsid w:val="00E50BBA"/>
    <w:rsid w:val="00E50D2F"/>
    <w:rsid w:val="00E50DE3"/>
    <w:rsid w:val="00E51189"/>
    <w:rsid w:val="00E516AD"/>
    <w:rsid w:val="00E518ED"/>
    <w:rsid w:val="00E51C00"/>
    <w:rsid w:val="00E51D06"/>
    <w:rsid w:val="00E52089"/>
    <w:rsid w:val="00E52278"/>
    <w:rsid w:val="00E523BA"/>
    <w:rsid w:val="00E5256E"/>
    <w:rsid w:val="00E528A2"/>
    <w:rsid w:val="00E528BF"/>
    <w:rsid w:val="00E529B2"/>
    <w:rsid w:val="00E52AEE"/>
    <w:rsid w:val="00E52CBB"/>
    <w:rsid w:val="00E52F7D"/>
    <w:rsid w:val="00E5332B"/>
    <w:rsid w:val="00E5358B"/>
    <w:rsid w:val="00E537F7"/>
    <w:rsid w:val="00E53C77"/>
    <w:rsid w:val="00E53D05"/>
    <w:rsid w:val="00E53D4B"/>
    <w:rsid w:val="00E53D57"/>
    <w:rsid w:val="00E53FA2"/>
    <w:rsid w:val="00E53FCC"/>
    <w:rsid w:val="00E542F0"/>
    <w:rsid w:val="00E544AC"/>
    <w:rsid w:val="00E54536"/>
    <w:rsid w:val="00E5458A"/>
    <w:rsid w:val="00E54818"/>
    <w:rsid w:val="00E54A0C"/>
    <w:rsid w:val="00E54BD4"/>
    <w:rsid w:val="00E54C16"/>
    <w:rsid w:val="00E54C70"/>
    <w:rsid w:val="00E54DF1"/>
    <w:rsid w:val="00E54FAF"/>
    <w:rsid w:val="00E55B67"/>
    <w:rsid w:val="00E55CF7"/>
    <w:rsid w:val="00E55E3E"/>
    <w:rsid w:val="00E56260"/>
    <w:rsid w:val="00E56266"/>
    <w:rsid w:val="00E56444"/>
    <w:rsid w:val="00E56524"/>
    <w:rsid w:val="00E565F0"/>
    <w:rsid w:val="00E56866"/>
    <w:rsid w:val="00E56A5D"/>
    <w:rsid w:val="00E56BA4"/>
    <w:rsid w:val="00E56CF4"/>
    <w:rsid w:val="00E56F47"/>
    <w:rsid w:val="00E56F79"/>
    <w:rsid w:val="00E56FA0"/>
    <w:rsid w:val="00E5703A"/>
    <w:rsid w:val="00E57821"/>
    <w:rsid w:val="00E57886"/>
    <w:rsid w:val="00E57B9A"/>
    <w:rsid w:val="00E57BF4"/>
    <w:rsid w:val="00E57FCB"/>
    <w:rsid w:val="00E600B0"/>
    <w:rsid w:val="00E600BB"/>
    <w:rsid w:val="00E60120"/>
    <w:rsid w:val="00E60721"/>
    <w:rsid w:val="00E6084A"/>
    <w:rsid w:val="00E60878"/>
    <w:rsid w:val="00E60948"/>
    <w:rsid w:val="00E60AEA"/>
    <w:rsid w:val="00E60B22"/>
    <w:rsid w:val="00E60C19"/>
    <w:rsid w:val="00E60C1C"/>
    <w:rsid w:val="00E60CDA"/>
    <w:rsid w:val="00E60D77"/>
    <w:rsid w:val="00E61147"/>
    <w:rsid w:val="00E611DD"/>
    <w:rsid w:val="00E61707"/>
    <w:rsid w:val="00E6180A"/>
    <w:rsid w:val="00E61826"/>
    <w:rsid w:val="00E61D1A"/>
    <w:rsid w:val="00E62002"/>
    <w:rsid w:val="00E62214"/>
    <w:rsid w:val="00E62337"/>
    <w:rsid w:val="00E624D2"/>
    <w:rsid w:val="00E6273B"/>
    <w:rsid w:val="00E62798"/>
    <w:rsid w:val="00E62A18"/>
    <w:rsid w:val="00E62BCF"/>
    <w:rsid w:val="00E62C4D"/>
    <w:rsid w:val="00E62C61"/>
    <w:rsid w:val="00E62D3E"/>
    <w:rsid w:val="00E63060"/>
    <w:rsid w:val="00E63441"/>
    <w:rsid w:val="00E63456"/>
    <w:rsid w:val="00E63558"/>
    <w:rsid w:val="00E63757"/>
    <w:rsid w:val="00E6378B"/>
    <w:rsid w:val="00E63AC6"/>
    <w:rsid w:val="00E63EE6"/>
    <w:rsid w:val="00E641F6"/>
    <w:rsid w:val="00E64552"/>
    <w:rsid w:val="00E6486F"/>
    <w:rsid w:val="00E64A11"/>
    <w:rsid w:val="00E64C12"/>
    <w:rsid w:val="00E64DFB"/>
    <w:rsid w:val="00E64E05"/>
    <w:rsid w:val="00E65293"/>
    <w:rsid w:val="00E65307"/>
    <w:rsid w:val="00E65565"/>
    <w:rsid w:val="00E6595B"/>
    <w:rsid w:val="00E659D1"/>
    <w:rsid w:val="00E65D6E"/>
    <w:rsid w:val="00E66155"/>
    <w:rsid w:val="00E666B5"/>
    <w:rsid w:val="00E6682B"/>
    <w:rsid w:val="00E668C9"/>
    <w:rsid w:val="00E66B24"/>
    <w:rsid w:val="00E66DD4"/>
    <w:rsid w:val="00E6713E"/>
    <w:rsid w:val="00E671A3"/>
    <w:rsid w:val="00E67203"/>
    <w:rsid w:val="00E673FB"/>
    <w:rsid w:val="00E674E3"/>
    <w:rsid w:val="00E676A6"/>
    <w:rsid w:val="00E67DAD"/>
    <w:rsid w:val="00E67DEF"/>
    <w:rsid w:val="00E67FB5"/>
    <w:rsid w:val="00E701A3"/>
    <w:rsid w:val="00E70344"/>
    <w:rsid w:val="00E708D2"/>
    <w:rsid w:val="00E708F2"/>
    <w:rsid w:val="00E70915"/>
    <w:rsid w:val="00E7092C"/>
    <w:rsid w:val="00E70A10"/>
    <w:rsid w:val="00E70A81"/>
    <w:rsid w:val="00E70E19"/>
    <w:rsid w:val="00E70E2D"/>
    <w:rsid w:val="00E71133"/>
    <w:rsid w:val="00E71370"/>
    <w:rsid w:val="00E71B9A"/>
    <w:rsid w:val="00E71C3B"/>
    <w:rsid w:val="00E71C58"/>
    <w:rsid w:val="00E71D00"/>
    <w:rsid w:val="00E71EDF"/>
    <w:rsid w:val="00E722AD"/>
    <w:rsid w:val="00E7296F"/>
    <w:rsid w:val="00E72A08"/>
    <w:rsid w:val="00E72A80"/>
    <w:rsid w:val="00E72D33"/>
    <w:rsid w:val="00E72E10"/>
    <w:rsid w:val="00E72EFA"/>
    <w:rsid w:val="00E73527"/>
    <w:rsid w:val="00E73622"/>
    <w:rsid w:val="00E736EB"/>
    <w:rsid w:val="00E73789"/>
    <w:rsid w:val="00E7398F"/>
    <w:rsid w:val="00E73B8B"/>
    <w:rsid w:val="00E7408B"/>
    <w:rsid w:val="00E74228"/>
    <w:rsid w:val="00E74629"/>
    <w:rsid w:val="00E7481D"/>
    <w:rsid w:val="00E7485E"/>
    <w:rsid w:val="00E74AF0"/>
    <w:rsid w:val="00E74C83"/>
    <w:rsid w:val="00E74CF2"/>
    <w:rsid w:val="00E74E61"/>
    <w:rsid w:val="00E74FEA"/>
    <w:rsid w:val="00E750DD"/>
    <w:rsid w:val="00E75155"/>
    <w:rsid w:val="00E75476"/>
    <w:rsid w:val="00E754E5"/>
    <w:rsid w:val="00E7555A"/>
    <w:rsid w:val="00E756BB"/>
    <w:rsid w:val="00E757EE"/>
    <w:rsid w:val="00E75D26"/>
    <w:rsid w:val="00E75D59"/>
    <w:rsid w:val="00E75F5F"/>
    <w:rsid w:val="00E75FC9"/>
    <w:rsid w:val="00E76428"/>
    <w:rsid w:val="00E76508"/>
    <w:rsid w:val="00E765E0"/>
    <w:rsid w:val="00E766C5"/>
    <w:rsid w:val="00E769C1"/>
    <w:rsid w:val="00E76C64"/>
    <w:rsid w:val="00E76DBC"/>
    <w:rsid w:val="00E77482"/>
    <w:rsid w:val="00E7754A"/>
    <w:rsid w:val="00E776F7"/>
    <w:rsid w:val="00E7784B"/>
    <w:rsid w:val="00E7786B"/>
    <w:rsid w:val="00E7788C"/>
    <w:rsid w:val="00E77D09"/>
    <w:rsid w:val="00E77DCB"/>
    <w:rsid w:val="00E80272"/>
    <w:rsid w:val="00E803DF"/>
    <w:rsid w:val="00E805BE"/>
    <w:rsid w:val="00E80C38"/>
    <w:rsid w:val="00E80E06"/>
    <w:rsid w:val="00E80EE9"/>
    <w:rsid w:val="00E812C9"/>
    <w:rsid w:val="00E81331"/>
    <w:rsid w:val="00E813FD"/>
    <w:rsid w:val="00E8144E"/>
    <w:rsid w:val="00E81814"/>
    <w:rsid w:val="00E81B9A"/>
    <w:rsid w:val="00E81FB3"/>
    <w:rsid w:val="00E821D1"/>
    <w:rsid w:val="00E82230"/>
    <w:rsid w:val="00E8224C"/>
    <w:rsid w:val="00E822F5"/>
    <w:rsid w:val="00E82362"/>
    <w:rsid w:val="00E82368"/>
    <w:rsid w:val="00E8257E"/>
    <w:rsid w:val="00E828FE"/>
    <w:rsid w:val="00E82E70"/>
    <w:rsid w:val="00E82EEC"/>
    <w:rsid w:val="00E83363"/>
    <w:rsid w:val="00E837D5"/>
    <w:rsid w:val="00E837DD"/>
    <w:rsid w:val="00E8387A"/>
    <w:rsid w:val="00E83C7F"/>
    <w:rsid w:val="00E83F39"/>
    <w:rsid w:val="00E84250"/>
    <w:rsid w:val="00E842E1"/>
    <w:rsid w:val="00E84391"/>
    <w:rsid w:val="00E847E7"/>
    <w:rsid w:val="00E84DAC"/>
    <w:rsid w:val="00E852C3"/>
    <w:rsid w:val="00E85336"/>
    <w:rsid w:val="00E85337"/>
    <w:rsid w:val="00E855BE"/>
    <w:rsid w:val="00E857C5"/>
    <w:rsid w:val="00E85A64"/>
    <w:rsid w:val="00E85B77"/>
    <w:rsid w:val="00E85D22"/>
    <w:rsid w:val="00E85ECC"/>
    <w:rsid w:val="00E85FD7"/>
    <w:rsid w:val="00E86137"/>
    <w:rsid w:val="00E86447"/>
    <w:rsid w:val="00E86555"/>
    <w:rsid w:val="00E86615"/>
    <w:rsid w:val="00E86688"/>
    <w:rsid w:val="00E86725"/>
    <w:rsid w:val="00E86790"/>
    <w:rsid w:val="00E8682B"/>
    <w:rsid w:val="00E86AB0"/>
    <w:rsid w:val="00E86D4B"/>
    <w:rsid w:val="00E86EBE"/>
    <w:rsid w:val="00E870A8"/>
    <w:rsid w:val="00E871FA"/>
    <w:rsid w:val="00E8726B"/>
    <w:rsid w:val="00E874BD"/>
    <w:rsid w:val="00E87515"/>
    <w:rsid w:val="00E87A2E"/>
    <w:rsid w:val="00E87A62"/>
    <w:rsid w:val="00E87D1F"/>
    <w:rsid w:val="00E87ED5"/>
    <w:rsid w:val="00E87FC6"/>
    <w:rsid w:val="00E90025"/>
    <w:rsid w:val="00E90356"/>
    <w:rsid w:val="00E9047B"/>
    <w:rsid w:val="00E904C6"/>
    <w:rsid w:val="00E90858"/>
    <w:rsid w:val="00E90884"/>
    <w:rsid w:val="00E908C7"/>
    <w:rsid w:val="00E90ADC"/>
    <w:rsid w:val="00E910B8"/>
    <w:rsid w:val="00E910F5"/>
    <w:rsid w:val="00E9159C"/>
    <w:rsid w:val="00E91821"/>
    <w:rsid w:val="00E91862"/>
    <w:rsid w:val="00E91A33"/>
    <w:rsid w:val="00E91C3E"/>
    <w:rsid w:val="00E91C92"/>
    <w:rsid w:val="00E91DC8"/>
    <w:rsid w:val="00E91E4A"/>
    <w:rsid w:val="00E91F9C"/>
    <w:rsid w:val="00E92054"/>
    <w:rsid w:val="00E921AF"/>
    <w:rsid w:val="00E92260"/>
    <w:rsid w:val="00E9234D"/>
    <w:rsid w:val="00E92359"/>
    <w:rsid w:val="00E923E0"/>
    <w:rsid w:val="00E925DA"/>
    <w:rsid w:val="00E92A28"/>
    <w:rsid w:val="00E9306F"/>
    <w:rsid w:val="00E93223"/>
    <w:rsid w:val="00E93266"/>
    <w:rsid w:val="00E932BB"/>
    <w:rsid w:val="00E932D0"/>
    <w:rsid w:val="00E93372"/>
    <w:rsid w:val="00E9341B"/>
    <w:rsid w:val="00E935C4"/>
    <w:rsid w:val="00E935F5"/>
    <w:rsid w:val="00E93707"/>
    <w:rsid w:val="00E93755"/>
    <w:rsid w:val="00E939AD"/>
    <w:rsid w:val="00E93A63"/>
    <w:rsid w:val="00E94113"/>
    <w:rsid w:val="00E944A8"/>
    <w:rsid w:val="00E94559"/>
    <w:rsid w:val="00E946E8"/>
    <w:rsid w:val="00E9471F"/>
    <w:rsid w:val="00E947D1"/>
    <w:rsid w:val="00E94883"/>
    <w:rsid w:val="00E94E43"/>
    <w:rsid w:val="00E94E48"/>
    <w:rsid w:val="00E954DF"/>
    <w:rsid w:val="00E95514"/>
    <w:rsid w:val="00E95992"/>
    <w:rsid w:val="00E95AA0"/>
    <w:rsid w:val="00E95B0C"/>
    <w:rsid w:val="00E95BC6"/>
    <w:rsid w:val="00E95BD7"/>
    <w:rsid w:val="00E95D39"/>
    <w:rsid w:val="00E95E23"/>
    <w:rsid w:val="00E95F13"/>
    <w:rsid w:val="00E96019"/>
    <w:rsid w:val="00E96097"/>
    <w:rsid w:val="00E9660E"/>
    <w:rsid w:val="00E966A3"/>
    <w:rsid w:val="00E9677F"/>
    <w:rsid w:val="00E96797"/>
    <w:rsid w:val="00E96834"/>
    <w:rsid w:val="00E9685F"/>
    <w:rsid w:val="00E9690D"/>
    <w:rsid w:val="00E9690E"/>
    <w:rsid w:val="00E96975"/>
    <w:rsid w:val="00E96BA4"/>
    <w:rsid w:val="00E96C27"/>
    <w:rsid w:val="00E96E4B"/>
    <w:rsid w:val="00E96EBF"/>
    <w:rsid w:val="00E97162"/>
    <w:rsid w:val="00E9721A"/>
    <w:rsid w:val="00E976C1"/>
    <w:rsid w:val="00EA0147"/>
    <w:rsid w:val="00EA0157"/>
    <w:rsid w:val="00EA020C"/>
    <w:rsid w:val="00EA0282"/>
    <w:rsid w:val="00EA02AA"/>
    <w:rsid w:val="00EA0484"/>
    <w:rsid w:val="00EA04CA"/>
    <w:rsid w:val="00EA05E7"/>
    <w:rsid w:val="00EA07DD"/>
    <w:rsid w:val="00EA0AFA"/>
    <w:rsid w:val="00EA104E"/>
    <w:rsid w:val="00EA11BE"/>
    <w:rsid w:val="00EA1361"/>
    <w:rsid w:val="00EA1460"/>
    <w:rsid w:val="00EA14CD"/>
    <w:rsid w:val="00EA1532"/>
    <w:rsid w:val="00EA1793"/>
    <w:rsid w:val="00EA1874"/>
    <w:rsid w:val="00EA19BD"/>
    <w:rsid w:val="00EA1CDC"/>
    <w:rsid w:val="00EA1FA2"/>
    <w:rsid w:val="00EA20D1"/>
    <w:rsid w:val="00EA21B3"/>
    <w:rsid w:val="00EA2351"/>
    <w:rsid w:val="00EA25E4"/>
    <w:rsid w:val="00EA25FF"/>
    <w:rsid w:val="00EA2973"/>
    <w:rsid w:val="00EA2ADD"/>
    <w:rsid w:val="00EA2BA9"/>
    <w:rsid w:val="00EA2CC8"/>
    <w:rsid w:val="00EA2E5D"/>
    <w:rsid w:val="00EA2E7B"/>
    <w:rsid w:val="00EA2F79"/>
    <w:rsid w:val="00EA3987"/>
    <w:rsid w:val="00EA3B65"/>
    <w:rsid w:val="00EA3CD3"/>
    <w:rsid w:val="00EA3E43"/>
    <w:rsid w:val="00EA400D"/>
    <w:rsid w:val="00EA41C4"/>
    <w:rsid w:val="00EA42AF"/>
    <w:rsid w:val="00EA4497"/>
    <w:rsid w:val="00EA450E"/>
    <w:rsid w:val="00EA46B6"/>
    <w:rsid w:val="00EA46F2"/>
    <w:rsid w:val="00EA474A"/>
    <w:rsid w:val="00EA48F0"/>
    <w:rsid w:val="00EA4B20"/>
    <w:rsid w:val="00EA4B76"/>
    <w:rsid w:val="00EA4CF5"/>
    <w:rsid w:val="00EA4D8B"/>
    <w:rsid w:val="00EA4F05"/>
    <w:rsid w:val="00EA4F13"/>
    <w:rsid w:val="00EA519D"/>
    <w:rsid w:val="00EA5385"/>
    <w:rsid w:val="00EA55F8"/>
    <w:rsid w:val="00EA56AD"/>
    <w:rsid w:val="00EA5718"/>
    <w:rsid w:val="00EA5798"/>
    <w:rsid w:val="00EA5866"/>
    <w:rsid w:val="00EA59FB"/>
    <w:rsid w:val="00EA5A29"/>
    <w:rsid w:val="00EA5B3C"/>
    <w:rsid w:val="00EA606E"/>
    <w:rsid w:val="00EA6236"/>
    <w:rsid w:val="00EA62D8"/>
    <w:rsid w:val="00EA648A"/>
    <w:rsid w:val="00EA679E"/>
    <w:rsid w:val="00EA694B"/>
    <w:rsid w:val="00EA6D5F"/>
    <w:rsid w:val="00EA6F2F"/>
    <w:rsid w:val="00EA7572"/>
    <w:rsid w:val="00EA770C"/>
    <w:rsid w:val="00EA794C"/>
    <w:rsid w:val="00EA7EBB"/>
    <w:rsid w:val="00EA7FEE"/>
    <w:rsid w:val="00EB01D6"/>
    <w:rsid w:val="00EB055E"/>
    <w:rsid w:val="00EB07AC"/>
    <w:rsid w:val="00EB08CF"/>
    <w:rsid w:val="00EB08D7"/>
    <w:rsid w:val="00EB0A15"/>
    <w:rsid w:val="00EB0D72"/>
    <w:rsid w:val="00EB0FAB"/>
    <w:rsid w:val="00EB106C"/>
    <w:rsid w:val="00EB1075"/>
    <w:rsid w:val="00EB164B"/>
    <w:rsid w:val="00EB17F4"/>
    <w:rsid w:val="00EB1AEC"/>
    <w:rsid w:val="00EB1B5F"/>
    <w:rsid w:val="00EB1EFB"/>
    <w:rsid w:val="00EB1F1E"/>
    <w:rsid w:val="00EB21F2"/>
    <w:rsid w:val="00EB2521"/>
    <w:rsid w:val="00EB28F4"/>
    <w:rsid w:val="00EB2AC0"/>
    <w:rsid w:val="00EB2C4F"/>
    <w:rsid w:val="00EB2DE6"/>
    <w:rsid w:val="00EB2E06"/>
    <w:rsid w:val="00EB2E92"/>
    <w:rsid w:val="00EB3190"/>
    <w:rsid w:val="00EB31DF"/>
    <w:rsid w:val="00EB3884"/>
    <w:rsid w:val="00EB3929"/>
    <w:rsid w:val="00EB3AB7"/>
    <w:rsid w:val="00EB3ACD"/>
    <w:rsid w:val="00EB3B5D"/>
    <w:rsid w:val="00EB3DF3"/>
    <w:rsid w:val="00EB3DF9"/>
    <w:rsid w:val="00EB3E95"/>
    <w:rsid w:val="00EB4194"/>
    <w:rsid w:val="00EB47D0"/>
    <w:rsid w:val="00EB4A0B"/>
    <w:rsid w:val="00EB4ADF"/>
    <w:rsid w:val="00EB4AF3"/>
    <w:rsid w:val="00EB50D2"/>
    <w:rsid w:val="00EB51FD"/>
    <w:rsid w:val="00EB5298"/>
    <w:rsid w:val="00EB535F"/>
    <w:rsid w:val="00EB53DF"/>
    <w:rsid w:val="00EB5450"/>
    <w:rsid w:val="00EB5582"/>
    <w:rsid w:val="00EB566B"/>
    <w:rsid w:val="00EB581C"/>
    <w:rsid w:val="00EB594C"/>
    <w:rsid w:val="00EB5B9F"/>
    <w:rsid w:val="00EB5C96"/>
    <w:rsid w:val="00EB5CE3"/>
    <w:rsid w:val="00EB5FFF"/>
    <w:rsid w:val="00EB6220"/>
    <w:rsid w:val="00EB6244"/>
    <w:rsid w:val="00EB6364"/>
    <w:rsid w:val="00EB6564"/>
    <w:rsid w:val="00EB6885"/>
    <w:rsid w:val="00EB69B6"/>
    <w:rsid w:val="00EB6AFC"/>
    <w:rsid w:val="00EB6FB8"/>
    <w:rsid w:val="00EB7082"/>
    <w:rsid w:val="00EB74F7"/>
    <w:rsid w:val="00EB761C"/>
    <w:rsid w:val="00EB7717"/>
    <w:rsid w:val="00EB7764"/>
    <w:rsid w:val="00EB79A9"/>
    <w:rsid w:val="00EB7A0B"/>
    <w:rsid w:val="00EC0175"/>
    <w:rsid w:val="00EC0245"/>
    <w:rsid w:val="00EC03AA"/>
    <w:rsid w:val="00EC03D9"/>
    <w:rsid w:val="00EC04AF"/>
    <w:rsid w:val="00EC05BB"/>
    <w:rsid w:val="00EC0752"/>
    <w:rsid w:val="00EC0788"/>
    <w:rsid w:val="00EC08BD"/>
    <w:rsid w:val="00EC0B62"/>
    <w:rsid w:val="00EC0E1D"/>
    <w:rsid w:val="00EC1242"/>
    <w:rsid w:val="00EC14FD"/>
    <w:rsid w:val="00EC152D"/>
    <w:rsid w:val="00EC1605"/>
    <w:rsid w:val="00EC1953"/>
    <w:rsid w:val="00EC1AB2"/>
    <w:rsid w:val="00EC1B14"/>
    <w:rsid w:val="00EC1E62"/>
    <w:rsid w:val="00EC2199"/>
    <w:rsid w:val="00EC2202"/>
    <w:rsid w:val="00EC25D3"/>
    <w:rsid w:val="00EC25F1"/>
    <w:rsid w:val="00EC2636"/>
    <w:rsid w:val="00EC2D43"/>
    <w:rsid w:val="00EC2EFA"/>
    <w:rsid w:val="00EC2FCE"/>
    <w:rsid w:val="00EC3375"/>
    <w:rsid w:val="00EC360C"/>
    <w:rsid w:val="00EC369A"/>
    <w:rsid w:val="00EC36C2"/>
    <w:rsid w:val="00EC3885"/>
    <w:rsid w:val="00EC3B16"/>
    <w:rsid w:val="00EC3B26"/>
    <w:rsid w:val="00EC3D4B"/>
    <w:rsid w:val="00EC3DA3"/>
    <w:rsid w:val="00EC3EF3"/>
    <w:rsid w:val="00EC413B"/>
    <w:rsid w:val="00EC423F"/>
    <w:rsid w:val="00EC4581"/>
    <w:rsid w:val="00EC46F4"/>
    <w:rsid w:val="00EC485B"/>
    <w:rsid w:val="00EC4AF1"/>
    <w:rsid w:val="00EC4C53"/>
    <w:rsid w:val="00EC4DB9"/>
    <w:rsid w:val="00EC4DF4"/>
    <w:rsid w:val="00EC4E32"/>
    <w:rsid w:val="00EC51CD"/>
    <w:rsid w:val="00EC5257"/>
    <w:rsid w:val="00EC5394"/>
    <w:rsid w:val="00EC5527"/>
    <w:rsid w:val="00EC5575"/>
    <w:rsid w:val="00EC56D5"/>
    <w:rsid w:val="00EC5E78"/>
    <w:rsid w:val="00EC5FEF"/>
    <w:rsid w:val="00EC683B"/>
    <w:rsid w:val="00EC6CA5"/>
    <w:rsid w:val="00EC6DB3"/>
    <w:rsid w:val="00EC6FDB"/>
    <w:rsid w:val="00EC711B"/>
    <w:rsid w:val="00EC7962"/>
    <w:rsid w:val="00EC79B7"/>
    <w:rsid w:val="00EC7BAA"/>
    <w:rsid w:val="00ECE9BA"/>
    <w:rsid w:val="00ED0210"/>
    <w:rsid w:val="00ED092C"/>
    <w:rsid w:val="00ED0946"/>
    <w:rsid w:val="00ED099E"/>
    <w:rsid w:val="00ED0B24"/>
    <w:rsid w:val="00ED0B81"/>
    <w:rsid w:val="00ED0B92"/>
    <w:rsid w:val="00ED0B95"/>
    <w:rsid w:val="00ED0F11"/>
    <w:rsid w:val="00ED0FC8"/>
    <w:rsid w:val="00ED10D8"/>
    <w:rsid w:val="00ED1419"/>
    <w:rsid w:val="00ED1485"/>
    <w:rsid w:val="00ED1577"/>
    <w:rsid w:val="00ED190E"/>
    <w:rsid w:val="00ED1AAB"/>
    <w:rsid w:val="00ED1C84"/>
    <w:rsid w:val="00ED1DE0"/>
    <w:rsid w:val="00ED2243"/>
    <w:rsid w:val="00ED2254"/>
    <w:rsid w:val="00ED2570"/>
    <w:rsid w:val="00ED2935"/>
    <w:rsid w:val="00ED3251"/>
    <w:rsid w:val="00ED3443"/>
    <w:rsid w:val="00ED34C6"/>
    <w:rsid w:val="00ED3594"/>
    <w:rsid w:val="00ED35B0"/>
    <w:rsid w:val="00ED38D6"/>
    <w:rsid w:val="00ED396E"/>
    <w:rsid w:val="00ED39E6"/>
    <w:rsid w:val="00ED3B6D"/>
    <w:rsid w:val="00ED4A48"/>
    <w:rsid w:val="00ED4FE0"/>
    <w:rsid w:val="00ED50BB"/>
    <w:rsid w:val="00ED50C1"/>
    <w:rsid w:val="00ED5198"/>
    <w:rsid w:val="00ED51CC"/>
    <w:rsid w:val="00ED52F7"/>
    <w:rsid w:val="00ED5437"/>
    <w:rsid w:val="00ED5A10"/>
    <w:rsid w:val="00ED5C55"/>
    <w:rsid w:val="00ED5CF2"/>
    <w:rsid w:val="00ED5F64"/>
    <w:rsid w:val="00ED60E2"/>
    <w:rsid w:val="00ED63CD"/>
    <w:rsid w:val="00ED6430"/>
    <w:rsid w:val="00ED695E"/>
    <w:rsid w:val="00ED6B68"/>
    <w:rsid w:val="00ED6B71"/>
    <w:rsid w:val="00ED6BDA"/>
    <w:rsid w:val="00ED6CB1"/>
    <w:rsid w:val="00ED70E3"/>
    <w:rsid w:val="00ED7218"/>
    <w:rsid w:val="00ED7232"/>
    <w:rsid w:val="00ED72C4"/>
    <w:rsid w:val="00ED742E"/>
    <w:rsid w:val="00ED7781"/>
    <w:rsid w:val="00ED791B"/>
    <w:rsid w:val="00ED79B9"/>
    <w:rsid w:val="00EE1222"/>
    <w:rsid w:val="00EE131B"/>
    <w:rsid w:val="00EE139B"/>
    <w:rsid w:val="00EE13C6"/>
    <w:rsid w:val="00EE14C1"/>
    <w:rsid w:val="00EE15BA"/>
    <w:rsid w:val="00EE16AB"/>
    <w:rsid w:val="00EE1712"/>
    <w:rsid w:val="00EE1850"/>
    <w:rsid w:val="00EE19A3"/>
    <w:rsid w:val="00EE1DAA"/>
    <w:rsid w:val="00EE2127"/>
    <w:rsid w:val="00EE216F"/>
    <w:rsid w:val="00EE2305"/>
    <w:rsid w:val="00EE2942"/>
    <w:rsid w:val="00EE2B28"/>
    <w:rsid w:val="00EE30A9"/>
    <w:rsid w:val="00EE31B1"/>
    <w:rsid w:val="00EE3429"/>
    <w:rsid w:val="00EE34DA"/>
    <w:rsid w:val="00EE3550"/>
    <w:rsid w:val="00EE35E7"/>
    <w:rsid w:val="00EE3BF6"/>
    <w:rsid w:val="00EE3C3A"/>
    <w:rsid w:val="00EE3DF9"/>
    <w:rsid w:val="00EE4291"/>
    <w:rsid w:val="00EE438C"/>
    <w:rsid w:val="00EE43D9"/>
    <w:rsid w:val="00EE4408"/>
    <w:rsid w:val="00EE4619"/>
    <w:rsid w:val="00EE475D"/>
    <w:rsid w:val="00EE489D"/>
    <w:rsid w:val="00EE4E84"/>
    <w:rsid w:val="00EE52C6"/>
    <w:rsid w:val="00EE52E6"/>
    <w:rsid w:val="00EE52FB"/>
    <w:rsid w:val="00EE53AC"/>
    <w:rsid w:val="00EE5468"/>
    <w:rsid w:val="00EE5624"/>
    <w:rsid w:val="00EE5799"/>
    <w:rsid w:val="00EE5A19"/>
    <w:rsid w:val="00EE5C31"/>
    <w:rsid w:val="00EE5D7D"/>
    <w:rsid w:val="00EE5FED"/>
    <w:rsid w:val="00EE61AB"/>
    <w:rsid w:val="00EE61C2"/>
    <w:rsid w:val="00EE6EE6"/>
    <w:rsid w:val="00EE71E2"/>
    <w:rsid w:val="00EE7293"/>
    <w:rsid w:val="00EE743B"/>
    <w:rsid w:val="00EE76C2"/>
    <w:rsid w:val="00EE76CC"/>
    <w:rsid w:val="00EE7721"/>
    <w:rsid w:val="00EE788F"/>
    <w:rsid w:val="00EE790D"/>
    <w:rsid w:val="00EE7A05"/>
    <w:rsid w:val="00EE7BAF"/>
    <w:rsid w:val="00EE7CB1"/>
    <w:rsid w:val="00EF01B3"/>
    <w:rsid w:val="00EF0536"/>
    <w:rsid w:val="00EF0951"/>
    <w:rsid w:val="00EF0D7F"/>
    <w:rsid w:val="00EF1175"/>
    <w:rsid w:val="00EF1182"/>
    <w:rsid w:val="00EF12B2"/>
    <w:rsid w:val="00EF13E0"/>
    <w:rsid w:val="00EF1665"/>
    <w:rsid w:val="00EF18B6"/>
    <w:rsid w:val="00EF1CF3"/>
    <w:rsid w:val="00EF208C"/>
    <w:rsid w:val="00EF20D5"/>
    <w:rsid w:val="00EF2250"/>
    <w:rsid w:val="00EF241B"/>
    <w:rsid w:val="00EF26BC"/>
    <w:rsid w:val="00EF28C9"/>
    <w:rsid w:val="00EF2D5B"/>
    <w:rsid w:val="00EF2F79"/>
    <w:rsid w:val="00EF317A"/>
    <w:rsid w:val="00EF3317"/>
    <w:rsid w:val="00EF3340"/>
    <w:rsid w:val="00EF33AE"/>
    <w:rsid w:val="00EF359D"/>
    <w:rsid w:val="00EF35D6"/>
    <w:rsid w:val="00EF47B8"/>
    <w:rsid w:val="00EF47E6"/>
    <w:rsid w:val="00EF4E3F"/>
    <w:rsid w:val="00EF4E6B"/>
    <w:rsid w:val="00EF4F9E"/>
    <w:rsid w:val="00EF5146"/>
    <w:rsid w:val="00EF52E4"/>
    <w:rsid w:val="00EF5AEB"/>
    <w:rsid w:val="00EF5BC7"/>
    <w:rsid w:val="00EF5FDE"/>
    <w:rsid w:val="00EF600C"/>
    <w:rsid w:val="00EF6086"/>
    <w:rsid w:val="00EF6286"/>
    <w:rsid w:val="00EF63C7"/>
    <w:rsid w:val="00EF64F8"/>
    <w:rsid w:val="00EF6747"/>
    <w:rsid w:val="00EF6AC9"/>
    <w:rsid w:val="00EF6AD2"/>
    <w:rsid w:val="00EF70A6"/>
    <w:rsid w:val="00EF713F"/>
    <w:rsid w:val="00EF7318"/>
    <w:rsid w:val="00EF737B"/>
    <w:rsid w:val="00EF7546"/>
    <w:rsid w:val="00EF7600"/>
    <w:rsid w:val="00EF791D"/>
    <w:rsid w:val="00EF7C55"/>
    <w:rsid w:val="00EF7F39"/>
    <w:rsid w:val="00EF7FF7"/>
    <w:rsid w:val="00EF7FF8"/>
    <w:rsid w:val="00F00566"/>
    <w:rsid w:val="00F00714"/>
    <w:rsid w:val="00F008BB"/>
    <w:rsid w:val="00F00BC3"/>
    <w:rsid w:val="00F00DDD"/>
    <w:rsid w:val="00F01013"/>
    <w:rsid w:val="00F01031"/>
    <w:rsid w:val="00F01426"/>
    <w:rsid w:val="00F015A3"/>
    <w:rsid w:val="00F0162F"/>
    <w:rsid w:val="00F01ACF"/>
    <w:rsid w:val="00F01C47"/>
    <w:rsid w:val="00F01DCB"/>
    <w:rsid w:val="00F01E9D"/>
    <w:rsid w:val="00F01EF0"/>
    <w:rsid w:val="00F01F58"/>
    <w:rsid w:val="00F02031"/>
    <w:rsid w:val="00F022F7"/>
    <w:rsid w:val="00F02473"/>
    <w:rsid w:val="00F0252E"/>
    <w:rsid w:val="00F02741"/>
    <w:rsid w:val="00F0287B"/>
    <w:rsid w:val="00F02949"/>
    <w:rsid w:val="00F02B6B"/>
    <w:rsid w:val="00F03106"/>
    <w:rsid w:val="00F0312D"/>
    <w:rsid w:val="00F031B0"/>
    <w:rsid w:val="00F03635"/>
    <w:rsid w:val="00F036B7"/>
    <w:rsid w:val="00F037A6"/>
    <w:rsid w:val="00F037F9"/>
    <w:rsid w:val="00F03CF1"/>
    <w:rsid w:val="00F04181"/>
    <w:rsid w:val="00F046A5"/>
    <w:rsid w:val="00F04A64"/>
    <w:rsid w:val="00F04A85"/>
    <w:rsid w:val="00F04D3B"/>
    <w:rsid w:val="00F04DE1"/>
    <w:rsid w:val="00F0500F"/>
    <w:rsid w:val="00F053B1"/>
    <w:rsid w:val="00F0549C"/>
    <w:rsid w:val="00F0578B"/>
    <w:rsid w:val="00F058BB"/>
    <w:rsid w:val="00F0598E"/>
    <w:rsid w:val="00F05A91"/>
    <w:rsid w:val="00F05CB8"/>
    <w:rsid w:val="00F05D35"/>
    <w:rsid w:val="00F05D78"/>
    <w:rsid w:val="00F067B5"/>
    <w:rsid w:val="00F068EC"/>
    <w:rsid w:val="00F06A45"/>
    <w:rsid w:val="00F06A75"/>
    <w:rsid w:val="00F0706C"/>
    <w:rsid w:val="00F0707A"/>
    <w:rsid w:val="00F07482"/>
    <w:rsid w:val="00F07953"/>
    <w:rsid w:val="00F079AC"/>
    <w:rsid w:val="00F07D12"/>
    <w:rsid w:val="00F1019C"/>
    <w:rsid w:val="00F101F3"/>
    <w:rsid w:val="00F1028C"/>
    <w:rsid w:val="00F1029E"/>
    <w:rsid w:val="00F10393"/>
    <w:rsid w:val="00F10B11"/>
    <w:rsid w:val="00F10FAA"/>
    <w:rsid w:val="00F11090"/>
    <w:rsid w:val="00F119A6"/>
    <w:rsid w:val="00F11B8C"/>
    <w:rsid w:val="00F11D3D"/>
    <w:rsid w:val="00F120B9"/>
    <w:rsid w:val="00F1224C"/>
    <w:rsid w:val="00F12512"/>
    <w:rsid w:val="00F125A0"/>
    <w:rsid w:val="00F12683"/>
    <w:rsid w:val="00F1294C"/>
    <w:rsid w:val="00F12A1E"/>
    <w:rsid w:val="00F12A2C"/>
    <w:rsid w:val="00F12AFD"/>
    <w:rsid w:val="00F12C15"/>
    <w:rsid w:val="00F12D7F"/>
    <w:rsid w:val="00F12ED5"/>
    <w:rsid w:val="00F12F37"/>
    <w:rsid w:val="00F131B5"/>
    <w:rsid w:val="00F13387"/>
    <w:rsid w:val="00F135F8"/>
    <w:rsid w:val="00F13633"/>
    <w:rsid w:val="00F136E1"/>
    <w:rsid w:val="00F13789"/>
    <w:rsid w:val="00F1386E"/>
    <w:rsid w:val="00F13918"/>
    <w:rsid w:val="00F13995"/>
    <w:rsid w:val="00F13B60"/>
    <w:rsid w:val="00F13D1B"/>
    <w:rsid w:val="00F13DF0"/>
    <w:rsid w:val="00F13F0B"/>
    <w:rsid w:val="00F14056"/>
    <w:rsid w:val="00F14071"/>
    <w:rsid w:val="00F140DC"/>
    <w:rsid w:val="00F140FD"/>
    <w:rsid w:val="00F141B2"/>
    <w:rsid w:val="00F141B9"/>
    <w:rsid w:val="00F14290"/>
    <w:rsid w:val="00F144A8"/>
    <w:rsid w:val="00F14553"/>
    <w:rsid w:val="00F1461E"/>
    <w:rsid w:val="00F14623"/>
    <w:rsid w:val="00F14913"/>
    <w:rsid w:val="00F149BF"/>
    <w:rsid w:val="00F14C34"/>
    <w:rsid w:val="00F14E8C"/>
    <w:rsid w:val="00F15239"/>
    <w:rsid w:val="00F1542E"/>
    <w:rsid w:val="00F15840"/>
    <w:rsid w:val="00F159D4"/>
    <w:rsid w:val="00F15A47"/>
    <w:rsid w:val="00F16032"/>
    <w:rsid w:val="00F162CA"/>
    <w:rsid w:val="00F166DB"/>
    <w:rsid w:val="00F16A27"/>
    <w:rsid w:val="00F16BCF"/>
    <w:rsid w:val="00F16C53"/>
    <w:rsid w:val="00F16DFB"/>
    <w:rsid w:val="00F17249"/>
    <w:rsid w:val="00F1739C"/>
    <w:rsid w:val="00F17583"/>
    <w:rsid w:val="00F17CF8"/>
    <w:rsid w:val="00F17DC6"/>
    <w:rsid w:val="00F17F1A"/>
    <w:rsid w:val="00F17F1B"/>
    <w:rsid w:val="00F1CD29"/>
    <w:rsid w:val="00F200A7"/>
    <w:rsid w:val="00F203C5"/>
    <w:rsid w:val="00F20580"/>
    <w:rsid w:val="00F206D5"/>
    <w:rsid w:val="00F208BA"/>
    <w:rsid w:val="00F20CB9"/>
    <w:rsid w:val="00F20CC3"/>
    <w:rsid w:val="00F21231"/>
    <w:rsid w:val="00F21260"/>
    <w:rsid w:val="00F2126F"/>
    <w:rsid w:val="00F21E56"/>
    <w:rsid w:val="00F21FB6"/>
    <w:rsid w:val="00F2238F"/>
    <w:rsid w:val="00F223A9"/>
    <w:rsid w:val="00F22444"/>
    <w:rsid w:val="00F225D2"/>
    <w:rsid w:val="00F22736"/>
    <w:rsid w:val="00F2280C"/>
    <w:rsid w:val="00F229CE"/>
    <w:rsid w:val="00F233DB"/>
    <w:rsid w:val="00F23468"/>
    <w:rsid w:val="00F2351D"/>
    <w:rsid w:val="00F23ACE"/>
    <w:rsid w:val="00F23D9E"/>
    <w:rsid w:val="00F23DE3"/>
    <w:rsid w:val="00F23E3D"/>
    <w:rsid w:val="00F246C3"/>
    <w:rsid w:val="00F24A16"/>
    <w:rsid w:val="00F24CD2"/>
    <w:rsid w:val="00F24F81"/>
    <w:rsid w:val="00F25015"/>
    <w:rsid w:val="00F251AC"/>
    <w:rsid w:val="00F2530D"/>
    <w:rsid w:val="00F25584"/>
    <w:rsid w:val="00F257C3"/>
    <w:rsid w:val="00F25983"/>
    <w:rsid w:val="00F25D1B"/>
    <w:rsid w:val="00F26B30"/>
    <w:rsid w:val="00F26CA6"/>
    <w:rsid w:val="00F26CF7"/>
    <w:rsid w:val="00F26DD3"/>
    <w:rsid w:val="00F26DED"/>
    <w:rsid w:val="00F26DF0"/>
    <w:rsid w:val="00F26FD5"/>
    <w:rsid w:val="00F27060"/>
    <w:rsid w:val="00F27062"/>
    <w:rsid w:val="00F274BE"/>
    <w:rsid w:val="00F275C5"/>
    <w:rsid w:val="00F2768B"/>
    <w:rsid w:val="00F27775"/>
    <w:rsid w:val="00F27E0E"/>
    <w:rsid w:val="00F27EBB"/>
    <w:rsid w:val="00F30170"/>
    <w:rsid w:val="00F30442"/>
    <w:rsid w:val="00F308B8"/>
    <w:rsid w:val="00F30902"/>
    <w:rsid w:val="00F309D1"/>
    <w:rsid w:val="00F30A88"/>
    <w:rsid w:val="00F31232"/>
    <w:rsid w:val="00F313C5"/>
    <w:rsid w:val="00F31503"/>
    <w:rsid w:val="00F31582"/>
    <w:rsid w:val="00F31640"/>
    <w:rsid w:val="00F31843"/>
    <w:rsid w:val="00F31DFE"/>
    <w:rsid w:val="00F31E82"/>
    <w:rsid w:val="00F31F52"/>
    <w:rsid w:val="00F31FAD"/>
    <w:rsid w:val="00F320F2"/>
    <w:rsid w:val="00F320F7"/>
    <w:rsid w:val="00F3230B"/>
    <w:rsid w:val="00F32532"/>
    <w:rsid w:val="00F325C1"/>
    <w:rsid w:val="00F32986"/>
    <w:rsid w:val="00F32B90"/>
    <w:rsid w:val="00F32CE2"/>
    <w:rsid w:val="00F32D4B"/>
    <w:rsid w:val="00F32DC8"/>
    <w:rsid w:val="00F330CF"/>
    <w:rsid w:val="00F3312C"/>
    <w:rsid w:val="00F331C9"/>
    <w:rsid w:val="00F333A7"/>
    <w:rsid w:val="00F3350C"/>
    <w:rsid w:val="00F336B1"/>
    <w:rsid w:val="00F33AFA"/>
    <w:rsid w:val="00F33F16"/>
    <w:rsid w:val="00F33F28"/>
    <w:rsid w:val="00F3436A"/>
    <w:rsid w:val="00F3464F"/>
    <w:rsid w:val="00F34678"/>
    <w:rsid w:val="00F34CDD"/>
    <w:rsid w:val="00F34D00"/>
    <w:rsid w:val="00F35043"/>
    <w:rsid w:val="00F352A8"/>
    <w:rsid w:val="00F355DA"/>
    <w:rsid w:val="00F35863"/>
    <w:rsid w:val="00F358EF"/>
    <w:rsid w:val="00F35909"/>
    <w:rsid w:val="00F35C16"/>
    <w:rsid w:val="00F35CB7"/>
    <w:rsid w:val="00F35D65"/>
    <w:rsid w:val="00F35E80"/>
    <w:rsid w:val="00F3612B"/>
    <w:rsid w:val="00F367F4"/>
    <w:rsid w:val="00F368C6"/>
    <w:rsid w:val="00F36B53"/>
    <w:rsid w:val="00F36B71"/>
    <w:rsid w:val="00F36C04"/>
    <w:rsid w:val="00F36C14"/>
    <w:rsid w:val="00F36CFC"/>
    <w:rsid w:val="00F36F1D"/>
    <w:rsid w:val="00F37023"/>
    <w:rsid w:val="00F37142"/>
    <w:rsid w:val="00F3726D"/>
    <w:rsid w:val="00F37453"/>
    <w:rsid w:val="00F37CA1"/>
    <w:rsid w:val="00F404C6"/>
    <w:rsid w:val="00F4063C"/>
    <w:rsid w:val="00F40679"/>
    <w:rsid w:val="00F40A68"/>
    <w:rsid w:val="00F40ACB"/>
    <w:rsid w:val="00F40B81"/>
    <w:rsid w:val="00F40E8B"/>
    <w:rsid w:val="00F412C2"/>
    <w:rsid w:val="00F412F2"/>
    <w:rsid w:val="00F41506"/>
    <w:rsid w:val="00F41729"/>
    <w:rsid w:val="00F41C10"/>
    <w:rsid w:val="00F42009"/>
    <w:rsid w:val="00F42285"/>
    <w:rsid w:val="00F42361"/>
    <w:rsid w:val="00F42602"/>
    <w:rsid w:val="00F4280C"/>
    <w:rsid w:val="00F4291F"/>
    <w:rsid w:val="00F42A78"/>
    <w:rsid w:val="00F42B9C"/>
    <w:rsid w:val="00F42DBF"/>
    <w:rsid w:val="00F42DE6"/>
    <w:rsid w:val="00F43370"/>
    <w:rsid w:val="00F4351D"/>
    <w:rsid w:val="00F43722"/>
    <w:rsid w:val="00F43B10"/>
    <w:rsid w:val="00F43BBE"/>
    <w:rsid w:val="00F43C08"/>
    <w:rsid w:val="00F43DAF"/>
    <w:rsid w:val="00F43DD0"/>
    <w:rsid w:val="00F43F1C"/>
    <w:rsid w:val="00F44999"/>
    <w:rsid w:val="00F450BA"/>
    <w:rsid w:val="00F453BC"/>
    <w:rsid w:val="00F456E4"/>
    <w:rsid w:val="00F457BD"/>
    <w:rsid w:val="00F459CF"/>
    <w:rsid w:val="00F45D22"/>
    <w:rsid w:val="00F45E20"/>
    <w:rsid w:val="00F45EAC"/>
    <w:rsid w:val="00F460E1"/>
    <w:rsid w:val="00F4664C"/>
    <w:rsid w:val="00F4695F"/>
    <w:rsid w:val="00F46EB9"/>
    <w:rsid w:val="00F47107"/>
    <w:rsid w:val="00F473C9"/>
    <w:rsid w:val="00F473CC"/>
    <w:rsid w:val="00F47939"/>
    <w:rsid w:val="00F47ACB"/>
    <w:rsid w:val="00F47FF2"/>
    <w:rsid w:val="00F50103"/>
    <w:rsid w:val="00F50318"/>
    <w:rsid w:val="00F503F7"/>
    <w:rsid w:val="00F5046E"/>
    <w:rsid w:val="00F5079A"/>
    <w:rsid w:val="00F509BB"/>
    <w:rsid w:val="00F50E54"/>
    <w:rsid w:val="00F50ED6"/>
    <w:rsid w:val="00F50F95"/>
    <w:rsid w:val="00F51286"/>
    <w:rsid w:val="00F51445"/>
    <w:rsid w:val="00F5164A"/>
    <w:rsid w:val="00F5169C"/>
    <w:rsid w:val="00F51845"/>
    <w:rsid w:val="00F51AF5"/>
    <w:rsid w:val="00F51BD8"/>
    <w:rsid w:val="00F51E0F"/>
    <w:rsid w:val="00F51EB2"/>
    <w:rsid w:val="00F52535"/>
    <w:rsid w:val="00F52827"/>
    <w:rsid w:val="00F52C4A"/>
    <w:rsid w:val="00F52E4D"/>
    <w:rsid w:val="00F53082"/>
    <w:rsid w:val="00F532E6"/>
    <w:rsid w:val="00F5336E"/>
    <w:rsid w:val="00F53584"/>
    <w:rsid w:val="00F535BC"/>
    <w:rsid w:val="00F539CD"/>
    <w:rsid w:val="00F53BA2"/>
    <w:rsid w:val="00F53CCD"/>
    <w:rsid w:val="00F53E9C"/>
    <w:rsid w:val="00F5449E"/>
    <w:rsid w:val="00F5459F"/>
    <w:rsid w:val="00F547F2"/>
    <w:rsid w:val="00F548E1"/>
    <w:rsid w:val="00F54919"/>
    <w:rsid w:val="00F54D30"/>
    <w:rsid w:val="00F54D91"/>
    <w:rsid w:val="00F54E3A"/>
    <w:rsid w:val="00F54F4B"/>
    <w:rsid w:val="00F54F56"/>
    <w:rsid w:val="00F550B0"/>
    <w:rsid w:val="00F550F2"/>
    <w:rsid w:val="00F55126"/>
    <w:rsid w:val="00F554B4"/>
    <w:rsid w:val="00F554F3"/>
    <w:rsid w:val="00F555FB"/>
    <w:rsid w:val="00F55645"/>
    <w:rsid w:val="00F55907"/>
    <w:rsid w:val="00F55CAA"/>
    <w:rsid w:val="00F55DCB"/>
    <w:rsid w:val="00F561C9"/>
    <w:rsid w:val="00F56216"/>
    <w:rsid w:val="00F5629E"/>
    <w:rsid w:val="00F56419"/>
    <w:rsid w:val="00F565D8"/>
    <w:rsid w:val="00F5678D"/>
    <w:rsid w:val="00F56A73"/>
    <w:rsid w:val="00F56C10"/>
    <w:rsid w:val="00F56CBB"/>
    <w:rsid w:val="00F57468"/>
    <w:rsid w:val="00F575AF"/>
    <w:rsid w:val="00F575FE"/>
    <w:rsid w:val="00F57800"/>
    <w:rsid w:val="00F57A3C"/>
    <w:rsid w:val="00F57C74"/>
    <w:rsid w:val="00F57CC3"/>
    <w:rsid w:val="00F57CCC"/>
    <w:rsid w:val="00F57DF1"/>
    <w:rsid w:val="00F57F4B"/>
    <w:rsid w:val="00F5D0D5"/>
    <w:rsid w:val="00F60246"/>
    <w:rsid w:val="00F60271"/>
    <w:rsid w:val="00F60458"/>
    <w:rsid w:val="00F60640"/>
    <w:rsid w:val="00F6080C"/>
    <w:rsid w:val="00F6096B"/>
    <w:rsid w:val="00F609C5"/>
    <w:rsid w:val="00F60BB0"/>
    <w:rsid w:val="00F60D59"/>
    <w:rsid w:val="00F60D76"/>
    <w:rsid w:val="00F61A56"/>
    <w:rsid w:val="00F61B6C"/>
    <w:rsid w:val="00F61BD4"/>
    <w:rsid w:val="00F61C44"/>
    <w:rsid w:val="00F61EC5"/>
    <w:rsid w:val="00F621CB"/>
    <w:rsid w:val="00F62228"/>
    <w:rsid w:val="00F62373"/>
    <w:rsid w:val="00F62448"/>
    <w:rsid w:val="00F62489"/>
    <w:rsid w:val="00F6253E"/>
    <w:rsid w:val="00F6259B"/>
    <w:rsid w:val="00F629FB"/>
    <w:rsid w:val="00F62A15"/>
    <w:rsid w:val="00F62E75"/>
    <w:rsid w:val="00F62EC0"/>
    <w:rsid w:val="00F62ED9"/>
    <w:rsid w:val="00F63044"/>
    <w:rsid w:val="00F63173"/>
    <w:rsid w:val="00F63306"/>
    <w:rsid w:val="00F6343F"/>
    <w:rsid w:val="00F63914"/>
    <w:rsid w:val="00F6392A"/>
    <w:rsid w:val="00F63940"/>
    <w:rsid w:val="00F63B9A"/>
    <w:rsid w:val="00F63F71"/>
    <w:rsid w:val="00F6444C"/>
    <w:rsid w:val="00F64465"/>
    <w:rsid w:val="00F646E0"/>
    <w:rsid w:val="00F649C8"/>
    <w:rsid w:val="00F649E3"/>
    <w:rsid w:val="00F64AE8"/>
    <w:rsid w:val="00F64AF3"/>
    <w:rsid w:val="00F64E1E"/>
    <w:rsid w:val="00F64F7A"/>
    <w:rsid w:val="00F65032"/>
    <w:rsid w:val="00F650C7"/>
    <w:rsid w:val="00F652EE"/>
    <w:rsid w:val="00F656F4"/>
    <w:rsid w:val="00F6591C"/>
    <w:rsid w:val="00F65938"/>
    <w:rsid w:val="00F65A27"/>
    <w:rsid w:val="00F65A8D"/>
    <w:rsid w:val="00F65BBD"/>
    <w:rsid w:val="00F65DD3"/>
    <w:rsid w:val="00F6605F"/>
    <w:rsid w:val="00F664BF"/>
    <w:rsid w:val="00F66517"/>
    <w:rsid w:val="00F6666C"/>
    <w:rsid w:val="00F6669B"/>
    <w:rsid w:val="00F66887"/>
    <w:rsid w:val="00F66B7C"/>
    <w:rsid w:val="00F66CDA"/>
    <w:rsid w:val="00F66DCA"/>
    <w:rsid w:val="00F66E1C"/>
    <w:rsid w:val="00F66FC1"/>
    <w:rsid w:val="00F672D8"/>
    <w:rsid w:val="00F675C3"/>
    <w:rsid w:val="00F67602"/>
    <w:rsid w:val="00F67719"/>
    <w:rsid w:val="00F67832"/>
    <w:rsid w:val="00F67951"/>
    <w:rsid w:val="00F67A25"/>
    <w:rsid w:val="00F67B30"/>
    <w:rsid w:val="00F703B6"/>
    <w:rsid w:val="00F707BE"/>
    <w:rsid w:val="00F70AE2"/>
    <w:rsid w:val="00F70DF8"/>
    <w:rsid w:val="00F70F2F"/>
    <w:rsid w:val="00F71123"/>
    <w:rsid w:val="00F7124F"/>
    <w:rsid w:val="00F713D2"/>
    <w:rsid w:val="00F71410"/>
    <w:rsid w:val="00F715F4"/>
    <w:rsid w:val="00F7179D"/>
    <w:rsid w:val="00F7189A"/>
    <w:rsid w:val="00F71A92"/>
    <w:rsid w:val="00F71B2C"/>
    <w:rsid w:val="00F71C70"/>
    <w:rsid w:val="00F71D5F"/>
    <w:rsid w:val="00F71DF2"/>
    <w:rsid w:val="00F720B8"/>
    <w:rsid w:val="00F720DD"/>
    <w:rsid w:val="00F720F1"/>
    <w:rsid w:val="00F72410"/>
    <w:rsid w:val="00F72446"/>
    <w:rsid w:val="00F72599"/>
    <w:rsid w:val="00F7297B"/>
    <w:rsid w:val="00F72A25"/>
    <w:rsid w:val="00F72DC7"/>
    <w:rsid w:val="00F72DE4"/>
    <w:rsid w:val="00F72F44"/>
    <w:rsid w:val="00F72F76"/>
    <w:rsid w:val="00F72F97"/>
    <w:rsid w:val="00F7352B"/>
    <w:rsid w:val="00F735F6"/>
    <w:rsid w:val="00F73ACE"/>
    <w:rsid w:val="00F73F66"/>
    <w:rsid w:val="00F73FC7"/>
    <w:rsid w:val="00F74046"/>
    <w:rsid w:val="00F74251"/>
    <w:rsid w:val="00F7473B"/>
    <w:rsid w:val="00F7485E"/>
    <w:rsid w:val="00F74B6E"/>
    <w:rsid w:val="00F74D27"/>
    <w:rsid w:val="00F74D77"/>
    <w:rsid w:val="00F74DB3"/>
    <w:rsid w:val="00F74F60"/>
    <w:rsid w:val="00F7516F"/>
    <w:rsid w:val="00F7532B"/>
    <w:rsid w:val="00F7545B"/>
    <w:rsid w:val="00F75966"/>
    <w:rsid w:val="00F759C5"/>
    <w:rsid w:val="00F75B71"/>
    <w:rsid w:val="00F75CD9"/>
    <w:rsid w:val="00F75E4E"/>
    <w:rsid w:val="00F76026"/>
    <w:rsid w:val="00F760D0"/>
    <w:rsid w:val="00F76277"/>
    <w:rsid w:val="00F763BE"/>
    <w:rsid w:val="00F764FA"/>
    <w:rsid w:val="00F76764"/>
    <w:rsid w:val="00F7690E"/>
    <w:rsid w:val="00F76951"/>
    <w:rsid w:val="00F76E0E"/>
    <w:rsid w:val="00F76F9A"/>
    <w:rsid w:val="00F771BD"/>
    <w:rsid w:val="00F771C8"/>
    <w:rsid w:val="00F77210"/>
    <w:rsid w:val="00F773B6"/>
    <w:rsid w:val="00F7742F"/>
    <w:rsid w:val="00F77586"/>
    <w:rsid w:val="00F7769D"/>
    <w:rsid w:val="00F77AC8"/>
    <w:rsid w:val="00F77C35"/>
    <w:rsid w:val="00F77D36"/>
    <w:rsid w:val="00F800E5"/>
    <w:rsid w:val="00F800FA"/>
    <w:rsid w:val="00F80630"/>
    <w:rsid w:val="00F8075A"/>
    <w:rsid w:val="00F80C29"/>
    <w:rsid w:val="00F80CC0"/>
    <w:rsid w:val="00F80FF7"/>
    <w:rsid w:val="00F810A1"/>
    <w:rsid w:val="00F81155"/>
    <w:rsid w:val="00F81237"/>
    <w:rsid w:val="00F8128F"/>
    <w:rsid w:val="00F812C6"/>
    <w:rsid w:val="00F81411"/>
    <w:rsid w:val="00F81574"/>
    <w:rsid w:val="00F81632"/>
    <w:rsid w:val="00F81777"/>
    <w:rsid w:val="00F817D4"/>
    <w:rsid w:val="00F81C62"/>
    <w:rsid w:val="00F81CBF"/>
    <w:rsid w:val="00F82284"/>
    <w:rsid w:val="00F822C7"/>
    <w:rsid w:val="00F82394"/>
    <w:rsid w:val="00F8252F"/>
    <w:rsid w:val="00F826BB"/>
    <w:rsid w:val="00F830B2"/>
    <w:rsid w:val="00F83488"/>
    <w:rsid w:val="00F834A7"/>
    <w:rsid w:val="00F835D4"/>
    <w:rsid w:val="00F835F0"/>
    <w:rsid w:val="00F837D2"/>
    <w:rsid w:val="00F83B09"/>
    <w:rsid w:val="00F83C5F"/>
    <w:rsid w:val="00F83C7C"/>
    <w:rsid w:val="00F83D64"/>
    <w:rsid w:val="00F83EF7"/>
    <w:rsid w:val="00F84198"/>
    <w:rsid w:val="00F84770"/>
    <w:rsid w:val="00F84820"/>
    <w:rsid w:val="00F84AB3"/>
    <w:rsid w:val="00F85032"/>
    <w:rsid w:val="00F85098"/>
    <w:rsid w:val="00F85181"/>
    <w:rsid w:val="00F8526F"/>
    <w:rsid w:val="00F85416"/>
    <w:rsid w:val="00F855FA"/>
    <w:rsid w:val="00F85753"/>
    <w:rsid w:val="00F85881"/>
    <w:rsid w:val="00F8590E"/>
    <w:rsid w:val="00F859BB"/>
    <w:rsid w:val="00F85DB0"/>
    <w:rsid w:val="00F85DBC"/>
    <w:rsid w:val="00F86197"/>
    <w:rsid w:val="00F861C7"/>
    <w:rsid w:val="00F8647C"/>
    <w:rsid w:val="00F86545"/>
    <w:rsid w:val="00F866B3"/>
    <w:rsid w:val="00F86792"/>
    <w:rsid w:val="00F8679C"/>
    <w:rsid w:val="00F86822"/>
    <w:rsid w:val="00F86845"/>
    <w:rsid w:val="00F86AC5"/>
    <w:rsid w:val="00F86AE5"/>
    <w:rsid w:val="00F86B4A"/>
    <w:rsid w:val="00F86BB5"/>
    <w:rsid w:val="00F86CEB"/>
    <w:rsid w:val="00F86CFF"/>
    <w:rsid w:val="00F86E1B"/>
    <w:rsid w:val="00F87175"/>
    <w:rsid w:val="00F874D7"/>
    <w:rsid w:val="00F876DF"/>
    <w:rsid w:val="00F87AEB"/>
    <w:rsid w:val="00F87CF4"/>
    <w:rsid w:val="00F900E2"/>
    <w:rsid w:val="00F9045A"/>
    <w:rsid w:val="00F908E8"/>
    <w:rsid w:val="00F90AC7"/>
    <w:rsid w:val="00F90B6E"/>
    <w:rsid w:val="00F90BD3"/>
    <w:rsid w:val="00F90BF9"/>
    <w:rsid w:val="00F90C3C"/>
    <w:rsid w:val="00F90FB0"/>
    <w:rsid w:val="00F91175"/>
    <w:rsid w:val="00F91348"/>
    <w:rsid w:val="00F9151E"/>
    <w:rsid w:val="00F91543"/>
    <w:rsid w:val="00F91599"/>
    <w:rsid w:val="00F91660"/>
    <w:rsid w:val="00F91842"/>
    <w:rsid w:val="00F918C1"/>
    <w:rsid w:val="00F91BEF"/>
    <w:rsid w:val="00F91DE8"/>
    <w:rsid w:val="00F9210E"/>
    <w:rsid w:val="00F922E2"/>
    <w:rsid w:val="00F92A8A"/>
    <w:rsid w:val="00F92DE0"/>
    <w:rsid w:val="00F93510"/>
    <w:rsid w:val="00F936C2"/>
    <w:rsid w:val="00F93A4D"/>
    <w:rsid w:val="00F93B1C"/>
    <w:rsid w:val="00F9410A"/>
    <w:rsid w:val="00F94510"/>
    <w:rsid w:val="00F94603"/>
    <w:rsid w:val="00F947B9"/>
    <w:rsid w:val="00F94898"/>
    <w:rsid w:val="00F94904"/>
    <w:rsid w:val="00F94A4C"/>
    <w:rsid w:val="00F94C8D"/>
    <w:rsid w:val="00F95058"/>
    <w:rsid w:val="00F95414"/>
    <w:rsid w:val="00F9547F"/>
    <w:rsid w:val="00F95E4B"/>
    <w:rsid w:val="00F961F9"/>
    <w:rsid w:val="00F96445"/>
    <w:rsid w:val="00F96623"/>
    <w:rsid w:val="00F9663B"/>
    <w:rsid w:val="00F96934"/>
    <w:rsid w:val="00F96C4C"/>
    <w:rsid w:val="00F96D58"/>
    <w:rsid w:val="00F96F36"/>
    <w:rsid w:val="00F96F77"/>
    <w:rsid w:val="00F9750F"/>
    <w:rsid w:val="00F9755C"/>
    <w:rsid w:val="00F975B9"/>
    <w:rsid w:val="00F9776D"/>
    <w:rsid w:val="00F97872"/>
    <w:rsid w:val="00F97950"/>
    <w:rsid w:val="00F97990"/>
    <w:rsid w:val="00F97A8A"/>
    <w:rsid w:val="00F97EC9"/>
    <w:rsid w:val="00F97F16"/>
    <w:rsid w:val="00FA0087"/>
    <w:rsid w:val="00FA0106"/>
    <w:rsid w:val="00FA075F"/>
    <w:rsid w:val="00FA077B"/>
    <w:rsid w:val="00FA088E"/>
    <w:rsid w:val="00FA090F"/>
    <w:rsid w:val="00FA0BA1"/>
    <w:rsid w:val="00FA0BC6"/>
    <w:rsid w:val="00FA0D4F"/>
    <w:rsid w:val="00FA0E5D"/>
    <w:rsid w:val="00FA12D1"/>
    <w:rsid w:val="00FA12FA"/>
    <w:rsid w:val="00FA13C6"/>
    <w:rsid w:val="00FA1403"/>
    <w:rsid w:val="00FA1602"/>
    <w:rsid w:val="00FA17EC"/>
    <w:rsid w:val="00FA19B7"/>
    <w:rsid w:val="00FA1A85"/>
    <w:rsid w:val="00FA1A9C"/>
    <w:rsid w:val="00FA1B88"/>
    <w:rsid w:val="00FA1E81"/>
    <w:rsid w:val="00FA1E94"/>
    <w:rsid w:val="00FA1EE5"/>
    <w:rsid w:val="00FA1F77"/>
    <w:rsid w:val="00FA2084"/>
    <w:rsid w:val="00FA21FE"/>
    <w:rsid w:val="00FA2400"/>
    <w:rsid w:val="00FA28D9"/>
    <w:rsid w:val="00FA29D6"/>
    <w:rsid w:val="00FA2EC3"/>
    <w:rsid w:val="00FA2F62"/>
    <w:rsid w:val="00FA33AD"/>
    <w:rsid w:val="00FA35C8"/>
    <w:rsid w:val="00FA3615"/>
    <w:rsid w:val="00FA36A4"/>
    <w:rsid w:val="00FA374D"/>
    <w:rsid w:val="00FA3B2E"/>
    <w:rsid w:val="00FA40BE"/>
    <w:rsid w:val="00FA418F"/>
    <w:rsid w:val="00FA43D8"/>
    <w:rsid w:val="00FA46ED"/>
    <w:rsid w:val="00FA4751"/>
    <w:rsid w:val="00FA4B8A"/>
    <w:rsid w:val="00FA4E37"/>
    <w:rsid w:val="00FA4FC2"/>
    <w:rsid w:val="00FA512B"/>
    <w:rsid w:val="00FA5473"/>
    <w:rsid w:val="00FA5DC6"/>
    <w:rsid w:val="00FA5FB9"/>
    <w:rsid w:val="00FA61E6"/>
    <w:rsid w:val="00FA62E7"/>
    <w:rsid w:val="00FA6401"/>
    <w:rsid w:val="00FA6672"/>
    <w:rsid w:val="00FA6686"/>
    <w:rsid w:val="00FA6C2C"/>
    <w:rsid w:val="00FA6E17"/>
    <w:rsid w:val="00FA6F9C"/>
    <w:rsid w:val="00FA715D"/>
    <w:rsid w:val="00FA71D6"/>
    <w:rsid w:val="00FA72DA"/>
    <w:rsid w:val="00FA7453"/>
    <w:rsid w:val="00FA74CA"/>
    <w:rsid w:val="00FA76F6"/>
    <w:rsid w:val="00FA7970"/>
    <w:rsid w:val="00FA7A09"/>
    <w:rsid w:val="00FA7AA2"/>
    <w:rsid w:val="00FA7FB1"/>
    <w:rsid w:val="00FA7FF1"/>
    <w:rsid w:val="00FAF330"/>
    <w:rsid w:val="00FB02F6"/>
    <w:rsid w:val="00FB03A5"/>
    <w:rsid w:val="00FB03A7"/>
    <w:rsid w:val="00FB051A"/>
    <w:rsid w:val="00FB08D3"/>
    <w:rsid w:val="00FB0A60"/>
    <w:rsid w:val="00FB0BF6"/>
    <w:rsid w:val="00FB0FC9"/>
    <w:rsid w:val="00FB128B"/>
    <w:rsid w:val="00FB1501"/>
    <w:rsid w:val="00FB1526"/>
    <w:rsid w:val="00FB16B7"/>
    <w:rsid w:val="00FB1A7B"/>
    <w:rsid w:val="00FB22F1"/>
    <w:rsid w:val="00FB22F2"/>
    <w:rsid w:val="00FB2364"/>
    <w:rsid w:val="00FB28D3"/>
    <w:rsid w:val="00FB2974"/>
    <w:rsid w:val="00FB2993"/>
    <w:rsid w:val="00FB29AD"/>
    <w:rsid w:val="00FB29FF"/>
    <w:rsid w:val="00FB3262"/>
    <w:rsid w:val="00FB3663"/>
    <w:rsid w:val="00FB3C47"/>
    <w:rsid w:val="00FB3D69"/>
    <w:rsid w:val="00FB4085"/>
    <w:rsid w:val="00FB4501"/>
    <w:rsid w:val="00FB4539"/>
    <w:rsid w:val="00FB472E"/>
    <w:rsid w:val="00FB47A8"/>
    <w:rsid w:val="00FB4887"/>
    <w:rsid w:val="00FB4A80"/>
    <w:rsid w:val="00FB4E51"/>
    <w:rsid w:val="00FB5023"/>
    <w:rsid w:val="00FB50A0"/>
    <w:rsid w:val="00FB53BD"/>
    <w:rsid w:val="00FB53F3"/>
    <w:rsid w:val="00FB54E0"/>
    <w:rsid w:val="00FB575F"/>
    <w:rsid w:val="00FB5E55"/>
    <w:rsid w:val="00FB5F5D"/>
    <w:rsid w:val="00FB608F"/>
    <w:rsid w:val="00FB66EE"/>
    <w:rsid w:val="00FB6907"/>
    <w:rsid w:val="00FB721D"/>
    <w:rsid w:val="00FB728C"/>
    <w:rsid w:val="00FB7534"/>
    <w:rsid w:val="00FB761F"/>
    <w:rsid w:val="00FB7A36"/>
    <w:rsid w:val="00FB7A3F"/>
    <w:rsid w:val="00FB7B95"/>
    <w:rsid w:val="00FB7BCD"/>
    <w:rsid w:val="00FC028B"/>
    <w:rsid w:val="00FC067E"/>
    <w:rsid w:val="00FC09DF"/>
    <w:rsid w:val="00FC0C37"/>
    <w:rsid w:val="00FC0CAC"/>
    <w:rsid w:val="00FC0CFF"/>
    <w:rsid w:val="00FC0F21"/>
    <w:rsid w:val="00FC0F28"/>
    <w:rsid w:val="00FC1844"/>
    <w:rsid w:val="00FC238C"/>
    <w:rsid w:val="00FC26FA"/>
    <w:rsid w:val="00FC29B6"/>
    <w:rsid w:val="00FC2B71"/>
    <w:rsid w:val="00FC2E9A"/>
    <w:rsid w:val="00FC3043"/>
    <w:rsid w:val="00FC308A"/>
    <w:rsid w:val="00FC3099"/>
    <w:rsid w:val="00FC30F5"/>
    <w:rsid w:val="00FC3179"/>
    <w:rsid w:val="00FC317B"/>
    <w:rsid w:val="00FC3405"/>
    <w:rsid w:val="00FC3595"/>
    <w:rsid w:val="00FC3638"/>
    <w:rsid w:val="00FC399C"/>
    <w:rsid w:val="00FC3C40"/>
    <w:rsid w:val="00FC3EDE"/>
    <w:rsid w:val="00FC3FBC"/>
    <w:rsid w:val="00FC421E"/>
    <w:rsid w:val="00FC42B4"/>
    <w:rsid w:val="00FC4317"/>
    <w:rsid w:val="00FC47A8"/>
    <w:rsid w:val="00FC4A7F"/>
    <w:rsid w:val="00FC4ACE"/>
    <w:rsid w:val="00FC4BE7"/>
    <w:rsid w:val="00FC4E4C"/>
    <w:rsid w:val="00FC519F"/>
    <w:rsid w:val="00FC56BC"/>
    <w:rsid w:val="00FC583B"/>
    <w:rsid w:val="00FC58E4"/>
    <w:rsid w:val="00FC5A26"/>
    <w:rsid w:val="00FC5B67"/>
    <w:rsid w:val="00FC5DA8"/>
    <w:rsid w:val="00FC6406"/>
    <w:rsid w:val="00FC64FD"/>
    <w:rsid w:val="00FC653E"/>
    <w:rsid w:val="00FC6574"/>
    <w:rsid w:val="00FC65CE"/>
    <w:rsid w:val="00FC669E"/>
    <w:rsid w:val="00FC68C0"/>
    <w:rsid w:val="00FC695D"/>
    <w:rsid w:val="00FC69A5"/>
    <w:rsid w:val="00FC69EA"/>
    <w:rsid w:val="00FC6C0C"/>
    <w:rsid w:val="00FC6C6E"/>
    <w:rsid w:val="00FC6F87"/>
    <w:rsid w:val="00FC7691"/>
    <w:rsid w:val="00FC7778"/>
    <w:rsid w:val="00FC78D4"/>
    <w:rsid w:val="00FC7D65"/>
    <w:rsid w:val="00FC7DF0"/>
    <w:rsid w:val="00FD004C"/>
    <w:rsid w:val="00FD027F"/>
    <w:rsid w:val="00FD05B9"/>
    <w:rsid w:val="00FD08F0"/>
    <w:rsid w:val="00FD0914"/>
    <w:rsid w:val="00FD099A"/>
    <w:rsid w:val="00FD0C10"/>
    <w:rsid w:val="00FD0C78"/>
    <w:rsid w:val="00FD0DA3"/>
    <w:rsid w:val="00FD153B"/>
    <w:rsid w:val="00FD1AE5"/>
    <w:rsid w:val="00FD1B7F"/>
    <w:rsid w:val="00FD1C13"/>
    <w:rsid w:val="00FD1E6E"/>
    <w:rsid w:val="00FD1E89"/>
    <w:rsid w:val="00FD20D0"/>
    <w:rsid w:val="00FD218B"/>
    <w:rsid w:val="00FD2324"/>
    <w:rsid w:val="00FD2754"/>
    <w:rsid w:val="00FD2812"/>
    <w:rsid w:val="00FD2DA5"/>
    <w:rsid w:val="00FD3045"/>
    <w:rsid w:val="00FD313F"/>
    <w:rsid w:val="00FD35A3"/>
    <w:rsid w:val="00FD373A"/>
    <w:rsid w:val="00FD3934"/>
    <w:rsid w:val="00FD3B30"/>
    <w:rsid w:val="00FD3EF2"/>
    <w:rsid w:val="00FD4718"/>
    <w:rsid w:val="00FD4AE9"/>
    <w:rsid w:val="00FD4CD3"/>
    <w:rsid w:val="00FD4D36"/>
    <w:rsid w:val="00FD4D9E"/>
    <w:rsid w:val="00FD5057"/>
    <w:rsid w:val="00FD601C"/>
    <w:rsid w:val="00FD68E3"/>
    <w:rsid w:val="00FD6990"/>
    <w:rsid w:val="00FD6AD8"/>
    <w:rsid w:val="00FD70A1"/>
    <w:rsid w:val="00FD7369"/>
    <w:rsid w:val="00FD73FC"/>
    <w:rsid w:val="00FD745B"/>
    <w:rsid w:val="00FD78FD"/>
    <w:rsid w:val="00FD7D98"/>
    <w:rsid w:val="00FDBDC8"/>
    <w:rsid w:val="00FE036C"/>
    <w:rsid w:val="00FE03E2"/>
    <w:rsid w:val="00FE0402"/>
    <w:rsid w:val="00FE0476"/>
    <w:rsid w:val="00FE063A"/>
    <w:rsid w:val="00FE071F"/>
    <w:rsid w:val="00FE08AF"/>
    <w:rsid w:val="00FE0964"/>
    <w:rsid w:val="00FE0B93"/>
    <w:rsid w:val="00FE0D7F"/>
    <w:rsid w:val="00FE0D85"/>
    <w:rsid w:val="00FE0E06"/>
    <w:rsid w:val="00FE103F"/>
    <w:rsid w:val="00FE1067"/>
    <w:rsid w:val="00FE10C8"/>
    <w:rsid w:val="00FE15BD"/>
    <w:rsid w:val="00FE172C"/>
    <w:rsid w:val="00FE17C9"/>
    <w:rsid w:val="00FE18F0"/>
    <w:rsid w:val="00FE1915"/>
    <w:rsid w:val="00FE1AC7"/>
    <w:rsid w:val="00FE1B59"/>
    <w:rsid w:val="00FE1DE2"/>
    <w:rsid w:val="00FE221A"/>
    <w:rsid w:val="00FE2405"/>
    <w:rsid w:val="00FE2695"/>
    <w:rsid w:val="00FE2C1F"/>
    <w:rsid w:val="00FE3279"/>
    <w:rsid w:val="00FE3821"/>
    <w:rsid w:val="00FE38CF"/>
    <w:rsid w:val="00FE3EAA"/>
    <w:rsid w:val="00FE3FA1"/>
    <w:rsid w:val="00FE3FAB"/>
    <w:rsid w:val="00FE425E"/>
    <w:rsid w:val="00FE436A"/>
    <w:rsid w:val="00FE4530"/>
    <w:rsid w:val="00FE45F3"/>
    <w:rsid w:val="00FE49FB"/>
    <w:rsid w:val="00FE4A30"/>
    <w:rsid w:val="00FE4B90"/>
    <w:rsid w:val="00FE4D4C"/>
    <w:rsid w:val="00FE4DFE"/>
    <w:rsid w:val="00FE51CF"/>
    <w:rsid w:val="00FE5288"/>
    <w:rsid w:val="00FE55A6"/>
    <w:rsid w:val="00FE55BA"/>
    <w:rsid w:val="00FE5716"/>
    <w:rsid w:val="00FE59D1"/>
    <w:rsid w:val="00FE5ADF"/>
    <w:rsid w:val="00FE5C08"/>
    <w:rsid w:val="00FE5C47"/>
    <w:rsid w:val="00FE5C5C"/>
    <w:rsid w:val="00FE5D1F"/>
    <w:rsid w:val="00FE5E45"/>
    <w:rsid w:val="00FE5EE4"/>
    <w:rsid w:val="00FE5F72"/>
    <w:rsid w:val="00FE6295"/>
    <w:rsid w:val="00FE65F3"/>
    <w:rsid w:val="00FE6657"/>
    <w:rsid w:val="00FE66C6"/>
    <w:rsid w:val="00FE6B83"/>
    <w:rsid w:val="00FE6FFC"/>
    <w:rsid w:val="00FE7380"/>
    <w:rsid w:val="00FE7600"/>
    <w:rsid w:val="00FE77CB"/>
    <w:rsid w:val="00FE7868"/>
    <w:rsid w:val="00FE797D"/>
    <w:rsid w:val="00FE7CD5"/>
    <w:rsid w:val="00FE7D2D"/>
    <w:rsid w:val="00FE7EF1"/>
    <w:rsid w:val="00FE7FF8"/>
    <w:rsid w:val="00FF02D3"/>
    <w:rsid w:val="00FF04D5"/>
    <w:rsid w:val="00FF05D5"/>
    <w:rsid w:val="00FF0682"/>
    <w:rsid w:val="00FF079C"/>
    <w:rsid w:val="00FF0801"/>
    <w:rsid w:val="00FF086C"/>
    <w:rsid w:val="00FF0E6E"/>
    <w:rsid w:val="00FF114D"/>
    <w:rsid w:val="00FF1271"/>
    <w:rsid w:val="00FF1555"/>
    <w:rsid w:val="00FF15AA"/>
    <w:rsid w:val="00FF1739"/>
    <w:rsid w:val="00FF1A89"/>
    <w:rsid w:val="00FF1B5C"/>
    <w:rsid w:val="00FF1CD5"/>
    <w:rsid w:val="00FF2028"/>
    <w:rsid w:val="00FF20C9"/>
    <w:rsid w:val="00FF2117"/>
    <w:rsid w:val="00FF220A"/>
    <w:rsid w:val="00FF2245"/>
    <w:rsid w:val="00FF33E2"/>
    <w:rsid w:val="00FF343B"/>
    <w:rsid w:val="00FF3D66"/>
    <w:rsid w:val="00FF4049"/>
    <w:rsid w:val="00FF464B"/>
    <w:rsid w:val="00FF4968"/>
    <w:rsid w:val="00FF49FD"/>
    <w:rsid w:val="00FF4B52"/>
    <w:rsid w:val="00FF5114"/>
    <w:rsid w:val="00FF554E"/>
    <w:rsid w:val="00FF5895"/>
    <w:rsid w:val="00FF5B72"/>
    <w:rsid w:val="00FF5BA3"/>
    <w:rsid w:val="00FF5E15"/>
    <w:rsid w:val="00FF645C"/>
    <w:rsid w:val="00FF6498"/>
    <w:rsid w:val="00FF66BB"/>
    <w:rsid w:val="00FF6A4B"/>
    <w:rsid w:val="00FF6C5C"/>
    <w:rsid w:val="00FF6F5A"/>
    <w:rsid w:val="00FF7286"/>
    <w:rsid w:val="00FF77C8"/>
    <w:rsid w:val="00FF7848"/>
    <w:rsid w:val="00FF79E3"/>
    <w:rsid w:val="00FF7D6D"/>
    <w:rsid w:val="00FF7DC2"/>
    <w:rsid w:val="00FF7DF2"/>
    <w:rsid w:val="01035123"/>
    <w:rsid w:val="01036CD1"/>
    <w:rsid w:val="010B44C9"/>
    <w:rsid w:val="0111061D"/>
    <w:rsid w:val="011245AB"/>
    <w:rsid w:val="0127C441"/>
    <w:rsid w:val="012B3E16"/>
    <w:rsid w:val="012B4128"/>
    <w:rsid w:val="013182FB"/>
    <w:rsid w:val="0133F615"/>
    <w:rsid w:val="013515CE"/>
    <w:rsid w:val="013E850D"/>
    <w:rsid w:val="01421423"/>
    <w:rsid w:val="01423125"/>
    <w:rsid w:val="01445085"/>
    <w:rsid w:val="014EAD5A"/>
    <w:rsid w:val="0158B52A"/>
    <w:rsid w:val="01660012"/>
    <w:rsid w:val="0169E7C3"/>
    <w:rsid w:val="017FE8C7"/>
    <w:rsid w:val="0180D4E1"/>
    <w:rsid w:val="0191D5C4"/>
    <w:rsid w:val="0194998A"/>
    <w:rsid w:val="01957090"/>
    <w:rsid w:val="01A375B2"/>
    <w:rsid w:val="01AA46EA"/>
    <w:rsid w:val="01B315E4"/>
    <w:rsid w:val="01B8CEEF"/>
    <w:rsid w:val="01BB884B"/>
    <w:rsid w:val="01BC1060"/>
    <w:rsid w:val="01BC61AF"/>
    <w:rsid w:val="01BD3ACC"/>
    <w:rsid w:val="01CA8EEE"/>
    <w:rsid w:val="01CC7D5F"/>
    <w:rsid w:val="01D1CE77"/>
    <w:rsid w:val="01EB381F"/>
    <w:rsid w:val="01F81942"/>
    <w:rsid w:val="02022866"/>
    <w:rsid w:val="02070BDA"/>
    <w:rsid w:val="020CFBD8"/>
    <w:rsid w:val="021AAA2E"/>
    <w:rsid w:val="0225DF37"/>
    <w:rsid w:val="0226DEF5"/>
    <w:rsid w:val="023392E1"/>
    <w:rsid w:val="023504F1"/>
    <w:rsid w:val="023EB1E7"/>
    <w:rsid w:val="0240D089"/>
    <w:rsid w:val="024ADA93"/>
    <w:rsid w:val="024B8A04"/>
    <w:rsid w:val="02621ECE"/>
    <w:rsid w:val="02681227"/>
    <w:rsid w:val="0274D76A"/>
    <w:rsid w:val="0282A0F7"/>
    <w:rsid w:val="0287F4E2"/>
    <w:rsid w:val="028A3A96"/>
    <w:rsid w:val="0290B06A"/>
    <w:rsid w:val="02930F6D"/>
    <w:rsid w:val="02942E58"/>
    <w:rsid w:val="0294A4A0"/>
    <w:rsid w:val="0294AA08"/>
    <w:rsid w:val="0294C727"/>
    <w:rsid w:val="029A8453"/>
    <w:rsid w:val="02ABE6C8"/>
    <w:rsid w:val="02AC0CBC"/>
    <w:rsid w:val="02B08BE1"/>
    <w:rsid w:val="02B135D3"/>
    <w:rsid w:val="02BCD5E8"/>
    <w:rsid w:val="02BCE5B2"/>
    <w:rsid w:val="02CEE516"/>
    <w:rsid w:val="02D05ED0"/>
    <w:rsid w:val="02D4D83B"/>
    <w:rsid w:val="02DBE1DE"/>
    <w:rsid w:val="02DBF052"/>
    <w:rsid w:val="02E3210B"/>
    <w:rsid w:val="02E6CA36"/>
    <w:rsid w:val="02E96511"/>
    <w:rsid w:val="02EAE52F"/>
    <w:rsid w:val="02F1606B"/>
    <w:rsid w:val="02F284C0"/>
    <w:rsid w:val="02FA8A58"/>
    <w:rsid w:val="02FBDAF8"/>
    <w:rsid w:val="0301CF93"/>
    <w:rsid w:val="03061503"/>
    <w:rsid w:val="0311EAFD"/>
    <w:rsid w:val="0312740E"/>
    <w:rsid w:val="03150050"/>
    <w:rsid w:val="0316DB53"/>
    <w:rsid w:val="0322D1DA"/>
    <w:rsid w:val="032307A3"/>
    <w:rsid w:val="03231AC5"/>
    <w:rsid w:val="03238766"/>
    <w:rsid w:val="032AFD42"/>
    <w:rsid w:val="032DD158"/>
    <w:rsid w:val="032E60D4"/>
    <w:rsid w:val="033F84D7"/>
    <w:rsid w:val="035DFFF1"/>
    <w:rsid w:val="035E5EAD"/>
    <w:rsid w:val="035E7462"/>
    <w:rsid w:val="0367C28C"/>
    <w:rsid w:val="0369210D"/>
    <w:rsid w:val="036CE258"/>
    <w:rsid w:val="036D6EFE"/>
    <w:rsid w:val="036FD3D4"/>
    <w:rsid w:val="03716446"/>
    <w:rsid w:val="037F5E36"/>
    <w:rsid w:val="0384B3F5"/>
    <w:rsid w:val="038B7C86"/>
    <w:rsid w:val="0393ACD0"/>
    <w:rsid w:val="039616E3"/>
    <w:rsid w:val="03993C5A"/>
    <w:rsid w:val="03A56E6D"/>
    <w:rsid w:val="03A76CC1"/>
    <w:rsid w:val="03A8DE93"/>
    <w:rsid w:val="03A93A15"/>
    <w:rsid w:val="03AD6E04"/>
    <w:rsid w:val="03AF9C33"/>
    <w:rsid w:val="03B1B33E"/>
    <w:rsid w:val="03B6A1DE"/>
    <w:rsid w:val="03B7E41C"/>
    <w:rsid w:val="03B87C02"/>
    <w:rsid w:val="03C5932E"/>
    <w:rsid w:val="03C6140B"/>
    <w:rsid w:val="03C89476"/>
    <w:rsid w:val="03CFB1B8"/>
    <w:rsid w:val="03D280BC"/>
    <w:rsid w:val="03D81F14"/>
    <w:rsid w:val="03E6EA8F"/>
    <w:rsid w:val="03E813EB"/>
    <w:rsid w:val="03FF59BA"/>
    <w:rsid w:val="040879A6"/>
    <w:rsid w:val="041357DA"/>
    <w:rsid w:val="041832F6"/>
    <w:rsid w:val="04249220"/>
    <w:rsid w:val="0434BD77"/>
    <w:rsid w:val="043586EC"/>
    <w:rsid w:val="043BE143"/>
    <w:rsid w:val="043F6D7A"/>
    <w:rsid w:val="044E896E"/>
    <w:rsid w:val="0454BDCA"/>
    <w:rsid w:val="0454CE56"/>
    <w:rsid w:val="045720D9"/>
    <w:rsid w:val="04595B31"/>
    <w:rsid w:val="045F8E57"/>
    <w:rsid w:val="04657E01"/>
    <w:rsid w:val="0467DD3B"/>
    <w:rsid w:val="0470004A"/>
    <w:rsid w:val="0473EBC3"/>
    <w:rsid w:val="0475CA58"/>
    <w:rsid w:val="047EA2E6"/>
    <w:rsid w:val="0483D736"/>
    <w:rsid w:val="049E744E"/>
    <w:rsid w:val="04AC1667"/>
    <w:rsid w:val="04C56134"/>
    <w:rsid w:val="04CC262F"/>
    <w:rsid w:val="04D312EE"/>
    <w:rsid w:val="04DC2C7B"/>
    <w:rsid w:val="04DC874B"/>
    <w:rsid w:val="04E11576"/>
    <w:rsid w:val="04E136D1"/>
    <w:rsid w:val="04E40BD2"/>
    <w:rsid w:val="04E880EB"/>
    <w:rsid w:val="04F223CD"/>
    <w:rsid w:val="05056885"/>
    <w:rsid w:val="05092C95"/>
    <w:rsid w:val="0510CAB3"/>
    <w:rsid w:val="0513371D"/>
    <w:rsid w:val="0521B73F"/>
    <w:rsid w:val="0526B4A9"/>
    <w:rsid w:val="053A5D99"/>
    <w:rsid w:val="053D1BB6"/>
    <w:rsid w:val="054AFDD6"/>
    <w:rsid w:val="054BD14E"/>
    <w:rsid w:val="054DEFED"/>
    <w:rsid w:val="0551B521"/>
    <w:rsid w:val="055EDE29"/>
    <w:rsid w:val="0563DDB7"/>
    <w:rsid w:val="05647BC5"/>
    <w:rsid w:val="058C6672"/>
    <w:rsid w:val="059064A7"/>
    <w:rsid w:val="05936217"/>
    <w:rsid w:val="0596B28E"/>
    <w:rsid w:val="059E03AD"/>
    <w:rsid w:val="05AA1DC5"/>
    <w:rsid w:val="05BA425A"/>
    <w:rsid w:val="05BB3A61"/>
    <w:rsid w:val="05C00AF7"/>
    <w:rsid w:val="05C156FA"/>
    <w:rsid w:val="05C47F13"/>
    <w:rsid w:val="05C67220"/>
    <w:rsid w:val="05C83374"/>
    <w:rsid w:val="05C8B75F"/>
    <w:rsid w:val="05CDC54D"/>
    <w:rsid w:val="05D03260"/>
    <w:rsid w:val="05E6D10F"/>
    <w:rsid w:val="0603CA3C"/>
    <w:rsid w:val="0604019B"/>
    <w:rsid w:val="06071E61"/>
    <w:rsid w:val="060D55E0"/>
    <w:rsid w:val="060FB19B"/>
    <w:rsid w:val="061A0C33"/>
    <w:rsid w:val="0624B287"/>
    <w:rsid w:val="062D2E95"/>
    <w:rsid w:val="062DB349"/>
    <w:rsid w:val="0634BD48"/>
    <w:rsid w:val="063798D5"/>
    <w:rsid w:val="0639B281"/>
    <w:rsid w:val="063A1F7A"/>
    <w:rsid w:val="063AFE26"/>
    <w:rsid w:val="063C4CB8"/>
    <w:rsid w:val="06466FCC"/>
    <w:rsid w:val="06573574"/>
    <w:rsid w:val="065C9E76"/>
    <w:rsid w:val="0662367E"/>
    <w:rsid w:val="06653711"/>
    <w:rsid w:val="0672A3B4"/>
    <w:rsid w:val="067598C4"/>
    <w:rsid w:val="06786261"/>
    <w:rsid w:val="0692C2A9"/>
    <w:rsid w:val="0696CECE"/>
    <w:rsid w:val="069FF56D"/>
    <w:rsid w:val="06A063F4"/>
    <w:rsid w:val="06A23404"/>
    <w:rsid w:val="06B4F18A"/>
    <w:rsid w:val="06B9028E"/>
    <w:rsid w:val="06BEB7B0"/>
    <w:rsid w:val="06C03865"/>
    <w:rsid w:val="06C04167"/>
    <w:rsid w:val="06C9AE3D"/>
    <w:rsid w:val="06D36FD4"/>
    <w:rsid w:val="06D371CD"/>
    <w:rsid w:val="06DE7EC7"/>
    <w:rsid w:val="06EACCF7"/>
    <w:rsid w:val="06F2E746"/>
    <w:rsid w:val="06F7091A"/>
    <w:rsid w:val="06FA40D9"/>
    <w:rsid w:val="06FE4080"/>
    <w:rsid w:val="06FEB4D2"/>
    <w:rsid w:val="06FFACE9"/>
    <w:rsid w:val="070E80C1"/>
    <w:rsid w:val="07294884"/>
    <w:rsid w:val="072AC8D1"/>
    <w:rsid w:val="0738166A"/>
    <w:rsid w:val="07448404"/>
    <w:rsid w:val="074B2387"/>
    <w:rsid w:val="0753D457"/>
    <w:rsid w:val="0755BDDD"/>
    <w:rsid w:val="0758B374"/>
    <w:rsid w:val="07670350"/>
    <w:rsid w:val="0774BCC7"/>
    <w:rsid w:val="0778833E"/>
    <w:rsid w:val="0780A9BC"/>
    <w:rsid w:val="078D340B"/>
    <w:rsid w:val="078E5715"/>
    <w:rsid w:val="07984186"/>
    <w:rsid w:val="0799F81C"/>
    <w:rsid w:val="079E8E1A"/>
    <w:rsid w:val="07A112A3"/>
    <w:rsid w:val="07B0A6BE"/>
    <w:rsid w:val="07B655B2"/>
    <w:rsid w:val="07B79527"/>
    <w:rsid w:val="07BE3AC8"/>
    <w:rsid w:val="07C847AB"/>
    <w:rsid w:val="07CBB3D8"/>
    <w:rsid w:val="07DADA0D"/>
    <w:rsid w:val="07E5AF4A"/>
    <w:rsid w:val="07F05292"/>
    <w:rsid w:val="07F180B7"/>
    <w:rsid w:val="07FD81BC"/>
    <w:rsid w:val="07FE2A7C"/>
    <w:rsid w:val="0805154C"/>
    <w:rsid w:val="08066763"/>
    <w:rsid w:val="08083174"/>
    <w:rsid w:val="080F1746"/>
    <w:rsid w:val="08140304"/>
    <w:rsid w:val="08158DF7"/>
    <w:rsid w:val="0823D41A"/>
    <w:rsid w:val="08265CF7"/>
    <w:rsid w:val="0827734E"/>
    <w:rsid w:val="08288773"/>
    <w:rsid w:val="0832F51A"/>
    <w:rsid w:val="084BBA1F"/>
    <w:rsid w:val="084C960D"/>
    <w:rsid w:val="08605F71"/>
    <w:rsid w:val="087CDBBC"/>
    <w:rsid w:val="087E86FB"/>
    <w:rsid w:val="0883641A"/>
    <w:rsid w:val="08841EB5"/>
    <w:rsid w:val="088E4A10"/>
    <w:rsid w:val="088E524C"/>
    <w:rsid w:val="088E636A"/>
    <w:rsid w:val="089431C7"/>
    <w:rsid w:val="08A00B47"/>
    <w:rsid w:val="08A32E65"/>
    <w:rsid w:val="08A34643"/>
    <w:rsid w:val="08ABB6D4"/>
    <w:rsid w:val="08B55773"/>
    <w:rsid w:val="08B5E4D4"/>
    <w:rsid w:val="08B63366"/>
    <w:rsid w:val="08BBAF50"/>
    <w:rsid w:val="08BFBD78"/>
    <w:rsid w:val="08C4817E"/>
    <w:rsid w:val="08C52773"/>
    <w:rsid w:val="08C529FB"/>
    <w:rsid w:val="08C5FC9D"/>
    <w:rsid w:val="08C762C9"/>
    <w:rsid w:val="08C975F3"/>
    <w:rsid w:val="08D5720D"/>
    <w:rsid w:val="08DB7FC3"/>
    <w:rsid w:val="08E0C211"/>
    <w:rsid w:val="08EA4A62"/>
    <w:rsid w:val="08EBB4D1"/>
    <w:rsid w:val="08FA776D"/>
    <w:rsid w:val="0905FEB6"/>
    <w:rsid w:val="0909D27D"/>
    <w:rsid w:val="090A06A8"/>
    <w:rsid w:val="090C91BE"/>
    <w:rsid w:val="0917378F"/>
    <w:rsid w:val="091EF568"/>
    <w:rsid w:val="0928FB8A"/>
    <w:rsid w:val="092A963D"/>
    <w:rsid w:val="0933C5CB"/>
    <w:rsid w:val="093A437B"/>
    <w:rsid w:val="0941412A"/>
    <w:rsid w:val="094CD4CE"/>
    <w:rsid w:val="0952E12E"/>
    <w:rsid w:val="09556807"/>
    <w:rsid w:val="095B75CA"/>
    <w:rsid w:val="095E76A8"/>
    <w:rsid w:val="0962B87F"/>
    <w:rsid w:val="096DB080"/>
    <w:rsid w:val="0970E537"/>
    <w:rsid w:val="097D0017"/>
    <w:rsid w:val="098721C0"/>
    <w:rsid w:val="098CE1F7"/>
    <w:rsid w:val="09906E07"/>
    <w:rsid w:val="0995C6B2"/>
    <w:rsid w:val="0998334E"/>
    <w:rsid w:val="099C9C37"/>
    <w:rsid w:val="099D3671"/>
    <w:rsid w:val="099DD664"/>
    <w:rsid w:val="09A1383D"/>
    <w:rsid w:val="09A99A87"/>
    <w:rsid w:val="09C1D089"/>
    <w:rsid w:val="09C65217"/>
    <w:rsid w:val="09D4DE0A"/>
    <w:rsid w:val="09DAEBC0"/>
    <w:rsid w:val="09EC4958"/>
    <w:rsid w:val="09EC8578"/>
    <w:rsid w:val="09F90485"/>
    <w:rsid w:val="0A09FF30"/>
    <w:rsid w:val="0A122D7A"/>
    <w:rsid w:val="0A13CD62"/>
    <w:rsid w:val="0A141883"/>
    <w:rsid w:val="0A1D4CA3"/>
    <w:rsid w:val="0A1F5B4D"/>
    <w:rsid w:val="0A1F9429"/>
    <w:rsid w:val="0A245D5A"/>
    <w:rsid w:val="0A39AD2E"/>
    <w:rsid w:val="0A3CEB5E"/>
    <w:rsid w:val="0A3E9456"/>
    <w:rsid w:val="0A42956A"/>
    <w:rsid w:val="0A456E4A"/>
    <w:rsid w:val="0A4647B4"/>
    <w:rsid w:val="0A481A6E"/>
    <w:rsid w:val="0A57DA6E"/>
    <w:rsid w:val="0A5BAC7C"/>
    <w:rsid w:val="0A5C257F"/>
    <w:rsid w:val="0A638445"/>
    <w:rsid w:val="0A67BD2A"/>
    <w:rsid w:val="0A6C879A"/>
    <w:rsid w:val="0A837679"/>
    <w:rsid w:val="0A8AC41E"/>
    <w:rsid w:val="0AB54307"/>
    <w:rsid w:val="0ABC9A76"/>
    <w:rsid w:val="0AC944DA"/>
    <w:rsid w:val="0ACA97BA"/>
    <w:rsid w:val="0ACBC97B"/>
    <w:rsid w:val="0ADC48F3"/>
    <w:rsid w:val="0ADCEC9C"/>
    <w:rsid w:val="0AE6AF51"/>
    <w:rsid w:val="0AE6C33A"/>
    <w:rsid w:val="0AEE8B86"/>
    <w:rsid w:val="0AEF3787"/>
    <w:rsid w:val="0AEF9C49"/>
    <w:rsid w:val="0AF43262"/>
    <w:rsid w:val="0AF5F525"/>
    <w:rsid w:val="0AF69AD1"/>
    <w:rsid w:val="0AF6C589"/>
    <w:rsid w:val="0B063AF7"/>
    <w:rsid w:val="0B0FB488"/>
    <w:rsid w:val="0B1455FE"/>
    <w:rsid w:val="0B1B35B7"/>
    <w:rsid w:val="0B2D136A"/>
    <w:rsid w:val="0B2DAF0B"/>
    <w:rsid w:val="0B2F89CE"/>
    <w:rsid w:val="0B311B2E"/>
    <w:rsid w:val="0B3B1B41"/>
    <w:rsid w:val="0B3F0DFF"/>
    <w:rsid w:val="0B417021"/>
    <w:rsid w:val="0B42581F"/>
    <w:rsid w:val="0B48FDB2"/>
    <w:rsid w:val="0B53B073"/>
    <w:rsid w:val="0B5ECFBB"/>
    <w:rsid w:val="0B67A588"/>
    <w:rsid w:val="0B6B1064"/>
    <w:rsid w:val="0B6F6808"/>
    <w:rsid w:val="0B704139"/>
    <w:rsid w:val="0B74B24C"/>
    <w:rsid w:val="0B7BB56A"/>
    <w:rsid w:val="0B7CD3D2"/>
    <w:rsid w:val="0B7FCDE4"/>
    <w:rsid w:val="0B8C9048"/>
    <w:rsid w:val="0B8DDAC4"/>
    <w:rsid w:val="0BA08B47"/>
    <w:rsid w:val="0BA10E0D"/>
    <w:rsid w:val="0BA1B451"/>
    <w:rsid w:val="0BA5E84D"/>
    <w:rsid w:val="0BB46DF3"/>
    <w:rsid w:val="0BB88F50"/>
    <w:rsid w:val="0BCE98B4"/>
    <w:rsid w:val="0BCF3B18"/>
    <w:rsid w:val="0BD34131"/>
    <w:rsid w:val="0BD90F12"/>
    <w:rsid w:val="0BDAC422"/>
    <w:rsid w:val="0BDDE30B"/>
    <w:rsid w:val="0BECDD11"/>
    <w:rsid w:val="0BEE6BD3"/>
    <w:rsid w:val="0BF3BFAB"/>
    <w:rsid w:val="0BFBBB34"/>
    <w:rsid w:val="0BFFAAD8"/>
    <w:rsid w:val="0C008874"/>
    <w:rsid w:val="0C04BF0C"/>
    <w:rsid w:val="0C07AFEA"/>
    <w:rsid w:val="0C095D30"/>
    <w:rsid w:val="0C142BB1"/>
    <w:rsid w:val="0C16AF00"/>
    <w:rsid w:val="0C1EED1F"/>
    <w:rsid w:val="0C238105"/>
    <w:rsid w:val="0C23A5D9"/>
    <w:rsid w:val="0C2A6B7D"/>
    <w:rsid w:val="0C2ADD5A"/>
    <w:rsid w:val="0C3D09F7"/>
    <w:rsid w:val="0C430008"/>
    <w:rsid w:val="0C460894"/>
    <w:rsid w:val="0C5F7A9C"/>
    <w:rsid w:val="0C64CC2A"/>
    <w:rsid w:val="0C6DF714"/>
    <w:rsid w:val="0C6E9671"/>
    <w:rsid w:val="0C7E9782"/>
    <w:rsid w:val="0C80F958"/>
    <w:rsid w:val="0C8715DE"/>
    <w:rsid w:val="0C9CD71F"/>
    <w:rsid w:val="0C9D59A2"/>
    <w:rsid w:val="0C9F2A51"/>
    <w:rsid w:val="0CA34480"/>
    <w:rsid w:val="0CA6B624"/>
    <w:rsid w:val="0CA80D9E"/>
    <w:rsid w:val="0CADA606"/>
    <w:rsid w:val="0CAF4D8D"/>
    <w:rsid w:val="0CB1F2C9"/>
    <w:rsid w:val="0CC2F65D"/>
    <w:rsid w:val="0CC87605"/>
    <w:rsid w:val="0CCD28E1"/>
    <w:rsid w:val="0CCFFF45"/>
    <w:rsid w:val="0CD4EE1E"/>
    <w:rsid w:val="0CE19C4D"/>
    <w:rsid w:val="0CE2913E"/>
    <w:rsid w:val="0CE7C1ED"/>
    <w:rsid w:val="0CED5494"/>
    <w:rsid w:val="0CF9B977"/>
    <w:rsid w:val="0CFB3223"/>
    <w:rsid w:val="0CFF2F70"/>
    <w:rsid w:val="0D08065A"/>
    <w:rsid w:val="0D10B388"/>
    <w:rsid w:val="0D14310E"/>
    <w:rsid w:val="0D164B45"/>
    <w:rsid w:val="0D226193"/>
    <w:rsid w:val="0D2339B1"/>
    <w:rsid w:val="0D2AAE7C"/>
    <w:rsid w:val="0D36B11C"/>
    <w:rsid w:val="0D3BC8D5"/>
    <w:rsid w:val="0D42423F"/>
    <w:rsid w:val="0D483677"/>
    <w:rsid w:val="0D4C798C"/>
    <w:rsid w:val="0D4D3208"/>
    <w:rsid w:val="0D4FBBF7"/>
    <w:rsid w:val="0D500464"/>
    <w:rsid w:val="0D63F330"/>
    <w:rsid w:val="0D75BFDD"/>
    <w:rsid w:val="0D7778CB"/>
    <w:rsid w:val="0D77A29F"/>
    <w:rsid w:val="0D79F46F"/>
    <w:rsid w:val="0D87B496"/>
    <w:rsid w:val="0D93F638"/>
    <w:rsid w:val="0D96459D"/>
    <w:rsid w:val="0DADDA59"/>
    <w:rsid w:val="0DAF951E"/>
    <w:rsid w:val="0DB60D5B"/>
    <w:rsid w:val="0DB8F6F3"/>
    <w:rsid w:val="0DB94F93"/>
    <w:rsid w:val="0DB977FD"/>
    <w:rsid w:val="0DBE9335"/>
    <w:rsid w:val="0DC40D40"/>
    <w:rsid w:val="0DD08D89"/>
    <w:rsid w:val="0DD31E14"/>
    <w:rsid w:val="0DDFBD5C"/>
    <w:rsid w:val="0DEBC28C"/>
    <w:rsid w:val="0DF016B4"/>
    <w:rsid w:val="0DF9F07C"/>
    <w:rsid w:val="0E08FC3D"/>
    <w:rsid w:val="0E0C04D8"/>
    <w:rsid w:val="0E0CF51E"/>
    <w:rsid w:val="0E1738F8"/>
    <w:rsid w:val="0E18B5F4"/>
    <w:rsid w:val="0E21350D"/>
    <w:rsid w:val="0E267E85"/>
    <w:rsid w:val="0E345A9F"/>
    <w:rsid w:val="0E3631F7"/>
    <w:rsid w:val="0E463286"/>
    <w:rsid w:val="0E465C1E"/>
    <w:rsid w:val="0E49E6AB"/>
    <w:rsid w:val="0E55FE14"/>
    <w:rsid w:val="0E587FC9"/>
    <w:rsid w:val="0E5ABAA6"/>
    <w:rsid w:val="0E60EBFB"/>
    <w:rsid w:val="0E625FF9"/>
    <w:rsid w:val="0E669672"/>
    <w:rsid w:val="0E6AEA74"/>
    <w:rsid w:val="0E7A9016"/>
    <w:rsid w:val="0E7BB420"/>
    <w:rsid w:val="0E7D82AB"/>
    <w:rsid w:val="0E81B777"/>
    <w:rsid w:val="0E829535"/>
    <w:rsid w:val="0E854190"/>
    <w:rsid w:val="0E8E6F21"/>
    <w:rsid w:val="0E8FBAFE"/>
    <w:rsid w:val="0E92B3D4"/>
    <w:rsid w:val="0E9662C0"/>
    <w:rsid w:val="0E9AF4E2"/>
    <w:rsid w:val="0E9BBC46"/>
    <w:rsid w:val="0E9CFE1B"/>
    <w:rsid w:val="0E9EFF66"/>
    <w:rsid w:val="0EA2DFF1"/>
    <w:rsid w:val="0EA6F83E"/>
    <w:rsid w:val="0EAA3FDA"/>
    <w:rsid w:val="0EB21B25"/>
    <w:rsid w:val="0EB8C932"/>
    <w:rsid w:val="0EBA426B"/>
    <w:rsid w:val="0EBAB9F2"/>
    <w:rsid w:val="0EBB474D"/>
    <w:rsid w:val="0EBB9276"/>
    <w:rsid w:val="0EBB9E8E"/>
    <w:rsid w:val="0EBF48FF"/>
    <w:rsid w:val="0EC9A348"/>
    <w:rsid w:val="0EC9A53E"/>
    <w:rsid w:val="0EC9CB67"/>
    <w:rsid w:val="0EDE56A3"/>
    <w:rsid w:val="0EDF54CB"/>
    <w:rsid w:val="0EE8B089"/>
    <w:rsid w:val="0EEB619D"/>
    <w:rsid w:val="0EED2387"/>
    <w:rsid w:val="0EF8782E"/>
    <w:rsid w:val="0EFC6097"/>
    <w:rsid w:val="0EFD8F61"/>
    <w:rsid w:val="0F05944A"/>
    <w:rsid w:val="0F0E9431"/>
    <w:rsid w:val="0F258A26"/>
    <w:rsid w:val="0F2DE8E4"/>
    <w:rsid w:val="0F36A3AF"/>
    <w:rsid w:val="0F437518"/>
    <w:rsid w:val="0F47FDB6"/>
    <w:rsid w:val="0F4D6953"/>
    <w:rsid w:val="0F50169C"/>
    <w:rsid w:val="0F66CAA9"/>
    <w:rsid w:val="0F68DF9C"/>
    <w:rsid w:val="0F7544C9"/>
    <w:rsid w:val="0F7DFF51"/>
    <w:rsid w:val="0F7FB340"/>
    <w:rsid w:val="0F80AB4B"/>
    <w:rsid w:val="0F8CF6C7"/>
    <w:rsid w:val="0F8ECA07"/>
    <w:rsid w:val="0FA4266E"/>
    <w:rsid w:val="0FB1BA56"/>
    <w:rsid w:val="0FB54279"/>
    <w:rsid w:val="0FBA6EE4"/>
    <w:rsid w:val="0FBFA8DB"/>
    <w:rsid w:val="0FC1DA26"/>
    <w:rsid w:val="0FC2810D"/>
    <w:rsid w:val="0FDD6257"/>
    <w:rsid w:val="0FDE491A"/>
    <w:rsid w:val="0FE6AB35"/>
    <w:rsid w:val="0FF049BC"/>
    <w:rsid w:val="0FF3E188"/>
    <w:rsid w:val="0FF56E67"/>
    <w:rsid w:val="0FFA11F1"/>
    <w:rsid w:val="0FFF47E9"/>
    <w:rsid w:val="10052324"/>
    <w:rsid w:val="10096B36"/>
    <w:rsid w:val="1010B133"/>
    <w:rsid w:val="1010CD09"/>
    <w:rsid w:val="101578E9"/>
    <w:rsid w:val="1018A28E"/>
    <w:rsid w:val="101A09CA"/>
    <w:rsid w:val="101CBD44"/>
    <w:rsid w:val="101F5D07"/>
    <w:rsid w:val="102ABADA"/>
    <w:rsid w:val="102AFB2B"/>
    <w:rsid w:val="1037CAD7"/>
    <w:rsid w:val="1037F75C"/>
    <w:rsid w:val="10381E7B"/>
    <w:rsid w:val="10410F48"/>
    <w:rsid w:val="10474527"/>
    <w:rsid w:val="1047F42B"/>
    <w:rsid w:val="104A60A1"/>
    <w:rsid w:val="10523281"/>
    <w:rsid w:val="10545E26"/>
    <w:rsid w:val="1061CD8E"/>
    <w:rsid w:val="10645CD7"/>
    <w:rsid w:val="10654725"/>
    <w:rsid w:val="10663C3C"/>
    <w:rsid w:val="106A85D6"/>
    <w:rsid w:val="107338F4"/>
    <w:rsid w:val="107D39F2"/>
    <w:rsid w:val="107E3AC9"/>
    <w:rsid w:val="10831EE3"/>
    <w:rsid w:val="108C729F"/>
    <w:rsid w:val="108C9CAC"/>
    <w:rsid w:val="108F5FBD"/>
    <w:rsid w:val="10969786"/>
    <w:rsid w:val="109BC085"/>
    <w:rsid w:val="10A7570E"/>
    <w:rsid w:val="10B2666C"/>
    <w:rsid w:val="10BAE115"/>
    <w:rsid w:val="10C0E7C0"/>
    <w:rsid w:val="10C587BA"/>
    <w:rsid w:val="10C8D367"/>
    <w:rsid w:val="10DD7A7E"/>
    <w:rsid w:val="10E93E28"/>
    <w:rsid w:val="10F43653"/>
    <w:rsid w:val="10F4A27E"/>
    <w:rsid w:val="1101134C"/>
    <w:rsid w:val="11087448"/>
    <w:rsid w:val="110DDAD9"/>
    <w:rsid w:val="112B1B73"/>
    <w:rsid w:val="112D7801"/>
    <w:rsid w:val="1132C6C2"/>
    <w:rsid w:val="11347455"/>
    <w:rsid w:val="1136A521"/>
    <w:rsid w:val="113934BA"/>
    <w:rsid w:val="113BC3E5"/>
    <w:rsid w:val="113CFF07"/>
    <w:rsid w:val="114650A8"/>
    <w:rsid w:val="114AA197"/>
    <w:rsid w:val="114C888E"/>
    <w:rsid w:val="114F4B98"/>
    <w:rsid w:val="1158BD2E"/>
    <w:rsid w:val="117989B3"/>
    <w:rsid w:val="1185AE34"/>
    <w:rsid w:val="11895088"/>
    <w:rsid w:val="118D46E1"/>
    <w:rsid w:val="11970DA7"/>
    <w:rsid w:val="11A03AB5"/>
    <w:rsid w:val="11A83420"/>
    <w:rsid w:val="11ABF841"/>
    <w:rsid w:val="11BA6C30"/>
    <w:rsid w:val="11BB228F"/>
    <w:rsid w:val="11C4F173"/>
    <w:rsid w:val="11C7782F"/>
    <w:rsid w:val="11C8C4A3"/>
    <w:rsid w:val="11C8D166"/>
    <w:rsid w:val="11CC443C"/>
    <w:rsid w:val="11D5F365"/>
    <w:rsid w:val="11D8A550"/>
    <w:rsid w:val="11DA9C8E"/>
    <w:rsid w:val="11F1BE19"/>
    <w:rsid w:val="11F23912"/>
    <w:rsid w:val="11F6C4DA"/>
    <w:rsid w:val="11FD51A8"/>
    <w:rsid w:val="1200BA24"/>
    <w:rsid w:val="12036241"/>
    <w:rsid w:val="120BBDA8"/>
    <w:rsid w:val="120BD158"/>
    <w:rsid w:val="120C9417"/>
    <w:rsid w:val="1219270F"/>
    <w:rsid w:val="121C6CE0"/>
    <w:rsid w:val="1220B37C"/>
    <w:rsid w:val="1224DC44"/>
    <w:rsid w:val="1237A8A1"/>
    <w:rsid w:val="123C6ED0"/>
    <w:rsid w:val="12449F00"/>
    <w:rsid w:val="124E1078"/>
    <w:rsid w:val="1256B363"/>
    <w:rsid w:val="1257C416"/>
    <w:rsid w:val="1257D4B6"/>
    <w:rsid w:val="12584829"/>
    <w:rsid w:val="125BAA19"/>
    <w:rsid w:val="125D25BB"/>
    <w:rsid w:val="12663715"/>
    <w:rsid w:val="12739A81"/>
    <w:rsid w:val="12842378"/>
    <w:rsid w:val="1287652B"/>
    <w:rsid w:val="128BFCB6"/>
    <w:rsid w:val="128C5764"/>
    <w:rsid w:val="128ED053"/>
    <w:rsid w:val="12980819"/>
    <w:rsid w:val="1298753F"/>
    <w:rsid w:val="129D9B95"/>
    <w:rsid w:val="129F2019"/>
    <w:rsid w:val="12AA1DF8"/>
    <w:rsid w:val="12B0DFE5"/>
    <w:rsid w:val="12B17B9B"/>
    <w:rsid w:val="12B4B7D4"/>
    <w:rsid w:val="12B62B06"/>
    <w:rsid w:val="12B8EAE0"/>
    <w:rsid w:val="12BF14D0"/>
    <w:rsid w:val="12BFD5E9"/>
    <w:rsid w:val="12C226AD"/>
    <w:rsid w:val="12CF130C"/>
    <w:rsid w:val="12D12F70"/>
    <w:rsid w:val="12D72644"/>
    <w:rsid w:val="12DF9811"/>
    <w:rsid w:val="12E7CD06"/>
    <w:rsid w:val="12E9B65E"/>
    <w:rsid w:val="12EB9CED"/>
    <w:rsid w:val="12F684E6"/>
    <w:rsid w:val="13014F04"/>
    <w:rsid w:val="13078269"/>
    <w:rsid w:val="130B62C1"/>
    <w:rsid w:val="13152BF7"/>
    <w:rsid w:val="13188748"/>
    <w:rsid w:val="13241C60"/>
    <w:rsid w:val="13288472"/>
    <w:rsid w:val="132E37AE"/>
    <w:rsid w:val="1338DA5C"/>
    <w:rsid w:val="1345D7E6"/>
    <w:rsid w:val="13468551"/>
    <w:rsid w:val="1350C227"/>
    <w:rsid w:val="1353E8BB"/>
    <w:rsid w:val="135981CF"/>
    <w:rsid w:val="136287E6"/>
    <w:rsid w:val="13669476"/>
    <w:rsid w:val="1369A04F"/>
    <w:rsid w:val="136DF568"/>
    <w:rsid w:val="1379F7BC"/>
    <w:rsid w:val="138E588E"/>
    <w:rsid w:val="138F10D0"/>
    <w:rsid w:val="1393629E"/>
    <w:rsid w:val="139BF47F"/>
    <w:rsid w:val="139F77A7"/>
    <w:rsid w:val="13A085D7"/>
    <w:rsid w:val="13B44567"/>
    <w:rsid w:val="13C1666C"/>
    <w:rsid w:val="13CBC1AE"/>
    <w:rsid w:val="13D4CE57"/>
    <w:rsid w:val="13E4883B"/>
    <w:rsid w:val="13EC42E1"/>
    <w:rsid w:val="13F0A7BC"/>
    <w:rsid w:val="13F1F04D"/>
    <w:rsid w:val="14061FA8"/>
    <w:rsid w:val="140721D4"/>
    <w:rsid w:val="140F910A"/>
    <w:rsid w:val="1417C4B6"/>
    <w:rsid w:val="141F7B65"/>
    <w:rsid w:val="14220F7F"/>
    <w:rsid w:val="1428AE6E"/>
    <w:rsid w:val="1434622D"/>
    <w:rsid w:val="143B9A80"/>
    <w:rsid w:val="143EFBEB"/>
    <w:rsid w:val="1446715E"/>
    <w:rsid w:val="144E9E89"/>
    <w:rsid w:val="14540546"/>
    <w:rsid w:val="1456925C"/>
    <w:rsid w:val="145ED47E"/>
    <w:rsid w:val="146C927A"/>
    <w:rsid w:val="146D764E"/>
    <w:rsid w:val="146E1275"/>
    <w:rsid w:val="14765E61"/>
    <w:rsid w:val="14789013"/>
    <w:rsid w:val="147E4AD1"/>
    <w:rsid w:val="148978B3"/>
    <w:rsid w:val="148C5CC9"/>
    <w:rsid w:val="1490C057"/>
    <w:rsid w:val="1495FD1E"/>
    <w:rsid w:val="14982DC1"/>
    <w:rsid w:val="149B642C"/>
    <w:rsid w:val="149E604A"/>
    <w:rsid w:val="14A0D72A"/>
    <w:rsid w:val="14AC81C5"/>
    <w:rsid w:val="14B51982"/>
    <w:rsid w:val="14BEA884"/>
    <w:rsid w:val="14C62155"/>
    <w:rsid w:val="14C682EC"/>
    <w:rsid w:val="14F0359F"/>
    <w:rsid w:val="14F20D72"/>
    <w:rsid w:val="14FC98AC"/>
    <w:rsid w:val="14FE50E0"/>
    <w:rsid w:val="150B1F69"/>
    <w:rsid w:val="15114BF7"/>
    <w:rsid w:val="151321A1"/>
    <w:rsid w:val="1519E050"/>
    <w:rsid w:val="151F56B3"/>
    <w:rsid w:val="15200DAA"/>
    <w:rsid w:val="15270230"/>
    <w:rsid w:val="1533B2F0"/>
    <w:rsid w:val="15388CE6"/>
    <w:rsid w:val="153C9071"/>
    <w:rsid w:val="1542F797"/>
    <w:rsid w:val="1543CA4A"/>
    <w:rsid w:val="1545F468"/>
    <w:rsid w:val="154A4AA9"/>
    <w:rsid w:val="154B8FCD"/>
    <w:rsid w:val="154BE486"/>
    <w:rsid w:val="15510608"/>
    <w:rsid w:val="15539EA4"/>
    <w:rsid w:val="1553A084"/>
    <w:rsid w:val="155AAC58"/>
    <w:rsid w:val="15680610"/>
    <w:rsid w:val="1581E454"/>
    <w:rsid w:val="1584D941"/>
    <w:rsid w:val="15883051"/>
    <w:rsid w:val="158CE36F"/>
    <w:rsid w:val="15908350"/>
    <w:rsid w:val="15944A8E"/>
    <w:rsid w:val="1598F396"/>
    <w:rsid w:val="159DAF88"/>
    <w:rsid w:val="15A46970"/>
    <w:rsid w:val="15A4CD8F"/>
    <w:rsid w:val="15B290DD"/>
    <w:rsid w:val="15B98494"/>
    <w:rsid w:val="15BDFE2E"/>
    <w:rsid w:val="15C031B3"/>
    <w:rsid w:val="15C6AC7F"/>
    <w:rsid w:val="15C819F9"/>
    <w:rsid w:val="15D6C586"/>
    <w:rsid w:val="15E01D0D"/>
    <w:rsid w:val="15F451BD"/>
    <w:rsid w:val="15F9AEF5"/>
    <w:rsid w:val="15FC2DF9"/>
    <w:rsid w:val="16109A08"/>
    <w:rsid w:val="1618E227"/>
    <w:rsid w:val="16261547"/>
    <w:rsid w:val="16348E09"/>
    <w:rsid w:val="16357477"/>
    <w:rsid w:val="16396AF7"/>
    <w:rsid w:val="163B01F5"/>
    <w:rsid w:val="16428C82"/>
    <w:rsid w:val="16452414"/>
    <w:rsid w:val="1645A772"/>
    <w:rsid w:val="164A48B8"/>
    <w:rsid w:val="164ABEAC"/>
    <w:rsid w:val="164FBD93"/>
    <w:rsid w:val="16717125"/>
    <w:rsid w:val="167C44BA"/>
    <w:rsid w:val="1686A616"/>
    <w:rsid w:val="1689A28F"/>
    <w:rsid w:val="168BD95C"/>
    <w:rsid w:val="1699A91F"/>
    <w:rsid w:val="169B0E63"/>
    <w:rsid w:val="16A02DD2"/>
    <w:rsid w:val="16B047F2"/>
    <w:rsid w:val="16BA3F0C"/>
    <w:rsid w:val="16BB51B2"/>
    <w:rsid w:val="16C6342E"/>
    <w:rsid w:val="16C8BC22"/>
    <w:rsid w:val="16D0DD78"/>
    <w:rsid w:val="16D322A4"/>
    <w:rsid w:val="16DCA43A"/>
    <w:rsid w:val="16E64B99"/>
    <w:rsid w:val="16EF50B1"/>
    <w:rsid w:val="16F50076"/>
    <w:rsid w:val="17052448"/>
    <w:rsid w:val="17121596"/>
    <w:rsid w:val="1727B1BB"/>
    <w:rsid w:val="172B5C14"/>
    <w:rsid w:val="172B889F"/>
    <w:rsid w:val="17398C76"/>
    <w:rsid w:val="17408F82"/>
    <w:rsid w:val="17410F6A"/>
    <w:rsid w:val="1748A1D3"/>
    <w:rsid w:val="174AA6B7"/>
    <w:rsid w:val="1751BD92"/>
    <w:rsid w:val="175A4C96"/>
    <w:rsid w:val="17627189"/>
    <w:rsid w:val="17640DA3"/>
    <w:rsid w:val="176D5762"/>
    <w:rsid w:val="1772FDE9"/>
    <w:rsid w:val="17771BD0"/>
    <w:rsid w:val="177CE32F"/>
    <w:rsid w:val="178EC9E3"/>
    <w:rsid w:val="1798C398"/>
    <w:rsid w:val="17A9F0A7"/>
    <w:rsid w:val="17AC6A4D"/>
    <w:rsid w:val="17C194F8"/>
    <w:rsid w:val="17C2880B"/>
    <w:rsid w:val="17CFB4A1"/>
    <w:rsid w:val="17D0DC94"/>
    <w:rsid w:val="17D1F7EE"/>
    <w:rsid w:val="17D4DD6A"/>
    <w:rsid w:val="17D51AF2"/>
    <w:rsid w:val="17DABBBC"/>
    <w:rsid w:val="17E022AE"/>
    <w:rsid w:val="17EFB6A3"/>
    <w:rsid w:val="180082F1"/>
    <w:rsid w:val="1800DC3A"/>
    <w:rsid w:val="18052AA6"/>
    <w:rsid w:val="180669E3"/>
    <w:rsid w:val="180D0862"/>
    <w:rsid w:val="180D6A0C"/>
    <w:rsid w:val="181402EA"/>
    <w:rsid w:val="1818ADBE"/>
    <w:rsid w:val="1819702B"/>
    <w:rsid w:val="183181DB"/>
    <w:rsid w:val="18385E25"/>
    <w:rsid w:val="183FF789"/>
    <w:rsid w:val="1841F4FB"/>
    <w:rsid w:val="1844C944"/>
    <w:rsid w:val="1845DED7"/>
    <w:rsid w:val="1846470B"/>
    <w:rsid w:val="1848AFE7"/>
    <w:rsid w:val="185174E1"/>
    <w:rsid w:val="18560A1B"/>
    <w:rsid w:val="18580D28"/>
    <w:rsid w:val="185EB139"/>
    <w:rsid w:val="186031A4"/>
    <w:rsid w:val="1862A79F"/>
    <w:rsid w:val="18655ED5"/>
    <w:rsid w:val="186AA21F"/>
    <w:rsid w:val="186EDDCF"/>
    <w:rsid w:val="1872E1F5"/>
    <w:rsid w:val="1876D5C8"/>
    <w:rsid w:val="187B38F8"/>
    <w:rsid w:val="1883206C"/>
    <w:rsid w:val="18927706"/>
    <w:rsid w:val="18958A0E"/>
    <w:rsid w:val="189F86D2"/>
    <w:rsid w:val="18A6BEA8"/>
    <w:rsid w:val="18A97C62"/>
    <w:rsid w:val="18AB7682"/>
    <w:rsid w:val="18B0F10A"/>
    <w:rsid w:val="18B12A84"/>
    <w:rsid w:val="18B4E3E2"/>
    <w:rsid w:val="18BBDBF0"/>
    <w:rsid w:val="18BC8924"/>
    <w:rsid w:val="18BE81C8"/>
    <w:rsid w:val="18C36778"/>
    <w:rsid w:val="18C49931"/>
    <w:rsid w:val="18C5988C"/>
    <w:rsid w:val="18C87B33"/>
    <w:rsid w:val="18D032B1"/>
    <w:rsid w:val="18D5E145"/>
    <w:rsid w:val="18D774B4"/>
    <w:rsid w:val="18D9C2E3"/>
    <w:rsid w:val="18DE18AF"/>
    <w:rsid w:val="18E4955C"/>
    <w:rsid w:val="18EA8841"/>
    <w:rsid w:val="18F1538C"/>
    <w:rsid w:val="18F1794D"/>
    <w:rsid w:val="18F44C7C"/>
    <w:rsid w:val="18F4B121"/>
    <w:rsid w:val="18F75246"/>
    <w:rsid w:val="18FC8E18"/>
    <w:rsid w:val="1902849E"/>
    <w:rsid w:val="190723C4"/>
    <w:rsid w:val="190A1AAF"/>
    <w:rsid w:val="190BE2C7"/>
    <w:rsid w:val="19189779"/>
    <w:rsid w:val="191CBF12"/>
    <w:rsid w:val="192774E8"/>
    <w:rsid w:val="192AB439"/>
    <w:rsid w:val="194C6B13"/>
    <w:rsid w:val="195F56E6"/>
    <w:rsid w:val="196742B4"/>
    <w:rsid w:val="196972FD"/>
    <w:rsid w:val="196AF1DC"/>
    <w:rsid w:val="196C43F1"/>
    <w:rsid w:val="196FD037"/>
    <w:rsid w:val="1978888D"/>
    <w:rsid w:val="197A0E2D"/>
    <w:rsid w:val="197C51F0"/>
    <w:rsid w:val="198017FA"/>
    <w:rsid w:val="1988D92E"/>
    <w:rsid w:val="198ECFEF"/>
    <w:rsid w:val="19907AB5"/>
    <w:rsid w:val="199155AD"/>
    <w:rsid w:val="1998AD45"/>
    <w:rsid w:val="199CC4A0"/>
    <w:rsid w:val="19BBC2EA"/>
    <w:rsid w:val="19C0E226"/>
    <w:rsid w:val="19C3D683"/>
    <w:rsid w:val="19C53FE9"/>
    <w:rsid w:val="19C97A01"/>
    <w:rsid w:val="19D11CC7"/>
    <w:rsid w:val="19D2D8DD"/>
    <w:rsid w:val="19DC89F9"/>
    <w:rsid w:val="19DCBD80"/>
    <w:rsid w:val="19DDA7AA"/>
    <w:rsid w:val="19E596E7"/>
    <w:rsid w:val="19E951E4"/>
    <w:rsid w:val="19EA9E1E"/>
    <w:rsid w:val="19ED0F13"/>
    <w:rsid w:val="19EF72D2"/>
    <w:rsid w:val="19FAED41"/>
    <w:rsid w:val="19FC1E8E"/>
    <w:rsid w:val="1A05F2B3"/>
    <w:rsid w:val="1A084C42"/>
    <w:rsid w:val="1A0DE299"/>
    <w:rsid w:val="1A0E301D"/>
    <w:rsid w:val="1A117BE0"/>
    <w:rsid w:val="1A1F26FB"/>
    <w:rsid w:val="1A202EDF"/>
    <w:rsid w:val="1A249D38"/>
    <w:rsid w:val="1A2CD44C"/>
    <w:rsid w:val="1A2F0A5A"/>
    <w:rsid w:val="1A302C0F"/>
    <w:rsid w:val="1A308B3C"/>
    <w:rsid w:val="1A37679F"/>
    <w:rsid w:val="1A37701B"/>
    <w:rsid w:val="1A3B57D1"/>
    <w:rsid w:val="1A3CCE55"/>
    <w:rsid w:val="1A3D71E5"/>
    <w:rsid w:val="1A57D205"/>
    <w:rsid w:val="1A58BEEF"/>
    <w:rsid w:val="1A664D9A"/>
    <w:rsid w:val="1A68574D"/>
    <w:rsid w:val="1A6C0836"/>
    <w:rsid w:val="1A722804"/>
    <w:rsid w:val="1A7CE77D"/>
    <w:rsid w:val="1A87956C"/>
    <w:rsid w:val="1AA5C788"/>
    <w:rsid w:val="1AA88FFF"/>
    <w:rsid w:val="1AA8AE8A"/>
    <w:rsid w:val="1AA8F520"/>
    <w:rsid w:val="1AB13EBD"/>
    <w:rsid w:val="1AB84B34"/>
    <w:rsid w:val="1AC0A67B"/>
    <w:rsid w:val="1AC6B38C"/>
    <w:rsid w:val="1AC86E9F"/>
    <w:rsid w:val="1ADD46A5"/>
    <w:rsid w:val="1AE97726"/>
    <w:rsid w:val="1AFB07A9"/>
    <w:rsid w:val="1B09E806"/>
    <w:rsid w:val="1B1499FC"/>
    <w:rsid w:val="1B2ACBC9"/>
    <w:rsid w:val="1B2F13ED"/>
    <w:rsid w:val="1B39AA68"/>
    <w:rsid w:val="1B4716E0"/>
    <w:rsid w:val="1B497D31"/>
    <w:rsid w:val="1B56AD93"/>
    <w:rsid w:val="1B587030"/>
    <w:rsid w:val="1B5A8F0A"/>
    <w:rsid w:val="1B5F7246"/>
    <w:rsid w:val="1B5F7A73"/>
    <w:rsid w:val="1B7A4C4D"/>
    <w:rsid w:val="1B7A4ED6"/>
    <w:rsid w:val="1B7C1EA0"/>
    <w:rsid w:val="1B7C3B07"/>
    <w:rsid w:val="1B7DD92D"/>
    <w:rsid w:val="1B7EA74E"/>
    <w:rsid w:val="1B847C70"/>
    <w:rsid w:val="1B8FDEE5"/>
    <w:rsid w:val="1B979EE1"/>
    <w:rsid w:val="1B9D7767"/>
    <w:rsid w:val="1BA2E5CF"/>
    <w:rsid w:val="1BA307A3"/>
    <w:rsid w:val="1BB38221"/>
    <w:rsid w:val="1BB76197"/>
    <w:rsid w:val="1BB76D97"/>
    <w:rsid w:val="1BB7DE9B"/>
    <w:rsid w:val="1BC0CC61"/>
    <w:rsid w:val="1BCCE6D1"/>
    <w:rsid w:val="1BCE8CA0"/>
    <w:rsid w:val="1BCEE008"/>
    <w:rsid w:val="1BD69842"/>
    <w:rsid w:val="1BE2F710"/>
    <w:rsid w:val="1BF95F46"/>
    <w:rsid w:val="1BFDB11B"/>
    <w:rsid w:val="1BFFB8D4"/>
    <w:rsid w:val="1C005FA2"/>
    <w:rsid w:val="1C00E2E4"/>
    <w:rsid w:val="1C10AD7B"/>
    <w:rsid w:val="1C118F8E"/>
    <w:rsid w:val="1C13AB35"/>
    <w:rsid w:val="1C26CA2A"/>
    <w:rsid w:val="1C3010E9"/>
    <w:rsid w:val="1C3AFECA"/>
    <w:rsid w:val="1C3B108B"/>
    <w:rsid w:val="1C4472B9"/>
    <w:rsid w:val="1C44FFC0"/>
    <w:rsid w:val="1C47029E"/>
    <w:rsid w:val="1C533477"/>
    <w:rsid w:val="1C5885E9"/>
    <w:rsid w:val="1C636037"/>
    <w:rsid w:val="1C681D25"/>
    <w:rsid w:val="1C6E9286"/>
    <w:rsid w:val="1C6F3E14"/>
    <w:rsid w:val="1C70FF28"/>
    <w:rsid w:val="1C726470"/>
    <w:rsid w:val="1C75C2BF"/>
    <w:rsid w:val="1C779E5F"/>
    <w:rsid w:val="1C7E0A1B"/>
    <w:rsid w:val="1C80AE2F"/>
    <w:rsid w:val="1C862D71"/>
    <w:rsid w:val="1C98751B"/>
    <w:rsid w:val="1C99F5CF"/>
    <w:rsid w:val="1C9BC416"/>
    <w:rsid w:val="1CA52196"/>
    <w:rsid w:val="1CA8F544"/>
    <w:rsid w:val="1CB4CA9F"/>
    <w:rsid w:val="1CB7CDB4"/>
    <w:rsid w:val="1CBF37BB"/>
    <w:rsid w:val="1CC2AC2D"/>
    <w:rsid w:val="1CC2B685"/>
    <w:rsid w:val="1CC4BB5F"/>
    <w:rsid w:val="1CC62179"/>
    <w:rsid w:val="1CD20064"/>
    <w:rsid w:val="1CE46AB4"/>
    <w:rsid w:val="1CF3235A"/>
    <w:rsid w:val="1CF8A636"/>
    <w:rsid w:val="1CFECCF7"/>
    <w:rsid w:val="1D1554B8"/>
    <w:rsid w:val="1D1CFF9B"/>
    <w:rsid w:val="1D2E3830"/>
    <w:rsid w:val="1D2F9737"/>
    <w:rsid w:val="1D2FF91B"/>
    <w:rsid w:val="1D304E46"/>
    <w:rsid w:val="1D3E3747"/>
    <w:rsid w:val="1D43ECE2"/>
    <w:rsid w:val="1D46872E"/>
    <w:rsid w:val="1D4D4907"/>
    <w:rsid w:val="1D4E20B9"/>
    <w:rsid w:val="1D532E94"/>
    <w:rsid w:val="1D550EB4"/>
    <w:rsid w:val="1D57BE99"/>
    <w:rsid w:val="1D58AEF3"/>
    <w:rsid w:val="1D5B9961"/>
    <w:rsid w:val="1D5BE76E"/>
    <w:rsid w:val="1D5BF8F6"/>
    <w:rsid w:val="1D67CB34"/>
    <w:rsid w:val="1D690DE4"/>
    <w:rsid w:val="1D69C4D6"/>
    <w:rsid w:val="1D6C837A"/>
    <w:rsid w:val="1D7C62F6"/>
    <w:rsid w:val="1D7E7343"/>
    <w:rsid w:val="1D860673"/>
    <w:rsid w:val="1D861BE7"/>
    <w:rsid w:val="1D861E4F"/>
    <w:rsid w:val="1D895D00"/>
    <w:rsid w:val="1D8DC006"/>
    <w:rsid w:val="1DA5D006"/>
    <w:rsid w:val="1DA9646B"/>
    <w:rsid w:val="1DB3B188"/>
    <w:rsid w:val="1DBEF67A"/>
    <w:rsid w:val="1DC365A4"/>
    <w:rsid w:val="1DCA792C"/>
    <w:rsid w:val="1DE4AFBD"/>
    <w:rsid w:val="1DE526D7"/>
    <w:rsid w:val="1DE7D29C"/>
    <w:rsid w:val="1DF5CF8D"/>
    <w:rsid w:val="1DFB4799"/>
    <w:rsid w:val="1DFBE189"/>
    <w:rsid w:val="1DFDF9C1"/>
    <w:rsid w:val="1E040678"/>
    <w:rsid w:val="1E049BCB"/>
    <w:rsid w:val="1E14611C"/>
    <w:rsid w:val="1E147F59"/>
    <w:rsid w:val="1E160C87"/>
    <w:rsid w:val="1E162DB4"/>
    <w:rsid w:val="1E237E4E"/>
    <w:rsid w:val="1E2B2E81"/>
    <w:rsid w:val="1E2E13C6"/>
    <w:rsid w:val="1E33C105"/>
    <w:rsid w:val="1E3A4B87"/>
    <w:rsid w:val="1E512D44"/>
    <w:rsid w:val="1E5BCCDE"/>
    <w:rsid w:val="1E638500"/>
    <w:rsid w:val="1E6BA408"/>
    <w:rsid w:val="1E6E893D"/>
    <w:rsid w:val="1E71F205"/>
    <w:rsid w:val="1E8042DD"/>
    <w:rsid w:val="1E84B98E"/>
    <w:rsid w:val="1E8CFBA7"/>
    <w:rsid w:val="1E90716B"/>
    <w:rsid w:val="1E965A25"/>
    <w:rsid w:val="1E997A68"/>
    <w:rsid w:val="1EA70C86"/>
    <w:rsid w:val="1EAB8684"/>
    <w:rsid w:val="1EB38A1B"/>
    <w:rsid w:val="1EB4329B"/>
    <w:rsid w:val="1EBC3A39"/>
    <w:rsid w:val="1EBEF493"/>
    <w:rsid w:val="1EC1682A"/>
    <w:rsid w:val="1EC647DD"/>
    <w:rsid w:val="1EC80E66"/>
    <w:rsid w:val="1EC96E95"/>
    <w:rsid w:val="1ED43209"/>
    <w:rsid w:val="1ED645D9"/>
    <w:rsid w:val="1ED8B44C"/>
    <w:rsid w:val="1ED8F0DE"/>
    <w:rsid w:val="1EDD9D0C"/>
    <w:rsid w:val="1EE56563"/>
    <w:rsid w:val="1EECDA7D"/>
    <w:rsid w:val="1EF145AD"/>
    <w:rsid w:val="1F00A361"/>
    <w:rsid w:val="1F08EBBC"/>
    <w:rsid w:val="1F09113C"/>
    <w:rsid w:val="1F29634D"/>
    <w:rsid w:val="1F2D002F"/>
    <w:rsid w:val="1F2E8230"/>
    <w:rsid w:val="1F2F8D01"/>
    <w:rsid w:val="1F32B173"/>
    <w:rsid w:val="1F3509B5"/>
    <w:rsid w:val="1F5C89B4"/>
    <w:rsid w:val="1F5ED206"/>
    <w:rsid w:val="1F6A0AFD"/>
    <w:rsid w:val="1F7F59C1"/>
    <w:rsid w:val="1F80D8C7"/>
    <w:rsid w:val="1F83E23E"/>
    <w:rsid w:val="1F8C2DC0"/>
    <w:rsid w:val="1F91D80F"/>
    <w:rsid w:val="1FA47F47"/>
    <w:rsid w:val="1FAF5DA5"/>
    <w:rsid w:val="1FBCE39E"/>
    <w:rsid w:val="1FBD73E5"/>
    <w:rsid w:val="1FC1C2DC"/>
    <w:rsid w:val="1FC43C16"/>
    <w:rsid w:val="1FC67FEB"/>
    <w:rsid w:val="1FCDD4A0"/>
    <w:rsid w:val="1FCE8D67"/>
    <w:rsid w:val="1FCFED2B"/>
    <w:rsid w:val="1FD1169B"/>
    <w:rsid w:val="1FD2C2D3"/>
    <w:rsid w:val="1FE1BD9C"/>
    <w:rsid w:val="1FE35AE2"/>
    <w:rsid w:val="1FE365EB"/>
    <w:rsid w:val="1FF094E2"/>
    <w:rsid w:val="20188B55"/>
    <w:rsid w:val="20199844"/>
    <w:rsid w:val="202879A0"/>
    <w:rsid w:val="202ADEDB"/>
    <w:rsid w:val="202EA50A"/>
    <w:rsid w:val="2030BAC7"/>
    <w:rsid w:val="2030CCC2"/>
    <w:rsid w:val="20338EA0"/>
    <w:rsid w:val="20361A2D"/>
    <w:rsid w:val="2045B6D3"/>
    <w:rsid w:val="204716F6"/>
    <w:rsid w:val="2047186D"/>
    <w:rsid w:val="204C0C7E"/>
    <w:rsid w:val="2050748D"/>
    <w:rsid w:val="20558B86"/>
    <w:rsid w:val="205879AC"/>
    <w:rsid w:val="2059765D"/>
    <w:rsid w:val="207603D6"/>
    <w:rsid w:val="207BD281"/>
    <w:rsid w:val="208F9A48"/>
    <w:rsid w:val="20958740"/>
    <w:rsid w:val="20A13985"/>
    <w:rsid w:val="20BB155C"/>
    <w:rsid w:val="20C8DAB3"/>
    <w:rsid w:val="20D817F8"/>
    <w:rsid w:val="20E355B3"/>
    <w:rsid w:val="20F734A9"/>
    <w:rsid w:val="20F8D278"/>
    <w:rsid w:val="20FD54A6"/>
    <w:rsid w:val="20FD610F"/>
    <w:rsid w:val="210AA5B8"/>
    <w:rsid w:val="213516B4"/>
    <w:rsid w:val="2154CDC0"/>
    <w:rsid w:val="2156DAA5"/>
    <w:rsid w:val="2158EC0A"/>
    <w:rsid w:val="21630240"/>
    <w:rsid w:val="217BA659"/>
    <w:rsid w:val="217BED2E"/>
    <w:rsid w:val="2180AAA2"/>
    <w:rsid w:val="21827F39"/>
    <w:rsid w:val="218849E9"/>
    <w:rsid w:val="218FD5E1"/>
    <w:rsid w:val="219E745E"/>
    <w:rsid w:val="21A096C8"/>
    <w:rsid w:val="21A45EDF"/>
    <w:rsid w:val="21B1CAA4"/>
    <w:rsid w:val="21B4B6A5"/>
    <w:rsid w:val="21B6D331"/>
    <w:rsid w:val="21C16591"/>
    <w:rsid w:val="21C36DA0"/>
    <w:rsid w:val="21C95094"/>
    <w:rsid w:val="21D2928E"/>
    <w:rsid w:val="21DAA5E0"/>
    <w:rsid w:val="21DAE02E"/>
    <w:rsid w:val="21E0E3BC"/>
    <w:rsid w:val="21E84117"/>
    <w:rsid w:val="21EDDF69"/>
    <w:rsid w:val="21F44825"/>
    <w:rsid w:val="21F66A8B"/>
    <w:rsid w:val="22009A10"/>
    <w:rsid w:val="2202A5E7"/>
    <w:rsid w:val="22039878"/>
    <w:rsid w:val="2210A55C"/>
    <w:rsid w:val="2213480B"/>
    <w:rsid w:val="2218F9A9"/>
    <w:rsid w:val="221CC0E1"/>
    <w:rsid w:val="222BC211"/>
    <w:rsid w:val="22319560"/>
    <w:rsid w:val="223311B4"/>
    <w:rsid w:val="22482D23"/>
    <w:rsid w:val="224DB60E"/>
    <w:rsid w:val="22500D59"/>
    <w:rsid w:val="22595C0A"/>
    <w:rsid w:val="225D28D1"/>
    <w:rsid w:val="226C0740"/>
    <w:rsid w:val="2274F7E7"/>
    <w:rsid w:val="2288AAD4"/>
    <w:rsid w:val="228B8FF5"/>
    <w:rsid w:val="228D3660"/>
    <w:rsid w:val="22972E50"/>
    <w:rsid w:val="229DDEF0"/>
    <w:rsid w:val="22A1C1FD"/>
    <w:rsid w:val="22C2EFE2"/>
    <w:rsid w:val="22CA25C3"/>
    <w:rsid w:val="22CE450D"/>
    <w:rsid w:val="22D08018"/>
    <w:rsid w:val="22D33C84"/>
    <w:rsid w:val="22DDD385"/>
    <w:rsid w:val="22E1248B"/>
    <w:rsid w:val="22E78E9B"/>
    <w:rsid w:val="22F89870"/>
    <w:rsid w:val="2311CE31"/>
    <w:rsid w:val="2313025C"/>
    <w:rsid w:val="2320B1E7"/>
    <w:rsid w:val="232571C5"/>
    <w:rsid w:val="233223B7"/>
    <w:rsid w:val="234AC18A"/>
    <w:rsid w:val="234D48C8"/>
    <w:rsid w:val="23520AF3"/>
    <w:rsid w:val="23543895"/>
    <w:rsid w:val="235B7E05"/>
    <w:rsid w:val="235BE710"/>
    <w:rsid w:val="235C31F2"/>
    <w:rsid w:val="236008C4"/>
    <w:rsid w:val="23740619"/>
    <w:rsid w:val="237730BE"/>
    <w:rsid w:val="237A739F"/>
    <w:rsid w:val="2383D8BD"/>
    <w:rsid w:val="238636A9"/>
    <w:rsid w:val="238750C3"/>
    <w:rsid w:val="23A351F1"/>
    <w:rsid w:val="23A96F1B"/>
    <w:rsid w:val="23B7CABF"/>
    <w:rsid w:val="23BBFA99"/>
    <w:rsid w:val="23C5F329"/>
    <w:rsid w:val="23DA9A87"/>
    <w:rsid w:val="23DAB362"/>
    <w:rsid w:val="23DB7DAC"/>
    <w:rsid w:val="23E3EF7C"/>
    <w:rsid w:val="23E8B008"/>
    <w:rsid w:val="23EF6F17"/>
    <w:rsid w:val="2405F238"/>
    <w:rsid w:val="240C06C8"/>
    <w:rsid w:val="2424188A"/>
    <w:rsid w:val="2426BB56"/>
    <w:rsid w:val="242C02D5"/>
    <w:rsid w:val="24310F5D"/>
    <w:rsid w:val="24336C2F"/>
    <w:rsid w:val="2437C0B8"/>
    <w:rsid w:val="243818C3"/>
    <w:rsid w:val="243961D4"/>
    <w:rsid w:val="2446AC94"/>
    <w:rsid w:val="244DBA0E"/>
    <w:rsid w:val="2453CFD1"/>
    <w:rsid w:val="245933FF"/>
    <w:rsid w:val="246086F7"/>
    <w:rsid w:val="2461CB53"/>
    <w:rsid w:val="2465B965"/>
    <w:rsid w:val="246A1FB0"/>
    <w:rsid w:val="2473DB60"/>
    <w:rsid w:val="2474C801"/>
    <w:rsid w:val="2478C32B"/>
    <w:rsid w:val="247EDD41"/>
    <w:rsid w:val="2483A4E1"/>
    <w:rsid w:val="24847301"/>
    <w:rsid w:val="2484790F"/>
    <w:rsid w:val="248B4CA5"/>
    <w:rsid w:val="249C458A"/>
    <w:rsid w:val="249FEE7E"/>
    <w:rsid w:val="24A880BB"/>
    <w:rsid w:val="24C4830B"/>
    <w:rsid w:val="24CB4F1F"/>
    <w:rsid w:val="24EEAEE8"/>
    <w:rsid w:val="24F05945"/>
    <w:rsid w:val="24F73A63"/>
    <w:rsid w:val="24F8D3C2"/>
    <w:rsid w:val="25065B8D"/>
    <w:rsid w:val="25079118"/>
    <w:rsid w:val="250C4F54"/>
    <w:rsid w:val="251296D5"/>
    <w:rsid w:val="2523337C"/>
    <w:rsid w:val="25334B1E"/>
    <w:rsid w:val="2537711E"/>
    <w:rsid w:val="253845EF"/>
    <w:rsid w:val="25405348"/>
    <w:rsid w:val="2541A314"/>
    <w:rsid w:val="2545EA0D"/>
    <w:rsid w:val="25473539"/>
    <w:rsid w:val="254E01E5"/>
    <w:rsid w:val="2558FE15"/>
    <w:rsid w:val="2561578A"/>
    <w:rsid w:val="25637902"/>
    <w:rsid w:val="256E6F24"/>
    <w:rsid w:val="256EA91B"/>
    <w:rsid w:val="2571BBF3"/>
    <w:rsid w:val="2574D94B"/>
    <w:rsid w:val="257D7292"/>
    <w:rsid w:val="257EC949"/>
    <w:rsid w:val="25851632"/>
    <w:rsid w:val="25883CE2"/>
    <w:rsid w:val="258E99E8"/>
    <w:rsid w:val="259CC52A"/>
    <w:rsid w:val="25A8EF80"/>
    <w:rsid w:val="25B11029"/>
    <w:rsid w:val="25BF520E"/>
    <w:rsid w:val="25C03A38"/>
    <w:rsid w:val="25C99F9A"/>
    <w:rsid w:val="25D17119"/>
    <w:rsid w:val="25D4872B"/>
    <w:rsid w:val="25D604DE"/>
    <w:rsid w:val="25D96263"/>
    <w:rsid w:val="25DAE3AD"/>
    <w:rsid w:val="25E529B4"/>
    <w:rsid w:val="25ECAFEC"/>
    <w:rsid w:val="25F05223"/>
    <w:rsid w:val="25F25F8D"/>
    <w:rsid w:val="25F2CFE6"/>
    <w:rsid w:val="25F966D5"/>
    <w:rsid w:val="25FABB44"/>
    <w:rsid w:val="26088013"/>
    <w:rsid w:val="260A5105"/>
    <w:rsid w:val="260B60AA"/>
    <w:rsid w:val="2611353F"/>
    <w:rsid w:val="26158E28"/>
    <w:rsid w:val="262F3023"/>
    <w:rsid w:val="262F331A"/>
    <w:rsid w:val="26359678"/>
    <w:rsid w:val="26363471"/>
    <w:rsid w:val="264002F9"/>
    <w:rsid w:val="264B41EB"/>
    <w:rsid w:val="264D0FC9"/>
    <w:rsid w:val="264DFA3E"/>
    <w:rsid w:val="264EF01F"/>
    <w:rsid w:val="265927BC"/>
    <w:rsid w:val="2659D554"/>
    <w:rsid w:val="265A684B"/>
    <w:rsid w:val="265C7138"/>
    <w:rsid w:val="265FB6BA"/>
    <w:rsid w:val="2666FC5E"/>
    <w:rsid w:val="26678BAB"/>
    <w:rsid w:val="266C03F3"/>
    <w:rsid w:val="266E9D6E"/>
    <w:rsid w:val="26865F21"/>
    <w:rsid w:val="2692780D"/>
    <w:rsid w:val="26939CCB"/>
    <w:rsid w:val="2697A566"/>
    <w:rsid w:val="269A6CA7"/>
    <w:rsid w:val="269D3E65"/>
    <w:rsid w:val="26B53DD1"/>
    <w:rsid w:val="26B627CE"/>
    <w:rsid w:val="26BE0471"/>
    <w:rsid w:val="26C43223"/>
    <w:rsid w:val="26C4D300"/>
    <w:rsid w:val="26C5A12E"/>
    <w:rsid w:val="26C5EF81"/>
    <w:rsid w:val="26CB39D5"/>
    <w:rsid w:val="26CC8466"/>
    <w:rsid w:val="26CCA295"/>
    <w:rsid w:val="26D42C2E"/>
    <w:rsid w:val="26EBE555"/>
    <w:rsid w:val="26EC4C3C"/>
    <w:rsid w:val="26F2C528"/>
    <w:rsid w:val="26F62509"/>
    <w:rsid w:val="26FBAD3D"/>
    <w:rsid w:val="26FF7790"/>
    <w:rsid w:val="27059222"/>
    <w:rsid w:val="2708F56F"/>
    <w:rsid w:val="270C7650"/>
    <w:rsid w:val="2727E34C"/>
    <w:rsid w:val="272D9A0A"/>
    <w:rsid w:val="272EC8C2"/>
    <w:rsid w:val="272F6C21"/>
    <w:rsid w:val="2730F509"/>
    <w:rsid w:val="2731E200"/>
    <w:rsid w:val="27337519"/>
    <w:rsid w:val="273464A7"/>
    <w:rsid w:val="273D24FD"/>
    <w:rsid w:val="27536725"/>
    <w:rsid w:val="27551C25"/>
    <w:rsid w:val="275D3654"/>
    <w:rsid w:val="276DDA74"/>
    <w:rsid w:val="2773700B"/>
    <w:rsid w:val="278FD8AF"/>
    <w:rsid w:val="279E1E3B"/>
    <w:rsid w:val="279F8A84"/>
    <w:rsid w:val="27A3EBFE"/>
    <w:rsid w:val="27A52850"/>
    <w:rsid w:val="27B80952"/>
    <w:rsid w:val="27B883D6"/>
    <w:rsid w:val="27BD8E01"/>
    <w:rsid w:val="27D2D596"/>
    <w:rsid w:val="27D89DC0"/>
    <w:rsid w:val="27D93A7D"/>
    <w:rsid w:val="27DE2BB1"/>
    <w:rsid w:val="27E1EBF5"/>
    <w:rsid w:val="27E98768"/>
    <w:rsid w:val="27F85E69"/>
    <w:rsid w:val="27FA5686"/>
    <w:rsid w:val="28038FD3"/>
    <w:rsid w:val="2806C0D3"/>
    <w:rsid w:val="2806FC88"/>
    <w:rsid w:val="281021BF"/>
    <w:rsid w:val="2818FA60"/>
    <w:rsid w:val="28213D55"/>
    <w:rsid w:val="282A805E"/>
    <w:rsid w:val="2834A93C"/>
    <w:rsid w:val="28393B49"/>
    <w:rsid w:val="2839647F"/>
    <w:rsid w:val="2845CA21"/>
    <w:rsid w:val="28495931"/>
    <w:rsid w:val="284AAB92"/>
    <w:rsid w:val="284D70AD"/>
    <w:rsid w:val="28516012"/>
    <w:rsid w:val="2852FA6E"/>
    <w:rsid w:val="285BA491"/>
    <w:rsid w:val="285DCF8C"/>
    <w:rsid w:val="28651AD3"/>
    <w:rsid w:val="286567A7"/>
    <w:rsid w:val="286BF66A"/>
    <w:rsid w:val="286E5F30"/>
    <w:rsid w:val="2870D082"/>
    <w:rsid w:val="287397BD"/>
    <w:rsid w:val="2875B0C5"/>
    <w:rsid w:val="28769FC4"/>
    <w:rsid w:val="28796B39"/>
    <w:rsid w:val="287D7BB2"/>
    <w:rsid w:val="287E8F6D"/>
    <w:rsid w:val="28834189"/>
    <w:rsid w:val="288ACE78"/>
    <w:rsid w:val="288F2433"/>
    <w:rsid w:val="289557EA"/>
    <w:rsid w:val="28976443"/>
    <w:rsid w:val="2899BA97"/>
    <w:rsid w:val="28B3276D"/>
    <w:rsid w:val="28BC2E9F"/>
    <w:rsid w:val="28BF5E1A"/>
    <w:rsid w:val="28C01695"/>
    <w:rsid w:val="28C7B954"/>
    <w:rsid w:val="28CF9E2F"/>
    <w:rsid w:val="28D317F4"/>
    <w:rsid w:val="28D41226"/>
    <w:rsid w:val="28D6C6F6"/>
    <w:rsid w:val="28E869A3"/>
    <w:rsid w:val="28F09419"/>
    <w:rsid w:val="2902FA3B"/>
    <w:rsid w:val="290EB6EE"/>
    <w:rsid w:val="290F4E5F"/>
    <w:rsid w:val="29108F97"/>
    <w:rsid w:val="29120A9D"/>
    <w:rsid w:val="29126237"/>
    <w:rsid w:val="291265DE"/>
    <w:rsid w:val="2916A59B"/>
    <w:rsid w:val="291A963F"/>
    <w:rsid w:val="29213F0B"/>
    <w:rsid w:val="292D9153"/>
    <w:rsid w:val="293D8D8D"/>
    <w:rsid w:val="2944F242"/>
    <w:rsid w:val="294605BD"/>
    <w:rsid w:val="29494EC1"/>
    <w:rsid w:val="2949A7AC"/>
    <w:rsid w:val="294A4DEA"/>
    <w:rsid w:val="29514994"/>
    <w:rsid w:val="2951A5DC"/>
    <w:rsid w:val="29555DD7"/>
    <w:rsid w:val="2957F2AF"/>
    <w:rsid w:val="2958069B"/>
    <w:rsid w:val="295F88C8"/>
    <w:rsid w:val="297258C7"/>
    <w:rsid w:val="29745155"/>
    <w:rsid w:val="297479F1"/>
    <w:rsid w:val="29760E5C"/>
    <w:rsid w:val="2976C2E7"/>
    <w:rsid w:val="2985BFAA"/>
    <w:rsid w:val="29869F86"/>
    <w:rsid w:val="2993E84D"/>
    <w:rsid w:val="299B4F82"/>
    <w:rsid w:val="299BB5D6"/>
    <w:rsid w:val="29A3A3AE"/>
    <w:rsid w:val="29A5CEDC"/>
    <w:rsid w:val="29B0B104"/>
    <w:rsid w:val="29B9AA72"/>
    <w:rsid w:val="29B9D4FE"/>
    <w:rsid w:val="29BB03BA"/>
    <w:rsid w:val="29D4E472"/>
    <w:rsid w:val="29D54FF2"/>
    <w:rsid w:val="29DD4DC6"/>
    <w:rsid w:val="29DD6EFC"/>
    <w:rsid w:val="29DECE78"/>
    <w:rsid w:val="29E3AE35"/>
    <w:rsid w:val="29F78921"/>
    <w:rsid w:val="2A035243"/>
    <w:rsid w:val="2A044A14"/>
    <w:rsid w:val="2A1112B5"/>
    <w:rsid w:val="2A166660"/>
    <w:rsid w:val="2A1911F5"/>
    <w:rsid w:val="2A1E6DCD"/>
    <w:rsid w:val="2A2464D0"/>
    <w:rsid w:val="2A2623E7"/>
    <w:rsid w:val="2A3B42EF"/>
    <w:rsid w:val="2A3E8E75"/>
    <w:rsid w:val="2A4DA855"/>
    <w:rsid w:val="2A5395DE"/>
    <w:rsid w:val="2A53B56E"/>
    <w:rsid w:val="2A62C007"/>
    <w:rsid w:val="2A62C9D8"/>
    <w:rsid w:val="2A66C30A"/>
    <w:rsid w:val="2A6A079B"/>
    <w:rsid w:val="2A6BCA4F"/>
    <w:rsid w:val="2A73301D"/>
    <w:rsid w:val="2A760CBC"/>
    <w:rsid w:val="2A7687A5"/>
    <w:rsid w:val="2A7C5C99"/>
    <w:rsid w:val="2A7C9511"/>
    <w:rsid w:val="2A8118EE"/>
    <w:rsid w:val="2A825FAC"/>
    <w:rsid w:val="2A938EB0"/>
    <w:rsid w:val="2A981D81"/>
    <w:rsid w:val="2A98CCD2"/>
    <w:rsid w:val="2AA5AFB4"/>
    <w:rsid w:val="2AB38DC0"/>
    <w:rsid w:val="2AB3D4BD"/>
    <w:rsid w:val="2AB6D714"/>
    <w:rsid w:val="2AC80D76"/>
    <w:rsid w:val="2AC8D321"/>
    <w:rsid w:val="2ADA7FC7"/>
    <w:rsid w:val="2ADC847B"/>
    <w:rsid w:val="2ADC9E27"/>
    <w:rsid w:val="2AEB0E13"/>
    <w:rsid w:val="2AF7C824"/>
    <w:rsid w:val="2AFD56A4"/>
    <w:rsid w:val="2AFDEA90"/>
    <w:rsid w:val="2B005694"/>
    <w:rsid w:val="2B015246"/>
    <w:rsid w:val="2B083389"/>
    <w:rsid w:val="2B09F9C4"/>
    <w:rsid w:val="2B0F5F66"/>
    <w:rsid w:val="2B1CA1BF"/>
    <w:rsid w:val="2B2415A0"/>
    <w:rsid w:val="2B2C45D9"/>
    <w:rsid w:val="2B39AD71"/>
    <w:rsid w:val="2B3E7340"/>
    <w:rsid w:val="2B51AB62"/>
    <w:rsid w:val="2B5C5F29"/>
    <w:rsid w:val="2B5CB452"/>
    <w:rsid w:val="2B72A23B"/>
    <w:rsid w:val="2B741688"/>
    <w:rsid w:val="2B87B075"/>
    <w:rsid w:val="2B9116BB"/>
    <w:rsid w:val="2B986274"/>
    <w:rsid w:val="2B98780F"/>
    <w:rsid w:val="2B998CB8"/>
    <w:rsid w:val="2B9CB441"/>
    <w:rsid w:val="2BA6A261"/>
    <w:rsid w:val="2BAD2706"/>
    <w:rsid w:val="2BBCF719"/>
    <w:rsid w:val="2BCF60C4"/>
    <w:rsid w:val="2BCF67D6"/>
    <w:rsid w:val="2BD5D00E"/>
    <w:rsid w:val="2BE2AE4A"/>
    <w:rsid w:val="2BE2ED50"/>
    <w:rsid w:val="2BE47938"/>
    <w:rsid w:val="2BE81B91"/>
    <w:rsid w:val="2BF9A0F9"/>
    <w:rsid w:val="2C02B9AA"/>
    <w:rsid w:val="2C0ECA7F"/>
    <w:rsid w:val="2C1979AE"/>
    <w:rsid w:val="2C1D82CA"/>
    <w:rsid w:val="2C26046E"/>
    <w:rsid w:val="2C2987B0"/>
    <w:rsid w:val="2C2DEF3E"/>
    <w:rsid w:val="2C3C71FF"/>
    <w:rsid w:val="2C3D8858"/>
    <w:rsid w:val="2C495379"/>
    <w:rsid w:val="2C5A945F"/>
    <w:rsid w:val="2C65E684"/>
    <w:rsid w:val="2C6FC0CC"/>
    <w:rsid w:val="2C73BB0B"/>
    <w:rsid w:val="2C7FE2DD"/>
    <w:rsid w:val="2C843948"/>
    <w:rsid w:val="2C8670C2"/>
    <w:rsid w:val="2C8ED577"/>
    <w:rsid w:val="2C979D6C"/>
    <w:rsid w:val="2CB2019B"/>
    <w:rsid w:val="2CB7A24E"/>
    <w:rsid w:val="2CC0FB7E"/>
    <w:rsid w:val="2CC1298C"/>
    <w:rsid w:val="2CC6F0B2"/>
    <w:rsid w:val="2CC92574"/>
    <w:rsid w:val="2CC98702"/>
    <w:rsid w:val="2CCD1B94"/>
    <w:rsid w:val="2CD17DD7"/>
    <w:rsid w:val="2CD52581"/>
    <w:rsid w:val="2CD88202"/>
    <w:rsid w:val="2CD88E71"/>
    <w:rsid w:val="2CD96A3B"/>
    <w:rsid w:val="2CD9CB36"/>
    <w:rsid w:val="2D04DED8"/>
    <w:rsid w:val="2D0C3E6C"/>
    <w:rsid w:val="2D113821"/>
    <w:rsid w:val="2D12B99E"/>
    <w:rsid w:val="2D14BD6D"/>
    <w:rsid w:val="2D264AE2"/>
    <w:rsid w:val="2D2DB3EF"/>
    <w:rsid w:val="2D31CA89"/>
    <w:rsid w:val="2D32E039"/>
    <w:rsid w:val="2D3494F0"/>
    <w:rsid w:val="2D354914"/>
    <w:rsid w:val="2D38FA83"/>
    <w:rsid w:val="2D394672"/>
    <w:rsid w:val="2D429B3F"/>
    <w:rsid w:val="2D448F1F"/>
    <w:rsid w:val="2D54D500"/>
    <w:rsid w:val="2D5D0C73"/>
    <w:rsid w:val="2D5F8B9C"/>
    <w:rsid w:val="2D644104"/>
    <w:rsid w:val="2D6CC074"/>
    <w:rsid w:val="2D6E45E2"/>
    <w:rsid w:val="2D72741F"/>
    <w:rsid w:val="2D809A91"/>
    <w:rsid w:val="2D83B90D"/>
    <w:rsid w:val="2D84D2F7"/>
    <w:rsid w:val="2D87D604"/>
    <w:rsid w:val="2D977C50"/>
    <w:rsid w:val="2D9817A3"/>
    <w:rsid w:val="2DB5CCDA"/>
    <w:rsid w:val="2DB649AF"/>
    <w:rsid w:val="2DC7AE33"/>
    <w:rsid w:val="2DC8086A"/>
    <w:rsid w:val="2DCB484F"/>
    <w:rsid w:val="2DCEAEF6"/>
    <w:rsid w:val="2DCF492C"/>
    <w:rsid w:val="2DD8234A"/>
    <w:rsid w:val="2DD9D8B6"/>
    <w:rsid w:val="2DDB112E"/>
    <w:rsid w:val="2DDB7589"/>
    <w:rsid w:val="2DDD35BF"/>
    <w:rsid w:val="2DDDB726"/>
    <w:rsid w:val="2DE2AEA0"/>
    <w:rsid w:val="2DE58A42"/>
    <w:rsid w:val="2DE8E1D7"/>
    <w:rsid w:val="2DEE42B6"/>
    <w:rsid w:val="2DEFDF14"/>
    <w:rsid w:val="2DF50319"/>
    <w:rsid w:val="2DF595AC"/>
    <w:rsid w:val="2E03C962"/>
    <w:rsid w:val="2E06164B"/>
    <w:rsid w:val="2E1122EB"/>
    <w:rsid w:val="2E14951D"/>
    <w:rsid w:val="2E25762E"/>
    <w:rsid w:val="2E25D259"/>
    <w:rsid w:val="2E2B5322"/>
    <w:rsid w:val="2E30123F"/>
    <w:rsid w:val="2E379330"/>
    <w:rsid w:val="2E39A65C"/>
    <w:rsid w:val="2E40431D"/>
    <w:rsid w:val="2E44B862"/>
    <w:rsid w:val="2E483B1C"/>
    <w:rsid w:val="2E58CFA0"/>
    <w:rsid w:val="2E5A09EB"/>
    <w:rsid w:val="2E5D776C"/>
    <w:rsid w:val="2E6FAB9A"/>
    <w:rsid w:val="2E7037C7"/>
    <w:rsid w:val="2E76083B"/>
    <w:rsid w:val="2E7630A2"/>
    <w:rsid w:val="2E8544FC"/>
    <w:rsid w:val="2E86C6C1"/>
    <w:rsid w:val="2E8E0E58"/>
    <w:rsid w:val="2E9061E7"/>
    <w:rsid w:val="2E9BBD69"/>
    <w:rsid w:val="2EA0CF35"/>
    <w:rsid w:val="2EA130CD"/>
    <w:rsid w:val="2EA7A6A7"/>
    <w:rsid w:val="2EB4A40C"/>
    <w:rsid w:val="2EC02D5C"/>
    <w:rsid w:val="2EC42FF8"/>
    <w:rsid w:val="2EC7B090"/>
    <w:rsid w:val="2EC84CB5"/>
    <w:rsid w:val="2EC98870"/>
    <w:rsid w:val="2ECA3274"/>
    <w:rsid w:val="2ED03A2A"/>
    <w:rsid w:val="2EDA3C65"/>
    <w:rsid w:val="2EEAC395"/>
    <w:rsid w:val="2EEE7031"/>
    <w:rsid w:val="2F05A0BC"/>
    <w:rsid w:val="2F0614B6"/>
    <w:rsid w:val="2F061951"/>
    <w:rsid w:val="2F0C7672"/>
    <w:rsid w:val="2F1068A5"/>
    <w:rsid w:val="2F119099"/>
    <w:rsid w:val="2F1AF7F2"/>
    <w:rsid w:val="2F218952"/>
    <w:rsid w:val="2F243906"/>
    <w:rsid w:val="2F261229"/>
    <w:rsid w:val="2F2B75F2"/>
    <w:rsid w:val="2F2BEBD5"/>
    <w:rsid w:val="2F35FDC3"/>
    <w:rsid w:val="2F38DC35"/>
    <w:rsid w:val="2F4033F2"/>
    <w:rsid w:val="2F4C59D9"/>
    <w:rsid w:val="2F4DCBF3"/>
    <w:rsid w:val="2F5DA7A6"/>
    <w:rsid w:val="2F7880A7"/>
    <w:rsid w:val="2F7C6211"/>
    <w:rsid w:val="2F7EFBC6"/>
    <w:rsid w:val="2F817B8F"/>
    <w:rsid w:val="2F81C6CE"/>
    <w:rsid w:val="2F827267"/>
    <w:rsid w:val="2F849186"/>
    <w:rsid w:val="2F8B95D4"/>
    <w:rsid w:val="2F8D1937"/>
    <w:rsid w:val="2F8E2E7F"/>
    <w:rsid w:val="2F9754A0"/>
    <w:rsid w:val="2F9A46FF"/>
    <w:rsid w:val="2F9BC985"/>
    <w:rsid w:val="2FA34BF7"/>
    <w:rsid w:val="2FAC381D"/>
    <w:rsid w:val="2FAE6ACE"/>
    <w:rsid w:val="2FB3147F"/>
    <w:rsid w:val="2FB67759"/>
    <w:rsid w:val="2FB7CD67"/>
    <w:rsid w:val="2FBAAAAE"/>
    <w:rsid w:val="2FBF8F4E"/>
    <w:rsid w:val="2FC7987B"/>
    <w:rsid w:val="2FC7F1CA"/>
    <w:rsid w:val="2FCC9F90"/>
    <w:rsid w:val="2FCEF699"/>
    <w:rsid w:val="2FD13EC6"/>
    <w:rsid w:val="2FD92CB9"/>
    <w:rsid w:val="2FE33DE5"/>
    <w:rsid w:val="2FEA24C6"/>
    <w:rsid w:val="2FEC4230"/>
    <w:rsid w:val="2FEE5ACC"/>
    <w:rsid w:val="2FF23B60"/>
    <w:rsid w:val="2FFA6797"/>
    <w:rsid w:val="30040A46"/>
    <w:rsid w:val="300E021D"/>
    <w:rsid w:val="300EC5D7"/>
    <w:rsid w:val="3017A874"/>
    <w:rsid w:val="3025F470"/>
    <w:rsid w:val="302F34DF"/>
    <w:rsid w:val="3030F2A9"/>
    <w:rsid w:val="3031E032"/>
    <w:rsid w:val="3033B127"/>
    <w:rsid w:val="3036A171"/>
    <w:rsid w:val="303DD571"/>
    <w:rsid w:val="30403082"/>
    <w:rsid w:val="304B0B7E"/>
    <w:rsid w:val="3057E470"/>
    <w:rsid w:val="306CE362"/>
    <w:rsid w:val="30755AA7"/>
    <w:rsid w:val="3076C4BF"/>
    <w:rsid w:val="30773891"/>
    <w:rsid w:val="307992B5"/>
    <w:rsid w:val="307B3508"/>
    <w:rsid w:val="307C248A"/>
    <w:rsid w:val="307F15D8"/>
    <w:rsid w:val="30813F5E"/>
    <w:rsid w:val="30922B3D"/>
    <w:rsid w:val="30956705"/>
    <w:rsid w:val="30963B99"/>
    <w:rsid w:val="309FC3B4"/>
    <w:rsid w:val="30A71E34"/>
    <w:rsid w:val="30B95946"/>
    <w:rsid w:val="30BCDF3A"/>
    <w:rsid w:val="30C07CE4"/>
    <w:rsid w:val="30C2C736"/>
    <w:rsid w:val="30C99D8E"/>
    <w:rsid w:val="30CB1A39"/>
    <w:rsid w:val="30D3CF26"/>
    <w:rsid w:val="30F6132E"/>
    <w:rsid w:val="31004D4E"/>
    <w:rsid w:val="3107F33A"/>
    <w:rsid w:val="310DC876"/>
    <w:rsid w:val="310F4F97"/>
    <w:rsid w:val="3124EBBD"/>
    <w:rsid w:val="313CCC43"/>
    <w:rsid w:val="3152991C"/>
    <w:rsid w:val="3155560B"/>
    <w:rsid w:val="3157634E"/>
    <w:rsid w:val="31593588"/>
    <w:rsid w:val="3168F78A"/>
    <w:rsid w:val="31723B1C"/>
    <w:rsid w:val="317F87A8"/>
    <w:rsid w:val="317FAACE"/>
    <w:rsid w:val="317FC8A0"/>
    <w:rsid w:val="3184D8D9"/>
    <w:rsid w:val="31986E53"/>
    <w:rsid w:val="319F31B2"/>
    <w:rsid w:val="31A5836F"/>
    <w:rsid w:val="31A7EBE8"/>
    <w:rsid w:val="31A81EF8"/>
    <w:rsid w:val="31B0891D"/>
    <w:rsid w:val="31BF33CD"/>
    <w:rsid w:val="31C3946E"/>
    <w:rsid w:val="31C47173"/>
    <w:rsid w:val="31CEFC6C"/>
    <w:rsid w:val="31D0D33D"/>
    <w:rsid w:val="31D24F54"/>
    <w:rsid w:val="31D3C896"/>
    <w:rsid w:val="31DE6CDA"/>
    <w:rsid w:val="31E22287"/>
    <w:rsid w:val="31E2B839"/>
    <w:rsid w:val="31E92A01"/>
    <w:rsid w:val="31F183EE"/>
    <w:rsid w:val="31F9BBAE"/>
    <w:rsid w:val="31FF07BD"/>
    <w:rsid w:val="32026E04"/>
    <w:rsid w:val="32058632"/>
    <w:rsid w:val="32126239"/>
    <w:rsid w:val="321B4ABE"/>
    <w:rsid w:val="3230331B"/>
    <w:rsid w:val="323292A0"/>
    <w:rsid w:val="3232A580"/>
    <w:rsid w:val="3234D86D"/>
    <w:rsid w:val="32420EB7"/>
    <w:rsid w:val="324BBB37"/>
    <w:rsid w:val="32527F01"/>
    <w:rsid w:val="3253EF89"/>
    <w:rsid w:val="325F53EE"/>
    <w:rsid w:val="3270853E"/>
    <w:rsid w:val="3271D2C6"/>
    <w:rsid w:val="3274FC04"/>
    <w:rsid w:val="327E9945"/>
    <w:rsid w:val="3286487A"/>
    <w:rsid w:val="328AB0B1"/>
    <w:rsid w:val="328D99E3"/>
    <w:rsid w:val="328EE8C3"/>
    <w:rsid w:val="32900467"/>
    <w:rsid w:val="32945105"/>
    <w:rsid w:val="329742F6"/>
    <w:rsid w:val="329D2428"/>
    <w:rsid w:val="329E7436"/>
    <w:rsid w:val="329FFDC8"/>
    <w:rsid w:val="32B7E582"/>
    <w:rsid w:val="32BFB7C9"/>
    <w:rsid w:val="32C11DFD"/>
    <w:rsid w:val="32C7ACD4"/>
    <w:rsid w:val="32C9CE67"/>
    <w:rsid w:val="32CD80E8"/>
    <w:rsid w:val="32D02219"/>
    <w:rsid w:val="32E0F2ED"/>
    <w:rsid w:val="32E61B2F"/>
    <w:rsid w:val="32ECDEC7"/>
    <w:rsid w:val="32F65B6A"/>
    <w:rsid w:val="32F8F4F3"/>
    <w:rsid w:val="32F90348"/>
    <w:rsid w:val="3309DB97"/>
    <w:rsid w:val="331437C8"/>
    <w:rsid w:val="3317EAD9"/>
    <w:rsid w:val="331C39F1"/>
    <w:rsid w:val="331D5370"/>
    <w:rsid w:val="332BDBAB"/>
    <w:rsid w:val="3331F266"/>
    <w:rsid w:val="33357F37"/>
    <w:rsid w:val="33391FA6"/>
    <w:rsid w:val="33392EFA"/>
    <w:rsid w:val="333F1DEA"/>
    <w:rsid w:val="3341CF36"/>
    <w:rsid w:val="334874F5"/>
    <w:rsid w:val="334E16B3"/>
    <w:rsid w:val="3358C4D2"/>
    <w:rsid w:val="33591F22"/>
    <w:rsid w:val="335E3C17"/>
    <w:rsid w:val="336142C0"/>
    <w:rsid w:val="3368D09F"/>
    <w:rsid w:val="3376B58D"/>
    <w:rsid w:val="337D754E"/>
    <w:rsid w:val="33840B71"/>
    <w:rsid w:val="33846BBD"/>
    <w:rsid w:val="3384DF84"/>
    <w:rsid w:val="338BE88B"/>
    <w:rsid w:val="338C9744"/>
    <w:rsid w:val="338FD645"/>
    <w:rsid w:val="3398BCD3"/>
    <w:rsid w:val="33A1CC90"/>
    <w:rsid w:val="33A4C696"/>
    <w:rsid w:val="33A62AA8"/>
    <w:rsid w:val="33B26E7E"/>
    <w:rsid w:val="33B3B11E"/>
    <w:rsid w:val="33C9B4AA"/>
    <w:rsid w:val="33D61F7B"/>
    <w:rsid w:val="33DBD09A"/>
    <w:rsid w:val="33E03EEB"/>
    <w:rsid w:val="33E1B4B1"/>
    <w:rsid w:val="33ECC08C"/>
    <w:rsid w:val="33EDE898"/>
    <w:rsid w:val="33FB45DF"/>
    <w:rsid w:val="33FB7B28"/>
    <w:rsid w:val="33FCBD7C"/>
    <w:rsid w:val="3408E257"/>
    <w:rsid w:val="340E97E0"/>
    <w:rsid w:val="3412B271"/>
    <w:rsid w:val="3419572C"/>
    <w:rsid w:val="3419F455"/>
    <w:rsid w:val="341B493B"/>
    <w:rsid w:val="341C9D89"/>
    <w:rsid w:val="341FA731"/>
    <w:rsid w:val="34235314"/>
    <w:rsid w:val="3434A501"/>
    <w:rsid w:val="34367018"/>
    <w:rsid w:val="343ADF02"/>
    <w:rsid w:val="343BE671"/>
    <w:rsid w:val="3441C1F9"/>
    <w:rsid w:val="3450D30E"/>
    <w:rsid w:val="34555968"/>
    <w:rsid w:val="3456CAD8"/>
    <w:rsid w:val="345874E9"/>
    <w:rsid w:val="345BCC85"/>
    <w:rsid w:val="3464BB45"/>
    <w:rsid w:val="3466EA5B"/>
    <w:rsid w:val="34990F6B"/>
    <w:rsid w:val="34A3328A"/>
    <w:rsid w:val="34A3AF6F"/>
    <w:rsid w:val="34A8D3F2"/>
    <w:rsid w:val="34A9DDCC"/>
    <w:rsid w:val="34ABEE47"/>
    <w:rsid w:val="34B1EA5B"/>
    <w:rsid w:val="34B40C99"/>
    <w:rsid w:val="34B84E3A"/>
    <w:rsid w:val="34B9D149"/>
    <w:rsid w:val="34BA9230"/>
    <w:rsid w:val="34C751F2"/>
    <w:rsid w:val="34CB57AC"/>
    <w:rsid w:val="34D5B19D"/>
    <w:rsid w:val="34D89169"/>
    <w:rsid w:val="34DC0FAF"/>
    <w:rsid w:val="34DD37AB"/>
    <w:rsid w:val="34E1D3B2"/>
    <w:rsid w:val="34E4E030"/>
    <w:rsid w:val="34E68F1E"/>
    <w:rsid w:val="34E8176C"/>
    <w:rsid w:val="34F1E54B"/>
    <w:rsid w:val="34F7CBFE"/>
    <w:rsid w:val="34FAA128"/>
    <w:rsid w:val="34FBCE9C"/>
    <w:rsid w:val="34FE465A"/>
    <w:rsid w:val="35074405"/>
    <w:rsid w:val="35082195"/>
    <w:rsid w:val="350B42D1"/>
    <w:rsid w:val="3512EACF"/>
    <w:rsid w:val="3520AD9B"/>
    <w:rsid w:val="3523D843"/>
    <w:rsid w:val="35298B36"/>
    <w:rsid w:val="352B08F4"/>
    <w:rsid w:val="3535E3AA"/>
    <w:rsid w:val="354FD400"/>
    <w:rsid w:val="355B7B68"/>
    <w:rsid w:val="356290EA"/>
    <w:rsid w:val="3569C7CF"/>
    <w:rsid w:val="357F40F9"/>
    <w:rsid w:val="3586DAA2"/>
    <w:rsid w:val="359137F5"/>
    <w:rsid w:val="35AC723A"/>
    <w:rsid w:val="35B6D918"/>
    <w:rsid w:val="35B78FE1"/>
    <w:rsid w:val="35BA91CC"/>
    <w:rsid w:val="35BF689B"/>
    <w:rsid w:val="35D2BF5C"/>
    <w:rsid w:val="35D907D9"/>
    <w:rsid w:val="35E8B457"/>
    <w:rsid w:val="35F26F40"/>
    <w:rsid w:val="35FBED94"/>
    <w:rsid w:val="35FCB839"/>
    <w:rsid w:val="3610FAE8"/>
    <w:rsid w:val="361190F1"/>
    <w:rsid w:val="361896B8"/>
    <w:rsid w:val="36198408"/>
    <w:rsid w:val="361CF9F0"/>
    <w:rsid w:val="36267978"/>
    <w:rsid w:val="362AE5FD"/>
    <w:rsid w:val="362B25DD"/>
    <w:rsid w:val="3633251E"/>
    <w:rsid w:val="36334635"/>
    <w:rsid w:val="3636F345"/>
    <w:rsid w:val="36373B18"/>
    <w:rsid w:val="3656BF5C"/>
    <w:rsid w:val="36582F84"/>
    <w:rsid w:val="365C4B71"/>
    <w:rsid w:val="3663A672"/>
    <w:rsid w:val="3664085C"/>
    <w:rsid w:val="366B8A17"/>
    <w:rsid w:val="3672D42A"/>
    <w:rsid w:val="36736707"/>
    <w:rsid w:val="36745C33"/>
    <w:rsid w:val="3679DF46"/>
    <w:rsid w:val="367BF7D4"/>
    <w:rsid w:val="36804E0E"/>
    <w:rsid w:val="3684CA0D"/>
    <w:rsid w:val="368AC1F6"/>
    <w:rsid w:val="368F6F83"/>
    <w:rsid w:val="36953769"/>
    <w:rsid w:val="369846AA"/>
    <w:rsid w:val="36A9D75B"/>
    <w:rsid w:val="36BAA1A8"/>
    <w:rsid w:val="36C116DA"/>
    <w:rsid w:val="36C3C045"/>
    <w:rsid w:val="36CE679E"/>
    <w:rsid w:val="36D026CE"/>
    <w:rsid w:val="36D10886"/>
    <w:rsid w:val="36D2D98B"/>
    <w:rsid w:val="36E29C4E"/>
    <w:rsid w:val="36EAB3BA"/>
    <w:rsid w:val="36F23330"/>
    <w:rsid w:val="36FB8630"/>
    <w:rsid w:val="36FE14C6"/>
    <w:rsid w:val="36FE8DC6"/>
    <w:rsid w:val="37065DBC"/>
    <w:rsid w:val="37067CCE"/>
    <w:rsid w:val="370FDE54"/>
    <w:rsid w:val="3714213D"/>
    <w:rsid w:val="3719C3DA"/>
    <w:rsid w:val="371AB288"/>
    <w:rsid w:val="371C3009"/>
    <w:rsid w:val="37201540"/>
    <w:rsid w:val="3725AC78"/>
    <w:rsid w:val="372C8B27"/>
    <w:rsid w:val="3740779F"/>
    <w:rsid w:val="3742F3A1"/>
    <w:rsid w:val="374A59B2"/>
    <w:rsid w:val="375994ED"/>
    <w:rsid w:val="375A91E1"/>
    <w:rsid w:val="375E1A74"/>
    <w:rsid w:val="376C3AFF"/>
    <w:rsid w:val="376DEACE"/>
    <w:rsid w:val="376E1D35"/>
    <w:rsid w:val="37700ECA"/>
    <w:rsid w:val="378B493D"/>
    <w:rsid w:val="3791DAEE"/>
    <w:rsid w:val="37965B05"/>
    <w:rsid w:val="37996B24"/>
    <w:rsid w:val="379E3B9B"/>
    <w:rsid w:val="37B0EE69"/>
    <w:rsid w:val="37C51E22"/>
    <w:rsid w:val="37D2F8B9"/>
    <w:rsid w:val="37D2FBB9"/>
    <w:rsid w:val="37D4B725"/>
    <w:rsid w:val="37DE2DF5"/>
    <w:rsid w:val="37F5B75A"/>
    <w:rsid w:val="37F8B0A7"/>
    <w:rsid w:val="37FF0553"/>
    <w:rsid w:val="380EEE8D"/>
    <w:rsid w:val="3812C4E9"/>
    <w:rsid w:val="38170191"/>
    <w:rsid w:val="38194BDD"/>
    <w:rsid w:val="3819AD80"/>
    <w:rsid w:val="3822E32C"/>
    <w:rsid w:val="382370DF"/>
    <w:rsid w:val="383BF104"/>
    <w:rsid w:val="383F699D"/>
    <w:rsid w:val="384A3297"/>
    <w:rsid w:val="3851352C"/>
    <w:rsid w:val="3851ACB3"/>
    <w:rsid w:val="385CBF6F"/>
    <w:rsid w:val="3869C952"/>
    <w:rsid w:val="386C469E"/>
    <w:rsid w:val="386CAFFD"/>
    <w:rsid w:val="3874E06A"/>
    <w:rsid w:val="387B8C05"/>
    <w:rsid w:val="387C6965"/>
    <w:rsid w:val="388259CC"/>
    <w:rsid w:val="38832B24"/>
    <w:rsid w:val="3889BDF8"/>
    <w:rsid w:val="3890AF81"/>
    <w:rsid w:val="3892E5D6"/>
    <w:rsid w:val="389767E9"/>
    <w:rsid w:val="389E10A3"/>
    <w:rsid w:val="38A06B16"/>
    <w:rsid w:val="38BB36FA"/>
    <w:rsid w:val="38BF23A6"/>
    <w:rsid w:val="38C08959"/>
    <w:rsid w:val="38C460AE"/>
    <w:rsid w:val="38D59B6F"/>
    <w:rsid w:val="38D7F965"/>
    <w:rsid w:val="38DB5265"/>
    <w:rsid w:val="38DB5FD2"/>
    <w:rsid w:val="38EB9438"/>
    <w:rsid w:val="38F7DCCA"/>
    <w:rsid w:val="3900CFED"/>
    <w:rsid w:val="3904A30B"/>
    <w:rsid w:val="39060556"/>
    <w:rsid w:val="390AC8E5"/>
    <w:rsid w:val="3914E6F6"/>
    <w:rsid w:val="391C5BDB"/>
    <w:rsid w:val="391F8EC9"/>
    <w:rsid w:val="392374E7"/>
    <w:rsid w:val="3929F1C8"/>
    <w:rsid w:val="392F8AB6"/>
    <w:rsid w:val="39306C21"/>
    <w:rsid w:val="3932F2FD"/>
    <w:rsid w:val="393339FC"/>
    <w:rsid w:val="393486BA"/>
    <w:rsid w:val="3935DDBA"/>
    <w:rsid w:val="3941EC8F"/>
    <w:rsid w:val="3943C6D8"/>
    <w:rsid w:val="3945900F"/>
    <w:rsid w:val="395ABEFD"/>
    <w:rsid w:val="39602752"/>
    <w:rsid w:val="39641526"/>
    <w:rsid w:val="39695B5D"/>
    <w:rsid w:val="396FF6EB"/>
    <w:rsid w:val="3971BDC4"/>
    <w:rsid w:val="397D00DB"/>
    <w:rsid w:val="3982212D"/>
    <w:rsid w:val="39878781"/>
    <w:rsid w:val="3988BC8A"/>
    <w:rsid w:val="39891BFE"/>
    <w:rsid w:val="398F1C16"/>
    <w:rsid w:val="3995181E"/>
    <w:rsid w:val="399743A8"/>
    <w:rsid w:val="39980BD7"/>
    <w:rsid w:val="39ABDFEB"/>
    <w:rsid w:val="39B12581"/>
    <w:rsid w:val="39B36719"/>
    <w:rsid w:val="39BA0DD6"/>
    <w:rsid w:val="39BBF249"/>
    <w:rsid w:val="39BD1453"/>
    <w:rsid w:val="39C4C3B5"/>
    <w:rsid w:val="39CA6894"/>
    <w:rsid w:val="39D4A504"/>
    <w:rsid w:val="39D4F603"/>
    <w:rsid w:val="39D65EB9"/>
    <w:rsid w:val="39D75BC2"/>
    <w:rsid w:val="39D7EB6D"/>
    <w:rsid w:val="39E47E15"/>
    <w:rsid w:val="39E7D27B"/>
    <w:rsid w:val="39EC1B3C"/>
    <w:rsid w:val="39ED804D"/>
    <w:rsid w:val="3A0376D3"/>
    <w:rsid w:val="3A12B1A1"/>
    <w:rsid w:val="3A17D5F0"/>
    <w:rsid w:val="3A2096D5"/>
    <w:rsid w:val="3A2B7036"/>
    <w:rsid w:val="3A30E6F8"/>
    <w:rsid w:val="3A35CF38"/>
    <w:rsid w:val="3A376CA6"/>
    <w:rsid w:val="3A517C2D"/>
    <w:rsid w:val="3A56307C"/>
    <w:rsid w:val="3A5ACE12"/>
    <w:rsid w:val="3A5BED39"/>
    <w:rsid w:val="3A61ABE4"/>
    <w:rsid w:val="3A678B6C"/>
    <w:rsid w:val="3A71F8E5"/>
    <w:rsid w:val="3A749D42"/>
    <w:rsid w:val="3A7BAC28"/>
    <w:rsid w:val="3A7C0E25"/>
    <w:rsid w:val="3A87444C"/>
    <w:rsid w:val="3A88393C"/>
    <w:rsid w:val="3A959E75"/>
    <w:rsid w:val="3A95EDC3"/>
    <w:rsid w:val="3A9E0AE3"/>
    <w:rsid w:val="3AA313EF"/>
    <w:rsid w:val="3AAAE37B"/>
    <w:rsid w:val="3AAE2732"/>
    <w:rsid w:val="3AB4C623"/>
    <w:rsid w:val="3AB8E54E"/>
    <w:rsid w:val="3ABF780A"/>
    <w:rsid w:val="3ABFE030"/>
    <w:rsid w:val="3AD26F84"/>
    <w:rsid w:val="3AD62ADD"/>
    <w:rsid w:val="3AD68F08"/>
    <w:rsid w:val="3AED9458"/>
    <w:rsid w:val="3B044566"/>
    <w:rsid w:val="3B183D76"/>
    <w:rsid w:val="3B193EAB"/>
    <w:rsid w:val="3B270644"/>
    <w:rsid w:val="3B2E31D0"/>
    <w:rsid w:val="3B2EB2B2"/>
    <w:rsid w:val="3B45FE37"/>
    <w:rsid w:val="3B549755"/>
    <w:rsid w:val="3B565E04"/>
    <w:rsid w:val="3B57B386"/>
    <w:rsid w:val="3B5A9C3C"/>
    <w:rsid w:val="3B65A742"/>
    <w:rsid w:val="3B66657F"/>
    <w:rsid w:val="3B69D9CC"/>
    <w:rsid w:val="3B6FDD4F"/>
    <w:rsid w:val="3B73634B"/>
    <w:rsid w:val="3B78605A"/>
    <w:rsid w:val="3B7B3080"/>
    <w:rsid w:val="3B7CA72F"/>
    <w:rsid w:val="3B817449"/>
    <w:rsid w:val="3B869AA6"/>
    <w:rsid w:val="3B89ECEE"/>
    <w:rsid w:val="3B91E335"/>
    <w:rsid w:val="3B920DBF"/>
    <w:rsid w:val="3B936C22"/>
    <w:rsid w:val="3B9A7E3B"/>
    <w:rsid w:val="3B9EF879"/>
    <w:rsid w:val="3BA1A546"/>
    <w:rsid w:val="3BAEE8EF"/>
    <w:rsid w:val="3BB86A5F"/>
    <w:rsid w:val="3BBCA5A7"/>
    <w:rsid w:val="3BC04807"/>
    <w:rsid w:val="3BC68013"/>
    <w:rsid w:val="3BD35BBC"/>
    <w:rsid w:val="3BD4790A"/>
    <w:rsid w:val="3BD79524"/>
    <w:rsid w:val="3BDB5B56"/>
    <w:rsid w:val="3BEA464D"/>
    <w:rsid w:val="3BEF4007"/>
    <w:rsid w:val="3BEF6DCB"/>
    <w:rsid w:val="3BFA9FC6"/>
    <w:rsid w:val="3BFEDD90"/>
    <w:rsid w:val="3C059EFD"/>
    <w:rsid w:val="3C19159F"/>
    <w:rsid w:val="3C23D7CB"/>
    <w:rsid w:val="3C2BCEF3"/>
    <w:rsid w:val="3C359691"/>
    <w:rsid w:val="3C3ADBEB"/>
    <w:rsid w:val="3C3BD47C"/>
    <w:rsid w:val="3C4A13DF"/>
    <w:rsid w:val="3C55B46C"/>
    <w:rsid w:val="3C564601"/>
    <w:rsid w:val="3C625060"/>
    <w:rsid w:val="3C62DFE0"/>
    <w:rsid w:val="3C685516"/>
    <w:rsid w:val="3C6A212A"/>
    <w:rsid w:val="3C73B85C"/>
    <w:rsid w:val="3C831DAB"/>
    <w:rsid w:val="3C86B95A"/>
    <w:rsid w:val="3C8ACBC9"/>
    <w:rsid w:val="3C8DF49B"/>
    <w:rsid w:val="3C8F85EF"/>
    <w:rsid w:val="3C93B783"/>
    <w:rsid w:val="3C95765B"/>
    <w:rsid w:val="3C96B584"/>
    <w:rsid w:val="3C992BE2"/>
    <w:rsid w:val="3C9C458E"/>
    <w:rsid w:val="3C9E7B6C"/>
    <w:rsid w:val="3CA1B3F0"/>
    <w:rsid w:val="3CA5D9E7"/>
    <w:rsid w:val="3CAB3686"/>
    <w:rsid w:val="3CACD437"/>
    <w:rsid w:val="3CB5FF1C"/>
    <w:rsid w:val="3CB97EE0"/>
    <w:rsid w:val="3CBCF57D"/>
    <w:rsid w:val="3CC0FEA0"/>
    <w:rsid w:val="3CCB9D22"/>
    <w:rsid w:val="3CD11F08"/>
    <w:rsid w:val="3CD2E70F"/>
    <w:rsid w:val="3CD35C14"/>
    <w:rsid w:val="3CD7BFF5"/>
    <w:rsid w:val="3CE490D2"/>
    <w:rsid w:val="3CE5486E"/>
    <w:rsid w:val="3CE57ECD"/>
    <w:rsid w:val="3CE8CEEF"/>
    <w:rsid w:val="3CF03290"/>
    <w:rsid w:val="3CF89616"/>
    <w:rsid w:val="3CFA80AC"/>
    <w:rsid w:val="3D06FCB0"/>
    <w:rsid w:val="3D0983D4"/>
    <w:rsid w:val="3D0B06B9"/>
    <w:rsid w:val="3D22B77B"/>
    <w:rsid w:val="3D2984FA"/>
    <w:rsid w:val="3D2F9E2A"/>
    <w:rsid w:val="3D32D90E"/>
    <w:rsid w:val="3D38BB3F"/>
    <w:rsid w:val="3D397479"/>
    <w:rsid w:val="3D3A337B"/>
    <w:rsid w:val="3D3AD175"/>
    <w:rsid w:val="3D3DE4F1"/>
    <w:rsid w:val="3D45CA35"/>
    <w:rsid w:val="3D4DF5A3"/>
    <w:rsid w:val="3D4F1B0B"/>
    <w:rsid w:val="3D4FCCE3"/>
    <w:rsid w:val="3D50D1BB"/>
    <w:rsid w:val="3D58B679"/>
    <w:rsid w:val="3D68BA62"/>
    <w:rsid w:val="3D6FE023"/>
    <w:rsid w:val="3D70AA88"/>
    <w:rsid w:val="3D8058C0"/>
    <w:rsid w:val="3D89CF23"/>
    <w:rsid w:val="3D8C35C8"/>
    <w:rsid w:val="3D981C05"/>
    <w:rsid w:val="3D9F2E77"/>
    <w:rsid w:val="3DB23D04"/>
    <w:rsid w:val="3DB2C0CE"/>
    <w:rsid w:val="3DB4601C"/>
    <w:rsid w:val="3DC30C8F"/>
    <w:rsid w:val="3DC6BFD3"/>
    <w:rsid w:val="3DD79651"/>
    <w:rsid w:val="3DE58C41"/>
    <w:rsid w:val="3DEBEC89"/>
    <w:rsid w:val="3DF3F270"/>
    <w:rsid w:val="3DF66C44"/>
    <w:rsid w:val="3DFAF588"/>
    <w:rsid w:val="3E0A4191"/>
    <w:rsid w:val="3E0FDDDC"/>
    <w:rsid w:val="3E20D14C"/>
    <w:rsid w:val="3E229935"/>
    <w:rsid w:val="3E238666"/>
    <w:rsid w:val="3E314FF8"/>
    <w:rsid w:val="3E36E273"/>
    <w:rsid w:val="3E37F30C"/>
    <w:rsid w:val="3E3D586C"/>
    <w:rsid w:val="3E429C35"/>
    <w:rsid w:val="3E50CDA4"/>
    <w:rsid w:val="3E50DB5F"/>
    <w:rsid w:val="3E52CCDE"/>
    <w:rsid w:val="3E53031E"/>
    <w:rsid w:val="3E5785AA"/>
    <w:rsid w:val="3E6C3067"/>
    <w:rsid w:val="3E70DF6E"/>
    <w:rsid w:val="3E76391B"/>
    <w:rsid w:val="3E784E74"/>
    <w:rsid w:val="3E787C28"/>
    <w:rsid w:val="3E81BBAD"/>
    <w:rsid w:val="3E843896"/>
    <w:rsid w:val="3E84DDB5"/>
    <w:rsid w:val="3E94461D"/>
    <w:rsid w:val="3E9E481E"/>
    <w:rsid w:val="3EA29889"/>
    <w:rsid w:val="3EA4FB60"/>
    <w:rsid w:val="3EA85D37"/>
    <w:rsid w:val="3EABEF28"/>
    <w:rsid w:val="3EB5A40D"/>
    <w:rsid w:val="3EBAB0EE"/>
    <w:rsid w:val="3EC40BFF"/>
    <w:rsid w:val="3ED47E8F"/>
    <w:rsid w:val="3EE04740"/>
    <w:rsid w:val="3EEBB945"/>
    <w:rsid w:val="3EF43F2F"/>
    <w:rsid w:val="3EF827BC"/>
    <w:rsid w:val="3EFB3181"/>
    <w:rsid w:val="3F0C067D"/>
    <w:rsid w:val="3F15D5C2"/>
    <w:rsid w:val="3F2FE554"/>
    <w:rsid w:val="3F3B8975"/>
    <w:rsid w:val="3F3EC6CF"/>
    <w:rsid w:val="3F40A02F"/>
    <w:rsid w:val="3F43A860"/>
    <w:rsid w:val="3F44618C"/>
    <w:rsid w:val="3F452D9D"/>
    <w:rsid w:val="3F47F10D"/>
    <w:rsid w:val="3F4AA00F"/>
    <w:rsid w:val="3F5E0D58"/>
    <w:rsid w:val="3F66DC21"/>
    <w:rsid w:val="3F67BFA1"/>
    <w:rsid w:val="3F68ECDB"/>
    <w:rsid w:val="3F6DF76C"/>
    <w:rsid w:val="3F73F031"/>
    <w:rsid w:val="3F75CE64"/>
    <w:rsid w:val="3F7689AB"/>
    <w:rsid w:val="3F78A05F"/>
    <w:rsid w:val="3F85D3CE"/>
    <w:rsid w:val="3F86B29F"/>
    <w:rsid w:val="3F8C14CE"/>
    <w:rsid w:val="3F9149D0"/>
    <w:rsid w:val="3F965573"/>
    <w:rsid w:val="3F981D42"/>
    <w:rsid w:val="3F9F4289"/>
    <w:rsid w:val="3FA33CFB"/>
    <w:rsid w:val="3FA6EAD1"/>
    <w:rsid w:val="3FAAC427"/>
    <w:rsid w:val="3FAB1C5E"/>
    <w:rsid w:val="3FAC0F09"/>
    <w:rsid w:val="3FB048AB"/>
    <w:rsid w:val="3FB15A27"/>
    <w:rsid w:val="3FBED360"/>
    <w:rsid w:val="3FBF512D"/>
    <w:rsid w:val="3FC02606"/>
    <w:rsid w:val="3FC2D1D0"/>
    <w:rsid w:val="3FCDF477"/>
    <w:rsid w:val="3FD4EAAA"/>
    <w:rsid w:val="3FD994E9"/>
    <w:rsid w:val="3FE6601B"/>
    <w:rsid w:val="3FEC9BBC"/>
    <w:rsid w:val="3FF80F8F"/>
    <w:rsid w:val="3FFB7BC2"/>
    <w:rsid w:val="40016F80"/>
    <w:rsid w:val="4002A6FD"/>
    <w:rsid w:val="40086779"/>
    <w:rsid w:val="400BEE92"/>
    <w:rsid w:val="4013393C"/>
    <w:rsid w:val="4019F720"/>
    <w:rsid w:val="40212266"/>
    <w:rsid w:val="4026BE13"/>
    <w:rsid w:val="4027C218"/>
    <w:rsid w:val="4029EBF8"/>
    <w:rsid w:val="40369E9C"/>
    <w:rsid w:val="403B5CE2"/>
    <w:rsid w:val="404703AB"/>
    <w:rsid w:val="404AB4B6"/>
    <w:rsid w:val="404EC191"/>
    <w:rsid w:val="404F21CC"/>
    <w:rsid w:val="40565EDD"/>
    <w:rsid w:val="40574326"/>
    <w:rsid w:val="4060E1CF"/>
    <w:rsid w:val="406507B8"/>
    <w:rsid w:val="4068FC98"/>
    <w:rsid w:val="406A2419"/>
    <w:rsid w:val="406DF032"/>
    <w:rsid w:val="4071876C"/>
    <w:rsid w:val="408C7196"/>
    <w:rsid w:val="409012E1"/>
    <w:rsid w:val="40959880"/>
    <w:rsid w:val="40A03AEE"/>
    <w:rsid w:val="40A7510B"/>
    <w:rsid w:val="40BE00D2"/>
    <w:rsid w:val="40BFD11C"/>
    <w:rsid w:val="40C68722"/>
    <w:rsid w:val="40DE6C05"/>
    <w:rsid w:val="40E10774"/>
    <w:rsid w:val="40EBDBBD"/>
    <w:rsid w:val="40EE9D35"/>
    <w:rsid w:val="40F6E3CE"/>
    <w:rsid w:val="41067B53"/>
    <w:rsid w:val="4107BF9C"/>
    <w:rsid w:val="410D33D7"/>
    <w:rsid w:val="410E92DD"/>
    <w:rsid w:val="41127A37"/>
    <w:rsid w:val="41141605"/>
    <w:rsid w:val="412951A9"/>
    <w:rsid w:val="412EB4B9"/>
    <w:rsid w:val="4138DF6D"/>
    <w:rsid w:val="413D84F5"/>
    <w:rsid w:val="414358B4"/>
    <w:rsid w:val="414616E3"/>
    <w:rsid w:val="415A81CA"/>
    <w:rsid w:val="415F11F0"/>
    <w:rsid w:val="415FB27E"/>
    <w:rsid w:val="4165504B"/>
    <w:rsid w:val="4166339E"/>
    <w:rsid w:val="4168A82B"/>
    <w:rsid w:val="41735C03"/>
    <w:rsid w:val="417A0B0B"/>
    <w:rsid w:val="417C3A2C"/>
    <w:rsid w:val="417DF0D6"/>
    <w:rsid w:val="418928B2"/>
    <w:rsid w:val="4194B352"/>
    <w:rsid w:val="419E1474"/>
    <w:rsid w:val="41A54144"/>
    <w:rsid w:val="41A8A919"/>
    <w:rsid w:val="41B8E5C2"/>
    <w:rsid w:val="41BC4CAD"/>
    <w:rsid w:val="41C1A7CB"/>
    <w:rsid w:val="41C5CEF6"/>
    <w:rsid w:val="41C6C391"/>
    <w:rsid w:val="41C7CBD8"/>
    <w:rsid w:val="41CD2F56"/>
    <w:rsid w:val="41D32CDE"/>
    <w:rsid w:val="41D6145E"/>
    <w:rsid w:val="41D92754"/>
    <w:rsid w:val="41DC5A4C"/>
    <w:rsid w:val="41E2D906"/>
    <w:rsid w:val="41E51325"/>
    <w:rsid w:val="41E92173"/>
    <w:rsid w:val="41F46C7A"/>
    <w:rsid w:val="41F71BB7"/>
    <w:rsid w:val="42029472"/>
    <w:rsid w:val="4204A9F3"/>
    <w:rsid w:val="4209CFB0"/>
    <w:rsid w:val="421A70E6"/>
    <w:rsid w:val="421C2164"/>
    <w:rsid w:val="4229FFED"/>
    <w:rsid w:val="4240EC44"/>
    <w:rsid w:val="424FBA42"/>
    <w:rsid w:val="4255CFC9"/>
    <w:rsid w:val="4258444A"/>
    <w:rsid w:val="425B9BDD"/>
    <w:rsid w:val="425CC69F"/>
    <w:rsid w:val="426064B8"/>
    <w:rsid w:val="426839B3"/>
    <w:rsid w:val="426A4B34"/>
    <w:rsid w:val="426A981E"/>
    <w:rsid w:val="4270CECC"/>
    <w:rsid w:val="42881F22"/>
    <w:rsid w:val="4292C905"/>
    <w:rsid w:val="42A80FBC"/>
    <w:rsid w:val="42A81747"/>
    <w:rsid w:val="42AFC1CF"/>
    <w:rsid w:val="42B7ED5E"/>
    <w:rsid w:val="42BB7408"/>
    <w:rsid w:val="42C7A23F"/>
    <w:rsid w:val="42C8786E"/>
    <w:rsid w:val="42DC56F9"/>
    <w:rsid w:val="42FC8E3E"/>
    <w:rsid w:val="42FDFAD4"/>
    <w:rsid w:val="43001FD5"/>
    <w:rsid w:val="4316B0F3"/>
    <w:rsid w:val="43178108"/>
    <w:rsid w:val="431B0F0F"/>
    <w:rsid w:val="431E62D5"/>
    <w:rsid w:val="43236BB6"/>
    <w:rsid w:val="432AE0DA"/>
    <w:rsid w:val="432D48CE"/>
    <w:rsid w:val="432E8543"/>
    <w:rsid w:val="43300C42"/>
    <w:rsid w:val="4335264D"/>
    <w:rsid w:val="433E545C"/>
    <w:rsid w:val="434304F0"/>
    <w:rsid w:val="4347998C"/>
    <w:rsid w:val="434DB187"/>
    <w:rsid w:val="434DD7F9"/>
    <w:rsid w:val="434DE240"/>
    <w:rsid w:val="434F64A6"/>
    <w:rsid w:val="4350DFCA"/>
    <w:rsid w:val="4356833E"/>
    <w:rsid w:val="43593B76"/>
    <w:rsid w:val="435A8082"/>
    <w:rsid w:val="437157CE"/>
    <w:rsid w:val="4375D318"/>
    <w:rsid w:val="437C39FD"/>
    <w:rsid w:val="43847E58"/>
    <w:rsid w:val="438A3330"/>
    <w:rsid w:val="438B8A35"/>
    <w:rsid w:val="43A9F444"/>
    <w:rsid w:val="43AF2F6B"/>
    <w:rsid w:val="43B6F9AA"/>
    <w:rsid w:val="43BBDB8C"/>
    <w:rsid w:val="43CD94E3"/>
    <w:rsid w:val="43CFCAF8"/>
    <w:rsid w:val="43D80214"/>
    <w:rsid w:val="43E914AD"/>
    <w:rsid w:val="43EC0F29"/>
    <w:rsid w:val="44023744"/>
    <w:rsid w:val="44111E8A"/>
    <w:rsid w:val="441C3974"/>
    <w:rsid w:val="441E3827"/>
    <w:rsid w:val="441F3DEC"/>
    <w:rsid w:val="44363F2F"/>
    <w:rsid w:val="443F593D"/>
    <w:rsid w:val="444074A8"/>
    <w:rsid w:val="44411763"/>
    <w:rsid w:val="4441B40B"/>
    <w:rsid w:val="444200FF"/>
    <w:rsid w:val="44593A8C"/>
    <w:rsid w:val="446C1FE1"/>
    <w:rsid w:val="446C85CF"/>
    <w:rsid w:val="446C8657"/>
    <w:rsid w:val="4470E84A"/>
    <w:rsid w:val="44796226"/>
    <w:rsid w:val="447DAE09"/>
    <w:rsid w:val="4481E0B6"/>
    <w:rsid w:val="44877E27"/>
    <w:rsid w:val="4495303B"/>
    <w:rsid w:val="4498D937"/>
    <w:rsid w:val="44AC97FB"/>
    <w:rsid w:val="44AFB157"/>
    <w:rsid w:val="44B6B7B7"/>
    <w:rsid w:val="44B948B4"/>
    <w:rsid w:val="44E2F209"/>
    <w:rsid w:val="44F20951"/>
    <w:rsid w:val="44F33063"/>
    <w:rsid w:val="45162853"/>
    <w:rsid w:val="451A3D11"/>
    <w:rsid w:val="451A6137"/>
    <w:rsid w:val="451DCB55"/>
    <w:rsid w:val="451F4B63"/>
    <w:rsid w:val="45224477"/>
    <w:rsid w:val="4525BA8B"/>
    <w:rsid w:val="45396862"/>
    <w:rsid w:val="453A511B"/>
    <w:rsid w:val="453BC8C5"/>
    <w:rsid w:val="453EBBC6"/>
    <w:rsid w:val="45430365"/>
    <w:rsid w:val="454608E1"/>
    <w:rsid w:val="454C1C4B"/>
    <w:rsid w:val="454E1BAF"/>
    <w:rsid w:val="455B278A"/>
    <w:rsid w:val="456368FC"/>
    <w:rsid w:val="4564E793"/>
    <w:rsid w:val="45671531"/>
    <w:rsid w:val="456AB38C"/>
    <w:rsid w:val="456AFBE1"/>
    <w:rsid w:val="4575D559"/>
    <w:rsid w:val="4576C2EA"/>
    <w:rsid w:val="458D6FA0"/>
    <w:rsid w:val="45914548"/>
    <w:rsid w:val="45A65951"/>
    <w:rsid w:val="45AA01D9"/>
    <w:rsid w:val="45B40E33"/>
    <w:rsid w:val="45B75A76"/>
    <w:rsid w:val="45BC1ADD"/>
    <w:rsid w:val="45BFA080"/>
    <w:rsid w:val="45C5AD9C"/>
    <w:rsid w:val="45D59312"/>
    <w:rsid w:val="45DC3100"/>
    <w:rsid w:val="45DD9B45"/>
    <w:rsid w:val="45E31822"/>
    <w:rsid w:val="45EE1250"/>
    <w:rsid w:val="45F04733"/>
    <w:rsid w:val="45F336BC"/>
    <w:rsid w:val="45FBE4D5"/>
    <w:rsid w:val="4600128C"/>
    <w:rsid w:val="4600EB85"/>
    <w:rsid w:val="46227221"/>
    <w:rsid w:val="4623F068"/>
    <w:rsid w:val="463097A1"/>
    <w:rsid w:val="4635FD47"/>
    <w:rsid w:val="463BA872"/>
    <w:rsid w:val="463EF04D"/>
    <w:rsid w:val="463F035D"/>
    <w:rsid w:val="464210A2"/>
    <w:rsid w:val="4646F006"/>
    <w:rsid w:val="464C3446"/>
    <w:rsid w:val="464E659C"/>
    <w:rsid w:val="4650A729"/>
    <w:rsid w:val="4652B6E8"/>
    <w:rsid w:val="46590E44"/>
    <w:rsid w:val="465945D4"/>
    <w:rsid w:val="46707150"/>
    <w:rsid w:val="467A8B07"/>
    <w:rsid w:val="467D7650"/>
    <w:rsid w:val="46830D71"/>
    <w:rsid w:val="46874784"/>
    <w:rsid w:val="468D7D0E"/>
    <w:rsid w:val="4697F24A"/>
    <w:rsid w:val="469840BE"/>
    <w:rsid w:val="469A582C"/>
    <w:rsid w:val="46A350F5"/>
    <w:rsid w:val="46B1CBF4"/>
    <w:rsid w:val="46B3F9D8"/>
    <w:rsid w:val="46B71B77"/>
    <w:rsid w:val="46BDF7C1"/>
    <w:rsid w:val="46CD83CB"/>
    <w:rsid w:val="46D93DAA"/>
    <w:rsid w:val="46EAC57D"/>
    <w:rsid w:val="46F1F494"/>
    <w:rsid w:val="46F69D2C"/>
    <w:rsid w:val="46F783D4"/>
    <w:rsid w:val="4706F6C7"/>
    <w:rsid w:val="4720F007"/>
    <w:rsid w:val="47261496"/>
    <w:rsid w:val="47298B15"/>
    <w:rsid w:val="472A5A36"/>
    <w:rsid w:val="472F471F"/>
    <w:rsid w:val="472FBA51"/>
    <w:rsid w:val="472FDFAB"/>
    <w:rsid w:val="473279BA"/>
    <w:rsid w:val="47332F6D"/>
    <w:rsid w:val="47399C03"/>
    <w:rsid w:val="473E14CB"/>
    <w:rsid w:val="473FF289"/>
    <w:rsid w:val="4740E9C6"/>
    <w:rsid w:val="4742EDB5"/>
    <w:rsid w:val="4744426E"/>
    <w:rsid w:val="4753645E"/>
    <w:rsid w:val="47594B18"/>
    <w:rsid w:val="476A4252"/>
    <w:rsid w:val="476B6A1F"/>
    <w:rsid w:val="47794298"/>
    <w:rsid w:val="4782C670"/>
    <w:rsid w:val="47842A90"/>
    <w:rsid w:val="4795574E"/>
    <w:rsid w:val="479B7B42"/>
    <w:rsid w:val="479D1819"/>
    <w:rsid w:val="47A18A6D"/>
    <w:rsid w:val="47A3F95C"/>
    <w:rsid w:val="47A6FCEC"/>
    <w:rsid w:val="47B70740"/>
    <w:rsid w:val="47BF8C2A"/>
    <w:rsid w:val="47C8457F"/>
    <w:rsid w:val="47CB34A9"/>
    <w:rsid w:val="47EDBF2F"/>
    <w:rsid w:val="47EF4313"/>
    <w:rsid w:val="47F17404"/>
    <w:rsid w:val="47F3F862"/>
    <w:rsid w:val="47F4B64C"/>
    <w:rsid w:val="47F7254A"/>
    <w:rsid w:val="47F81C33"/>
    <w:rsid w:val="480590DF"/>
    <w:rsid w:val="4805BA1F"/>
    <w:rsid w:val="4810B25D"/>
    <w:rsid w:val="4810D007"/>
    <w:rsid w:val="481469F6"/>
    <w:rsid w:val="4817917E"/>
    <w:rsid w:val="4818E3BE"/>
    <w:rsid w:val="481971E5"/>
    <w:rsid w:val="4823AAFD"/>
    <w:rsid w:val="48296510"/>
    <w:rsid w:val="482E06E6"/>
    <w:rsid w:val="48346E7D"/>
    <w:rsid w:val="483D120A"/>
    <w:rsid w:val="483E2616"/>
    <w:rsid w:val="483F8576"/>
    <w:rsid w:val="48423AE4"/>
    <w:rsid w:val="4860E16C"/>
    <w:rsid w:val="4861A22F"/>
    <w:rsid w:val="4863A79F"/>
    <w:rsid w:val="4865244B"/>
    <w:rsid w:val="486AE85C"/>
    <w:rsid w:val="48750C4C"/>
    <w:rsid w:val="487BBC58"/>
    <w:rsid w:val="488E58C0"/>
    <w:rsid w:val="489670F4"/>
    <w:rsid w:val="48A41760"/>
    <w:rsid w:val="48A88F18"/>
    <w:rsid w:val="48C5CB7D"/>
    <w:rsid w:val="48C67BDF"/>
    <w:rsid w:val="48CD8400"/>
    <w:rsid w:val="48E8608D"/>
    <w:rsid w:val="48E872F6"/>
    <w:rsid w:val="48E9F641"/>
    <w:rsid w:val="48FA0A52"/>
    <w:rsid w:val="48FE9975"/>
    <w:rsid w:val="48FEF1A9"/>
    <w:rsid w:val="4901D19E"/>
    <w:rsid w:val="49044A51"/>
    <w:rsid w:val="4906BA44"/>
    <w:rsid w:val="490CFD44"/>
    <w:rsid w:val="490FAD93"/>
    <w:rsid w:val="4910FDDC"/>
    <w:rsid w:val="4924E836"/>
    <w:rsid w:val="4925AB3E"/>
    <w:rsid w:val="4929ECED"/>
    <w:rsid w:val="493354D2"/>
    <w:rsid w:val="494DC563"/>
    <w:rsid w:val="494EB71A"/>
    <w:rsid w:val="4959E9B2"/>
    <w:rsid w:val="495B686D"/>
    <w:rsid w:val="496B7ACF"/>
    <w:rsid w:val="496C25B5"/>
    <w:rsid w:val="497B3D9C"/>
    <w:rsid w:val="497C624C"/>
    <w:rsid w:val="49866AA8"/>
    <w:rsid w:val="499467B9"/>
    <w:rsid w:val="4998D3B9"/>
    <w:rsid w:val="49A64149"/>
    <w:rsid w:val="49AD683F"/>
    <w:rsid w:val="49C17D87"/>
    <w:rsid w:val="49C806CC"/>
    <w:rsid w:val="49C94A43"/>
    <w:rsid w:val="49CEF76F"/>
    <w:rsid w:val="49DB936A"/>
    <w:rsid w:val="49DEAED5"/>
    <w:rsid w:val="49E18F64"/>
    <w:rsid w:val="49E2BDED"/>
    <w:rsid w:val="49EE6B8D"/>
    <w:rsid w:val="49EF1B5E"/>
    <w:rsid w:val="49FEF016"/>
    <w:rsid w:val="4A02E6E4"/>
    <w:rsid w:val="4A06E6DD"/>
    <w:rsid w:val="4A0E8016"/>
    <w:rsid w:val="4A19FA3F"/>
    <w:rsid w:val="4A2183FE"/>
    <w:rsid w:val="4A2A7CCA"/>
    <w:rsid w:val="4A374355"/>
    <w:rsid w:val="4A384C62"/>
    <w:rsid w:val="4A3A6663"/>
    <w:rsid w:val="4A40AA2C"/>
    <w:rsid w:val="4A480F27"/>
    <w:rsid w:val="4A533592"/>
    <w:rsid w:val="4A5A9B70"/>
    <w:rsid w:val="4A682939"/>
    <w:rsid w:val="4A6911C0"/>
    <w:rsid w:val="4A77A723"/>
    <w:rsid w:val="4A7831E7"/>
    <w:rsid w:val="4A7FA205"/>
    <w:rsid w:val="4A804FE5"/>
    <w:rsid w:val="4A809935"/>
    <w:rsid w:val="4A86B0E7"/>
    <w:rsid w:val="4A9348DF"/>
    <w:rsid w:val="4A977443"/>
    <w:rsid w:val="4A97E979"/>
    <w:rsid w:val="4A984A86"/>
    <w:rsid w:val="4AB7788E"/>
    <w:rsid w:val="4AC1C1A4"/>
    <w:rsid w:val="4ACE9F54"/>
    <w:rsid w:val="4AD61CA2"/>
    <w:rsid w:val="4AD8A860"/>
    <w:rsid w:val="4B15EB16"/>
    <w:rsid w:val="4B19EE41"/>
    <w:rsid w:val="4B1C81A6"/>
    <w:rsid w:val="4B1CB1FB"/>
    <w:rsid w:val="4B227752"/>
    <w:rsid w:val="4B2318D4"/>
    <w:rsid w:val="4B25E22A"/>
    <w:rsid w:val="4B27748E"/>
    <w:rsid w:val="4B2B47D8"/>
    <w:rsid w:val="4B2B6283"/>
    <w:rsid w:val="4B30AA81"/>
    <w:rsid w:val="4B312E2F"/>
    <w:rsid w:val="4B3196F7"/>
    <w:rsid w:val="4B34F00C"/>
    <w:rsid w:val="4B35D4E7"/>
    <w:rsid w:val="4B36722B"/>
    <w:rsid w:val="4B39974B"/>
    <w:rsid w:val="4B488AC5"/>
    <w:rsid w:val="4B4C3456"/>
    <w:rsid w:val="4B4FE441"/>
    <w:rsid w:val="4B50E2BD"/>
    <w:rsid w:val="4B594F2F"/>
    <w:rsid w:val="4B59A171"/>
    <w:rsid w:val="4B5B65B0"/>
    <w:rsid w:val="4B80556A"/>
    <w:rsid w:val="4B87213F"/>
    <w:rsid w:val="4B99A909"/>
    <w:rsid w:val="4B9CA245"/>
    <w:rsid w:val="4B9E4314"/>
    <w:rsid w:val="4BA6E38F"/>
    <w:rsid w:val="4BA77831"/>
    <w:rsid w:val="4BB1016E"/>
    <w:rsid w:val="4BB3F2E6"/>
    <w:rsid w:val="4BB61509"/>
    <w:rsid w:val="4BBC38EF"/>
    <w:rsid w:val="4BBE627D"/>
    <w:rsid w:val="4BC9E0A6"/>
    <w:rsid w:val="4BC9F168"/>
    <w:rsid w:val="4BCBA653"/>
    <w:rsid w:val="4BCC384E"/>
    <w:rsid w:val="4BE5CE13"/>
    <w:rsid w:val="4BF1DFBE"/>
    <w:rsid w:val="4BFDDDD1"/>
    <w:rsid w:val="4BFE19BC"/>
    <w:rsid w:val="4C0C63F8"/>
    <w:rsid w:val="4C140577"/>
    <w:rsid w:val="4C155B5C"/>
    <w:rsid w:val="4C1DD66E"/>
    <w:rsid w:val="4C21A64F"/>
    <w:rsid w:val="4C2775C7"/>
    <w:rsid w:val="4C2A2E4E"/>
    <w:rsid w:val="4C2E4080"/>
    <w:rsid w:val="4C36F86F"/>
    <w:rsid w:val="4C387889"/>
    <w:rsid w:val="4C39A5EE"/>
    <w:rsid w:val="4C3B5A24"/>
    <w:rsid w:val="4C3F12BA"/>
    <w:rsid w:val="4C3FABBA"/>
    <w:rsid w:val="4C42C117"/>
    <w:rsid w:val="4C4C6F25"/>
    <w:rsid w:val="4C4D4E12"/>
    <w:rsid w:val="4C519EC3"/>
    <w:rsid w:val="4C597FAA"/>
    <w:rsid w:val="4C5F756B"/>
    <w:rsid w:val="4C628C1E"/>
    <w:rsid w:val="4C9AAB3E"/>
    <w:rsid w:val="4C9C89D1"/>
    <w:rsid w:val="4C9FB3D9"/>
    <w:rsid w:val="4CA5A053"/>
    <w:rsid w:val="4CA774BD"/>
    <w:rsid w:val="4CAA0B6F"/>
    <w:rsid w:val="4CAD28AE"/>
    <w:rsid w:val="4CD2C3D9"/>
    <w:rsid w:val="4CF1D932"/>
    <w:rsid w:val="4D0ABDF9"/>
    <w:rsid w:val="4D0CE204"/>
    <w:rsid w:val="4D1CD2F5"/>
    <w:rsid w:val="4D1D25A6"/>
    <w:rsid w:val="4D21BF6E"/>
    <w:rsid w:val="4D2BCB15"/>
    <w:rsid w:val="4D3699FE"/>
    <w:rsid w:val="4D3B7FF5"/>
    <w:rsid w:val="4D3F8962"/>
    <w:rsid w:val="4D42BDA2"/>
    <w:rsid w:val="4D47FE18"/>
    <w:rsid w:val="4D617789"/>
    <w:rsid w:val="4D64E9FD"/>
    <w:rsid w:val="4D6AB124"/>
    <w:rsid w:val="4D6D8467"/>
    <w:rsid w:val="4D71EA27"/>
    <w:rsid w:val="4D78904C"/>
    <w:rsid w:val="4D7E8160"/>
    <w:rsid w:val="4D85DF86"/>
    <w:rsid w:val="4D866CCA"/>
    <w:rsid w:val="4DA42ABD"/>
    <w:rsid w:val="4DB4A09E"/>
    <w:rsid w:val="4DB80D68"/>
    <w:rsid w:val="4DBCB301"/>
    <w:rsid w:val="4DBDCEDD"/>
    <w:rsid w:val="4DBE63A5"/>
    <w:rsid w:val="4DC34550"/>
    <w:rsid w:val="4DC66035"/>
    <w:rsid w:val="4DCA0296"/>
    <w:rsid w:val="4DD4191A"/>
    <w:rsid w:val="4DD60A84"/>
    <w:rsid w:val="4DDADC24"/>
    <w:rsid w:val="4DDE051B"/>
    <w:rsid w:val="4DF0E5D6"/>
    <w:rsid w:val="4DFA9CD5"/>
    <w:rsid w:val="4E024AAE"/>
    <w:rsid w:val="4E05E18D"/>
    <w:rsid w:val="4E0A5FBB"/>
    <w:rsid w:val="4E0D7947"/>
    <w:rsid w:val="4E13CA20"/>
    <w:rsid w:val="4E143497"/>
    <w:rsid w:val="4E15A2E1"/>
    <w:rsid w:val="4E17A88C"/>
    <w:rsid w:val="4E36E2A0"/>
    <w:rsid w:val="4E4BA623"/>
    <w:rsid w:val="4E4D891C"/>
    <w:rsid w:val="4E4F2FA3"/>
    <w:rsid w:val="4E5256C8"/>
    <w:rsid w:val="4E563968"/>
    <w:rsid w:val="4E58BA3F"/>
    <w:rsid w:val="4E62A00F"/>
    <w:rsid w:val="4E6A65B5"/>
    <w:rsid w:val="4E70424B"/>
    <w:rsid w:val="4E80EAED"/>
    <w:rsid w:val="4E895400"/>
    <w:rsid w:val="4E8C941E"/>
    <w:rsid w:val="4E910B99"/>
    <w:rsid w:val="4E9384A4"/>
    <w:rsid w:val="4E983757"/>
    <w:rsid w:val="4E9CD109"/>
    <w:rsid w:val="4EA270B3"/>
    <w:rsid w:val="4EA304EF"/>
    <w:rsid w:val="4EB6A478"/>
    <w:rsid w:val="4ED349EA"/>
    <w:rsid w:val="4EDC66F9"/>
    <w:rsid w:val="4EE5E81E"/>
    <w:rsid w:val="4EE62B3A"/>
    <w:rsid w:val="4EE673CC"/>
    <w:rsid w:val="4EE87E35"/>
    <w:rsid w:val="4EED81EE"/>
    <w:rsid w:val="4EED98BD"/>
    <w:rsid w:val="4EF0CB4D"/>
    <w:rsid w:val="4EF99A21"/>
    <w:rsid w:val="4EFC9F1C"/>
    <w:rsid w:val="4F1695DA"/>
    <w:rsid w:val="4F1E4B17"/>
    <w:rsid w:val="4F2425FD"/>
    <w:rsid w:val="4F278756"/>
    <w:rsid w:val="4F2ACFBF"/>
    <w:rsid w:val="4F30E1EB"/>
    <w:rsid w:val="4F3888C1"/>
    <w:rsid w:val="4F3C668E"/>
    <w:rsid w:val="4F4A4FD7"/>
    <w:rsid w:val="4F4D920E"/>
    <w:rsid w:val="4F51B9C7"/>
    <w:rsid w:val="4F54971B"/>
    <w:rsid w:val="4F5C5F10"/>
    <w:rsid w:val="4F692447"/>
    <w:rsid w:val="4F73C783"/>
    <w:rsid w:val="4F7A946D"/>
    <w:rsid w:val="4F7C4BB8"/>
    <w:rsid w:val="4F7DB1CB"/>
    <w:rsid w:val="4F7EA7D6"/>
    <w:rsid w:val="4F9F64DB"/>
    <w:rsid w:val="4FA11352"/>
    <w:rsid w:val="4FA5E84E"/>
    <w:rsid w:val="4FA87387"/>
    <w:rsid w:val="4FA8F822"/>
    <w:rsid w:val="4FAB85B3"/>
    <w:rsid w:val="4FB5023F"/>
    <w:rsid w:val="4FB5025E"/>
    <w:rsid w:val="4FB99F37"/>
    <w:rsid w:val="4FBAB657"/>
    <w:rsid w:val="4FBE9BAF"/>
    <w:rsid w:val="4FC07DD0"/>
    <w:rsid w:val="4FC83017"/>
    <w:rsid w:val="4FC870B7"/>
    <w:rsid w:val="4FD7E878"/>
    <w:rsid w:val="4FE0A19D"/>
    <w:rsid w:val="4FE5313F"/>
    <w:rsid w:val="4FEB5EBF"/>
    <w:rsid w:val="4FEE490E"/>
    <w:rsid w:val="4FEF3446"/>
    <w:rsid w:val="4FEF368B"/>
    <w:rsid w:val="50005C43"/>
    <w:rsid w:val="50067F7D"/>
    <w:rsid w:val="5009BDA5"/>
    <w:rsid w:val="5009D878"/>
    <w:rsid w:val="50198CF7"/>
    <w:rsid w:val="50263618"/>
    <w:rsid w:val="502AD3F5"/>
    <w:rsid w:val="503D349A"/>
    <w:rsid w:val="50461080"/>
    <w:rsid w:val="5048FAAB"/>
    <w:rsid w:val="5049CABB"/>
    <w:rsid w:val="504DAF1F"/>
    <w:rsid w:val="5051B04F"/>
    <w:rsid w:val="5051B975"/>
    <w:rsid w:val="50521561"/>
    <w:rsid w:val="50655A29"/>
    <w:rsid w:val="506722F7"/>
    <w:rsid w:val="507CB09A"/>
    <w:rsid w:val="507E8645"/>
    <w:rsid w:val="508166AD"/>
    <w:rsid w:val="508686D8"/>
    <w:rsid w:val="508708FB"/>
    <w:rsid w:val="5087AED4"/>
    <w:rsid w:val="50918507"/>
    <w:rsid w:val="5091CD85"/>
    <w:rsid w:val="5092F8C2"/>
    <w:rsid w:val="50A4653E"/>
    <w:rsid w:val="50A497EC"/>
    <w:rsid w:val="50A4D622"/>
    <w:rsid w:val="50B17EF3"/>
    <w:rsid w:val="50B36B21"/>
    <w:rsid w:val="50B46772"/>
    <w:rsid w:val="50B4D551"/>
    <w:rsid w:val="50B62E88"/>
    <w:rsid w:val="50C8BB51"/>
    <w:rsid w:val="50CB2234"/>
    <w:rsid w:val="50D1C967"/>
    <w:rsid w:val="50D21A8B"/>
    <w:rsid w:val="50E980CF"/>
    <w:rsid w:val="50ECA5C7"/>
    <w:rsid w:val="50F06644"/>
    <w:rsid w:val="50F9C731"/>
    <w:rsid w:val="5109D4B6"/>
    <w:rsid w:val="5114C4D7"/>
    <w:rsid w:val="5114D561"/>
    <w:rsid w:val="511613E3"/>
    <w:rsid w:val="511BC75F"/>
    <w:rsid w:val="511DA0AA"/>
    <w:rsid w:val="511FAB91"/>
    <w:rsid w:val="512762E2"/>
    <w:rsid w:val="51362F50"/>
    <w:rsid w:val="5138688D"/>
    <w:rsid w:val="513984FB"/>
    <w:rsid w:val="5152B58F"/>
    <w:rsid w:val="51547C23"/>
    <w:rsid w:val="51562487"/>
    <w:rsid w:val="515D8CCE"/>
    <w:rsid w:val="5162E7E6"/>
    <w:rsid w:val="516D464F"/>
    <w:rsid w:val="5173D2AD"/>
    <w:rsid w:val="5186BEC5"/>
    <w:rsid w:val="51898C80"/>
    <w:rsid w:val="518EB85F"/>
    <w:rsid w:val="519292BD"/>
    <w:rsid w:val="51990415"/>
    <w:rsid w:val="519C1849"/>
    <w:rsid w:val="51A1A04A"/>
    <w:rsid w:val="51A4223B"/>
    <w:rsid w:val="51A8C5BD"/>
    <w:rsid w:val="51AD4D83"/>
    <w:rsid w:val="51AFDD0A"/>
    <w:rsid w:val="51C3372B"/>
    <w:rsid w:val="51C6AAB4"/>
    <w:rsid w:val="51CAEF03"/>
    <w:rsid w:val="51D39102"/>
    <w:rsid w:val="51DDF5EE"/>
    <w:rsid w:val="51E8F26C"/>
    <w:rsid w:val="51EB95F1"/>
    <w:rsid w:val="51F5069B"/>
    <w:rsid w:val="51FB41BD"/>
    <w:rsid w:val="51FBE153"/>
    <w:rsid w:val="5207B7C5"/>
    <w:rsid w:val="520C8896"/>
    <w:rsid w:val="520EA6AA"/>
    <w:rsid w:val="5211942D"/>
    <w:rsid w:val="5216BBF9"/>
    <w:rsid w:val="52290091"/>
    <w:rsid w:val="522A15F4"/>
    <w:rsid w:val="523447B7"/>
    <w:rsid w:val="524ADC50"/>
    <w:rsid w:val="524B109A"/>
    <w:rsid w:val="524EDFB6"/>
    <w:rsid w:val="5251C2F4"/>
    <w:rsid w:val="5257BE1D"/>
    <w:rsid w:val="5259D44E"/>
    <w:rsid w:val="525A9F90"/>
    <w:rsid w:val="525B4C47"/>
    <w:rsid w:val="525DB0F8"/>
    <w:rsid w:val="526DE217"/>
    <w:rsid w:val="52731811"/>
    <w:rsid w:val="52794271"/>
    <w:rsid w:val="5279B38F"/>
    <w:rsid w:val="527EBB3B"/>
    <w:rsid w:val="52800CA0"/>
    <w:rsid w:val="52809EA5"/>
    <w:rsid w:val="528E65BB"/>
    <w:rsid w:val="5295897B"/>
    <w:rsid w:val="5299070A"/>
    <w:rsid w:val="529A133D"/>
    <w:rsid w:val="52A6A2EF"/>
    <w:rsid w:val="52A72452"/>
    <w:rsid w:val="52A7F2DF"/>
    <w:rsid w:val="52A835AC"/>
    <w:rsid w:val="52C32C46"/>
    <w:rsid w:val="52C9DE68"/>
    <w:rsid w:val="52E78FBA"/>
    <w:rsid w:val="52F3E350"/>
    <w:rsid w:val="52FE7296"/>
    <w:rsid w:val="52FFB3CB"/>
    <w:rsid w:val="530160C3"/>
    <w:rsid w:val="530E2296"/>
    <w:rsid w:val="53104E67"/>
    <w:rsid w:val="53151F79"/>
    <w:rsid w:val="5318EF54"/>
    <w:rsid w:val="5319BB5A"/>
    <w:rsid w:val="531B5952"/>
    <w:rsid w:val="53235B80"/>
    <w:rsid w:val="53273E40"/>
    <w:rsid w:val="5346984B"/>
    <w:rsid w:val="5348C3D9"/>
    <w:rsid w:val="534EBBD6"/>
    <w:rsid w:val="535DE866"/>
    <w:rsid w:val="535EB268"/>
    <w:rsid w:val="53670D08"/>
    <w:rsid w:val="536B4FA8"/>
    <w:rsid w:val="536EF216"/>
    <w:rsid w:val="5373782F"/>
    <w:rsid w:val="537419D7"/>
    <w:rsid w:val="538AEDB9"/>
    <w:rsid w:val="53966A9D"/>
    <w:rsid w:val="53990FEF"/>
    <w:rsid w:val="539BE57A"/>
    <w:rsid w:val="539F6D79"/>
    <w:rsid w:val="53A82BC0"/>
    <w:rsid w:val="53AFFB79"/>
    <w:rsid w:val="53B75F20"/>
    <w:rsid w:val="53BDE9AC"/>
    <w:rsid w:val="53C572DC"/>
    <w:rsid w:val="53CA9FC6"/>
    <w:rsid w:val="53CBA4FA"/>
    <w:rsid w:val="53D19C9D"/>
    <w:rsid w:val="53D876C2"/>
    <w:rsid w:val="53D9AE1A"/>
    <w:rsid w:val="53DEF753"/>
    <w:rsid w:val="53EB150A"/>
    <w:rsid w:val="53EB2276"/>
    <w:rsid w:val="53F1E33B"/>
    <w:rsid w:val="53F8DB63"/>
    <w:rsid w:val="53FC41F3"/>
    <w:rsid w:val="54035A6B"/>
    <w:rsid w:val="5405488C"/>
    <w:rsid w:val="54057DA2"/>
    <w:rsid w:val="54108877"/>
    <w:rsid w:val="541D2998"/>
    <w:rsid w:val="542AB4D6"/>
    <w:rsid w:val="542FEABA"/>
    <w:rsid w:val="54407308"/>
    <w:rsid w:val="54670E66"/>
    <w:rsid w:val="546D1733"/>
    <w:rsid w:val="546D6D85"/>
    <w:rsid w:val="5478E363"/>
    <w:rsid w:val="547A383A"/>
    <w:rsid w:val="54821FDE"/>
    <w:rsid w:val="5485E5D5"/>
    <w:rsid w:val="54888DA5"/>
    <w:rsid w:val="548A3027"/>
    <w:rsid w:val="549B57D4"/>
    <w:rsid w:val="54A664B3"/>
    <w:rsid w:val="54B2D68A"/>
    <w:rsid w:val="54B40991"/>
    <w:rsid w:val="54B6F8BA"/>
    <w:rsid w:val="54B70C01"/>
    <w:rsid w:val="54C482F5"/>
    <w:rsid w:val="54C655AC"/>
    <w:rsid w:val="54C96350"/>
    <w:rsid w:val="54CE5058"/>
    <w:rsid w:val="54CE912D"/>
    <w:rsid w:val="54D29C42"/>
    <w:rsid w:val="54DEC2BE"/>
    <w:rsid w:val="54E90446"/>
    <w:rsid w:val="54E92223"/>
    <w:rsid w:val="54F7B906"/>
    <w:rsid w:val="54FC5FC6"/>
    <w:rsid w:val="54FFA64F"/>
    <w:rsid w:val="5502F755"/>
    <w:rsid w:val="55077FE2"/>
    <w:rsid w:val="5509BB9C"/>
    <w:rsid w:val="5513B55D"/>
    <w:rsid w:val="5519945E"/>
    <w:rsid w:val="5524E194"/>
    <w:rsid w:val="552A2086"/>
    <w:rsid w:val="552DFCA0"/>
    <w:rsid w:val="552FB517"/>
    <w:rsid w:val="5530CCE9"/>
    <w:rsid w:val="553757EC"/>
    <w:rsid w:val="553B4BCD"/>
    <w:rsid w:val="553C4A22"/>
    <w:rsid w:val="55431070"/>
    <w:rsid w:val="554839FC"/>
    <w:rsid w:val="5552E978"/>
    <w:rsid w:val="5557BDA3"/>
    <w:rsid w:val="555BDC79"/>
    <w:rsid w:val="556376E0"/>
    <w:rsid w:val="5563AE01"/>
    <w:rsid w:val="5566D71E"/>
    <w:rsid w:val="55793919"/>
    <w:rsid w:val="55795496"/>
    <w:rsid w:val="557A7E14"/>
    <w:rsid w:val="557E252B"/>
    <w:rsid w:val="558152A9"/>
    <w:rsid w:val="5595885F"/>
    <w:rsid w:val="559D70D4"/>
    <w:rsid w:val="55A38065"/>
    <w:rsid w:val="55A89C2F"/>
    <w:rsid w:val="55AAE3F4"/>
    <w:rsid w:val="55B26ABD"/>
    <w:rsid w:val="55BB8C16"/>
    <w:rsid w:val="55C6ED55"/>
    <w:rsid w:val="55C978BC"/>
    <w:rsid w:val="55CC305A"/>
    <w:rsid w:val="55D72DC9"/>
    <w:rsid w:val="55DCC5B6"/>
    <w:rsid w:val="55E37627"/>
    <w:rsid w:val="55E8998E"/>
    <w:rsid w:val="55F13F42"/>
    <w:rsid w:val="55F1B850"/>
    <w:rsid w:val="55FEABC3"/>
    <w:rsid w:val="5613E180"/>
    <w:rsid w:val="5618838B"/>
    <w:rsid w:val="5628FB5C"/>
    <w:rsid w:val="5634737B"/>
    <w:rsid w:val="563731A8"/>
    <w:rsid w:val="563A36CB"/>
    <w:rsid w:val="563C6A17"/>
    <w:rsid w:val="56412732"/>
    <w:rsid w:val="56442396"/>
    <w:rsid w:val="5644C968"/>
    <w:rsid w:val="56457FC0"/>
    <w:rsid w:val="564BADD8"/>
    <w:rsid w:val="565D7040"/>
    <w:rsid w:val="565E0E17"/>
    <w:rsid w:val="5663BDC7"/>
    <w:rsid w:val="566670BD"/>
    <w:rsid w:val="5666B798"/>
    <w:rsid w:val="566AFD56"/>
    <w:rsid w:val="566BFE46"/>
    <w:rsid w:val="566CB670"/>
    <w:rsid w:val="566EEC01"/>
    <w:rsid w:val="56703BEB"/>
    <w:rsid w:val="56713C85"/>
    <w:rsid w:val="5675A04F"/>
    <w:rsid w:val="567B14DD"/>
    <w:rsid w:val="567BD2EA"/>
    <w:rsid w:val="567C0983"/>
    <w:rsid w:val="56851462"/>
    <w:rsid w:val="5686ECE8"/>
    <w:rsid w:val="56880737"/>
    <w:rsid w:val="568F1CDA"/>
    <w:rsid w:val="56919583"/>
    <w:rsid w:val="56992A68"/>
    <w:rsid w:val="569DF659"/>
    <w:rsid w:val="569E643C"/>
    <w:rsid w:val="56A227C0"/>
    <w:rsid w:val="56A92E31"/>
    <w:rsid w:val="56AC6710"/>
    <w:rsid w:val="56B35654"/>
    <w:rsid w:val="56B88B34"/>
    <w:rsid w:val="56BC56B8"/>
    <w:rsid w:val="56CA1B17"/>
    <w:rsid w:val="56CDC946"/>
    <w:rsid w:val="56D9C5C8"/>
    <w:rsid w:val="56E0352B"/>
    <w:rsid w:val="56E58CD0"/>
    <w:rsid w:val="56ECA577"/>
    <w:rsid w:val="56FF53F6"/>
    <w:rsid w:val="570361EA"/>
    <w:rsid w:val="57081B7B"/>
    <w:rsid w:val="57161120"/>
    <w:rsid w:val="571A6657"/>
    <w:rsid w:val="571C17B9"/>
    <w:rsid w:val="571C58D8"/>
    <w:rsid w:val="571DB988"/>
    <w:rsid w:val="57281B7C"/>
    <w:rsid w:val="57340153"/>
    <w:rsid w:val="574F81CD"/>
    <w:rsid w:val="576742AE"/>
    <w:rsid w:val="576D930C"/>
    <w:rsid w:val="5773B2A3"/>
    <w:rsid w:val="5779296F"/>
    <w:rsid w:val="5781377B"/>
    <w:rsid w:val="5781382E"/>
    <w:rsid w:val="578748AF"/>
    <w:rsid w:val="57915B86"/>
    <w:rsid w:val="5796BCA2"/>
    <w:rsid w:val="57A42E8C"/>
    <w:rsid w:val="57A800D7"/>
    <w:rsid w:val="57A9AF1B"/>
    <w:rsid w:val="57AA9807"/>
    <w:rsid w:val="57AC7890"/>
    <w:rsid w:val="57ACE89A"/>
    <w:rsid w:val="57AD268B"/>
    <w:rsid w:val="57C08B14"/>
    <w:rsid w:val="57CDDB30"/>
    <w:rsid w:val="57D355F3"/>
    <w:rsid w:val="57DA5E72"/>
    <w:rsid w:val="57DD3162"/>
    <w:rsid w:val="57E03096"/>
    <w:rsid w:val="57E24AFA"/>
    <w:rsid w:val="57E85FEC"/>
    <w:rsid w:val="57EBB285"/>
    <w:rsid w:val="57F986C5"/>
    <w:rsid w:val="58015392"/>
    <w:rsid w:val="5803BE89"/>
    <w:rsid w:val="58092BA0"/>
    <w:rsid w:val="580CFB02"/>
    <w:rsid w:val="5810311C"/>
    <w:rsid w:val="581658DD"/>
    <w:rsid w:val="5818D9EB"/>
    <w:rsid w:val="581AAE42"/>
    <w:rsid w:val="581B0443"/>
    <w:rsid w:val="58203037"/>
    <w:rsid w:val="58267559"/>
    <w:rsid w:val="5830DFA5"/>
    <w:rsid w:val="583ACE0F"/>
    <w:rsid w:val="583E9F7B"/>
    <w:rsid w:val="58469774"/>
    <w:rsid w:val="5848D2F2"/>
    <w:rsid w:val="5858D7EF"/>
    <w:rsid w:val="58645EBE"/>
    <w:rsid w:val="58668456"/>
    <w:rsid w:val="58688107"/>
    <w:rsid w:val="5872B2DC"/>
    <w:rsid w:val="587859F7"/>
    <w:rsid w:val="58793E43"/>
    <w:rsid w:val="5879F8B9"/>
    <w:rsid w:val="587D45A5"/>
    <w:rsid w:val="58841FEE"/>
    <w:rsid w:val="58869B0F"/>
    <w:rsid w:val="58873FB2"/>
    <w:rsid w:val="5890356A"/>
    <w:rsid w:val="58A31D38"/>
    <w:rsid w:val="58B0CD48"/>
    <w:rsid w:val="58B38323"/>
    <w:rsid w:val="58B70CCE"/>
    <w:rsid w:val="58BD4C1A"/>
    <w:rsid w:val="58BE4FBC"/>
    <w:rsid w:val="58C1E601"/>
    <w:rsid w:val="58C5968B"/>
    <w:rsid w:val="58D2EF21"/>
    <w:rsid w:val="58D54715"/>
    <w:rsid w:val="58D7AED3"/>
    <w:rsid w:val="58DE459D"/>
    <w:rsid w:val="58E59AC9"/>
    <w:rsid w:val="58EEFD02"/>
    <w:rsid w:val="58F20C1C"/>
    <w:rsid w:val="58FB0762"/>
    <w:rsid w:val="5907DF5C"/>
    <w:rsid w:val="590B045D"/>
    <w:rsid w:val="59137314"/>
    <w:rsid w:val="5913D1ED"/>
    <w:rsid w:val="592047FB"/>
    <w:rsid w:val="5935CF33"/>
    <w:rsid w:val="593600C9"/>
    <w:rsid w:val="593950AD"/>
    <w:rsid w:val="593AF9F0"/>
    <w:rsid w:val="593D5D83"/>
    <w:rsid w:val="5940ACAA"/>
    <w:rsid w:val="5943A0C4"/>
    <w:rsid w:val="594558DA"/>
    <w:rsid w:val="594C6337"/>
    <w:rsid w:val="595750D3"/>
    <w:rsid w:val="59617D34"/>
    <w:rsid w:val="596DCB16"/>
    <w:rsid w:val="596F25EF"/>
    <w:rsid w:val="596F5E47"/>
    <w:rsid w:val="596F7D46"/>
    <w:rsid w:val="59744F92"/>
    <w:rsid w:val="59809752"/>
    <w:rsid w:val="59A72A64"/>
    <w:rsid w:val="59A932AE"/>
    <w:rsid w:val="59AC23A5"/>
    <w:rsid w:val="59AE24A9"/>
    <w:rsid w:val="59B1955A"/>
    <w:rsid w:val="59B243CA"/>
    <w:rsid w:val="59B9FF14"/>
    <w:rsid w:val="59C50026"/>
    <w:rsid w:val="59C677E6"/>
    <w:rsid w:val="59C86C22"/>
    <w:rsid w:val="59CA98A4"/>
    <w:rsid w:val="59CE3D44"/>
    <w:rsid w:val="59D3D023"/>
    <w:rsid w:val="59D6C931"/>
    <w:rsid w:val="59D7D166"/>
    <w:rsid w:val="59D9EEF3"/>
    <w:rsid w:val="59E71529"/>
    <w:rsid w:val="59E8FA31"/>
    <w:rsid w:val="59EB422D"/>
    <w:rsid w:val="59EBCAA7"/>
    <w:rsid w:val="59F3DAE1"/>
    <w:rsid w:val="5A086806"/>
    <w:rsid w:val="5A0AB4EB"/>
    <w:rsid w:val="5A1639DF"/>
    <w:rsid w:val="5A1F972E"/>
    <w:rsid w:val="5A26BFEE"/>
    <w:rsid w:val="5A2DF99B"/>
    <w:rsid w:val="5A3F6B52"/>
    <w:rsid w:val="5A451FF2"/>
    <w:rsid w:val="5A477316"/>
    <w:rsid w:val="5A4CF9FE"/>
    <w:rsid w:val="5A590695"/>
    <w:rsid w:val="5A5D6EF9"/>
    <w:rsid w:val="5A61AB3D"/>
    <w:rsid w:val="5A62F660"/>
    <w:rsid w:val="5A6452E9"/>
    <w:rsid w:val="5A67DE4E"/>
    <w:rsid w:val="5A67E525"/>
    <w:rsid w:val="5A6EBB82"/>
    <w:rsid w:val="5A708063"/>
    <w:rsid w:val="5A70B726"/>
    <w:rsid w:val="5A7D6E96"/>
    <w:rsid w:val="5A7F4BF0"/>
    <w:rsid w:val="5A7F921F"/>
    <w:rsid w:val="5A834C8A"/>
    <w:rsid w:val="5A85BDDE"/>
    <w:rsid w:val="5A998826"/>
    <w:rsid w:val="5A9B0368"/>
    <w:rsid w:val="5A9CBE02"/>
    <w:rsid w:val="5AB1027B"/>
    <w:rsid w:val="5AB3566E"/>
    <w:rsid w:val="5AC4F5DC"/>
    <w:rsid w:val="5AD140FB"/>
    <w:rsid w:val="5AD57BE4"/>
    <w:rsid w:val="5AD8297E"/>
    <w:rsid w:val="5ADB0DDB"/>
    <w:rsid w:val="5AE2E2E6"/>
    <w:rsid w:val="5AE3EF15"/>
    <w:rsid w:val="5AE89534"/>
    <w:rsid w:val="5AEDCE16"/>
    <w:rsid w:val="5AF629E0"/>
    <w:rsid w:val="5AF639CA"/>
    <w:rsid w:val="5AF6E570"/>
    <w:rsid w:val="5AF7F173"/>
    <w:rsid w:val="5AFB1395"/>
    <w:rsid w:val="5B0AD1B8"/>
    <w:rsid w:val="5B0B4FDB"/>
    <w:rsid w:val="5B11AE98"/>
    <w:rsid w:val="5B124198"/>
    <w:rsid w:val="5B305868"/>
    <w:rsid w:val="5B322E4F"/>
    <w:rsid w:val="5B39A2CD"/>
    <w:rsid w:val="5B3B417E"/>
    <w:rsid w:val="5B423D33"/>
    <w:rsid w:val="5B463722"/>
    <w:rsid w:val="5B4BDE2B"/>
    <w:rsid w:val="5B520878"/>
    <w:rsid w:val="5B531D4C"/>
    <w:rsid w:val="5B59228F"/>
    <w:rsid w:val="5B5D0503"/>
    <w:rsid w:val="5B66D0C7"/>
    <w:rsid w:val="5B6BBB7D"/>
    <w:rsid w:val="5B6C8B32"/>
    <w:rsid w:val="5B747D3B"/>
    <w:rsid w:val="5B7E31ED"/>
    <w:rsid w:val="5B803CEC"/>
    <w:rsid w:val="5B809374"/>
    <w:rsid w:val="5B871C58"/>
    <w:rsid w:val="5B911FEB"/>
    <w:rsid w:val="5B982301"/>
    <w:rsid w:val="5B99B816"/>
    <w:rsid w:val="5BA3C13F"/>
    <w:rsid w:val="5BAA1A75"/>
    <w:rsid w:val="5BB56856"/>
    <w:rsid w:val="5BB964D5"/>
    <w:rsid w:val="5BBD9B01"/>
    <w:rsid w:val="5BBEEBDA"/>
    <w:rsid w:val="5BC3C3E0"/>
    <w:rsid w:val="5BC9FC9B"/>
    <w:rsid w:val="5BCD5806"/>
    <w:rsid w:val="5BEC10D0"/>
    <w:rsid w:val="5BF9012A"/>
    <w:rsid w:val="5BF92C88"/>
    <w:rsid w:val="5C00B361"/>
    <w:rsid w:val="5C068719"/>
    <w:rsid w:val="5C0C12B3"/>
    <w:rsid w:val="5C100E99"/>
    <w:rsid w:val="5C1E51C5"/>
    <w:rsid w:val="5C2055F4"/>
    <w:rsid w:val="5C28AC98"/>
    <w:rsid w:val="5C2D7ADC"/>
    <w:rsid w:val="5C3A5F99"/>
    <w:rsid w:val="5C3A9E8A"/>
    <w:rsid w:val="5C54D3B8"/>
    <w:rsid w:val="5C58ED72"/>
    <w:rsid w:val="5C64F642"/>
    <w:rsid w:val="5C657480"/>
    <w:rsid w:val="5C65B1C6"/>
    <w:rsid w:val="5C693445"/>
    <w:rsid w:val="5C6CF486"/>
    <w:rsid w:val="5C7F317D"/>
    <w:rsid w:val="5C7F3767"/>
    <w:rsid w:val="5C7FB7C7"/>
    <w:rsid w:val="5C8958B2"/>
    <w:rsid w:val="5C8F7C02"/>
    <w:rsid w:val="5C8FAF74"/>
    <w:rsid w:val="5C942FE0"/>
    <w:rsid w:val="5C94BCEC"/>
    <w:rsid w:val="5C96FAFD"/>
    <w:rsid w:val="5C97F9EE"/>
    <w:rsid w:val="5C985F33"/>
    <w:rsid w:val="5CA59BA5"/>
    <w:rsid w:val="5CBD7042"/>
    <w:rsid w:val="5CBE2EC9"/>
    <w:rsid w:val="5CBF5CBF"/>
    <w:rsid w:val="5CC73A0B"/>
    <w:rsid w:val="5CCAAEC3"/>
    <w:rsid w:val="5CCD0DDE"/>
    <w:rsid w:val="5CD10732"/>
    <w:rsid w:val="5CD20745"/>
    <w:rsid w:val="5CDC1F00"/>
    <w:rsid w:val="5CDE2AA3"/>
    <w:rsid w:val="5CDF6EA0"/>
    <w:rsid w:val="5CE2FFEF"/>
    <w:rsid w:val="5CE61EE6"/>
    <w:rsid w:val="5CE8C58F"/>
    <w:rsid w:val="5CEB4B16"/>
    <w:rsid w:val="5CF6B650"/>
    <w:rsid w:val="5CF8E709"/>
    <w:rsid w:val="5D094921"/>
    <w:rsid w:val="5D146048"/>
    <w:rsid w:val="5D290A67"/>
    <w:rsid w:val="5D2F254E"/>
    <w:rsid w:val="5D332DA0"/>
    <w:rsid w:val="5D34CEE5"/>
    <w:rsid w:val="5D3BF6C7"/>
    <w:rsid w:val="5D40DBC9"/>
    <w:rsid w:val="5D518C96"/>
    <w:rsid w:val="5D59A86C"/>
    <w:rsid w:val="5D612BF1"/>
    <w:rsid w:val="5D6192B6"/>
    <w:rsid w:val="5D64672D"/>
    <w:rsid w:val="5D684C90"/>
    <w:rsid w:val="5D6D95EC"/>
    <w:rsid w:val="5D6F5584"/>
    <w:rsid w:val="5D70419F"/>
    <w:rsid w:val="5D745E16"/>
    <w:rsid w:val="5D75C6E4"/>
    <w:rsid w:val="5D76532F"/>
    <w:rsid w:val="5D7E52D0"/>
    <w:rsid w:val="5D9184A8"/>
    <w:rsid w:val="5D93FF66"/>
    <w:rsid w:val="5D94E9DF"/>
    <w:rsid w:val="5D9B9192"/>
    <w:rsid w:val="5D9E8796"/>
    <w:rsid w:val="5DA825C8"/>
    <w:rsid w:val="5DA825E6"/>
    <w:rsid w:val="5DADEF8D"/>
    <w:rsid w:val="5DB4958E"/>
    <w:rsid w:val="5DBC68B6"/>
    <w:rsid w:val="5DC2E86F"/>
    <w:rsid w:val="5DC95725"/>
    <w:rsid w:val="5DCC2F29"/>
    <w:rsid w:val="5DD6A7E6"/>
    <w:rsid w:val="5DD76746"/>
    <w:rsid w:val="5DDF4851"/>
    <w:rsid w:val="5DE6A5E3"/>
    <w:rsid w:val="5DEBD61F"/>
    <w:rsid w:val="5DF36C8E"/>
    <w:rsid w:val="5DF4F9E5"/>
    <w:rsid w:val="5DF884DC"/>
    <w:rsid w:val="5DFB14A6"/>
    <w:rsid w:val="5E0614DF"/>
    <w:rsid w:val="5E099E49"/>
    <w:rsid w:val="5E0AE2A9"/>
    <w:rsid w:val="5E0EA3AE"/>
    <w:rsid w:val="5E178B6A"/>
    <w:rsid w:val="5E1CF445"/>
    <w:rsid w:val="5E25F85D"/>
    <w:rsid w:val="5E2BCBF9"/>
    <w:rsid w:val="5E2C3277"/>
    <w:rsid w:val="5E440EE1"/>
    <w:rsid w:val="5E4A5307"/>
    <w:rsid w:val="5E570380"/>
    <w:rsid w:val="5E5CA0DA"/>
    <w:rsid w:val="5E63DF4B"/>
    <w:rsid w:val="5E662B74"/>
    <w:rsid w:val="5E6658BC"/>
    <w:rsid w:val="5E6B0545"/>
    <w:rsid w:val="5E6D6A4F"/>
    <w:rsid w:val="5E747B7D"/>
    <w:rsid w:val="5E757167"/>
    <w:rsid w:val="5E778A81"/>
    <w:rsid w:val="5E781DA9"/>
    <w:rsid w:val="5E7935E0"/>
    <w:rsid w:val="5E7E83E1"/>
    <w:rsid w:val="5E82D385"/>
    <w:rsid w:val="5E8BCC94"/>
    <w:rsid w:val="5EA46823"/>
    <w:rsid w:val="5EB16C44"/>
    <w:rsid w:val="5EB93F57"/>
    <w:rsid w:val="5EBC4577"/>
    <w:rsid w:val="5EBFF6F8"/>
    <w:rsid w:val="5EC5EA47"/>
    <w:rsid w:val="5EC8D902"/>
    <w:rsid w:val="5EC926F4"/>
    <w:rsid w:val="5ED5DE61"/>
    <w:rsid w:val="5ED79B5B"/>
    <w:rsid w:val="5ED955A5"/>
    <w:rsid w:val="5EE16D12"/>
    <w:rsid w:val="5EE25B8E"/>
    <w:rsid w:val="5EF04DB2"/>
    <w:rsid w:val="5EF0CD17"/>
    <w:rsid w:val="5F049295"/>
    <w:rsid w:val="5F056E6B"/>
    <w:rsid w:val="5F0DAF0A"/>
    <w:rsid w:val="5F156706"/>
    <w:rsid w:val="5F1EDE5C"/>
    <w:rsid w:val="5F1F0584"/>
    <w:rsid w:val="5F2108C8"/>
    <w:rsid w:val="5F294C6D"/>
    <w:rsid w:val="5F2A64A9"/>
    <w:rsid w:val="5F2AD56B"/>
    <w:rsid w:val="5F2C5E18"/>
    <w:rsid w:val="5F2D25AC"/>
    <w:rsid w:val="5F2E5E56"/>
    <w:rsid w:val="5F372101"/>
    <w:rsid w:val="5F3BD2A3"/>
    <w:rsid w:val="5F449B3F"/>
    <w:rsid w:val="5F46F5E7"/>
    <w:rsid w:val="5F48CD27"/>
    <w:rsid w:val="5F4ACA33"/>
    <w:rsid w:val="5F516F88"/>
    <w:rsid w:val="5F56367B"/>
    <w:rsid w:val="5F632548"/>
    <w:rsid w:val="5F646ED7"/>
    <w:rsid w:val="5F6B2AF1"/>
    <w:rsid w:val="5F706FE1"/>
    <w:rsid w:val="5F70B12E"/>
    <w:rsid w:val="5F7ADFF3"/>
    <w:rsid w:val="5F7B6BAE"/>
    <w:rsid w:val="5F849D38"/>
    <w:rsid w:val="5F8F9D5B"/>
    <w:rsid w:val="5F941477"/>
    <w:rsid w:val="5F9A90A9"/>
    <w:rsid w:val="5FA14C9C"/>
    <w:rsid w:val="5FA20DB0"/>
    <w:rsid w:val="5FA45420"/>
    <w:rsid w:val="5FA5B80E"/>
    <w:rsid w:val="5FA60E9F"/>
    <w:rsid w:val="5FB1A1B5"/>
    <w:rsid w:val="5FB1C3D5"/>
    <w:rsid w:val="5FB564CA"/>
    <w:rsid w:val="5FB73F3A"/>
    <w:rsid w:val="5FC0AD8A"/>
    <w:rsid w:val="5FC39221"/>
    <w:rsid w:val="5FC4B723"/>
    <w:rsid w:val="5FC9E854"/>
    <w:rsid w:val="5FD21378"/>
    <w:rsid w:val="5FD64725"/>
    <w:rsid w:val="5FE23D78"/>
    <w:rsid w:val="5FE3C9A7"/>
    <w:rsid w:val="5FEB4B8D"/>
    <w:rsid w:val="5FF406FE"/>
    <w:rsid w:val="60049872"/>
    <w:rsid w:val="60164496"/>
    <w:rsid w:val="602A7DBA"/>
    <w:rsid w:val="60379994"/>
    <w:rsid w:val="603DBC56"/>
    <w:rsid w:val="604EA5E3"/>
    <w:rsid w:val="60580EDF"/>
    <w:rsid w:val="6061C07F"/>
    <w:rsid w:val="60633182"/>
    <w:rsid w:val="60684BD1"/>
    <w:rsid w:val="606C4DCA"/>
    <w:rsid w:val="60707707"/>
    <w:rsid w:val="60801211"/>
    <w:rsid w:val="608A38B8"/>
    <w:rsid w:val="608A590F"/>
    <w:rsid w:val="608C7432"/>
    <w:rsid w:val="60934348"/>
    <w:rsid w:val="609852C0"/>
    <w:rsid w:val="60A4E60F"/>
    <w:rsid w:val="60A8AD38"/>
    <w:rsid w:val="60A96D43"/>
    <w:rsid w:val="60AB46E1"/>
    <w:rsid w:val="60B77739"/>
    <w:rsid w:val="60B9D351"/>
    <w:rsid w:val="60BB5191"/>
    <w:rsid w:val="60BC5905"/>
    <w:rsid w:val="60BF1957"/>
    <w:rsid w:val="60C4D288"/>
    <w:rsid w:val="60C4F3E5"/>
    <w:rsid w:val="60C9E57C"/>
    <w:rsid w:val="60CC1237"/>
    <w:rsid w:val="60D6A16B"/>
    <w:rsid w:val="60DD9C93"/>
    <w:rsid w:val="60E104E1"/>
    <w:rsid w:val="60E49C5A"/>
    <w:rsid w:val="60E8A381"/>
    <w:rsid w:val="60E99C79"/>
    <w:rsid w:val="60F9E494"/>
    <w:rsid w:val="60FE2A88"/>
    <w:rsid w:val="61028133"/>
    <w:rsid w:val="610CBD71"/>
    <w:rsid w:val="610D43DA"/>
    <w:rsid w:val="610DE368"/>
    <w:rsid w:val="61101DA8"/>
    <w:rsid w:val="611DEE56"/>
    <w:rsid w:val="613580DB"/>
    <w:rsid w:val="61393566"/>
    <w:rsid w:val="613A91E6"/>
    <w:rsid w:val="613D3432"/>
    <w:rsid w:val="615A4508"/>
    <w:rsid w:val="615FC9D6"/>
    <w:rsid w:val="6165ECDE"/>
    <w:rsid w:val="61668FAD"/>
    <w:rsid w:val="616CC125"/>
    <w:rsid w:val="616D5E15"/>
    <w:rsid w:val="616F746B"/>
    <w:rsid w:val="61729C2A"/>
    <w:rsid w:val="617B0EDF"/>
    <w:rsid w:val="617E7E79"/>
    <w:rsid w:val="6183D806"/>
    <w:rsid w:val="61844DAF"/>
    <w:rsid w:val="618C740A"/>
    <w:rsid w:val="619DD61D"/>
    <w:rsid w:val="61A3CE25"/>
    <w:rsid w:val="61A68962"/>
    <w:rsid w:val="61B05BDA"/>
    <w:rsid w:val="61B3278E"/>
    <w:rsid w:val="61B65114"/>
    <w:rsid w:val="61B87634"/>
    <w:rsid w:val="61DD5274"/>
    <w:rsid w:val="61DEC91D"/>
    <w:rsid w:val="61E0F5F3"/>
    <w:rsid w:val="61E1617C"/>
    <w:rsid w:val="61E66C21"/>
    <w:rsid w:val="61E94FA6"/>
    <w:rsid w:val="61EA655A"/>
    <w:rsid w:val="61EB4905"/>
    <w:rsid w:val="61FD085F"/>
    <w:rsid w:val="6207139A"/>
    <w:rsid w:val="62072C15"/>
    <w:rsid w:val="6209BFBB"/>
    <w:rsid w:val="62124C76"/>
    <w:rsid w:val="6217CB69"/>
    <w:rsid w:val="6226BCF8"/>
    <w:rsid w:val="6226DA38"/>
    <w:rsid w:val="622884F2"/>
    <w:rsid w:val="6232CEE8"/>
    <w:rsid w:val="6240C1FC"/>
    <w:rsid w:val="62460F2D"/>
    <w:rsid w:val="6246653B"/>
    <w:rsid w:val="62488539"/>
    <w:rsid w:val="625EB0DE"/>
    <w:rsid w:val="6265B027"/>
    <w:rsid w:val="626B8E32"/>
    <w:rsid w:val="62772DA1"/>
    <w:rsid w:val="627C2555"/>
    <w:rsid w:val="6282C4F8"/>
    <w:rsid w:val="6286BE7F"/>
    <w:rsid w:val="62A1464A"/>
    <w:rsid w:val="62C1ABBE"/>
    <w:rsid w:val="62C295FE"/>
    <w:rsid w:val="62C97F3C"/>
    <w:rsid w:val="62D34940"/>
    <w:rsid w:val="62DAB476"/>
    <w:rsid w:val="62E7E929"/>
    <w:rsid w:val="62E82F5B"/>
    <w:rsid w:val="62F33237"/>
    <w:rsid w:val="62FB6BE3"/>
    <w:rsid w:val="62FCBAFC"/>
    <w:rsid w:val="630A150A"/>
    <w:rsid w:val="630B3545"/>
    <w:rsid w:val="631B1419"/>
    <w:rsid w:val="631C734E"/>
    <w:rsid w:val="6325F7E1"/>
    <w:rsid w:val="632F1E2F"/>
    <w:rsid w:val="6338E4B5"/>
    <w:rsid w:val="63450DB8"/>
    <w:rsid w:val="63464130"/>
    <w:rsid w:val="63533C02"/>
    <w:rsid w:val="63548D9F"/>
    <w:rsid w:val="635BED3B"/>
    <w:rsid w:val="636B8191"/>
    <w:rsid w:val="637325D1"/>
    <w:rsid w:val="63826A76"/>
    <w:rsid w:val="63851D3B"/>
    <w:rsid w:val="63857D71"/>
    <w:rsid w:val="6387C142"/>
    <w:rsid w:val="638B57ED"/>
    <w:rsid w:val="638DB30F"/>
    <w:rsid w:val="63903321"/>
    <w:rsid w:val="6390B40A"/>
    <w:rsid w:val="6391833F"/>
    <w:rsid w:val="6395A107"/>
    <w:rsid w:val="63A3C5F3"/>
    <w:rsid w:val="63AE41B5"/>
    <w:rsid w:val="63AE6F86"/>
    <w:rsid w:val="63B2D59E"/>
    <w:rsid w:val="63B6BF15"/>
    <w:rsid w:val="63BDBF54"/>
    <w:rsid w:val="63C7D4CB"/>
    <w:rsid w:val="63D30FF5"/>
    <w:rsid w:val="63D5B16D"/>
    <w:rsid w:val="63DDCCCC"/>
    <w:rsid w:val="63DDFE73"/>
    <w:rsid w:val="63E08397"/>
    <w:rsid w:val="63E22D29"/>
    <w:rsid w:val="63E5A15C"/>
    <w:rsid w:val="63E6308D"/>
    <w:rsid w:val="63F49FB6"/>
    <w:rsid w:val="6406F8E2"/>
    <w:rsid w:val="640B27A8"/>
    <w:rsid w:val="640C2981"/>
    <w:rsid w:val="642E3B52"/>
    <w:rsid w:val="64392C6A"/>
    <w:rsid w:val="64398179"/>
    <w:rsid w:val="643C0140"/>
    <w:rsid w:val="64494D3F"/>
    <w:rsid w:val="64514D60"/>
    <w:rsid w:val="645D26DB"/>
    <w:rsid w:val="645D5339"/>
    <w:rsid w:val="64657636"/>
    <w:rsid w:val="6467CAC0"/>
    <w:rsid w:val="646C8547"/>
    <w:rsid w:val="646D0D22"/>
    <w:rsid w:val="647181C4"/>
    <w:rsid w:val="647428B3"/>
    <w:rsid w:val="647520FF"/>
    <w:rsid w:val="647838C6"/>
    <w:rsid w:val="647EC6B5"/>
    <w:rsid w:val="64832464"/>
    <w:rsid w:val="6484604D"/>
    <w:rsid w:val="648B7E9B"/>
    <w:rsid w:val="648CEBA7"/>
    <w:rsid w:val="64A6B9CA"/>
    <w:rsid w:val="64A79B36"/>
    <w:rsid w:val="64AB638A"/>
    <w:rsid w:val="64B5081C"/>
    <w:rsid w:val="64BF2297"/>
    <w:rsid w:val="64C1E05F"/>
    <w:rsid w:val="64C676EF"/>
    <w:rsid w:val="64CC31E2"/>
    <w:rsid w:val="64D3FDD7"/>
    <w:rsid w:val="64D921D6"/>
    <w:rsid w:val="64DA1BEA"/>
    <w:rsid w:val="64E2FE42"/>
    <w:rsid w:val="64E3C258"/>
    <w:rsid w:val="64E5571D"/>
    <w:rsid w:val="64E67595"/>
    <w:rsid w:val="64E7F724"/>
    <w:rsid w:val="64EA523C"/>
    <w:rsid w:val="64EA8521"/>
    <w:rsid w:val="650155F7"/>
    <w:rsid w:val="6505D7BF"/>
    <w:rsid w:val="6509692E"/>
    <w:rsid w:val="6514E559"/>
    <w:rsid w:val="65208C59"/>
    <w:rsid w:val="6520CC80"/>
    <w:rsid w:val="6521D498"/>
    <w:rsid w:val="652458BD"/>
    <w:rsid w:val="65348318"/>
    <w:rsid w:val="6537F0D1"/>
    <w:rsid w:val="654ABD81"/>
    <w:rsid w:val="654EA9B0"/>
    <w:rsid w:val="655B9FF0"/>
    <w:rsid w:val="6566DE2A"/>
    <w:rsid w:val="65696FC7"/>
    <w:rsid w:val="656999AE"/>
    <w:rsid w:val="657823A6"/>
    <w:rsid w:val="657D4B04"/>
    <w:rsid w:val="65857DB0"/>
    <w:rsid w:val="6588A537"/>
    <w:rsid w:val="65891FFC"/>
    <w:rsid w:val="658A58A6"/>
    <w:rsid w:val="658C0B00"/>
    <w:rsid w:val="659225C2"/>
    <w:rsid w:val="6593E36D"/>
    <w:rsid w:val="659C2304"/>
    <w:rsid w:val="659C7428"/>
    <w:rsid w:val="65A2AE4E"/>
    <w:rsid w:val="65A52331"/>
    <w:rsid w:val="65AECC59"/>
    <w:rsid w:val="65C89E8D"/>
    <w:rsid w:val="65CCD619"/>
    <w:rsid w:val="65CDAD9D"/>
    <w:rsid w:val="65D47B63"/>
    <w:rsid w:val="65E1C9D1"/>
    <w:rsid w:val="65E40B60"/>
    <w:rsid w:val="65EA6CEC"/>
    <w:rsid w:val="65EE5AFD"/>
    <w:rsid w:val="66086F49"/>
    <w:rsid w:val="661477ED"/>
    <w:rsid w:val="6615EEFC"/>
    <w:rsid w:val="661FC432"/>
    <w:rsid w:val="6621D2D1"/>
    <w:rsid w:val="6632D586"/>
    <w:rsid w:val="6637E645"/>
    <w:rsid w:val="66390714"/>
    <w:rsid w:val="66390B11"/>
    <w:rsid w:val="6639B54F"/>
    <w:rsid w:val="663E8A28"/>
    <w:rsid w:val="66445CCB"/>
    <w:rsid w:val="66480E07"/>
    <w:rsid w:val="664E5F2D"/>
    <w:rsid w:val="664E611D"/>
    <w:rsid w:val="66535E32"/>
    <w:rsid w:val="665F6195"/>
    <w:rsid w:val="6665F0F3"/>
    <w:rsid w:val="6669B950"/>
    <w:rsid w:val="666D756B"/>
    <w:rsid w:val="666E22CC"/>
    <w:rsid w:val="669C5C5A"/>
    <w:rsid w:val="66A127EB"/>
    <w:rsid w:val="66A40948"/>
    <w:rsid w:val="66B65723"/>
    <w:rsid w:val="66BAB116"/>
    <w:rsid w:val="66C022F6"/>
    <w:rsid w:val="66C54C84"/>
    <w:rsid w:val="66C5937C"/>
    <w:rsid w:val="66DCFBF1"/>
    <w:rsid w:val="66E3CCD7"/>
    <w:rsid w:val="66F05E80"/>
    <w:rsid w:val="66F62C4C"/>
    <w:rsid w:val="66FB70B6"/>
    <w:rsid w:val="66FC94F8"/>
    <w:rsid w:val="67060CEC"/>
    <w:rsid w:val="6707DF4D"/>
    <w:rsid w:val="670A0BE4"/>
    <w:rsid w:val="6713CFEE"/>
    <w:rsid w:val="671B56B8"/>
    <w:rsid w:val="671CC45E"/>
    <w:rsid w:val="672720B0"/>
    <w:rsid w:val="67360AAB"/>
    <w:rsid w:val="673CA649"/>
    <w:rsid w:val="673E391D"/>
    <w:rsid w:val="674EC6D2"/>
    <w:rsid w:val="674F3084"/>
    <w:rsid w:val="67584B19"/>
    <w:rsid w:val="67616463"/>
    <w:rsid w:val="676AC699"/>
    <w:rsid w:val="67720BA8"/>
    <w:rsid w:val="677AD6E3"/>
    <w:rsid w:val="677CDBBD"/>
    <w:rsid w:val="677D1064"/>
    <w:rsid w:val="67862E3C"/>
    <w:rsid w:val="67865242"/>
    <w:rsid w:val="678B3084"/>
    <w:rsid w:val="6792F28D"/>
    <w:rsid w:val="67934C44"/>
    <w:rsid w:val="679442B0"/>
    <w:rsid w:val="679C73EA"/>
    <w:rsid w:val="679DD937"/>
    <w:rsid w:val="679FAC58"/>
    <w:rsid w:val="679FD945"/>
    <w:rsid w:val="67A40565"/>
    <w:rsid w:val="67A86507"/>
    <w:rsid w:val="67AB5E70"/>
    <w:rsid w:val="67AD51D8"/>
    <w:rsid w:val="67B9C4F2"/>
    <w:rsid w:val="67BAF4B7"/>
    <w:rsid w:val="67BC9968"/>
    <w:rsid w:val="67C06DD7"/>
    <w:rsid w:val="67C8DFAB"/>
    <w:rsid w:val="67E5BBA6"/>
    <w:rsid w:val="67E9E566"/>
    <w:rsid w:val="67ED9667"/>
    <w:rsid w:val="67EE80C6"/>
    <w:rsid w:val="67FF10AA"/>
    <w:rsid w:val="6802C5E7"/>
    <w:rsid w:val="68224616"/>
    <w:rsid w:val="6824AFD0"/>
    <w:rsid w:val="682BF320"/>
    <w:rsid w:val="6833A9C3"/>
    <w:rsid w:val="683CCD5D"/>
    <w:rsid w:val="68490ED4"/>
    <w:rsid w:val="68491E01"/>
    <w:rsid w:val="68499466"/>
    <w:rsid w:val="68650250"/>
    <w:rsid w:val="686DE9B1"/>
    <w:rsid w:val="688E0B10"/>
    <w:rsid w:val="68A7D984"/>
    <w:rsid w:val="68ADE004"/>
    <w:rsid w:val="68AE061E"/>
    <w:rsid w:val="68B0319F"/>
    <w:rsid w:val="68B19547"/>
    <w:rsid w:val="68BBEB8C"/>
    <w:rsid w:val="68BD266F"/>
    <w:rsid w:val="68BEBBFB"/>
    <w:rsid w:val="68C5EE5F"/>
    <w:rsid w:val="68EA6B26"/>
    <w:rsid w:val="68FD89E6"/>
    <w:rsid w:val="69039DD3"/>
    <w:rsid w:val="6909C888"/>
    <w:rsid w:val="690A7B2C"/>
    <w:rsid w:val="6915BDFB"/>
    <w:rsid w:val="69165957"/>
    <w:rsid w:val="69199543"/>
    <w:rsid w:val="691A7DA2"/>
    <w:rsid w:val="6934FB60"/>
    <w:rsid w:val="693B2772"/>
    <w:rsid w:val="693E54CB"/>
    <w:rsid w:val="695163FC"/>
    <w:rsid w:val="695626A3"/>
    <w:rsid w:val="695A55D9"/>
    <w:rsid w:val="695F41FE"/>
    <w:rsid w:val="69620B2B"/>
    <w:rsid w:val="696ABB3E"/>
    <w:rsid w:val="696AFB9C"/>
    <w:rsid w:val="69747997"/>
    <w:rsid w:val="6974EA73"/>
    <w:rsid w:val="69830768"/>
    <w:rsid w:val="69879EFC"/>
    <w:rsid w:val="6989EBFC"/>
    <w:rsid w:val="698A8E82"/>
    <w:rsid w:val="698D6600"/>
    <w:rsid w:val="698D85E4"/>
    <w:rsid w:val="698EFC68"/>
    <w:rsid w:val="698F3263"/>
    <w:rsid w:val="6994B047"/>
    <w:rsid w:val="6998366C"/>
    <w:rsid w:val="699E6304"/>
    <w:rsid w:val="69A240FC"/>
    <w:rsid w:val="69A3BB23"/>
    <w:rsid w:val="69A86AA3"/>
    <w:rsid w:val="69B23BD3"/>
    <w:rsid w:val="69B866B0"/>
    <w:rsid w:val="69BE23A5"/>
    <w:rsid w:val="69CB335F"/>
    <w:rsid w:val="69D6CFC1"/>
    <w:rsid w:val="69F1C635"/>
    <w:rsid w:val="69F49FA4"/>
    <w:rsid w:val="69F7AD41"/>
    <w:rsid w:val="6A0B6CFA"/>
    <w:rsid w:val="6A11C0DE"/>
    <w:rsid w:val="6A147FFC"/>
    <w:rsid w:val="6A15E867"/>
    <w:rsid w:val="6A29DADF"/>
    <w:rsid w:val="6A33FD3D"/>
    <w:rsid w:val="6A3641B3"/>
    <w:rsid w:val="6A382248"/>
    <w:rsid w:val="6A4BA74A"/>
    <w:rsid w:val="6A4D8520"/>
    <w:rsid w:val="6A574A67"/>
    <w:rsid w:val="6A5ABDB8"/>
    <w:rsid w:val="6A5DB1CA"/>
    <w:rsid w:val="6A5DF0CF"/>
    <w:rsid w:val="6A606FDE"/>
    <w:rsid w:val="6A629C8E"/>
    <w:rsid w:val="6A63EF63"/>
    <w:rsid w:val="6A6AFCE8"/>
    <w:rsid w:val="6A7C50F7"/>
    <w:rsid w:val="6A7D8FAB"/>
    <w:rsid w:val="6A82BDBF"/>
    <w:rsid w:val="6A8649AD"/>
    <w:rsid w:val="6A8D30AD"/>
    <w:rsid w:val="6A8E05E2"/>
    <w:rsid w:val="6A8E1983"/>
    <w:rsid w:val="6A8E1A94"/>
    <w:rsid w:val="6A91140C"/>
    <w:rsid w:val="6A9C8A0D"/>
    <w:rsid w:val="6A9E3775"/>
    <w:rsid w:val="6A9EF709"/>
    <w:rsid w:val="6AA16464"/>
    <w:rsid w:val="6AA69E29"/>
    <w:rsid w:val="6AA8490C"/>
    <w:rsid w:val="6AB13E58"/>
    <w:rsid w:val="6AB95BE6"/>
    <w:rsid w:val="6AC363A0"/>
    <w:rsid w:val="6AC47FB0"/>
    <w:rsid w:val="6ACFC7A5"/>
    <w:rsid w:val="6AD7DA2C"/>
    <w:rsid w:val="6ADD2A18"/>
    <w:rsid w:val="6AE5359F"/>
    <w:rsid w:val="6AEEAE7A"/>
    <w:rsid w:val="6B14FCDB"/>
    <w:rsid w:val="6B17BBB5"/>
    <w:rsid w:val="6B1816CE"/>
    <w:rsid w:val="6B1C4FDC"/>
    <w:rsid w:val="6B21BB20"/>
    <w:rsid w:val="6B24F3B7"/>
    <w:rsid w:val="6B31E0ED"/>
    <w:rsid w:val="6B3AD4FB"/>
    <w:rsid w:val="6B3B998E"/>
    <w:rsid w:val="6B409ECE"/>
    <w:rsid w:val="6B416B26"/>
    <w:rsid w:val="6B4323AE"/>
    <w:rsid w:val="6B43C6E7"/>
    <w:rsid w:val="6B45BFFB"/>
    <w:rsid w:val="6B4C6E80"/>
    <w:rsid w:val="6B60AB4D"/>
    <w:rsid w:val="6B632ED1"/>
    <w:rsid w:val="6B6AC093"/>
    <w:rsid w:val="6B782FB3"/>
    <w:rsid w:val="6B79CFDA"/>
    <w:rsid w:val="6B7B6646"/>
    <w:rsid w:val="6B7BFE82"/>
    <w:rsid w:val="6B807B7A"/>
    <w:rsid w:val="6B869C43"/>
    <w:rsid w:val="6B9F18B9"/>
    <w:rsid w:val="6B9F6E50"/>
    <w:rsid w:val="6BA42944"/>
    <w:rsid w:val="6BAD2088"/>
    <w:rsid w:val="6BAF8050"/>
    <w:rsid w:val="6BB8E41C"/>
    <w:rsid w:val="6BBD9610"/>
    <w:rsid w:val="6BC25945"/>
    <w:rsid w:val="6BC63837"/>
    <w:rsid w:val="6BC89E0C"/>
    <w:rsid w:val="6BD05D37"/>
    <w:rsid w:val="6BD8AF3E"/>
    <w:rsid w:val="6BE7A373"/>
    <w:rsid w:val="6BFB348B"/>
    <w:rsid w:val="6BFFFE93"/>
    <w:rsid w:val="6C04B946"/>
    <w:rsid w:val="6C0C3713"/>
    <w:rsid w:val="6C103566"/>
    <w:rsid w:val="6C1B22BC"/>
    <w:rsid w:val="6C224B30"/>
    <w:rsid w:val="6C24AECF"/>
    <w:rsid w:val="6C27324E"/>
    <w:rsid w:val="6C2B1AE9"/>
    <w:rsid w:val="6C4B0937"/>
    <w:rsid w:val="6C519070"/>
    <w:rsid w:val="6C5AD5EE"/>
    <w:rsid w:val="6C6AFD2B"/>
    <w:rsid w:val="6C6F0EFE"/>
    <w:rsid w:val="6C6F4E08"/>
    <w:rsid w:val="6C6FB6BE"/>
    <w:rsid w:val="6C7B7EDF"/>
    <w:rsid w:val="6C86D541"/>
    <w:rsid w:val="6C8B1853"/>
    <w:rsid w:val="6C8EC222"/>
    <w:rsid w:val="6C9D6EFD"/>
    <w:rsid w:val="6CA7D74D"/>
    <w:rsid w:val="6CAA9340"/>
    <w:rsid w:val="6CB36345"/>
    <w:rsid w:val="6CB49AC0"/>
    <w:rsid w:val="6CBF3BCD"/>
    <w:rsid w:val="6CCC753F"/>
    <w:rsid w:val="6CD380CE"/>
    <w:rsid w:val="6CDA928F"/>
    <w:rsid w:val="6CDF1289"/>
    <w:rsid w:val="6CE5F4DB"/>
    <w:rsid w:val="6CEDE35D"/>
    <w:rsid w:val="6CF3F04E"/>
    <w:rsid w:val="6CFECF4F"/>
    <w:rsid w:val="6D097459"/>
    <w:rsid w:val="6D0ED8AE"/>
    <w:rsid w:val="6D2BC2DE"/>
    <w:rsid w:val="6D35ED9F"/>
    <w:rsid w:val="6D39885F"/>
    <w:rsid w:val="6D40B5EF"/>
    <w:rsid w:val="6D570C15"/>
    <w:rsid w:val="6D6251E4"/>
    <w:rsid w:val="6D689406"/>
    <w:rsid w:val="6D727D0E"/>
    <w:rsid w:val="6D73F09B"/>
    <w:rsid w:val="6D85B78B"/>
    <w:rsid w:val="6D882537"/>
    <w:rsid w:val="6D8E8B49"/>
    <w:rsid w:val="6D94F111"/>
    <w:rsid w:val="6D9D89BF"/>
    <w:rsid w:val="6DA0EBA4"/>
    <w:rsid w:val="6DA3B68D"/>
    <w:rsid w:val="6DA6EA07"/>
    <w:rsid w:val="6DA73916"/>
    <w:rsid w:val="6DA743AF"/>
    <w:rsid w:val="6DAC67F9"/>
    <w:rsid w:val="6DAD415C"/>
    <w:rsid w:val="6DB49942"/>
    <w:rsid w:val="6DBAFA34"/>
    <w:rsid w:val="6DC0B698"/>
    <w:rsid w:val="6DC47445"/>
    <w:rsid w:val="6DC5568F"/>
    <w:rsid w:val="6DC8F320"/>
    <w:rsid w:val="6DCD6F3F"/>
    <w:rsid w:val="6DD41FD0"/>
    <w:rsid w:val="6DD8FF9F"/>
    <w:rsid w:val="6DE442D0"/>
    <w:rsid w:val="6DE55549"/>
    <w:rsid w:val="6DEC5ED2"/>
    <w:rsid w:val="6DEDAE0B"/>
    <w:rsid w:val="6E030996"/>
    <w:rsid w:val="6E067B7A"/>
    <w:rsid w:val="6E09136A"/>
    <w:rsid w:val="6E11AF91"/>
    <w:rsid w:val="6E127EE3"/>
    <w:rsid w:val="6E134DA3"/>
    <w:rsid w:val="6E13EB28"/>
    <w:rsid w:val="6E185D8C"/>
    <w:rsid w:val="6E1EA400"/>
    <w:rsid w:val="6E1F015E"/>
    <w:rsid w:val="6E3205AF"/>
    <w:rsid w:val="6E36A34E"/>
    <w:rsid w:val="6E3F4F34"/>
    <w:rsid w:val="6E4D55F2"/>
    <w:rsid w:val="6E529DCF"/>
    <w:rsid w:val="6E5407B3"/>
    <w:rsid w:val="6E54CE98"/>
    <w:rsid w:val="6E55F63F"/>
    <w:rsid w:val="6E5E88B9"/>
    <w:rsid w:val="6E5F3514"/>
    <w:rsid w:val="6E70F54E"/>
    <w:rsid w:val="6E71916A"/>
    <w:rsid w:val="6E733673"/>
    <w:rsid w:val="6E74A0A9"/>
    <w:rsid w:val="6E74B097"/>
    <w:rsid w:val="6E76455F"/>
    <w:rsid w:val="6E7A2E4D"/>
    <w:rsid w:val="6E7CD97F"/>
    <w:rsid w:val="6E7E7B8A"/>
    <w:rsid w:val="6E7EE699"/>
    <w:rsid w:val="6E954185"/>
    <w:rsid w:val="6E974209"/>
    <w:rsid w:val="6EA500A3"/>
    <w:rsid w:val="6EB07F72"/>
    <w:rsid w:val="6EB2BF84"/>
    <w:rsid w:val="6EB81870"/>
    <w:rsid w:val="6EB8C38E"/>
    <w:rsid w:val="6EBD7624"/>
    <w:rsid w:val="6EBFAFDF"/>
    <w:rsid w:val="6EC8259F"/>
    <w:rsid w:val="6ECB47BD"/>
    <w:rsid w:val="6ED78680"/>
    <w:rsid w:val="6EE972CF"/>
    <w:rsid w:val="6EEFEE0C"/>
    <w:rsid w:val="6EFDED1B"/>
    <w:rsid w:val="6EFF6C88"/>
    <w:rsid w:val="6F065E1B"/>
    <w:rsid w:val="6F0FCC47"/>
    <w:rsid w:val="6F128C1E"/>
    <w:rsid w:val="6F15479D"/>
    <w:rsid w:val="6F16D0CA"/>
    <w:rsid w:val="6F1A8CF3"/>
    <w:rsid w:val="6F1AC7B6"/>
    <w:rsid w:val="6F1CA7EE"/>
    <w:rsid w:val="6F20054D"/>
    <w:rsid w:val="6F289210"/>
    <w:rsid w:val="6F473151"/>
    <w:rsid w:val="6F49AB71"/>
    <w:rsid w:val="6F4CFD63"/>
    <w:rsid w:val="6F5212F3"/>
    <w:rsid w:val="6F59B420"/>
    <w:rsid w:val="6F6DDB70"/>
    <w:rsid w:val="6F7375E6"/>
    <w:rsid w:val="6F742F98"/>
    <w:rsid w:val="6F781518"/>
    <w:rsid w:val="6F782F37"/>
    <w:rsid w:val="6F79CF00"/>
    <w:rsid w:val="6F7B0566"/>
    <w:rsid w:val="6F7EEE1E"/>
    <w:rsid w:val="6F867A60"/>
    <w:rsid w:val="6F963481"/>
    <w:rsid w:val="6F9B8ED0"/>
    <w:rsid w:val="6FA57D04"/>
    <w:rsid w:val="6FA70855"/>
    <w:rsid w:val="6FB297B2"/>
    <w:rsid w:val="6FB2DA6D"/>
    <w:rsid w:val="6FB51B64"/>
    <w:rsid w:val="6FBEB619"/>
    <w:rsid w:val="6FC2E882"/>
    <w:rsid w:val="6FC58593"/>
    <w:rsid w:val="6FCAC538"/>
    <w:rsid w:val="6FD1F139"/>
    <w:rsid w:val="6FD6409D"/>
    <w:rsid w:val="6FD81BB5"/>
    <w:rsid w:val="6FDA1473"/>
    <w:rsid w:val="6FE58C6D"/>
    <w:rsid w:val="6FE8AF8F"/>
    <w:rsid w:val="6FED6CF3"/>
    <w:rsid w:val="6FF27CF8"/>
    <w:rsid w:val="6FF5D64C"/>
    <w:rsid w:val="6FFBCCF5"/>
    <w:rsid w:val="700AAEA5"/>
    <w:rsid w:val="700AEA63"/>
    <w:rsid w:val="700CA4D4"/>
    <w:rsid w:val="70117CC9"/>
    <w:rsid w:val="702AB11B"/>
    <w:rsid w:val="702F4E78"/>
    <w:rsid w:val="70304327"/>
    <w:rsid w:val="70352F88"/>
    <w:rsid w:val="7038D916"/>
    <w:rsid w:val="7039FB61"/>
    <w:rsid w:val="703BCF9C"/>
    <w:rsid w:val="703CD4AB"/>
    <w:rsid w:val="7046CF6E"/>
    <w:rsid w:val="705A6613"/>
    <w:rsid w:val="70608F6E"/>
    <w:rsid w:val="7065204A"/>
    <w:rsid w:val="7066593A"/>
    <w:rsid w:val="7069BA46"/>
    <w:rsid w:val="706C3B7B"/>
    <w:rsid w:val="706E2B6F"/>
    <w:rsid w:val="707054A5"/>
    <w:rsid w:val="707293A9"/>
    <w:rsid w:val="7072F60A"/>
    <w:rsid w:val="7074D7A7"/>
    <w:rsid w:val="70777402"/>
    <w:rsid w:val="70791BB3"/>
    <w:rsid w:val="707D07C1"/>
    <w:rsid w:val="707E9BF6"/>
    <w:rsid w:val="7082F292"/>
    <w:rsid w:val="7085B209"/>
    <w:rsid w:val="709CB0D4"/>
    <w:rsid w:val="70A0AAB9"/>
    <w:rsid w:val="70A0BF79"/>
    <w:rsid w:val="70A43CB7"/>
    <w:rsid w:val="70A61E75"/>
    <w:rsid w:val="70AEBF3E"/>
    <w:rsid w:val="70AFD740"/>
    <w:rsid w:val="70B0DD3C"/>
    <w:rsid w:val="70B48957"/>
    <w:rsid w:val="70BA20BE"/>
    <w:rsid w:val="70C1D401"/>
    <w:rsid w:val="70C361FF"/>
    <w:rsid w:val="70C85870"/>
    <w:rsid w:val="70CA9156"/>
    <w:rsid w:val="70D0A3AB"/>
    <w:rsid w:val="70D61A66"/>
    <w:rsid w:val="70DE9992"/>
    <w:rsid w:val="70E0A5A9"/>
    <w:rsid w:val="70E16C82"/>
    <w:rsid w:val="70E180E9"/>
    <w:rsid w:val="70E2DE1A"/>
    <w:rsid w:val="70EA062F"/>
    <w:rsid w:val="70EA3AB9"/>
    <w:rsid w:val="70EFB595"/>
    <w:rsid w:val="70EFD4FD"/>
    <w:rsid w:val="70F100CB"/>
    <w:rsid w:val="70F11399"/>
    <w:rsid w:val="70F29EB7"/>
    <w:rsid w:val="70F55273"/>
    <w:rsid w:val="7102D5FA"/>
    <w:rsid w:val="71103E76"/>
    <w:rsid w:val="71124968"/>
    <w:rsid w:val="7125479B"/>
    <w:rsid w:val="71260D9E"/>
    <w:rsid w:val="712CC063"/>
    <w:rsid w:val="7131DFF9"/>
    <w:rsid w:val="7139E1D6"/>
    <w:rsid w:val="713F0EC6"/>
    <w:rsid w:val="714966C4"/>
    <w:rsid w:val="714B4031"/>
    <w:rsid w:val="71567144"/>
    <w:rsid w:val="715BE397"/>
    <w:rsid w:val="71623694"/>
    <w:rsid w:val="7165BF6B"/>
    <w:rsid w:val="7168F0B9"/>
    <w:rsid w:val="71745333"/>
    <w:rsid w:val="7179F58B"/>
    <w:rsid w:val="717EA43C"/>
    <w:rsid w:val="718C1F71"/>
    <w:rsid w:val="71B01F31"/>
    <w:rsid w:val="71BBE45E"/>
    <w:rsid w:val="71BE0470"/>
    <w:rsid w:val="71BF75CB"/>
    <w:rsid w:val="71C149E9"/>
    <w:rsid w:val="71C40327"/>
    <w:rsid w:val="71C7512A"/>
    <w:rsid w:val="71CA9E42"/>
    <w:rsid w:val="71CCD692"/>
    <w:rsid w:val="71D716C4"/>
    <w:rsid w:val="71E4E413"/>
    <w:rsid w:val="71E8261B"/>
    <w:rsid w:val="71ECB834"/>
    <w:rsid w:val="71F377C8"/>
    <w:rsid w:val="720104B9"/>
    <w:rsid w:val="72034409"/>
    <w:rsid w:val="7211FE94"/>
    <w:rsid w:val="72164326"/>
    <w:rsid w:val="7216A0DB"/>
    <w:rsid w:val="7218057D"/>
    <w:rsid w:val="72186D46"/>
    <w:rsid w:val="72188626"/>
    <w:rsid w:val="7226F37B"/>
    <w:rsid w:val="7242867D"/>
    <w:rsid w:val="725C9B0C"/>
    <w:rsid w:val="725E76E6"/>
    <w:rsid w:val="7274D73C"/>
    <w:rsid w:val="727F25AD"/>
    <w:rsid w:val="727F52B6"/>
    <w:rsid w:val="7283FC34"/>
    <w:rsid w:val="728430AE"/>
    <w:rsid w:val="728B1A5E"/>
    <w:rsid w:val="728C5A53"/>
    <w:rsid w:val="729218C0"/>
    <w:rsid w:val="7298E08E"/>
    <w:rsid w:val="72A5E4ED"/>
    <w:rsid w:val="72A91084"/>
    <w:rsid w:val="72B4B239"/>
    <w:rsid w:val="72BA5FF7"/>
    <w:rsid w:val="72BAF7FF"/>
    <w:rsid w:val="72BB4F26"/>
    <w:rsid w:val="72BB65CF"/>
    <w:rsid w:val="72C3F951"/>
    <w:rsid w:val="72CD5A52"/>
    <w:rsid w:val="72D0C664"/>
    <w:rsid w:val="72D0EC6C"/>
    <w:rsid w:val="72D8F44C"/>
    <w:rsid w:val="72DA98A5"/>
    <w:rsid w:val="72DCAC7C"/>
    <w:rsid w:val="72E319E5"/>
    <w:rsid w:val="72E50929"/>
    <w:rsid w:val="72EB71FC"/>
    <w:rsid w:val="72F32DA8"/>
    <w:rsid w:val="7304544B"/>
    <w:rsid w:val="7307CA79"/>
    <w:rsid w:val="7316CF3F"/>
    <w:rsid w:val="731A2E77"/>
    <w:rsid w:val="731BF5D6"/>
    <w:rsid w:val="7320BDFB"/>
    <w:rsid w:val="7321A437"/>
    <w:rsid w:val="73267010"/>
    <w:rsid w:val="7327C04B"/>
    <w:rsid w:val="7328C6F9"/>
    <w:rsid w:val="73296ACA"/>
    <w:rsid w:val="732BDC00"/>
    <w:rsid w:val="7330A196"/>
    <w:rsid w:val="73391925"/>
    <w:rsid w:val="734332A7"/>
    <w:rsid w:val="73433C2F"/>
    <w:rsid w:val="734AE56B"/>
    <w:rsid w:val="734EEA40"/>
    <w:rsid w:val="73516667"/>
    <w:rsid w:val="73523B37"/>
    <w:rsid w:val="7356DE09"/>
    <w:rsid w:val="73572F23"/>
    <w:rsid w:val="735CFA65"/>
    <w:rsid w:val="736287D2"/>
    <w:rsid w:val="7363A856"/>
    <w:rsid w:val="7371D65C"/>
    <w:rsid w:val="737351F6"/>
    <w:rsid w:val="737AF407"/>
    <w:rsid w:val="73803829"/>
    <w:rsid w:val="7382CB4B"/>
    <w:rsid w:val="7391B641"/>
    <w:rsid w:val="73924199"/>
    <w:rsid w:val="73A1DAC2"/>
    <w:rsid w:val="73A62A58"/>
    <w:rsid w:val="73BD4BA7"/>
    <w:rsid w:val="73D0A9A1"/>
    <w:rsid w:val="73D3E73F"/>
    <w:rsid w:val="73D41BC8"/>
    <w:rsid w:val="73D83742"/>
    <w:rsid w:val="73DD6751"/>
    <w:rsid w:val="73EE3EAB"/>
    <w:rsid w:val="73F06575"/>
    <w:rsid w:val="73F5FB76"/>
    <w:rsid w:val="73FB21E3"/>
    <w:rsid w:val="73FB2485"/>
    <w:rsid w:val="73FCE81A"/>
    <w:rsid w:val="74042011"/>
    <w:rsid w:val="740E4CA3"/>
    <w:rsid w:val="74137615"/>
    <w:rsid w:val="7414B8DA"/>
    <w:rsid w:val="741CD9F2"/>
    <w:rsid w:val="741F497B"/>
    <w:rsid w:val="741F4FE4"/>
    <w:rsid w:val="7437F470"/>
    <w:rsid w:val="743A7446"/>
    <w:rsid w:val="7459EB57"/>
    <w:rsid w:val="745A1A24"/>
    <w:rsid w:val="7462C889"/>
    <w:rsid w:val="7463ADFD"/>
    <w:rsid w:val="7464A83C"/>
    <w:rsid w:val="74671081"/>
    <w:rsid w:val="746BE348"/>
    <w:rsid w:val="746C5CF6"/>
    <w:rsid w:val="746F6C6B"/>
    <w:rsid w:val="74756460"/>
    <w:rsid w:val="747D7C21"/>
    <w:rsid w:val="74860788"/>
    <w:rsid w:val="74897D3E"/>
    <w:rsid w:val="748BDE0E"/>
    <w:rsid w:val="749ACB33"/>
    <w:rsid w:val="749D326E"/>
    <w:rsid w:val="74AF9007"/>
    <w:rsid w:val="74BAE5D2"/>
    <w:rsid w:val="74C23C76"/>
    <w:rsid w:val="74C57694"/>
    <w:rsid w:val="74CD567D"/>
    <w:rsid w:val="74D230A2"/>
    <w:rsid w:val="74D2DC83"/>
    <w:rsid w:val="74D3E187"/>
    <w:rsid w:val="74EB0DB5"/>
    <w:rsid w:val="74EC2B93"/>
    <w:rsid w:val="74F2C0BD"/>
    <w:rsid w:val="74F51B2A"/>
    <w:rsid w:val="75005558"/>
    <w:rsid w:val="7500B86C"/>
    <w:rsid w:val="750238C7"/>
    <w:rsid w:val="750273BD"/>
    <w:rsid w:val="750CA23F"/>
    <w:rsid w:val="751EE8A9"/>
    <w:rsid w:val="75215544"/>
    <w:rsid w:val="75247481"/>
    <w:rsid w:val="7528A83C"/>
    <w:rsid w:val="7528E5BF"/>
    <w:rsid w:val="7529743C"/>
    <w:rsid w:val="752DF42D"/>
    <w:rsid w:val="752F88B5"/>
    <w:rsid w:val="7530AA79"/>
    <w:rsid w:val="7530C40B"/>
    <w:rsid w:val="7538E07A"/>
    <w:rsid w:val="753EE5C5"/>
    <w:rsid w:val="75443C16"/>
    <w:rsid w:val="754D5E85"/>
    <w:rsid w:val="7557F3F1"/>
    <w:rsid w:val="756146C1"/>
    <w:rsid w:val="7566BAB7"/>
    <w:rsid w:val="75671786"/>
    <w:rsid w:val="756AF0CC"/>
    <w:rsid w:val="75712EAD"/>
    <w:rsid w:val="75766A7B"/>
    <w:rsid w:val="757E2B01"/>
    <w:rsid w:val="757F0E3D"/>
    <w:rsid w:val="758189EF"/>
    <w:rsid w:val="7592FEA6"/>
    <w:rsid w:val="759566E9"/>
    <w:rsid w:val="75A1804A"/>
    <w:rsid w:val="75BDC960"/>
    <w:rsid w:val="75C2DA02"/>
    <w:rsid w:val="75C37C56"/>
    <w:rsid w:val="75C525C4"/>
    <w:rsid w:val="75CDB77F"/>
    <w:rsid w:val="75D299B8"/>
    <w:rsid w:val="75E6F132"/>
    <w:rsid w:val="75F683DE"/>
    <w:rsid w:val="75FC75EA"/>
    <w:rsid w:val="75FE7DAB"/>
    <w:rsid w:val="760F6199"/>
    <w:rsid w:val="761534F2"/>
    <w:rsid w:val="7615E7F7"/>
    <w:rsid w:val="7618CB88"/>
    <w:rsid w:val="762864AC"/>
    <w:rsid w:val="7629A8BB"/>
    <w:rsid w:val="76361181"/>
    <w:rsid w:val="763B379B"/>
    <w:rsid w:val="763BBF47"/>
    <w:rsid w:val="763FAE40"/>
    <w:rsid w:val="764327C9"/>
    <w:rsid w:val="764C28B8"/>
    <w:rsid w:val="7651D9D1"/>
    <w:rsid w:val="765A8C2D"/>
    <w:rsid w:val="766737DA"/>
    <w:rsid w:val="76741BAD"/>
    <w:rsid w:val="76749211"/>
    <w:rsid w:val="76764012"/>
    <w:rsid w:val="76774BA9"/>
    <w:rsid w:val="767A9846"/>
    <w:rsid w:val="767C8661"/>
    <w:rsid w:val="767D53C6"/>
    <w:rsid w:val="7690D9A3"/>
    <w:rsid w:val="769E8B63"/>
    <w:rsid w:val="769FF130"/>
    <w:rsid w:val="76A12182"/>
    <w:rsid w:val="76A27A4D"/>
    <w:rsid w:val="76A2F581"/>
    <w:rsid w:val="76A31F0E"/>
    <w:rsid w:val="76B91DAA"/>
    <w:rsid w:val="76BA3D69"/>
    <w:rsid w:val="76BAA7AB"/>
    <w:rsid w:val="76BC68A0"/>
    <w:rsid w:val="76C8FB2E"/>
    <w:rsid w:val="76C95139"/>
    <w:rsid w:val="76D0B6AA"/>
    <w:rsid w:val="76D9D728"/>
    <w:rsid w:val="76E1E6E3"/>
    <w:rsid w:val="76E2A512"/>
    <w:rsid w:val="76E980FA"/>
    <w:rsid w:val="76EFF8FA"/>
    <w:rsid w:val="76F018DD"/>
    <w:rsid w:val="76F8B446"/>
    <w:rsid w:val="76F8FD73"/>
    <w:rsid w:val="77020580"/>
    <w:rsid w:val="7702D579"/>
    <w:rsid w:val="771302D7"/>
    <w:rsid w:val="77135238"/>
    <w:rsid w:val="771538CD"/>
    <w:rsid w:val="771BF690"/>
    <w:rsid w:val="77355267"/>
    <w:rsid w:val="773741EB"/>
    <w:rsid w:val="77375F06"/>
    <w:rsid w:val="77399CDC"/>
    <w:rsid w:val="773C747D"/>
    <w:rsid w:val="7748F6D3"/>
    <w:rsid w:val="774ED219"/>
    <w:rsid w:val="77528D68"/>
    <w:rsid w:val="77558619"/>
    <w:rsid w:val="77592047"/>
    <w:rsid w:val="77656E06"/>
    <w:rsid w:val="77671641"/>
    <w:rsid w:val="776A8D1A"/>
    <w:rsid w:val="776C91C8"/>
    <w:rsid w:val="777616A6"/>
    <w:rsid w:val="7778A5A8"/>
    <w:rsid w:val="777A231D"/>
    <w:rsid w:val="777E338B"/>
    <w:rsid w:val="77828189"/>
    <w:rsid w:val="779935FC"/>
    <w:rsid w:val="779B7BE2"/>
    <w:rsid w:val="779EC311"/>
    <w:rsid w:val="77A873D2"/>
    <w:rsid w:val="77DDA0D7"/>
    <w:rsid w:val="77EBAF0D"/>
    <w:rsid w:val="77EF8E41"/>
    <w:rsid w:val="77EF9BA5"/>
    <w:rsid w:val="77F46026"/>
    <w:rsid w:val="77F6EA4E"/>
    <w:rsid w:val="77F9794D"/>
    <w:rsid w:val="77FB8410"/>
    <w:rsid w:val="77FDCE65"/>
    <w:rsid w:val="77FF2BEB"/>
    <w:rsid w:val="780061E8"/>
    <w:rsid w:val="7806C44B"/>
    <w:rsid w:val="780A74BB"/>
    <w:rsid w:val="781A4097"/>
    <w:rsid w:val="781C3B26"/>
    <w:rsid w:val="781D07A4"/>
    <w:rsid w:val="781DCDE5"/>
    <w:rsid w:val="7821EA09"/>
    <w:rsid w:val="782B7B3F"/>
    <w:rsid w:val="78361966"/>
    <w:rsid w:val="783A45CC"/>
    <w:rsid w:val="783D663A"/>
    <w:rsid w:val="7847A805"/>
    <w:rsid w:val="78484A96"/>
    <w:rsid w:val="784B82D3"/>
    <w:rsid w:val="784BA933"/>
    <w:rsid w:val="784CB524"/>
    <w:rsid w:val="78528A5C"/>
    <w:rsid w:val="7854B378"/>
    <w:rsid w:val="78613B71"/>
    <w:rsid w:val="7861EC52"/>
    <w:rsid w:val="78697426"/>
    <w:rsid w:val="78844302"/>
    <w:rsid w:val="788E16B6"/>
    <w:rsid w:val="7895CB52"/>
    <w:rsid w:val="78AC41C6"/>
    <w:rsid w:val="78AC9B3B"/>
    <w:rsid w:val="78AC9FE1"/>
    <w:rsid w:val="78B0A2D6"/>
    <w:rsid w:val="78C4F2D2"/>
    <w:rsid w:val="78D179A3"/>
    <w:rsid w:val="78D49BAF"/>
    <w:rsid w:val="78D56EBC"/>
    <w:rsid w:val="78DA471D"/>
    <w:rsid w:val="78ECD642"/>
    <w:rsid w:val="78ECD6FE"/>
    <w:rsid w:val="78EF2FDF"/>
    <w:rsid w:val="78F145BF"/>
    <w:rsid w:val="78F8CA6E"/>
    <w:rsid w:val="79113289"/>
    <w:rsid w:val="791D8E7B"/>
    <w:rsid w:val="79222C1A"/>
    <w:rsid w:val="7926847A"/>
    <w:rsid w:val="79283467"/>
    <w:rsid w:val="79291091"/>
    <w:rsid w:val="79301F00"/>
    <w:rsid w:val="793267C6"/>
    <w:rsid w:val="7932CA57"/>
    <w:rsid w:val="79339814"/>
    <w:rsid w:val="7940A4C1"/>
    <w:rsid w:val="79498148"/>
    <w:rsid w:val="794B4577"/>
    <w:rsid w:val="794C4008"/>
    <w:rsid w:val="7959A1BC"/>
    <w:rsid w:val="79636364"/>
    <w:rsid w:val="7966603C"/>
    <w:rsid w:val="796D1119"/>
    <w:rsid w:val="79750A52"/>
    <w:rsid w:val="7977F709"/>
    <w:rsid w:val="797A6849"/>
    <w:rsid w:val="797BDD37"/>
    <w:rsid w:val="797E80EC"/>
    <w:rsid w:val="7983C579"/>
    <w:rsid w:val="79858818"/>
    <w:rsid w:val="79925A75"/>
    <w:rsid w:val="79940752"/>
    <w:rsid w:val="79987BDB"/>
    <w:rsid w:val="799911D8"/>
    <w:rsid w:val="799C75D6"/>
    <w:rsid w:val="799E4D07"/>
    <w:rsid w:val="79A10BD5"/>
    <w:rsid w:val="79A3A01E"/>
    <w:rsid w:val="79A84ED4"/>
    <w:rsid w:val="79B3B2DD"/>
    <w:rsid w:val="79B68421"/>
    <w:rsid w:val="79C49EA7"/>
    <w:rsid w:val="79D2CE11"/>
    <w:rsid w:val="79D5C690"/>
    <w:rsid w:val="79D7E0FA"/>
    <w:rsid w:val="79DE77F8"/>
    <w:rsid w:val="79E0BE93"/>
    <w:rsid w:val="79EEB730"/>
    <w:rsid w:val="79EFB5F2"/>
    <w:rsid w:val="79FB153D"/>
    <w:rsid w:val="79FDF927"/>
    <w:rsid w:val="79FF5027"/>
    <w:rsid w:val="7A04110A"/>
    <w:rsid w:val="7A05F631"/>
    <w:rsid w:val="7A08D5E9"/>
    <w:rsid w:val="7A1C1D34"/>
    <w:rsid w:val="7A21E3A2"/>
    <w:rsid w:val="7A23D308"/>
    <w:rsid w:val="7A299792"/>
    <w:rsid w:val="7A2A750E"/>
    <w:rsid w:val="7A31BBEA"/>
    <w:rsid w:val="7A38CCDA"/>
    <w:rsid w:val="7A39E587"/>
    <w:rsid w:val="7A4BF0E1"/>
    <w:rsid w:val="7A558EBA"/>
    <w:rsid w:val="7A5ACEB6"/>
    <w:rsid w:val="7A5CE0CC"/>
    <w:rsid w:val="7A666124"/>
    <w:rsid w:val="7A6850D8"/>
    <w:rsid w:val="7A6E263B"/>
    <w:rsid w:val="7A73FFD0"/>
    <w:rsid w:val="7A79DECB"/>
    <w:rsid w:val="7A7F01DC"/>
    <w:rsid w:val="7A91CBFB"/>
    <w:rsid w:val="7A948C58"/>
    <w:rsid w:val="7A96E028"/>
    <w:rsid w:val="7A9CFD84"/>
    <w:rsid w:val="7A9D2A98"/>
    <w:rsid w:val="7AA5CC93"/>
    <w:rsid w:val="7ABAE204"/>
    <w:rsid w:val="7ABD2360"/>
    <w:rsid w:val="7ABD27B2"/>
    <w:rsid w:val="7ACE8600"/>
    <w:rsid w:val="7AD86BA8"/>
    <w:rsid w:val="7ADEC371"/>
    <w:rsid w:val="7ADF4F7D"/>
    <w:rsid w:val="7AE083BC"/>
    <w:rsid w:val="7AE37FF5"/>
    <w:rsid w:val="7AE4DCAD"/>
    <w:rsid w:val="7AE66189"/>
    <w:rsid w:val="7AF1BEAA"/>
    <w:rsid w:val="7AFE7127"/>
    <w:rsid w:val="7B05F01B"/>
    <w:rsid w:val="7B065FF6"/>
    <w:rsid w:val="7B0DF2EC"/>
    <w:rsid w:val="7B12C6CD"/>
    <w:rsid w:val="7B1BD455"/>
    <w:rsid w:val="7B25B5F4"/>
    <w:rsid w:val="7B25D851"/>
    <w:rsid w:val="7B2A1797"/>
    <w:rsid w:val="7B2E4E60"/>
    <w:rsid w:val="7B2F2835"/>
    <w:rsid w:val="7B3ABB74"/>
    <w:rsid w:val="7B3AE0A5"/>
    <w:rsid w:val="7B3C09ED"/>
    <w:rsid w:val="7B54941E"/>
    <w:rsid w:val="7B54D6C8"/>
    <w:rsid w:val="7B5569B4"/>
    <w:rsid w:val="7B5DCE4C"/>
    <w:rsid w:val="7B623670"/>
    <w:rsid w:val="7B64DED1"/>
    <w:rsid w:val="7B692EEC"/>
    <w:rsid w:val="7B6DC44A"/>
    <w:rsid w:val="7B6F0A9A"/>
    <w:rsid w:val="7B73E5A2"/>
    <w:rsid w:val="7B85D53A"/>
    <w:rsid w:val="7B88CAEF"/>
    <w:rsid w:val="7B8AFE10"/>
    <w:rsid w:val="7B8E5662"/>
    <w:rsid w:val="7B9112DD"/>
    <w:rsid w:val="7B96B043"/>
    <w:rsid w:val="7B998BB8"/>
    <w:rsid w:val="7B9DA44C"/>
    <w:rsid w:val="7BAA48C1"/>
    <w:rsid w:val="7BADAED5"/>
    <w:rsid w:val="7BB38D5C"/>
    <w:rsid w:val="7BBB2B7E"/>
    <w:rsid w:val="7BC27417"/>
    <w:rsid w:val="7BD2EDCF"/>
    <w:rsid w:val="7BD4A06B"/>
    <w:rsid w:val="7BE97611"/>
    <w:rsid w:val="7BEFC4C8"/>
    <w:rsid w:val="7BF02E53"/>
    <w:rsid w:val="7BF325D4"/>
    <w:rsid w:val="7BF92FDA"/>
    <w:rsid w:val="7BFC671E"/>
    <w:rsid w:val="7C0BAB93"/>
    <w:rsid w:val="7C0C027C"/>
    <w:rsid w:val="7C104FA5"/>
    <w:rsid w:val="7C1194E4"/>
    <w:rsid w:val="7C14ACAB"/>
    <w:rsid w:val="7C15FF96"/>
    <w:rsid w:val="7C166D83"/>
    <w:rsid w:val="7C1AE747"/>
    <w:rsid w:val="7C1DE9A7"/>
    <w:rsid w:val="7C203E16"/>
    <w:rsid w:val="7C239E9F"/>
    <w:rsid w:val="7C23E6E6"/>
    <w:rsid w:val="7C277104"/>
    <w:rsid w:val="7C281D64"/>
    <w:rsid w:val="7C2FA9C8"/>
    <w:rsid w:val="7C35D461"/>
    <w:rsid w:val="7C3B0A8B"/>
    <w:rsid w:val="7C4099C7"/>
    <w:rsid w:val="7C434590"/>
    <w:rsid w:val="7C47AF06"/>
    <w:rsid w:val="7C51F327"/>
    <w:rsid w:val="7C57CAC3"/>
    <w:rsid w:val="7C580A81"/>
    <w:rsid w:val="7C58D9BE"/>
    <w:rsid w:val="7C596396"/>
    <w:rsid w:val="7C653A1A"/>
    <w:rsid w:val="7C6D6C82"/>
    <w:rsid w:val="7C6F766F"/>
    <w:rsid w:val="7C701F01"/>
    <w:rsid w:val="7C7B4FE8"/>
    <w:rsid w:val="7C7B5730"/>
    <w:rsid w:val="7C7D1D7A"/>
    <w:rsid w:val="7C7DC2EF"/>
    <w:rsid w:val="7C803677"/>
    <w:rsid w:val="7C8733E1"/>
    <w:rsid w:val="7C9513D1"/>
    <w:rsid w:val="7C99309B"/>
    <w:rsid w:val="7C9C45C4"/>
    <w:rsid w:val="7C9EF815"/>
    <w:rsid w:val="7CA548C3"/>
    <w:rsid w:val="7CAB3BB9"/>
    <w:rsid w:val="7CABD492"/>
    <w:rsid w:val="7CAD9F9C"/>
    <w:rsid w:val="7CB0DC25"/>
    <w:rsid w:val="7CB31DC0"/>
    <w:rsid w:val="7CBA2427"/>
    <w:rsid w:val="7CBE5DC4"/>
    <w:rsid w:val="7CBF36A9"/>
    <w:rsid w:val="7CC14EDA"/>
    <w:rsid w:val="7CCA0A16"/>
    <w:rsid w:val="7CE188FD"/>
    <w:rsid w:val="7CE66B3B"/>
    <w:rsid w:val="7CE9B6B2"/>
    <w:rsid w:val="7CEA60B1"/>
    <w:rsid w:val="7CEAB292"/>
    <w:rsid w:val="7CF833F7"/>
    <w:rsid w:val="7CFAEACD"/>
    <w:rsid w:val="7CFB3838"/>
    <w:rsid w:val="7D037117"/>
    <w:rsid w:val="7D0E6C27"/>
    <w:rsid w:val="7D134667"/>
    <w:rsid w:val="7D15036A"/>
    <w:rsid w:val="7D20A13A"/>
    <w:rsid w:val="7D2642E1"/>
    <w:rsid w:val="7D2A145D"/>
    <w:rsid w:val="7D45B6E0"/>
    <w:rsid w:val="7D4E3900"/>
    <w:rsid w:val="7D4ED555"/>
    <w:rsid w:val="7D50AAD3"/>
    <w:rsid w:val="7D548A95"/>
    <w:rsid w:val="7D56ACAA"/>
    <w:rsid w:val="7D5ACD43"/>
    <w:rsid w:val="7D6FFC84"/>
    <w:rsid w:val="7D7FBB42"/>
    <w:rsid w:val="7D8ADA26"/>
    <w:rsid w:val="7D905F1B"/>
    <w:rsid w:val="7D92AD3E"/>
    <w:rsid w:val="7D97600E"/>
    <w:rsid w:val="7D9AC916"/>
    <w:rsid w:val="7DA18C41"/>
    <w:rsid w:val="7DA9FE60"/>
    <w:rsid w:val="7DAF9EEF"/>
    <w:rsid w:val="7DB0DE7B"/>
    <w:rsid w:val="7DB22C92"/>
    <w:rsid w:val="7DB43A99"/>
    <w:rsid w:val="7DB5C0A0"/>
    <w:rsid w:val="7DBA49E7"/>
    <w:rsid w:val="7DBD58AE"/>
    <w:rsid w:val="7DBF127C"/>
    <w:rsid w:val="7DC0F6E2"/>
    <w:rsid w:val="7DC2A4FA"/>
    <w:rsid w:val="7DC4E7E9"/>
    <w:rsid w:val="7DCB4411"/>
    <w:rsid w:val="7DCEDA18"/>
    <w:rsid w:val="7DD0DFD9"/>
    <w:rsid w:val="7DDDD5E1"/>
    <w:rsid w:val="7E0032FB"/>
    <w:rsid w:val="7E01AE7F"/>
    <w:rsid w:val="7E129E7E"/>
    <w:rsid w:val="7E12A845"/>
    <w:rsid w:val="7E159011"/>
    <w:rsid w:val="7E160251"/>
    <w:rsid w:val="7E22547D"/>
    <w:rsid w:val="7E294527"/>
    <w:rsid w:val="7E3FDE77"/>
    <w:rsid w:val="7E4E747B"/>
    <w:rsid w:val="7E5CB673"/>
    <w:rsid w:val="7E65345E"/>
    <w:rsid w:val="7E6C4D7D"/>
    <w:rsid w:val="7E6C5AF5"/>
    <w:rsid w:val="7E6EAAE9"/>
    <w:rsid w:val="7E70E843"/>
    <w:rsid w:val="7E74511E"/>
    <w:rsid w:val="7E74C3C1"/>
    <w:rsid w:val="7E76EEF7"/>
    <w:rsid w:val="7E775EED"/>
    <w:rsid w:val="7E819CD1"/>
    <w:rsid w:val="7E825BE7"/>
    <w:rsid w:val="7E84097A"/>
    <w:rsid w:val="7E881501"/>
    <w:rsid w:val="7E896F70"/>
    <w:rsid w:val="7E98F518"/>
    <w:rsid w:val="7E994A83"/>
    <w:rsid w:val="7E9D827A"/>
    <w:rsid w:val="7EA68B85"/>
    <w:rsid w:val="7EA9F370"/>
    <w:rsid w:val="7EB3E7AF"/>
    <w:rsid w:val="7EB99417"/>
    <w:rsid w:val="7EC53BC5"/>
    <w:rsid w:val="7ECAEF9A"/>
    <w:rsid w:val="7ECFFFCA"/>
    <w:rsid w:val="7ED180B2"/>
    <w:rsid w:val="7ED3E4D1"/>
    <w:rsid w:val="7EDDA9EA"/>
    <w:rsid w:val="7EDEFA2B"/>
    <w:rsid w:val="7EDF7311"/>
    <w:rsid w:val="7EE10E95"/>
    <w:rsid w:val="7EE17C4D"/>
    <w:rsid w:val="7EE2776B"/>
    <w:rsid w:val="7EEBA940"/>
    <w:rsid w:val="7EF0B169"/>
    <w:rsid w:val="7EF270E1"/>
    <w:rsid w:val="7EF33E22"/>
    <w:rsid w:val="7EFF9A24"/>
    <w:rsid w:val="7F0311C9"/>
    <w:rsid w:val="7F04AD52"/>
    <w:rsid w:val="7F1BDAAE"/>
    <w:rsid w:val="7F1C25C3"/>
    <w:rsid w:val="7F24C9AE"/>
    <w:rsid w:val="7F306026"/>
    <w:rsid w:val="7F31C2A7"/>
    <w:rsid w:val="7F337C0E"/>
    <w:rsid w:val="7F374923"/>
    <w:rsid w:val="7F37668E"/>
    <w:rsid w:val="7F392090"/>
    <w:rsid w:val="7F48322A"/>
    <w:rsid w:val="7F4ACD12"/>
    <w:rsid w:val="7F4BEE21"/>
    <w:rsid w:val="7F4CFCF0"/>
    <w:rsid w:val="7F4F25C7"/>
    <w:rsid w:val="7F5189E5"/>
    <w:rsid w:val="7F596B43"/>
    <w:rsid w:val="7F5C4370"/>
    <w:rsid w:val="7F5DF908"/>
    <w:rsid w:val="7F612C7B"/>
    <w:rsid w:val="7F613F15"/>
    <w:rsid w:val="7F71CEAE"/>
    <w:rsid w:val="7F75592A"/>
    <w:rsid w:val="7F906293"/>
    <w:rsid w:val="7F9164D9"/>
    <w:rsid w:val="7F91D5B6"/>
    <w:rsid w:val="7F99A3A6"/>
    <w:rsid w:val="7F9ED7F1"/>
    <w:rsid w:val="7FA6E1A7"/>
    <w:rsid w:val="7FA74C51"/>
    <w:rsid w:val="7FA85FB6"/>
    <w:rsid w:val="7FA9AB22"/>
    <w:rsid w:val="7FABEEF9"/>
    <w:rsid w:val="7FACDC35"/>
    <w:rsid w:val="7FADFBF6"/>
    <w:rsid w:val="7FB811C8"/>
    <w:rsid w:val="7FBCAF6D"/>
    <w:rsid w:val="7FDCE77D"/>
    <w:rsid w:val="7FE2D543"/>
    <w:rsid w:val="7FE4744A"/>
    <w:rsid w:val="7FF14588"/>
    <w:rsid w:val="7FF4BC57"/>
    <w:rsid w:val="7FF764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895FD4"/>
  <w15:docId w15:val="{212F470E-122F-4D3B-93E5-59A2E8D4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uiPriority="0"/>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0"/>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22"/>
      </w:numPr>
      <w:spacing w:before="240"/>
      <w:outlineLvl w:val="0"/>
    </w:pPr>
    <w:rPr>
      <w:b/>
      <w:smallCaps/>
    </w:rPr>
  </w:style>
  <w:style w:type="paragraph" w:styleId="Heading2">
    <w:name w:val="heading 2"/>
    <w:basedOn w:val="Normal"/>
    <w:next w:val="Text2"/>
    <w:uiPriority w:val="10"/>
    <w:qFormat/>
    <w:pPr>
      <w:keepNext/>
      <w:numPr>
        <w:ilvl w:val="1"/>
        <w:numId w:val="22"/>
      </w:numPr>
      <w:outlineLvl w:val="1"/>
    </w:pPr>
    <w:rPr>
      <w:b/>
    </w:rPr>
  </w:style>
  <w:style w:type="paragraph" w:styleId="Heading3">
    <w:name w:val="heading 3"/>
    <w:basedOn w:val="Normal"/>
    <w:next w:val="Text3"/>
    <w:uiPriority w:val="10"/>
    <w:qFormat/>
    <w:pPr>
      <w:keepNext/>
      <w:numPr>
        <w:ilvl w:val="2"/>
        <w:numId w:val="22"/>
      </w:numPr>
      <w:outlineLvl w:val="2"/>
    </w:pPr>
    <w:rPr>
      <w:i/>
    </w:rPr>
  </w:style>
  <w:style w:type="paragraph" w:styleId="Heading4">
    <w:name w:val="heading 4"/>
    <w:basedOn w:val="Normal"/>
    <w:next w:val="Text4"/>
    <w:uiPriority w:val="10"/>
    <w:qFormat/>
    <w:pPr>
      <w:keepNext/>
      <w:numPr>
        <w:ilvl w:val="3"/>
        <w:numId w:val="22"/>
      </w:numPr>
      <w:outlineLvl w:val="3"/>
    </w:pPr>
  </w:style>
  <w:style w:type="paragraph" w:styleId="Heading5">
    <w:name w:val="heading 5"/>
    <w:basedOn w:val="Normal"/>
    <w:next w:val="Normal"/>
    <w:semiHidden/>
    <w:pPr>
      <w:keepNext/>
      <w:numPr>
        <w:ilvl w:val="4"/>
        <w:numId w:val="22"/>
      </w:numPr>
      <w:outlineLvl w:val="4"/>
    </w:pPr>
  </w:style>
  <w:style w:type="paragraph" w:styleId="Heading6">
    <w:name w:val="heading 6"/>
    <w:basedOn w:val="Normal"/>
    <w:next w:val="Normal"/>
    <w:semiHidden/>
    <w:pPr>
      <w:keepNext/>
      <w:numPr>
        <w:ilvl w:val="5"/>
        <w:numId w:val="22"/>
      </w:numPr>
      <w:outlineLvl w:val="5"/>
    </w:pPr>
  </w:style>
  <w:style w:type="paragraph" w:styleId="Heading7">
    <w:name w:val="heading 7"/>
    <w:basedOn w:val="Normal"/>
    <w:next w:val="Normal"/>
    <w:semiHidden/>
    <w:pPr>
      <w:keepNext/>
      <w:numPr>
        <w:ilvl w:val="6"/>
        <w:numId w:val="22"/>
      </w:numPr>
      <w:outlineLvl w:val="6"/>
    </w:pPr>
  </w:style>
  <w:style w:type="paragraph" w:styleId="Heading8">
    <w:name w:val="heading 8"/>
    <w:basedOn w:val="Normal"/>
    <w:next w:val="Normal"/>
    <w:semiHidden/>
    <w:pPr>
      <w:keepNext/>
      <w:numPr>
        <w:ilvl w:val="7"/>
        <w:numId w:val="22"/>
      </w:numPr>
      <w:outlineLvl w:val="7"/>
    </w:pPr>
  </w:style>
  <w:style w:type="paragraph" w:styleId="Heading9">
    <w:name w:val="heading 9"/>
    <w:basedOn w:val="Normal"/>
    <w:next w:val="Normal"/>
    <w:semiHidden/>
    <w:pPr>
      <w:keepNext/>
      <w:numPr>
        <w:ilvl w:val="8"/>
        <w:numId w:val="2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E"/>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5"/>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4"/>
      </w:numPr>
    </w:pPr>
  </w:style>
  <w:style w:type="paragraph" w:customStyle="1" w:styleId="ContNumLevel2">
    <w:name w:val="ContNum (Level 2)"/>
    <w:basedOn w:val="Normal"/>
    <w:uiPriority w:val="20"/>
    <w:pPr>
      <w:numPr>
        <w:ilvl w:val="1"/>
        <w:numId w:val="24"/>
      </w:numPr>
    </w:pPr>
  </w:style>
  <w:style w:type="paragraph" w:customStyle="1" w:styleId="ContNumLevel3">
    <w:name w:val="ContNum (Level 3)"/>
    <w:basedOn w:val="Normal"/>
    <w:uiPriority w:val="20"/>
    <w:pPr>
      <w:numPr>
        <w:ilvl w:val="2"/>
        <w:numId w:val="24"/>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ootnote Text Char1 Char,Footnote Text Char Char Char,Footnote Text Char1 Char Char Char,Footnote Text Char Char Char Char Char,Footnote Text Char1 Char1 Char,Footnote Text Char Char Char1 Char,single space,fn,ft,Fußnote,Char,footnote text"/>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E247CA"/>
    <w:pPr>
      <w:numPr>
        <w:numId w:val="23"/>
      </w:numPr>
    </w:pPr>
  </w:style>
  <w:style w:type="paragraph" w:customStyle="1" w:styleId="LegalNumPar2">
    <w:name w:val="LegalNumPar2"/>
    <w:basedOn w:val="Normal"/>
    <w:uiPriority w:val="20"/>
    <w:rsid w:val="00373EC3"/>
    <w:pPr>
      <w:numPr>
        <w:ilvl w:val="1"/>
        <w:numId w:val="23"/>
      </w:numPr>
      <w:spacing w:line="360" w:lineRule="auto"/>
    </w:pPr>
  </w:style>
  <w:style w:type="paragraph" w:customStyle="1" w:styleId="LegalNumPar3">
    <w:name w:val="LegalNumPar3"/>
    <w:basedOn w:val="Normal"/>
    <w:uiPriority w:val="20"/>
    <w:rsid w:val="00373EC3"/>
    <w:pPr>
      <w:numPr>
        <w:ilvl w:val="2"/>
        <w:numId w:val="23"/>
      </w:numPr>
      <w:spacing w:line="360" w:lineRule="auto"/>
    </w:pPr>
  </w:style>
  <w:style w:type="paragraph" w:styleId="ListBullet">
    <w:name w:val="List Bullet"/>
    <w:basedOn w:val="Normal"/>
    <w:uiPriority w:val="35"/>
    <w:pPr>
      <w:numPr>
        <w:numId w:val="21"/>
      </w:numPr>
    </w:pPr>
  </w:style>
  <w:style w:type="paragraph" w:customStyle="1" w:styleId="ListBulletLevel2">
    <w:name w:val="List Bullet (Level 2)"/>
    <w:basedOn w:val="Normal"/>
    <w:uiPriority w:val="35"/>
    <w:semiHidden/>
    <w:unhideWhenUsed/>
    <w:pPr>
      <w:numPr>
        <w:ilvl w:val="1"/>
        <w:numId w:val="21"/>
      </w:numPr>
    </w:pPr>
  </w:style>
  <w:style w:type="paragraph" w:customStyle="1" w:styleId="ListBulletLevel3">
    <w:name w:val="List Bullet (Level 3)"/>
    <w:basedOn w:val="Normal"/>
    <w:uiPriority w:val="35"/>
    <w:semiHidden/>
    <w:unhideWhenUsed/>
    <w:pPr>
      <w:numPr>
        <w:ilvl w:val="2"/>
        <w:numId w:val="21"/>
      </w:numPr>
    </w:pPr>
  </w:style>
  <w:style w:type="paragraph" w:customStyle="1" w:styleId="ListBulletLevel4">
    <w:name w:val="List Bullet (Level 4)"/>
    <w:basedOn w:val="Normal"/>
    <w:uiPriority w:val="35"/>
    <w:semiHidden/>
    <w:unhideWhenUsed/>
    <w:pPr>
      <w:numPr>
        <w:ilvl w:val="3"/>
        <w:numId w:val="21"/>
      </w:numPr>
    </w:pPr>
  </w:style>
  <w:style w:type="paragraph" w:customStyle="1" w:styleId="ListBullet1">
    <w:name w:val="List Bullet 1"/>
    <w:basedOn w:val="Text1"/>
    <w:uiPriority w:val="35"/>
    <w:pPr>
      <w:numPr>
        <w:numId w:val="20"/>
      </w:numPr>
    </w:pPr>
  </w:style>
  <w:style w:type="paragraph" w:customStyle="1" w:styleId="ListBullet1Level2">
    <w:name w:val="List Bullet 1 (Level 2)"/>
    <w:basedOn w:val="Text1"/>
    <w:uiPriority w:val="35"/>
    <w:semiHidden/>
    <w:unhideWhenUsed/>
    <w:pPr>
      <w:numPr>
        <w:ilvl w:val="1"/>
        <w:numId w:val="20"/>
      </w:numPr>
    </w:pPr>
  </w:style>
  <w:style w:type="paragraph" w:customStyle="1" w:styleId="ListBullet1Level3">
    <w:name w:val="List Bullet 1 (Level 3)"/>
    <w:basedOn w:val="Text1"/>
    <w:uiPriority w:val="35"/>
    <w:semiHidden/>
    <w:unhideWhenUsed/>
    <w:pPr>
      <w:numPr>
        <w:ilvl w:val="2"/>
        <w:numId w:val="20"/>
      </w:numPr>
    </w:pPr>
  </w:style>
  <w:style w:type="paragraph" w:customStyle="1" w:styleId="ListBullet1Level4">
    <w:name w:val="List Bullet 1 (Level 4)"/>
    <w:basedOn w:val="Text1"/>
    <w:uiPriority w:val="35"/>
    <w:semiHidden/>
    <w:unhideWhenUsed/>
    <w:pPr>
      <w:numPr>
        <w:ilvl w:val="3"/>
        <w:numId w:val="20"/>
      </w:numPr>
    </w:pPr>
  </w:style>
  <w:style w:type="paragraph" w:styleId="ListBullet2">
    <w:name w:val="List Bullet 2"/>
    <w:basedOn w:val="Text2"/>
    <w:uiPriority w:val="35"/>
    <w:pPr>
      <w:numPr>
        <w:numId w:val="19"/>
      </w:numPr>
    </w:pPr>
  </w:style>
  <w:style w:type="paragraph" w:customStyle="1" w:styleId="ListBullet2Level2">
    <w:name w:val="List Bullet 2 (Level 2)"/>
    <w:basedOn w:val="Text2"/>
    <w:uiPriority w:val="35"/>
    <w:semiHidden/>
    <w:unhideWhenUsed/>
    <w:pPr>
      <w:numPr>
        <w:ilvl w:val="1"/>
        <w:numId w:val="19"/>
      </w:numPr>
    </w:pPr>
  </w:style>
  <w:style w:type="paragraph" w:customStyle="1" w:styleId="ListBullet2Level3">
    <w:name w:val="List Bullet 2 (Level 3)"/>
    <w:basedOn w:val="Text2"/>
    <w:uiPriority w:val="35"/>
    <w:semiHidden/>
    <w:unhideWhenUsed/>
    <w:pPr>
      <w:numPr>
        <w:ilvl w:val="2"/>
        <w:numId w:val="19"/>
      </w:numPr>
    </w:pPr>
  </w:style>
  <w:style w:type="paragraph" w:customStyle="1" w:styleId="ListBullet2Level4">
    <w:name w:val="List Bullet 2 (Level 4)"/>
    <w:basedOn w:val="Text2"/>
    <w:uiPriority w:val="35"/>
    <w:semiHidden/>
    <w:unhideWhenUsed/>
    <w:pPr>
      <w:numPr>
        <w:ilvl w:val="3"/>
        <w:numId w:val="19"/>
      </w:numPr>
    </w:pPr>
  </w:style>
  <w:style w:type="paragraph" w:styleId="ListBullet3">
    <w:name w:val="List Bullet 3"/>
    <w:basedOn w:val="Text3"/>
    <w:pPr>
      <w:numPr>
        <w:numId w:val="18"/>
      </w:numPr>
    </w:pPr>
  </w:style>
  <w:style w:type="paragraph" w:customStyle="1" w:styleId="ListBullet3Level2">
    <w:name w:val="List Bullet 3 (Level 2)"/>
    <w:basedOn w:val="Text3"/>
    <w:uiPriority w:val="35"/>
    <w:semiHidden/>
    <w:unhideWhenUsed/>
    <w:pPr>
      <w:numPr>
        <w:ilvl w:val="1"/>
        <w:numId w:val="18"/>
      </w:numPr>
    </w:pPr>
  </w:style>
  <w:style w:type="paragraph" w:customStyle="1" w:styleId="ListBullet3Level3">
    <w:name w:val="List Bullet 3 (Level 3)"/>
    <w:basedOn w:val="Text3"/>
    <w:uiPriority w:val="35"/>
    <w:semiHidden/>
    <w:unhideWhenUsed/>
    <w:pPr>
      <w:numPr>
        <w:ilvl w:val="2"/>
        <w:numId w:val="18"/>
      </w:numPr>
    </w:pPr>
  </w:style>
  <w:style w:type="paragraph" w:customStyle="1" w:styleId="ListBullet3Level4">
    <w:name w:val="List Bullet 3 (Level 4)"/>
    <w:basedOn w:val="Text3"/>
    <w:uiPriority w:val="35"/>
    <w:semiHidden/>
    <w:unhideWhenUsed/>
    <w:pPr>
      <w:numPr>
        <w:ilvl w:val="3"/>
        <w:numId w:val="18"/>
      </w:numPr>
    </w:pPr>
  </w:style>
  <w:style w:type="paragraph" w:styleId="ListBullet4">
    <w:name w:val="List Bullet 4"/>
    <w:basedOn w:val="Text4"/>
    <w:uiPriority w:val="35"/>
    <w:pPr>
      <w:numPr>
        <w:numId w:val="17"/>
      </w:numPr>
    </w:pPr>
  </w:style>
  <w:style w:type="paragraph" w:customStyle="1" w:styleId="ListBullet4Level2">
    <w:name w:val="List Bullet 4 (Level 2)"/>
    <w:basedOn w:val="Text4"/>
    <w:uiPriority w:val="35"/>
    <w:semiHidden/>
    <w:unhideWhenUsed/>
    <w:pPr>
      <w:numPr>
        <w:ilvl w:val="1"/>
        <w:numId w:val="17"/>
      </w:numPr>
    </w:pPr>
  </w:style>
  <w:style w:type="paragraph" w:customStyle="1" w:styleId="ListBullet4Level3">
    <w:name w:val="List Bullet 4 (Level 3)"/>
    <w:basedOn w:val="Text4"/>
    <w:uiPriority w:val="35"/>
    <w:semiHidden/>
    <w:unhideWhenUsed/>
    <w:pPr>
      <w:numPr>
        <w:ilvl w:val="2"/>
        <w:numId w:val="17"/>
      </w:numPr>
    </w:pPr>
  </w:style>
  <w:style w:type="paragraph" w:customStyle="1" w:styleId="ListBullet4Level4">
    <w:name w:val="List Bullet 4 (Level 4)"/>
    <w:basedOn w:val="Text4"/>
    <w:uiPriority w:val="35"/>
    <w:semiHidden/>
    <w:unhideWhenUsed/>
    <w:pPr>
      <w:numPr>
        <w:ilvl w:val="3"/>
        <w:numId w:val="17"/>
      </w:numPr>
    </w:pPr>
  </w:style>
  <w:style w:type="paragraph" w:customStyle="1" w:styleId="ListDash">
    <w:name w:val="List Dash"/>
    <w:basedOn w:val="Normal"/>
    <w:uiPriority w:val="35"/>
    <w:pPr>
      <w:numPr>
        <w:numId w:val="11"/>
      </w:numPr>
    </w:pPr>
  </w:style>
  <w:style w:type="paragraph" w:customStyle="1" w:styleId="ListDashLevel2">
    <w:name w:val="List Dash (Level 2)"/>
    <w:basedOn w:val="Normal"/>
    <w:semiHidden/>
    <w:unhideWhenUsed/>
    <w:pPr>
      <w:numPr>
        <w:ilvl w:val="1"/>
        <w:numId w:val="11"/>
      </w:numPr>
    </w:pPr>
  </w:style>
  <w:style w:type="paragraph" w:customStyle="1" w:styleId="ListDashLevel3">
    <w:name w:val="List Dash (Level 3)"/>
    <w:basedOn w:val="Normal"/>
    <w:semiHidden/>
    <w:unhideWhenUsed/>
    <w:pPr>
      <w:numPr>
        <w:ilvl w:val="2"/>
        <w:numId w:val="11"/>
      </w:numPr>
    </w:pPr>
  </w:style>
  <w:style w:type="paragraph" w:customStyle="1" w:styleId="ListDashLevel4">
    <w:name w:val="List Dash (Level 4)"/>
    <w:basedOn w:val="Normal"/>
    <w:semiHidden/>
    <w:unhideWhenUsed/>
    <w:pPr>
      <w:numPr>
        <w:ilvl w:val="3"/>
        <w:numId w:val="11"/>
      </w:numPr>
    </w:pPr>
  </w:style>
  <w:style w:type="paragraph" w:customStyle="1" w:styleId="ListDash1">
    <w:name w:val="List Dash 1"/>
    <w:basedOn w:val="Text1"/>
    <w:uiPriority w:val="35"/>
    <w:pPr>
      <w:numPr>
        <w:numId w:val="10"/>
      </w:numPr>
    </w:pPr>
  </w:style>
  <w:style w:type="paragraph" w:customStyle="1" w:styleId="ListDash1Level2">
    <w:name w:val="List Dash 1 (Level 2)"/>
    <w:basedOn w:val="Text1"/>
    <w:uiPriority w:val="35"/>
    <w:semiHidden/>
    <w:unhideWhenUsed/>
    <w:pPr>
      <w:numPr>
        <w:ilvl w:val="1"/>
        <w:numId w:val="10"/>
      </w:numPr>
    </w:pPr>
  </w:style>
  <w:style w:type="paragraph" w:customStyle="1" w:styleId="ListDash1Level3">
    <w:name w:val="List Dash 1 (Level 3)"/>
    <w:basedOn w:val="Text1"/>
    <w:uiPriority w:val="35"/>
    <w:semiHidden/>
    <w:unhideWhenUsed/>
    <w:pPr>
      <w:numPr>
        <w:ilvl w:val="2"/>
        <w:numId w:val="10"/>
      </w:numPr>
    </w:pPr>
  </w:style>
  <w:style w:type="paragraph" w:customStyle="1" w:styleId="ListDash1Level4">
    <w:name w:val="List Dash 1 (Level 4)"/>
    <w:basedOn w:val="Text1"/>
    <w:uiPriority w:val="35"/>
    <w:semiHidden/>
    <w:unhideWhenUsed/>
    <w:pPr>
      <w:numPr>
        <w:ilvl w:val="3"/>
        <w:numId w:val="10"/>
      </w:numPr>
    </w:pPr>
  </w:style>
  <w:style w:type="paragraph" w:customStyle="1" w:styleId="ListDash2">
    <w:name w:val="List Dash 2"/>
    <w:basedOn w:val="Text2"/>
    <w:uiPriority w:val="35"/>
    <w:pPr>
      <w:numPr>
        <w:numId w:val="9"/>
      </w:numPr>
    </w:pPr>
  </w:style>
  <w:style w:type="paragraph" w:customStyle="1" w:styleId="ListDash2Level2">
    <w:name w:val="List Dash 2 (Level 2)"/>
    <w:basedOn w:val="Text2"/>
    <w:uiPriority w:val="35"/>
    <w:semiHidden/>
    <w:unhideWhenUsed/>
    <w:pPr>
      <w:numPr>
        <w:ilvl w:val="1"/>
        <w:numId w:val="9"/>
      </w:numPr>
    </w:pPr>
  </w:style>
  <w:style w:type="paragraph" w:customStyle="1" w:styleId="ListDash2Level3">
    <w:name w:val="List Dash 2 (Level 3)"/>
    <w:basedOn w:val="Text2"/>
    <w:uiPriority w:val="35"/>
    <w:semiHidden/>
    <w:unhideWhenUsed/>
    <w:pPr>
      <w:numPr>
        <w:ilvl w:val="2"/>
        <w:numId w:val="9"/>
      </w:numPr>
    </w:pPr>
  </w:style>
  <w:style w:type="paragraph" w:customStyle="1" w:styleId="ListDash2Level4">
    <w:name w:val="List Dash 2 (Level 4)"/>
    <w:basedOn w:val="Text2"/>
    <w:uiPriority w:val="35"/>
    <w:semiHidden/>
    <w:unhideWhenUsed/>
    <w:pPr>
      <w:numPr>
        <w:ilvl w:val="3"/>
        <w:numId w:val="9"/>
      </w:numPr>
    </w:pPr>
  </w:style>
  <w:style w:type="paragraph" w:customStyle="1" w:styleId="ListDash3">
    <w:name w:val="List Dash 3"/>
    <w:basedOn w:val="Text3"/>
    <w:uiPriority w:val="35"/>
    <w:pPr>
      <w:numPr>
        <w:numId w:val="8"/>
      </w:numPr>
    </w:pPr>
  </w:style>
  <w:style w:type="paragraph" w:customStyle="1" w:styleId="ListDash3Level2">
    <w:name w:val="List Dash 3 (Level 2)"/>
    <w:basedOn w:val="Text3"/>
    <w:uiPriority w:val="35"/>
    <w:semiHidden/>
    <w:unhideWhenUsed/>
    <w:pPr>
      <w:numPr>
        <w:ilvl w:val="1"/>
        <w:numId w:val="8"/>
      </w:numPr>
    </w:pPr>
  </w:style>
  <w:style w:type="paragraph" w:customStyle="1" w:styleId="ListDash3Level3">
    <w:name w:val="List Dash 3 (Level 3)"/>
    <w:basedOn w:val="Text3"/>
    <w:uiPriority w:val="35"/>
    <w:semiHidden/>
    <w:unhideWhenUsed/>
    <w:pPr>
      <w:numPr>
        <w:ilvl w:val="2"/>
        <w:numId w:val="8"/>
      </w:numPr>
    </w:pPr>
  </w:style>
  <w:style w:type="paragraph" w:customStyle="1" w:styleId="ListDash3Level4">
    <w:name w:val="List Dash 3 (Level 4)"/>
    <w:basedOn w:val="Text3"/>
    <w:uiPriority w:val="35"/>
    <w:semiHidden/>
    <w:unhideWhenUsed/>
    <w:pPr>
      <w:numPr>
        <w:ilvl w:val="3"/>
        <w:numId w:val="8"/>
      </w:numPr>
    </w:pPr>
  </w:style>
  <w:style w:type="paragraph" w:customStyle="1" w:styleId="ListDash4">
    <w:name w:val="List Dash 4"/>
    <w:basedOn w:val="Text4"/>
    <w:uiPriority w:val="35"/>
    <w:pPr>
      <w:numPr>
        <w:numId w:val="7"/>
      </w:numPr>
    </w:pPr>
  </w:style>
  <w:style w:type="paragraph" w:customStyle="1" w:styleId="ListDash4Level2">
    <w:name w:val="List Dash 4 (Level 2)"/>
    <w:basedOn w:val="Text4"/>
    <w:uiPriority w:val="35"/>
    <w:semiHidden/>
    <w:unhideWhenUsed/>
    <w:pPr>
      <w:numPr>
        <w:ilvl w:val="1"/>
        <w:numId w:val="7"/>
      </w:numPr>
    </w:pPr>
  </w:style>
  <w:style w:type="paragraph" w:customStyle="1" w:styleId="ListDash4Level3">
    <w:name w:val="List Dash 4 (Level 3)"/>
    <w:basedOn w:val="Text4"/>
    <w:uiPriority w:val="35"/>
    <w:semiHidden/>
    <w:unhideWhenUsed/>
    <w:pPr>
      <w:numPr>
        <w:ilvl w:val="2"/>
        <w:numId w:val="7"/>
      </w:numPr>
    </w:pPr>
  </w:style>
  <w:style w:type="paragraph" w:customStyle="1" w:styleId="ListDash4Level4">
    <w:name w:val="List Dash 4 (Level 4)"/>
    <w:basedOn w:val="Text4"/>
    <w:uiPriority w:val="35"/>
    <w:semiHidden/>
    <w:unhideWhenUsed/>
    <w:pPr>
      <w:numPr>
        <w:ilvl w:val="3"/>
        <w:numId w:val="7"/>
      </w:numPr>
    </w:pPr>
  </w:style>
  <w:style w:type="paragraph" w:styleId="ListNumber">
    <w:name w:val="List Number"/>
    <w:basedOn w:val="Normal"/>
    <w:uiPriority w:val="30"/>
    <w:pPr>
      <w:numPr>
        <w:numId w:val="16"/>
      </w:numPr>
    </w:pPr>
  </w:style>
  <w:style w:type="paragraph" w:customStyle="1" w:styleId="ListNumberLevel2">
    <w:name w:val="List Number (Level 2)"/>
    <w:basedOn w:val="Normal"/>
    <w:uiPriority w:val="30"/>
    <w:pPr>
      <w:numPr>
        <w:ilvl w:val="1"/>
        <w:numId w:val="16"/>
      </w:numPr>
    </w:pPr>
  </w:style>
  <w:style w:type="paragraph" w:customStyle="1" w:styleId="ListNumberLevel3">
    <w:name w:val="List Number (Level 3)"/>
    <w:basedOn w:val="Normal"/>
    <w:uiPriority w:val="30"/>
    <w:pPr>
      <w:numPr>
        <w:ilvl w:val="2"/>
        <w:numId w:val="16"/>
      </w:numPr>
    </w:pPr>
  </w:style>
  <w:style w:type="paragraph" w:customStyle="1" w:styleId="ListNumberLevel4">
    <w:name w:val="List Number (Level 4)"/>
    <w:basedOn w:val="Normal"/>
    <w:uiPriority w:val="30"/>
    <w:pPr>
      <w:numPr>
        <w:ilvl w:val="3"/>
        <w:numId w:val="16"/>
      </w:numPr>
    </w:pPr>
  </w:style>
  <w:style w:type="paragraph" w:customStyle="1" w:styleId="ListNumber1">
    <w:name w:val="List Number 1"/>
    <w:basedOn w:val="Text1"/>
    <w:uiPriority w:val="30"/>
    <w:pPr>
      <w:numPr>
        <w:numId w:val="15"/>
      </w:numPr>
    </w:pPr>
  </w:style>
  <w:style w:type="paragraph" w:customStyle="1" w:styleId="ListNumber1Level2">
    <w:name w:val="List Number 1 (Level 2)"/>
    <w:basedOn w:val="Text1"/>
    <w:uiPriority w:val="30"/>
    <w:semiHidden/>
    <w:unhideWhenUsed/>
    <w:pPr>
      <w:numPr>
        <w:ilvl w:val="1"/>
        <w:numId w:val="15"/>
      </w:numPr>
    </w:pPr>
  </w:style>
  <w:style w:type="paragraph" w:customStyle="1" w:styleId="ListNumber1Level3">
    <w:name w:val="List Number 1 (Level 3)"/>
    <w:basedOn w:val="Text1"/>
    <w:uiPriority w:val="30"/>
    <w:semiHidden/>
    <w:unhideWhenUsed/>
    <w:pPr>
      <w:numPr>
        <w:ilvl w:val="2"/>
        <w:numId w:val="15"/>
      </w:numPr>
    </w:pPr>
  </w:style>
  <w:style w:type="paragraph" w:customStyle="1" w:styleId="ListNumber1Level4">
    <w:name w:val="List Number 1 (Level 4)"/>
    <w:basedOn w:val="Text1"/>
    <w:uiPriority w:val="30"/>
    <w:semiHidden/>
    <w:unhideWhenUsed/>
    <w:pPr>
      <w:numPr>
        <w:ilvl w:val="3"/>
        <w:numId w:val="15"/>
      </w:numPr>
    </w:pPr>
  </w:style>
  <w:style w:type="paragraph" w:styleId="ListNumber2">
    <w:name w:val="List Number 2"/>
    <w:basedOn w:val="Text2"/>
    <w:uiPriority w:val="30"/>
    <w:pPr>
      <w:numPr>
        <w:numId w:val="14"/>
      </w:numPr>
    </w:pPr>
  </w:style>
  <w:style w:type="paragraph" w:customStyle="1" w:styleId="ListNumber2Level2">
    <w:name w:val="List Number 2 (Level 2)"/>
    <w:basedOn w:val="Text2"/>
    <w:uiPriority w:val="30"/>
    <w:semiHidden/>
    <w:unhideWhenUsed/>
    <w:pPr>
      <w:numPr>
        <w:ilvl w:val="1"/>
        <w:numId w:val="14"/>
      </w:numPr>
    </w:pPr>
  </w:style>
  <w:style w:type="paragraph" w:customStyle="1" w:styleId="ListNumber2Level3">
    <w:name w:val="List Number 2 (Level 3)"/>
    <w:basedOn w:val="Text2"/>
    <w:uiPriority w:val="30"/>
    <w:semiHidden/>
    <w:unhideWhenUsed/>
    <w:pPr>
      <w:numPr>
        <w:ilvl w:val="2"/>
        <w:numId w:val="14"/>
      </w:numPr>
    </w:pPr>
  </w:style>
  <w:style w:type="paragraph" w:customStyle="1" w:styleId="ListNumber2Level4">
    <w:name w:val="List Number 2 (Level 4)"/>
    <w:basedOn w:val="Text2"/>
    <w:uiPriority w:val="30"/>
    <w:semiHidden/>
    <w:unhideWhenUsed/>
    <w:pPr>
      <w:numPr>
        <w:ilvl w:val="3"/>
        <w:numId w:val="14"/>
      </w:numPr>
    </w:pPr>
  </w:style>
  <w:style w:type="paragraph" w:styleId="ListNumber3">
    <w:name w:val="List Number 3"/>
    <w:basedOn w:val="Text3"/>
    <w:uiPriority w:val="30"/>
    <w:pPr>
      <w:numPr>
        <w:numId w:val="13"/>
      </w:numPr>
    </w:pPr>
  </w:style>
  <w:style w:type="paragraph" w:customStyle="1" w:styleId="ListNumber3Level2">
    <w:name w:val="List Number 3 (Level 2)"/>
    <w:basedOn w:val="Text3"/>
    <w:uiPriority w:val="30"/>
    <w:semiHidden/>
    <w:unhideWhenUsed/>
    <w:pPr>
      <w:numPr>
        <w:ilvl w:val="1"/>
        <w:numId w:val="13"/>
      </w:numPr>
    </w:pPr>
  </w:style>
  <w:style w:type="paragraph" w:customStyle="1" w:styleId="ListNumber3Level3">
    <w:name w:val="List Number 3 (Level 3)"/>
    <w:basedOn w:val="Text3"/>
    <w:uiPriority w:val="30"/>
    <w:semiHidden/>
    <w:unhideWhenUsed/>
    <w:pPr>
      <w:numPr>
        <w:ilvl w:val="2"/>
        <w:numId w:val="13"/>
      </w:numPr>
    </w:pPr>
  </w:style>
  <w:style w:type="paragraph" w:customStyle="1" w:styleId="ListNumber3Level4">
    <w:name w:val="List Number 3 (Level 4)"/>
    <w:basedOn w:val="Text3"/>
    <w:uiPriority w:val="30"/>
    <w:semiHidden/>
    <w:unhideWhenUsed/>
    <w:pPr>
      <w:numPr>
        <w:ilvl w:val="3"/>
        <w:numId w:val="13"/>
      </w:numPr>
    </w:pPr>
  </w:style>
  <w:style w:type="paragraph" w:styleId="ListNumber4">
    <w:name w:val="List Number 4"/>
    <w:basedOn w:val="Text4"/>
    <w:uiPriority w:val="30"/>
    <w:pPr>
      <w:numPr>
        <w:numId w:val="12"/>
      </w:numPr>
    </w:pPr>
  </w:style>
  <w:style w:type="paragraph" w:customStyle="1" w:styleId="ListNumber4Level2">
    <w:name w:val="List Number 4 (Level 2)"/>
    <w:basedOn w:val="Text4"/>
    <w:uiPriority w:val="30"/>
    <w:semiHidden/>
    <w:unhideWhenUsed/>
    <w:pPr>
      <w:numPr>
        <w:ilvl w:val="1"/>
        <w:numId w:val="12"/>
      </w:numPr>
    </w:pPr>
  </w:style>
  <w:style w:type="paragraph" w:customStyle="1" w:styleId="ListNumber4Level3">
    <w:name w:val="List Number 4 (Level 3)"/>
    <w:basedOn w:val="Text4"/>
    <w:uiPriority w:val="30"/>
    <w:semiHidden/>
    <w:unhideWhenUsed/>
    <w:pPr>
      <w:numPr>
        <w:ilvl w:val="2"/>
        <w:numId w:val="12"/>
      </w:numPr>
    </w:pPr>
  </w:style>
  <w:style w:type="paragraph" w:customStyle="1" w:styleId="ListNumber4Level4">
    <w:name w:val="List Number 4 (Level 4)"/>
    <w:basedOn w:val="Text4"/>
    <w:uiPriority w:val="30"/>
    <w:semiHidden/>
    <w:unhideWhenUsed/>
    <w:pPr>
      <w:numPr>
        <w:ilvl w:val="3"/>
        <w:numId w:val="12"/>
      </w:numPr>
    </w:pPr>
  </w:style>
  <w:style w:type="paragraph" w:customStyle="1" w:styleId="Marking">
    <w:name w:val="Marking"/>
    <w:basedOn w:val="Normal"/>
    <w:semiHidden/>
    <w:rsid w:val="001E1F73"/>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6"/>
      </w:numPr>
    </w:pPr>
  </w:style>
  <w:style w:type="paragraph" w:customStyle="1" w:styleId="TableListBulletLevel2">
    <w:name w:val="Table List Bullet (Level 2)"/>
    <w:basedOn w:val="TableText"/>
    <w:uiPriority w:val="55"/>
    <w:semiHidden/>
    <w:unhideWhenUsed/>
    <w:rsid w:val="004349F8"/>
    <w:pPr>
      <w:numPr>
        <w:ilvl w:val="1"/>
        <w:numId w:val="26"/>
      </w:numPr>
    </w:pPr>
  </w:style>
  <w:style w:type="paragraph" w:customStyle="1" w:styleId="TableListBulletLevel3">
    <w:name w:val="Table List Bullet (Level 3)"/>
    <w:basedOn w:val="TableText"/>
    <w:uiPriority w:val="55"/>
    <w:semiHidden/>
    <w:unhideWhenUsed/>
    <w:rsid w:val="004349F8"/>
    <w:pPr>
      <w:numPr>
        <w:ilvl w:val="2"/>
        <w:numId w:val="26"/>
      </w:numPr>
    </w:pPr>
  </w:style>
  <w:style w:type="paragraph" w:customStyle="1" w:styleId="TableListBulletLevel4">
    <w:name w:val="Table List Bullet (Level 4)"/>
    <w:basedOn w:val="TableText"/>
    <w:uiPriority w:val="55"/>
    <w:semiHidden/>
    <w:unhideWhenUsed/>
    <w:rsid w:val="004349F8"/>
    <w:pPr>
      <w:numPr>
        <w:ilvl w:val="3"/>
        <w:numId w:val="26"/>
      </w:numPr>
    </w:pPr>
  </w:style>
  <w:style w:type="paragraph" w:customStyle="1" w:styleId="TableListDash">
    <w:name w:val="Table List Dash"/>
    <w:basedOn w:val="TableText"/>
    <w:uiPriority w:val="55"/>
    <w:pPr>
      <w:numPr>
        <w:numId w:val="27"/>
      </w:numPr>
    </w:pPr>
  </w:style>
  <w:style w:type="paragraph" w:customStyle="1" w:styleId="TableListDashLevel2">
    <w:name w:val="Table List Dash (Level 2)"/>
    <w:basedOn w:val="TableText"/>
    <w:uiPriority w:val="55"/>
    <w:semiHidden/>
    <w:unhideWhenUsed/>
    <w:pPr>
      <w:numPr>
        <w:ilvl w:val="1"/>
        <w:numId w:val="27"/>
      </w:numPr>
    </w:pPr>
  </w:style>
  <w:style w:type="paragraph" w:customStyle="1" w:styleId="TableListDashLevel3">
    <w:name w:val="Table List Dash (Level 3)"/>
    <w:basedOn w:val="TableText"/>
    <w:uiPriority w:val="55"/>
    <w:semiHidden/>
    <w:unhideWhenUsed/>
    <w:pPr>
      <w:numPr>
        <w:ilvl w:val="2"/>
        <w:numId w:val="27"/>
      </w:numPr>
    </w:pPr>
  </w:style>
  <w:style w:type="paragraph" w:customStyle="1" w:styleId="TableListDashLevel4">
    <w:name w:val="Table List Dash (Level 4)"/>
    <w:basedOn w:val="TableText"/>
    <w:uiPriority w:val="55"/>
    <w:semiHidden/>
    <w:unhideWhenUsed/>
    <w:pPr>
      <w:numPr>
        <w:ilvl w:val="3"/>
        <w:numId w:val="27"/>
      </w:numPr>
    </w:pPr>
  </w:style>
  <w:style w:type="paragraph" w:customStyle="1" w:styleId="TableListNumber">
    <w:name w:val="Table List Number"/>
    <w:basedOn w:val="TableText"/>
    <w:uiPriority w:val="55"/>
    <w:pPr>
      <w:numPr>
        <w:numId w:val="28"/>
      </w:numPr>
    </w:pPr>
  </w:style>
  <w:style w:type="paragraph" w:customStyle="1" w:styleId="TableListNumberLevel2">
    <w:name w:val="Table List Number (Level 2)"/>
    <w:basedOn w:val="TableText"/>
    <w:uiPriority w:val="55"/>
    <w:semiHidden/>
    <w:unhideWhenUsed/>
    <w:pPr>
      <w:numPr>
        <w:ilvl w:val="1"/>
        <w:numId w:val="28"/>
      </w:numPr>
    </w:pPr>
  </w:style>
  <w:style w:type="paragraph" w:customStyle="1" w:styleId="TableListNumberLevel3">
    <w:name w:val="Table List Number (Level 3)"/>
    <w:basedOn w:val="TableText"/>
    <w:uiPriority w:val="55"/>
    <w:semiHidden/>
    <w:unhideWhenUsed/>
    <w:pPr>
      <w:numPr>
        <w:ilvl w:val="2"/>
        <w:numId w:val="28"/>
      </w:numPr>
    </w:pPr>
  </w:style>
  <w:style w:type="paragraph" w:customStyle="1" w:styleId="TableListNumberLevel4">
    <w:name w:val="Table List Number (Level 4)"/>
    <w:basedOn w:val="TableText"/>
    <w:uiPriority w:val="55"/>
    <w:semiHidden/>
    <w:unhideWhenUsed/>
    <w:pPr>
      <w:numPr>
        <w:ilvl w:val="3"/>
        <w:numId w:val="28"/>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rsid w:val="00365089"/>
    <w:pPr>
      <w:spacing w:before="60" w:after="60"/>
      <w:jc w:val="left"/>
    </w:pPr>
    <w:rPr>
      <w:sz w:val="20"/>
    </w:r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link w:val="Text1Char"/>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sid w:val="00373EC3"/>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unhideWhenUsed/>
    <w:rsid w:val="001E1F73"/>
    <w:rPr>
      <w:color w:val="467886" w:themeColor="hyperlink"/>
      <w:u w:val="single"/>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3,2"/>
    <w:basedOn w:val="Normal"/>
    <w:link w:val="ListParagraphChar"/>
    <w:uiPriority w:val="34"/>
    <w:qFormat/>
    <w:rsid w:val="000C5AC1"/>
    <w:pPr>
      <w:ind w:left="720"/>
      <w:contextualSpacing/>
    </w:pPr>
  </w:style>
  <w:style w:type="character" w:customStyle="1" w:styleId="UnresolvedMention">
    <w:name w:val="Unresolved Mention"/>
    <w:basedOn w:val="DefaultParagraphFont"/>
    <w:uiPriority w:val="99"/>
    <w:semiHidden/>
    <w:unhideWhenUsed/>
    <w:rsid w:val="00EE1DAA"/>
    <w:rPr>
      <w:color w:val="605E5C"/>
      <w:shd w:val="clear" w:color="auto" w:fill="E1DFDD"/>
    </w:rPr>
  </w:style>
  <w:style w:type="character" w:styleId="CommentReference">
    <w:name w:val="annotation reference"/>
    <w:basedOn w:val="DefaultParagraphFont"/>
    <w:uiPriority w:val="99"/>
    <w:rsid w:val="00F64AE8"/>
    <w:rPr>
      <w:sz w:val="16"/>
      <w:szCs w:val="16"/>
    </w:rPr>
  </w:style>
  <w:style w:type="paragraph" w:styleId="CommentText">
    <w:name w:val="annotation text"/>
    <w:basedOn w:val="Normal"/>
    <w:link w:val="CommentTextChar"/>
    <w:uiPriority w:val="99"/>
    <w:rsid w:val="00F64AE8"/>
    <w:rPr>
      <w:sz w:val="20"/>
    </w:rPr>
  </w:style>
  <w:style w:type="character" w:customStyle="1" w:styleId="CommentTextChar">
    <w:name w:val="Comment Text Char"/>
    <w:basedOn w:val="DefaultParagraphFont"/>
    <w:link w:val="CommentText"/>
    <w:uiPriority w:val="99"/>
    <w:rsid w:val="00F64AE8"/>
    <w:rPr>
      <w:sz w:val="20"/>
    </w:rPr>
  </w:style>
  <w:style w:type="paragraph" w:styleId="CommentSubject">
    <w:name w:val="annotation subject"/>
    <w:basedOn w:val="CommentText"/>
    <w:next w:val="CommentText"/>
    <w:link w:val="CommentSubjectChar"/>
    <w:uiPriority w:val="99"/>
    <w:semiHidden/>
    <w:rsid w:val="00F64AE8"/>
    <w:rPr>
      <w:b/>
      <w:bCs/>
    </w:rPr>
  </w:style>
  <w:style w:type="character" w:customStyle="1" w:styleId="CommentSubjectChar">
    <w:name w:val="Comment Subject Char"/>
    <w:basedOn w:val="CommentTextChar"/>
    <w:link w:val="CommentSubject"/>
    <w:uiPriority w:val="99"/>
    <w:semiHidden/>
    <w:rsid w:val="00F64AE8"/>
    <w:rPr>
      <w:b/>
      <w:bCs/>
      <w:sz w:val="20"/>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link w:val="ListParagraph"/>
    <w:uiPriority w:val="34"/>
    <w:qFormat/>
    <w:locked/>
    <w:rsid w:val="007E6A3A"/>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link w:val="FootnoteText"/>
    <w:uiPriority w:val="99"/>
    <w:rsid w:val="007E6A3A"/>
    <w:rPr>
      <w:sz w:val="20"/>
    </w:rPr>
  </w:style>
  <w:style w:type="paragraph" w:customStyle="1" w:styleId="Annotation">
    <w:name w:val="Annotation"/>
    <w:basedOn w:val="Text1"/>
    <w:link w:val="AnnotationChar"/>
    <w:qFormat/>
    <w:rsid w:val="006855B5"/>
    <w:pPr>
      <w:pBdr>
        <w:top w:val="single" w:sz="4" w:space="1" w:color="auto"/>
        <w:left w:val="single" w:sz="4" w:space="4" w:color="auto"/>
        <w:bottom w:val="single" w:sz="4" w:space="1" w:color="auto"/>
        <w:right w:val="single" w:sz="4" w:space="4" w:color="auto"/>
      </w:pBdr>
      <w:shd w:val="clear" w:color="auto" w:fill="F2F2F2" w:themeFill="background1" w:themeFillShade="F2"/>
      <w:ind w:left="0"/>
    </w:pPr>
    <w:rPr>
      <w:i/>
      <w:iCs/>
      <w:shd w:val="clear" w:color="auto" w:fill="F2F2F2" w:themeFill="background1" w:themeFillShade="F2"/>
    </w:rPr>
  </w:style>
  <w:style w:type="character" w:customStyle="1" w:styleId="Text1Char">
    <w:name w:val="Text 1 Char"/>
    <w:basedOn w:val="DefaultParagraphFont"/>
    <w:link w:val="Text1"/>
    <w:rsid w:val="006855B5"/>
  </w:style>
  <w:style w:type="character" w:customStyle="1" w:styleId="AnnotationChar">
    <w:name w:val="Annotation Char"/>
    <w:basedOn w:val="Text1Char"/>
    <w:link w:val="Annotation"/>
    <w:rsid w:val="006855B5"/>
    <w:rPr>
      <w:i/>
      <w:iCs/>
      <w:shd w:val="clear" w:color="auto" w:fill="F2F2F2" w:themeFill="background1" w:themeFillShade="F2"/>
    </w:rPr>
  </w:style>
  <w:style w:type="paragraph" w:styleId="Revision">
    <w:name w:val="Revision"/>
    <w:hidden/>
    <w:uiPriority w:val="99"/>
    <w:semiHidden/>
    <w:rsid w:val="00595D67"/>
  </w:style>
  <w:style w:type="paragraph" w:styleId="NormalWeb">
    <w:name w:val="Normal (Web)"/>
    <w:basedOn w:val="Normal"/>
    <w:uiPriority w:val="99"/>
    <w:semiHidden/>
    <w:rsid w:val="00EA20D1"/>
    <w:rPr>
      <w:szCs w:val="24"/>
    </w:rPr>
  </w:style>
  <w:style w:type="paragraph" w:customStyle="1" w:styleId="TextboxHeading">
    <w:name w:val="Textbox Heading"/>
    <w:basedOn w:val="Annotation"/>
    <w:link w:val="TextboxHeadingChar"/>
    <w:qFormat/>
    <w:rsid w:val="00D771BC"/>
    <w:rPr>
      <w:b/>
      <w:bCs/>
      <w:i w:val="0"/>
      <w:iCs w:val="0"/>
    </w:rPr>
  </w:style>
  <w:style w:type="character" w:customStyle="1" w:styleId="TextboxHeadingChar">
    <w:name w:val="Textbox Heading Char"/>
    <w:basedOn w:val="AnnotationChar"/>
    <w:link w:val="TextboxHeading"/>
    <w:rsid w:val="00D771BC"/>
    <w:rPr>
      <w:b/>
      <w:bCs/>
      <w:i w:val="0"/>
      <w:iCs w:val="0"/>
      <w:shd w:val="clear" w:color="auto" w:fill="F2F2F2" w:themeFill="background1" w:themeFillShade="F2"/>
    </w:rPr>
  </w:style>
  <w:style w:type="character" w:customStyle="1" w:styleId="Mention">
    <w:name w:val="Mention"/>
    <w:basedOn w:val="DefaultParagraphFont"/>
    <w:uiPriority w:val="99"/>
    <w:unhideWhenUsed/>
    <w:rsid w:val="00F509BB"/>
    <w:rPr>
      <w:color w:val="2B579A"/>
      <w:shd w:val="clear" w:color="auto" w:fill="E1DFDD"/>
    </w:rPr>
  </w:style>
  <w:style w:type="character" w:customStyle="1" w:styleId="FooterChar">
    <w:name w:val="Footer Char"/>
    <w:basedOn w:val="DefaultParagraphFont"/>
    <w:link w:val="Footer"/>
    <w:rsid w:val="00621A12"/>
    <w:rPr>
      <w:sz w:val="16"/>
    </w:rPr>
  </w:style>
  <w:style w:type="paragraph" w:customStyle="1" w:styleId="Textboxbodytext">
    <w:name w:val="Textbox body text"/>
    <w:basedOn w:val="Annotation"/>
    <w:link w:val="TextboxbodytextChar"/>
    <w:qFormat/>
    <w:rsid w:val="00253735"/>
    <w:rPr>
      <w:i w:val="0"/>
      <w:iCs w:val="0"/>
    </w:rPr>
  </w:style>
  <w:style w:type="character" w:customStyle="1" w:styleId="TextboxbodytextChar">
    <w:name w:val="Textbox body text Char"/>
    <w:basedOn w:val="AnnotationChar"/>
    <w:link w:val="Textboxbodytext"/>
    <w:rsid w:val="00253735"/>
    <w:rPr>
      <w:i w:val="0"/>
      <w:iCs w:val="0"/>
      <w:shd w:val="clear" w:color="auto" w:fill="F2F2F2" w:themeFill="background1" w:themeFillShade="F2"/>
    </w:rPr>
  </w:style>
  <w:style w:type="character" w:customStyle="1" w:styleId="Marker">
    <w:name w:val="Marker"/>
    <w:basedOn w:val="DefaultParagraphFont"/>
    <w:rsid w:val="00DD744C"/>
    <w:rPr>
      <w:color w:val="0000FF"/>
      <w:shd w:val="clear" w:color="auto" w:fill="auto"/>
    </w:rPr>
  </w:style>
  <w:style w:type="paragraph" w:customStyle="1" w:styleId="Pagedecouverture">
    <w:name w:val="Page de couverture"/>
    <w:basedOn w:val="Normal"/>
    <w:next w:val="Normal"/>
    <w:link w:val="PagedecouvertureChar"/>
    <w:rsid w:val="00DD744C"/>
    <w:pPr>
      <w:spacing w:after="0"/>
    </w:pPr>
    <w:rPr>
      <w:rFonts w:eastAsiaTheme="minorHAnsi"/>
      <w:szCs w:val="22"/>
      <w:lang w:eastAsia="en-US"/>
    </w:rPr>
  </w:style>
  <w:style w:type="paragraph" w:customStyle="1" w:styleId="FooterCoverPage">
    <w:name w:val="Footer Cover Page"/>
    <w:basedOn w:val="Normal"/>
    <w:link w:val="FooterCoverPageChar"/>
    <w:rsid w:val="00DD744C"/>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DD744C"/>
    <w:rPr>
      <w:rFonts w:eastAsiaTheme="minorHAnsi"/>
      <w:szCs w:val="22"/>
      <w:lang w:eastAsia="en-US"/>
    </w:rPr>
  </w:style>
  <w:style w:type="character" w:customStyle="1" w:styleId="FooterCoverPageChar">
    <w:name w:val="Footer Cover Page Char"/>
    <w:basedOn w:val="PagedecouvertureChar"/>
    <w:link w:val="FooterCoverPage"/>
    <w:rsid w:val="00DD744C"/>
    <w:rPr>
      <w:rFonts w:eastAsiaTheme="minorHAnsi"/>
      <w:szCs w:val="22"/>
      <w:lang w:eastAsia="en-US"/>
    </w:rPr>
  </w:style>
  <w:style w:type="paragraph" w:customStyle="1" w:styleId="FooterSensitivity">
    <w:name w:val="Footer Sensitivity"/>
    <w:basedOn w:val="Normal"/>
    <w:link w:val="FooterSensitivityChar"/>
    <w:rsid w:val="00DD74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DD744C"/>
    <w:rPr>
      <w:rFonts w:eastAsiaTheme="minorHAnsi"/>
      <w:b/>
      <w:sz w:val="32"/>
      <w:szCs w:val="22"/>
      <w:lang w:eastAsia="en-US"/>
    </w:rPr>
  </w:style>
  <w:style w:type="paragraph" w:customStyle="1" w:styleId="HeaderCoverPage">
    <w:name w:val="Header Cover Page"/>
    <w:basedOn w:val="Normal"/>
    <w:link w:val="HeaderCoverPageChar"/>
    <w:rsid w:val="00DD744C"/>
    <w:pPr>
      <w:tabs>
        <w:tab w:val="center" w:pos="4535"/>
        <w:tab w:val="right" w:pos="9071"/>
      </w:tabs>
      <w:spacing w:after="120"/>
    </w:pPr>
  </w:style>
  <w:style w:type="character" w:customStyle="1" w:styleId="HeaderCoverPageChar">
    <w:name w:val="Header Cover Page Char"/>
    <w:basedOn w:val="PagedecouvertureChar"/>
    <w:link w:val="HeaderCoverPage"/>
    <w:rsid w:val="00DD744C"/>
    <w:rPr>
      <w:rFonts w:eastAsiaTheme="minorHAnsi"/>
      <w:szCs w:val="22"/>
      <w:lang w:eastAsia="en-US"/>
    </w:rPr>
  </w:style>
  <w:style w:type="paragraph" w:customStyle="1" w:styleId="HeaderSensitivity">
    <w:name w:val="Header Sensitivity"/>
    <w:basedOn w:val="Normal"/>
    <w:link w:val="HeaderSensitivityChar"/>
    <w:rsid w:val="00DD744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D744C"/>
    <w:rPr>
      <w:rFonts w:eastAsiaTheme="minorHAnsi"/>
      <w:b/>
      <w:sz w:val="32"/>
      <w:szCs w:val="22"/>
      <w:lang w:eastAsia="en-US"/>
    </w:rPr>
  </w:style>
  <w:style w:type="paragraph" w:customStyle="1" w:styleId="HeaderSensitivityRight">
    <w:name w:val="Header Sensitivity Right"/>
    <w:basedOn w:val="Normal"/>
    <w:link w:val="HeaderSensitivityRightChar"/>
    <w:rsid w:val="00DD744C"/>
    <w:pPr>
      <w:spacing w:after="120"/>
      <w:jc w:val="right"/>
    </w:pPr>
    <w:rPr>
      <w:sz w:val="28"/>
    </w:rPr>
  </w:style>
  <w:style w:type="character" w:customStyle="1" w:styleId="HeaderSensitivityRightChar">
    <w:name w:val="Header Sensitivity Right Char"/>
    <w:basedOn w:val="PagedecouvertureChar"/>
    <w:link w:val="HeaderSensitivityRight"/>
    <w:rsid w:val="00DD744C"/>
    <w:rPr>
      <w:rFonts w:eastAsiaTheme="minorHAnsi"/>
      <w:sz w:val="28"/>
      <w:szCs w:val="22"/>
      <w:lang w:eastAsia="en-US"/>
    </w:rPr>
  </w:style>
  <w:style w:type="paragraph" w:customStyle="1" w:styleId="Normal1">
    <w:name w:val="Normal1"/>
    <w:basedOn w:val="Normal"/>
    <w:rsid w:val="00655172"/>
    <w:pPr>
      <w:spacing w:before="100" w:beforeAutospacing="1" w:after="100" w:afterAutospacing="1"/>
      <w:jc w:val="left"/>
    </w:pPr>
    <w:rPr>
      <w:szCs w:val="24"/>
    </w:rPr>
  </w:style>
  <w:style w:type="paragraph" w:customStyle="1" w:styleId="li">
    <w:name w:val="li"/>
    <w:basedOn w:val="Normal"/>
    <w:rsid w:val="00655172"/>
    <w:pPr>
      <w:spacing w:before="100" w:beforeAutospacing="1" w:after="100" w:afterAutospacing="1"/>
      <w:jc w:val="left"/>
    </w:pPr>
    <w:rPr>
      <w:szCs w:val="24"/>
    </w:rPr>
  </w:style>
  <w:style w:type="character" w:customStyle="1" w:styleId="num">
    <w:name w:val="num"/>
    <w:basedOn w:val="DefaultParagraphFont"/>
    <w:rsid w:val="00655172"/>
  </w:style>
  <w:style w:type="character" w:styleId="FollowedHyperlink">
    <w:name w:val="FollowedHyperlink"/>
    <w:basedOn w:val="DefaultParagraphFont"/>
    <w:uiPriority w:val="99"/>
    <w:semiHidden/>
    <w:rsid w:val="00525B4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7865">
      <w:bodyDiv w:val="1"/>
      <w:marLeft w:val="0"/>
      <w:marRight w:val="0"/>
      <w:marTop w:val="0"/>
      <w:marBottom w:val="0"/>
      <w:divBdr>
        <w:top w:val="none" w:sz="0" w:space="0" w:color="auto"/>
        <w:left w:val="none" w:sz="0" w:space="0" w:color="auto"/>
        <w:bottom w:val="none" w:sz="0" w:space="0" w:color="auto"/>
        <w:right w:val="none" w:sz="0" w:space="0" w:color="auto"/>
      </w:divBdr>
    </w:div>
    <w:div w:id="100079262">
      <w:bodyDiv w:val="1"/>
      <w:marLeft w:val="0"/>
      <w:marRight w:val="0"/>
      <w:marTop w:val="0"/>
      <w:marBottom w:val="0"/>
      <w:divBdr>
        <w:top w:val="none" w:sz="0" w:space="0" w:color="auto"/>
        <w:left w:val="none" w:sz="0" w:space="0" w:color="auto"/>
        <w:bottom w:val="none" w:sz="0" w:space="0" w:color="auto"/>
        <w:right w:val="none" w:sz="0" w:space="0" w:color="auto"/>
      </w:divBdr>
    </w:div>
    <w:div w:id="161238487">
      <w:bodyDiv w:val="1"/>
      <w:marLeft w:val="0"/>
      <w:marRight w:val="0"/>
      <w:marTop w:val="0"/>
      <w:marBottom w:val="0"/>
      <w:divBdr>
        <w:top w:val="none" w:sz="0" w:space="0" w:color="auto"/>
        <w:left w:val="none" w:sz="0" w:space="0" w:color="auto"/>
        <w:bottom w:val="none" w:sz="0" w:space="0" w:color="auto"/>
        <w:right w:val="none" w:sz="0" w:space="0" w:color="auto"/>
      </w:divBdr>
    </w:div>
    <w:div w:id="177546849">
      <w:bodyDiv w:val="1"/>
      <w:marLeft w:val="0"/>
      <w:marRight w:val="0"/>
      <w:marTop w:val="0"/>
      <w:marBottom w:val="0"/>
      <w:divBdr>
        <w:top w:val="none" w:sz="0" w:space="0" w:color="auto"/>
        <w:left w:val="none" w:sz="0" w:space="0" w:color="auto"/>
        <w:bottom w:val="none" w:sz="0" w:space="0" w:color="auto"/>
        <w:right w:val="none" w:sz="0" w:space="0" w:color="auto"/>
      </w:divBdr>
    </w:div>
    <w:div w:id="219480781">
      <w:bodyDiv w:val="1"/>
      <w:marLeft w:val="0"/>
      <w:marRight w:val="0"/>
      <w:marTop w:val="0"/>
      <w:marBottom w:val="0"/>
      <w:divBdr>
        <w:top w:val="none" w:sz="0" w:space="0" w:color="auto"/>
        <w:left w:val="none" w:sz="0" w:space="0" w:color="auto"/>
        <w:bottom w:val="none" w:sz="0" w:space="0" w:color="auto"/>
        <w:right w:val="none" w:sz="0" w:space="0" w:color="auto"/>
      </w:divBdr>
    </w:div>
    <w:div w:id="219830405">
      <w:bodyDiv w:val="1"/>
      <w:marLeft w:val="0"/>
      <w:marRight w:val="0"/>
      <w:marTop w:val="0"/>
      <w:marBottom w:val="0"/>
      <w:divBdr>
        <w:top w:val="none" w:sz="0" w:space="0" w:color="auto"/>
        <w:left w:val="none" w:sz="0" w:space="0" w:color="auto"/>
        <w:bottom w:val="none" w:sz="0" w:space="0" w:color="auto"/>
        <w:right w:val="none" w:sz="0" w:space="0" w:color="auto"/>
      </w:divBdr>
    </w:div>
    <w:div w:id="235164724">
      <w:bodyDiv w:val="1"/>
      <w:marLeft w:val="0"/>
      <w:marRight w:val="0"/>
      <w:marTop w:val="0"/>
      <w:marBottom w:val="0"/>
      <w:divBdr>
        <w:top w:val="none" w:sz="0" w:space="0" w:color="auto"/>
        <w:left w:val="none" w:sz="0" w:space="0" w:color="auto"/>
        <w:bottom w:val="none" w:sz="0" w:space="0" w:color="auto"/>
        <w:right w:val="none" w:sz="0" w:space="0" w:color="auto"/>
      </w:divBdr>
    </w:div>
    <w:div w:id="284313162">
      <w:bodyDiv w:val="1"/>
      <w:marLeft w:val="0"/>
      <w:marRight w:val="0"/>
      <w:marTop w:val="0"/>
      <w:marBottom w:val="0"/>
      <w:divBdr>
        <w:top w:val="none" w:sz="0" w:space="0" w:color="auto"/>
        <w:left w:val="none" w:sz="0" w:space="0" w:color="auto"/>
        <w:bottom w:val="none" w:sz="0" w:space="0" w:color="auto"/>
        <w:right w:val="none" w:sz="0" w:space="0" w:color="auto"/>
      </w:divBdr>
    </w:div>
    <w:div w:id="342172865">
      <w:bodyDiv w:val="1"/>
      <w:marLeft w:val="0"/>
      <w:marRight w:val="0"/>
      <w:marTop w:val="0"/>
      <w:marBottom w:val="0"/>
      <w:divBdr>
        <w:top w:val="none" w:sz="0" w:space="0" w:color="auto"/>
        <w:left w:val="none" w:sz="0" w:space="0" w:color="auto"/>
        <w:bottom w:val="none" w:sz="0" w:space="0" w:color="auto"/>
        <w:right w:val="none" w:sz="0" w:space="0" w:color="auto"/>
      </w:divBdr>
    </w:div>
    <w:div w:id="365720131">
      <w:bodyDiv w:val="1"/>
      <w:marLeft w:val="0"/>
      <w:marRight w:val="0"/>
      <w:marTop w:val="0"/>
      <w:marBottom w:val="0"/>
      <w:divBdr>
        <w:top w:val="none" w:sz="0" w:space="0" w:color="auto"/>
        <w:left w:val="none" w:sz="0" w:space="0" w:color="auto"/>
        <w:bottom w:val="none" w:sz="0" w:space="0" w:color="auto"/>
        <w:right w:val="none" w:sz="0" w:space="0" w:color="auto"/>
      </w:divBdr>
    </w:div>
    <w:div w:id="386949842">
      <w:bodyDiv w:val="1"/>
      <w:marLeft w:val="0"/>
      <w:marRight w:val="0"/>
      <w:marTop w:val="0"/>
      <w:marBottom w:val="0"/>
      <w:divBdr>
        <w:top w:val="none" w:sz="0" w:space="0" w:color="auto"/>
        <w:left w:val="none" w:sz="0" w:space="0" w:color="auto"/>
        <w:bottom w:val="none" w:sz="0" w:space="0" w:color="auto"/>
        <w:right w:val="none" w:sz="0" w:space="0" w:color="auto"/>
      </w:divBdr>
    </w:div>
    <w:div w:id="522209404">
      <w:bodyDiv w:val="1"/>
      <w:marLeft w:val="0"/>
      <w:marRight w:val="0"/>
      <w:marTop w:val="0"/>
      <w:marBottom w:val="0"/>
      <w:divBdr>
        <w:top w:val="none" w:sz="0" w:space="0" w:color="auto"/>
        <w:left w:val="none" w:sz="0" w:space="0" w:color="auto"/>
        <w:bottom w:val="none" w:sz="0" w:space="0" w:color="auto"/>
        <w:right w:val="none" w:sz="0" w:space="0" w:color="auto"/>
      </w:divBdr>
    </w:div>
    <w:div w:id="541752625">
      <w:bodyDiv w:val="1"/>
      <w:marLeft w:val="0"/>
      <w:marRight w:val="0"/>
      <w:marTop w:val="0"/>
      <w:marBottom w:val="0"/>
      <w:divBdr>
        <w:top w:val="none" w:sz="0" w:space="0" w:color="auto"/>
        <w:left w:val="none" w:sz="0" w:space="0" w:color="auto"/>
        <w:bottom w:val="none" w:sz="0" w:space="0" w:color="auto"/>
        <w:right w:val="none" w:sz="0" w:space="0" w:color="auto"/>
      </w:divBdr>
    </w:div>
    <w:div w:id="568005132">
      <w:bodyDiv w:val="1"/>
      <w:marLeft w:val="0"/>
      <w:marRight w:val="0"/>
      <w:marTop w:val="0"/>
      <w:marBottom w:val="0"/>
      <w:divBdr>
        <w:top w:val="none" w:sz="0" w:space="0" w:color="auto"/>
        <w:left w:val="none" w:sz="0" w:space="0" w:color="auto"/>
        <w:bottom w:val="none" w:sz="0" w:space="0" w:color="auto"/>
        <w:right w:val="none" w:sz="0" w:space="0" w:color="auto"/>
      </w:divBdr>
    </w:div>
    <w:div w:id="570622815">
      <w:bodyDiv w:val="1"/>
      <w:marLeft w:val="0"/>
      <w:marRight w:val="0"/>
      <w:marTop w:val="0"/>
      <w:marBottom w:val="0"/>
      <w:divBdr>
        <w:top w:val="none" w:sz="0" w:space="0" w:color="auto"/>
        <w:left w:val="none" w:sz="0" w:space="0" w:color="auto"/>
        <w:bottom w:val="none" w:sz="0" w:space="0" w:color="auto"/>
        <w:right w:val="none" w:sz="0" w:space="0" w:color="auto"/>
      </w:divBdr>
    </w:div>
    <w:div w:id="628977840">
      <w:bodyDiv w:val="1"/>
      <w:marLeft w:val="0"/>
      <w:marRight w:val="0"/>
      <w:marTop w:val="0"/>
      <w:marBottom w:val="0"/>
      <w:divBdr>
        <w:top w:val="none" w:sz="0" w:space="0" w:color="auto"/>
        <w:left w:val="none" w:sz="0" w:space="0" w:color="auto"/>
        <w:bottom w:val="none" w:sz="0" w:space="0" w:color="auto"/>
        <w:right w:val="none" w:sz="0" w:space="0" w:color="auto"/>
      </w:divBdr>
    </w:div>
    <w:div w:id="825516123">
      <w:bodyDiv w:val="1"/>
      <w:marLeft w:val="0"/>
      <w:marRight w:val="0"/>
      <w:marTop w:val="0"/>
      <w:marBottom w:val="0"/>
      <w:divBdr>
        <w:top w:val="none" w:sz="0" w:space="0" w:color="auto"/>
        <w:left w:val="none" w:sz="0" w:space="0" w:color="auto"/>
        <w:bottom w:val="none" w:sz="0" w:space="0" w:color="auto"/>
        <w:right w:val="none" w:sz="0" w:space="0" w:color="auto"/>
      </w:divBdr>
      <w:divsChild>
        <w:div w:id="1904173411">
          <w:marLeft w:val="0"/>
          <w:marRight w:val="0"/>
          <w:marTop w:val="0"/>
          <w:marBottom w:val="0"/>
          <w:divBdr>
            <w:top w:val="none" w:sz="0" w:space="0" w:color="auto"/>
            <w:left w:val="none" w:sz="0" w:space="0" w:color="auto"/>
            <w:bottom w:val="none" w:sz="0" w:space="0" w:color="auto"/>
            <w:right w:val="none" w:sz="0" w:space="0" w:color="auto"/>
          </w:divBdr>
        </w:div>
      </w:divsChild>
    </w:div>
    <w:div w:id="825589310">
      <w:bodyDiv w:val="1"/>
      <w:marLeft w:val="0"/>
      <w:marRight w:val="0"/>
      <w:marTop w:val="0"/>
      <w:marBottom w:val="0"/>
      <w:divBdr>
        <w:top w:val="none" w:sz="0" w:space="0" w:color="auto"/>
        <w:left w:val="none" w:sz="0" w:space="0" w:color="auto"/>
        <w:bottom w:val="none" w:sz="0" w:space="0" w:color="auto"/>
        <w:right w:val="none" w:sz="0" w:space="0" w:color="auto"/>
      </w:divBdr>
    </w:div>
    <w:div w:id="832834185">
      <w:bodyDiv w:val="1"/>
      <w:marLeft w:val="0"/>
      <w:marRight w:val="0"/>
      <w:marTop w:val="0"/>
      <w:marBottom w:val="0"/>
      <w:divBdr>
        <w:top w:val="none" w:sz="0" w:space="0" w:color="auto"/>
        <w:left w:val="none" w:sz="0" w:space="0" w:color="auto"/>
        <w:bottom w:val="none" w:sz="0" w:space="0" w:color="auto"/>
        <w:right w:val="none" w:sz="0" w:space="0" w:color="auto"/>
      </w:divBdr>
    </w:div>
    <w:div w:id="875656337">
      <w:bodyDiv w:val="1"/>
      <w:marLeft w:val="0"/>
      <w:marRight w:val="0"/>
      <w:marTop w:val="0"/>
      <w:marBottom w:val="0"/>
      <w:divBdr>
        <w:top w:val="none" w:sz="0" w:space="0" w:color="auto"/>
        <w:left w:val="none" w:sz="0" w:space="0" w:color="auto"/>
        <w:bottom w:val="none" w:sz="0" w:space="0" w:color="auto"/>
        <w:right w:val="none" w:sz="0" w:space="0" w:color="auto"/>
      </w:divBdr>
    </w:div>
    <w:div w:id="878052788">
      <w:bodyDiv w:val="1"/>
      <w:marLeft w:val="0"/>
      <w:marRight w:val="0"/>
      <w:marTop w:val="0"/>
      <w:marBottom w:val="0"/>
      <w:divBdr>
        <w:top w:val="none" w:sz="0" w:space="0" w:color="auto"/>
        <w:left w:val="none" w:sz="0" w:space="0" w:color="auto"/>
        <w:bottom w:val="none" w:sz="0" w:space="0" w:color="auto"/>
        <w:right w:val="none" w:sz="0" w:space="0" w:color="auto"/>
      </w:divBdr>
    </w:div>
    <w:div w:id="937370260">
      <w:bodyDiv w:val="1"/>
      <w:marLeft w:val="0"/>
      <w:marRight w:val="0"/>
      <w:marTop w:val="0"/>
      <w:marBottom w:val="0"/>
      <w:divBdr>
        <w:top w:val="none" w:sz="0" w:space="0" w:color="auto"/>
        <w:left w:val="none" w:sz="0" w:space="0" w:color="auto"/>
        <w:bottom w:val="none" w:sz="0" w:space="0" w:color="auto"/>
        <w:right w:val="none" w:sz="0" w:space="0" w:color="auto"/>
      </w:divBdr>
    </w:div>
    <w:div w:id="976497330">
      <w:bodyDiv w:val="1"/>
      <w:marLeft w:val="0"/>
      <w:marRight w:val="0"/>
      <w:marTop w:val="0"/>
      <w:marBottom w:val="0"/>
      <w:divBdr>
        <w:top w:val="none" w:sz="0" w:space="0" w:color="auto"/>
        <w:left w:val="none" w:sz="0" w:space="0" w:color="auto"/>
        <w:bottom w:val="none" w:sz="0" w:space="0" w:color="auto"/>
        <w:right w:val="none" w:sz="0" w:space="0" w:color="auto"/>
      </w:divBdr>
    </w:div>
    <w:div w:id="1003437473">
      <w:bodyDiv w:val="1"/>
      <w:marLeft w:val="0"/>
      <w:marRight w:val="0"/>
      <w:marTop w:val="0"/>
      <w:marBottom w:val="0"/>
      <w:divBdr>
        <w:top w:val="none" w:sz="0" w:space="0" w:color="auto"/>
        <w:left w:val="none" w:sz="0" w:space="0" w:color="auto"/>
        <w:bottom w:val="none" w:sz="0" w:space="0" w:color="auto"/>
        <w:right w:val="none" w:sz="0" w:space="0" w:color="auto"/>
      </w:divBdr>
    </w:div>
    <w:div w:id="1005783672">
      <w:bodyDiv w:val="1"/>
      <w:marLeft w:val="0"/>
      <w:marRight w:val="0"/>
      <w:marTop w:val="0"/>
      <w:marBottom w:val="0"/>
      <w:divBdr>
        <w:top w:val="none" w:sz="0" w:space="0" w:color="auto"/>
        <w:left w:val="none" w:sz="0" w:space="0" w:color="auto"/>
        <w:bottom w:val="none" w:sz="0" w:space="0" w:color="auto"/>
        <w:right w:val="none" w:sz="0" w:space="0" w:color="auto"/>
      </w:divBdr>
    </w:div>
    <w:div w:id="1077895018">
      <w:bodyDiv w:val="1"/>
      <w:marLeft w:val="0"/>
      <w:marRight w:val="0"/>
      <w:marTop w:val="0"/>
      <w:marBottom w:val="0"/>
      <w:divBdr>
        <w:top w:val="none" w:sz="0" w:space="0" w:color="auto"/>
        <w:left w:val="none" w:sz="0" w:space="0" w:color="auto"/>
        <w:bottom w:val="none" w:sz="0" w:space="0" w:color="auto"/>
        <w:right w:val="none" w:sz="0" w:space="0" w:color="auto"/>
      </w:divBdr>
    </w:div>
    <w:div w:id="1115098189">
      <w:bodyDiv w:val="1"/>
      <w:marLeft w:val="0"/>
      <w:marRight w:val="0"/>
      <w:marTop w:val="0"/>
      <w:marBottom w:val="0"/>
      <w:divBdr>
        <w:top w:val="none" w:sz="0" w:space="0" w:color="auto"/>
        <w:left w:val="none" w:sz="0" w:space="0" w:color="auto"/>
        <w:bottom w:val="none" w:sz="0" w:space="0" w:color="auto"/>
        <w:right w:val="none" w:sz="0" w:space="0" w:color="auto"/>
      </w:divBdr>
    </w:div>
    <w:div w:id="1129006813">
      <w:bodyDiv w:val="1"/>
      <w:marLeft w:val="0"/>
      <w:marRight w:val="0"/>
      <w:marTop w:val="0"/>
      <w:marBottom w:val="0"/>
      <w:divBdr>
        <w:top w:val="none" w:sz="0" w:space="0" w:color="auto"/>
        <w:left w:val="none" w:sz="0" w:space="0" w:color="auto"/>
        <w:bottom w:val="none" w:sz="0" w:space="0" w:color="auto"/>
        <w:right w:val="none" w:sz="0" w:space="0" w:color="auto"/>
      </w:divBdr>
    </w:div>
    <w:div w:id="1141993626">
      <w:bodyDiv w:val="1"/>
      <w:marLeft w:val="0"/>
      <w:marRight w:val="0"/>
      <w:marTop w:val="0"/>
      <w:marBottom w:val="0"/>
      <w:divBdr>
        <w:top w:val="none" w:sz="0" w:space="0" w:color="auto"/>
        <w:left w:val="none" w:sz="0" w:space="0" w:color="auto"/>
        <w:bottom w:val="none" w:sz="0" w:space="0" w:color="auto"/>
        <w:right w:val="none" w:sz="0" w:space="0" w:color="auto"/>
      </w:divBdr>
    </w:div>
    <w:div w:id="1186675801">
      <w:bodyDiv w:val="1"/>
      <w:marLeft w:val="0"/>
      <w:marRight w:val="0"/>
      <w:marTop w:val="0"/>
      <w:marBottom w:val="0"/>
      <w:divBdr>
        <w:top w:val="none" w:sz="0" w:space="0" w:color="auto"/>
        <w:left w:val="none" w:sz="0" w:space="0" w:color="auto"/>
        <w:bottom w:val="none" w:sz="0" w:space="0" w:color="auto"/>
        <w:right w:val="none" w:sz="0" w:space="0" w:color="auto"/>
      </w:divBdr>
    </w:div>
    <w:div w:id="1189835735">
      <w:bodyDiv w:val="1"/>
      <w:marLeft w:val="0"/>
      <w:marRight w:val="0"/>
      <w:marTop w:val="0"/>
      <w:marBottom w:val="0"/>
      <w:divBdr>
        <w:top w:val="none" w:sz="0" w:space="0" w:color="auto"/>
        <w:left w:val="none" w:sz="0" w:space="0" w:color="auto"/>
        <w:bottom w:val="none" w:sz="0" w:space="0" w:color="auto"/>
        <w:right w:val="none" w:sz="0" w:space="0" w:color="auto"/>
      </w:divBdr>
    </w:div>
    <w:div w:id="1246106554">
      <w:bodyDiv w:val="1"/>
      <w:marLeft w:val="0"/>
      <w:marRight w:val="0"/>
      <w:marTop w:val="0"/>
      <w:marBottom w:val="0"/>
      <w:divBdr>
        <w:top w:val="none" w:sz="0" w:space="0" w:color="auto"/>
        <w:left w:val="none" w:sz="0" w:space="0" w:color="auto"/>
        <w:bottom w:val="none" w:sz="0" w:space="0" w:color="auto"/>
        <w:right w:val="none" w:sz="0" w:space="0" w:color="auto"/>
      </w:divBdr>
    </w:div>
    <w:div w:id="1298025298">
      <w:bodyDiv w:val="1"/>
      <w:marLeft w:val="0"/>
      <w:marRight w:val="0"/>
      <w:marTop w:val="0"/>
      <w:marBottom w:val="0"/>
      <w:divBdr>
        <w:top w:val="none" w:sz="0" w:space="0" w:color="auto"/>
        <w:left w:val="none" w:sz="0" w:space="0" w:color="auto"/>
        <w:bottom w:val="none" w:sz="0" w:space="0" w:color="auto"/>
        <w:right w:val="none" w:sz="0" w:space="0" w:color="auto"/>
      </w:divBdr>
    </w:div>
    <w:div w:id="1321271480">
      <w:bodyDiv w:val="1"/>
      <w:marLeft w:val="0"/>
      <w:marRight w:val="0"/>
      <w:marTop w:val="0"/>
      <w:marBottom w:val="0"/>
      <w:divBdr>
        <w:top w:val="none" w:sz="0" w:space="0" w:color="auto"/>
        <w:left w:val="none" w:sz="0" w:space="0" w:color="auto"/>
        <w:bottom w:val="none" w:sz="0" w:space="0" w:color="auto"/>
        <w:right w:val="none" w:sz="0" w:space="0" w:color="auto"/>
      </w:divBdr>
      <w:divsChild>
        <w:div w:id="2133018668">
          <w:marLeft w:val="0"/>
          <w:marRight w:val="0"/>
          <w:marTop w:val="0"/>
          <w:marBottom w:val="0"/>
          <w:divBdr>
            <w:top w:val="none" w:sz="0" w:space="0" w:color="auto"/>
            <w:left w:val="none" w:sz="0" w:space="0" w:color="auto"/>
            <w:bottom w:val="none" w:sz="0" w:space="0" w:color="auto"/>
            <w:right w:val="none" w:sz="0" w:space="0" w:color="auto"/>
          </w:divBdr>
        </w:div>
      </w:divsChild>
    </w:div>
    <w:div w:id="1356804521">
      <w:bodyDiv w:val="1"/>
      <w:marLeft w:val="0"/>
      <w:marRight w:val="0"/>
      <w:marTop w:val="0"/>
      <w:marBottom w:val="0"/>
      <w:divBdr>
        <w:top w:val="none" w:sz="0" w:space="0" w:color="auto"/>
        <w:left w:val="none" w:sz="0" w:space="0" w:color="auto"/>
        <w:bottom w:val="none" w:sz="0" w:space="0" w:color="auto"/>
        <w:right w:val="none" w:sz="0" w:space="0" w:color="auto"/>
      </w:divBdr>
    </w:div>
    <w:div w:id="1376928133">
      <w:bodyDiv w:val="1"/>
      <w:marLeft w:val="0"/>
      <w:marRight w:val="0"/>
      <w:marTop w:val="0"/>
      <w:marBottom w:val="0"/>
      <w:divBdr>
        <w:top w:val="none" w:sz="0" w:space="0" w:color="auto"/>
        <w:left w:val="none" w:sz="0" w:space="0" w:color="auto"/>
        <w:bottom w:val="none" w:sz="0" w:space="0" w:color="auto"/>
        <w:right w:val="none" w:sz="0" w:space="0" w:color="auto"/>
      </w:divBdr>
    </w:div>
    <w:div w:id="1386370777">
      <w:bodyDiv w:val="1"/>
      <w:marLeft w:val="0"/>
      <w:marRight w:val="0"/>
      <w:marTop w:val="0"/>
      <w:marBottom w:val="0"/>
      <w:divBdr>
        <w:top w:val="none" w:sz="0" w:space="0" w:color="auto"/>
        <w:left w:val="none" w:sz="0" w:space="0" w:color="auto"/>
        <w:bottom w:val="none" w:sz="0" w:space="0" w:color="auto"/>
        <w:right w:val="none" w:sz="0" w:space="0" w:color="auto"/>
      </w:divBdr>
    </w:div>
    <w:div w:id="1439639069">
      <w:bodyDiv w:val="1"/>
      <w:marLeft w:val="0"/>
      <w:marRight w:val="0"/>
      <w:marTop w:val="0"/>
      <w:marBottom w:val="0"/>
      <w:divBdr>
        <w:top w:val="none" w:sz="0" w:space="0" w:color="auto"/>
        <w:left w:val="none" w:sz="0" w:space="0" w:color="auto"/>
        <w:bottom w:val="none" w:sz="0" w:space="0" w:color="auto"/>
        <w:right w:val="none" w:sz="0" w:space="0" w:color="auto"/>
      </w:divBdr>
    </w:div>
    <w:div w:id="1459570052">
      <w:bodyDiv w:val="1"/>
      <w:marLeft w:val="0"/>
      <w:marRight w:val="0"/>
      <w:marTop w:val="0"/>
      <w:marBottom w:val="0"/>
      <w:divBdr>
        <w:top w:val="none" w:sz="0" w:space="0" w:color="auto"/>
        <w:left w:val="none" w:sz="0" w:space="0" w:color="auto"/>
        <w:bottom w:val="none" w:sz="0" w:space="0" w:color="auto"/>
        <w:right w:val="none" w:sz="0" w:space="0" w:color="auto"/>
      </w:divBdr>
    </w:div>
    <w:div w:id="1492138757">
      <w:bodyDiv w:val="1"/>
      <w:marLeft w:val="0"/>
      <w:marRight w:val="0"/>
      <w:marTop w:val="0"/>
      <w:marBottom w:val="0"/>
      <w:divBdr>
        <w:top w:val="none" w:sz="0" w:space="0" w:color="auto"/>
        <w:left w:val="none" w:sz="0" w:space="0" w:color="auto"/>
        <w:bottom w:val="none" w:sz="0" w:space="0" w:color="auto"/>
        <w:right w:val="none" w:sz="0" w:space="0" w:color="auto"/>
      </w:divBdr>
    </w:div>
    <w:div w:id="1541437929">
      <w:bodyDiv w:val="1"/>
      <w:marLeft w:val="0"/>
      <w:marRight w:val="0"/>
      <w:marTop w:val="0"/>
      <w:marBottom w:val="0"/>
      <w:divBdr>
        <w:top w:val="none" w:sz="0" w:space="0" w:color="auto"/>
        <w:left w:val="none" w:sz="0" w:space="0" w:color="auto"/>
        <w:bottom w:val="none" w:sz="0" w:space="0" w:color="auto"/>
        <w:right w:val="none" w:sz="0" w:space="0" w:color="auto"/>
      </w:divBdr>
    </w:div>
    <w:div w:id="1594435646">
      <w:bodyDiv w:val="1"/>
      <w:marLeft w:val="0"/>
      <w:marRight w:val="0"/>
      <w:marTop w:val="0"/>
      <w:marBottom w:val="0"/>
      <w:divBdr>
        <w:top w:val="none" w:sz="0" w:space="0" w:color="auto"/>
        <w:left w:val="none" w:sz="0" w:space="0" w:color="auto"/>
        <w:bottom w:val="none" w:sz="0" w:space="0" w:color="auto"/>
        <w:right w:val="none" w:sz="0" w:space="0" w:color="auto"/>
      </w:divBdr>
    </w:div>
    <w:div w:id="1618609376">
      <w:bodyDiv w:val="1"/>
      <w:marLeft w:val="0"/>
      <w:marRight w:val="0"/>
      <w:marTop w:val="0"/>
      <w:marBottom w:val="0"/>
      <w:divBdr>
        <w:top w:val="none" w:sz="0" w:space="0" w:color="auto"/>
        <w:left w:val="none" w:sz="0" w:space="0" w:color="auto"/>
        <w:bottom w:val="none" w:sz="0" w:space="0" w:color="auto"/>
        <w:right w:val="none" w:sz="0" w:space="0" w:color="auto"/>
      </w:divBdr>
    </w:div>
    <w:div w:id="1660693363">
      <w:bodyDiv w:val="1"/>
      <w:marLeft w:val="0"/>
      <w:marRight w:val="0"/>
      <w:marTop w:val="0"/>
      <w:marBottom w:val="0"/>
      <w:divBdr>
        <w:top w:val="none" w:sz="0" w:space="0" w:color="auto"/>
        <w:left w:val="none" w:sz="0" w:space="0" w:color="auto"/>
        <w:bottom w:val="none" w:sz="0" w:space="0" w:color="auto"/>
        <w:right w:val="none" w:sz="0" w:space="0" w:color="auto"/>
      </w:divBdr>
    </w:div>
    <w:div w:id="1753047299">
      <w:bodyDiv w:val="1"/>
      <w:marLeft w:val="0"/>
      <w:marRight w:val="0"/>
      <w:marTop w:val="0"/>
      <w:marBottom w:val="0"/>
      <w:divBdr>
        <w:top w:val="none" w:sz="0" w:space="0" w:color="auto"/>
        <w:left w:val="none" w:sz="0" w:space="0" w:color="auto"/>
        <w:bottom w:val="none" w:sz="0" w:space="0" w:color="auto"/>
        <w:right w:val="none" w:sz="0" w:space="0" w:color="auto"/>
      </w:divBdr>
    </w:div>
    <w:div w:id="1800150586">
      <w:bodyDiv w:val="1"/>
      <w:marLeft w:val="0"/>
      <w:marRight w:val="0"/>
      <w:marTop w:val="0"/>
      <w:marBottom w:val="0"/>
      <w:divBdr>
        <w:top w:val="none" w:sz="0" w:space="0" w:color="auto"/>
        <w:left w:val="none" w:sz="0" w:space="0" w:color="auto"/>
        <w:bottom w:val="none" w:sz="0" w:space="0" w:color="auto"/>
        <w:right w:val="none" w:sz="0" w:space="0" w:color="auto"/>
      </w:divBdr>
    </w:div>
    <w:div w:id="1803036085">
      <w:bodyDiv w:val="1"/>
      <w:marLeft w:val="0"/>
      <w:marRight w:val="0"/>
      <w:marTop w:val="0"/>
      <w:marBottom w:val="0"/>
      <w:divBdr>
        <w:top w:val="none" w:sz="0" w:space="0" w:color="auto"/>
        <w:left w:val="none" w:sz="0" w:space="0" w:color="auto"/>
        <w:bottom w:val="none" w:sz="0" w:space="0" w:color="auto"/>
        <w:right w:val="none" w:sz="0" w:space="0" w:color="auto"/>
      </w:divBdr>
    </w:div>
    <w:div w:id="1840729364">
      <w:bodyDiv w:val="1"/>
      <w:marLeft w:val="0"/>
      <w:marRight w:val="0"/>
      <w:marTop w:val="0"/>
      <w:marBottom w:val="0"/>
      <w:divBdr>
        <w:top w:val="none" w:sz="0" w:space="0" w:color="auto"/>
        <w:left w:val="none" w:sz="0" w:space="0" w:color="auto"/>
        <w:bottom w:val="none" w:sz="0" w:space="0" w:color="auto"/>
        <w:right w:val="none" w:sz="0" w:space="0" w:color="auto"/>
      </w:divBdr>
    </w:div>
    <w:div w:id="1852841245">
      <w:bodyDiv w:val="1"/>
      <w:marLeft w:val="0"/>
      <w:marRight w:val="0"/>
      <w:marTop w:val="0"/>
      <w:marBottom w:val="0"/>
      <w:divBdr>
        <w:top w:val="none" w:sz="0" w:space="0" w:color="auto"/>
        <w:left w:val="none" w:sz="0" w:space="0" w:color="auto"/>
        <w:bottom w:val="none" w:sz="0" w:space="0" w:color="auto"/>
        <w:right w:val="none" w:sz="0" w:space="0" w:color="auto"/>
      </w:divBdr>
    </w:div>
    <w:div w:id="1862742322">
      <w:bodyDiv w:val="1"/>
      <w:marLeft w:val="0"/>
      <w:marRight w:val="0"/>
      <w:marTop w:val="0"/>
      <w:marBottom w:val="0"/>
      <w:divBdr>
        <w:top w:val="none" w:sz="0" w:space="0" w:color="auto"/>
        <w:left w:val="none" w:sz="0" w:space="0" w:color="auto"/>
        <w:bottom w:val="none" w:sz="0" w:space="0" w:color="auto"/>
        <w:right w:val="none" w:sz="0" w:space="0" w:color="auto"/>
      </w:divBdr>
    </w:div>
    <w:div w:id="2071222939">
      <w:bodyDiv w:val="1"/>
      <w:marLeft w:val="0"/>
      <w:marRight w:val="0"/>
      <w:marTop w:val="0"/>
      <w:marBottom w:val="0"/>
      <w:divBdr>
        <w:top w:val="none" w:sz="0" w:space="0" w:color="auto"/>
        <w:left w:val="none" w:sz="0" w:space="0" w:color="auto"/>
        <w:bottom w:val="none" w:sz="0" w:space="0" w:color="auto"/>
        <w:right w:val="none" w:sz="0" w:space="0" w:color="auto"/>
      </w:divBdr>
    </w:div>
    <w:div w:id="2097744901">
      <w:bodyDiv w:val="1"/>
      <w:marLeft w:val="0"/>
      <w:marRight w:val="0"/>
      <w:marTop w:val="0"/>
      <w:marBottom w:val="0"/>
      <w:divBdr>
        <w:top w:val="none" w:sz="0" w:space="0" w:color="auto"/>
        <w:left w:val="none" w:sz="0" w:space="0" w:color="auto"/>
        <w:bottom w:val="none" w:sz="0" w:space="0" w:color="auto"/>
        <w:right w:val="none" w:sz="0" w:space="0" w:color="auto"/>
      </w:divBdr>
    </w:div>
    <w:div w:id="2108499134">
      <w:bodyDiv w:val="1"/>
      <w:marLeft w:val="0"/>
      <w:marRight w:val="0"/>
      <w:marTop w:val="0"/>
      <w:marBottom w:val="0"/>
      <w:divBdr>
        <w:top w:val="none" w:sz="0" w:space="0" w:color="auto"/>
        <w:left w:val="none" w:sz="0" w:space="0" w:color="auto"/>
        <w:bottom w:val="none" w:sz="0" w:space="0" w:color="auto"/>
        <w:right w:val="none" w:sz="0" w:space="0" w:color="auto"/>
      </w:divBdr>
    </w:div>
    <w:div w:id="2116516440">
      <w:bodyDiv w:val="1"/>
      <w:marLeft w:val="0"/>
      <w:marRight w:val="0"/>
      <w:marTop w:val="0"/>
      <w:marBottom w:val="0"/>
      <w:divBdr>
        <w:top w:val="none" w:sz="0" w:space="0" w:color="auto"/>
        <w:left w:val="none" w:sz="0" w:space="0" w:color="auto"/>
        <w:bottom w:val="none" w:sz="0" w:space="0" w:color="auto"/>
        <w:right w:val="none" w:sz="0" w:space="0" w:color="auto"/>
      </w:divBdr>
    </w:div>
    <w:div w:id="213683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s>
</file>

<file path=word/_rels/footnotes.xml.rels><?xml version="1.0" encoding="UTF-8" standalone="yes"?>
<Relationships xmlns="http://schemas.openxmlformats.org/package/2006/relationships"><Relationship Id="rId13" Type="http://schemas.openxmlformats.org/officeDocument/2006/relationships/hyperlink" Target="https://www.cor.europa.eu/fr/nos-travaux/les-avis/cdr-2757-2025" TargetMode="External"/><Relationship Id="rId18" Type="http://schemas.openxmlformats.org/officeDocument/2006/relationships/hyperlink" Target="https://digital-strategy.ec.europa.eu/fr/library/action-plan-drone-and-counter-drone-security" TargetMode="External"/><Relationship Id="rId26" Type="http://schemas.openxmlformats.org/officeDocument/2006/relationships/hyperlink" Target="https://www.consilium.europa.eu/fr/policies/sanctions-against-russia-hybrid-threats/" TargetMode="External"/><Relationship Id="rId39" Type="http://schemas.openxmlformats.org/officeDocument/2006/relationships/hyperlink" Target="https://data.consilium.europa.eu/doc/document/ST-16415-2025-INIT/en/pdf" TargetMode="External"/><Relationship Id="rId21" Type="http://schemas.openxmlformats.org/officeDocument/2006/relationships/hyperlink" Target="https://digital-strategy.ec.europa.eu/fr/library/submarine-cable-security-toolbox-and-cable-projects-european-interest" TargetMode="External"/><Relationship Id="rId34" Type="http://schemas.openxmlformats.org/officeDocument/2006/relationships/hyperlink" Target="https://ec.europa.eu/commission/presscorner/detail/fr/ip_25_2452" TargetMode="External"/><Relationship Id="rId42" Type="http://schemas.openxmlformats.org/officeDocument/2006/relationships/hyperlink" Target="https://energy.ec.europa.eu/topics/infrastructure/high-level-groups/central-and-south-eastern-europe-energy-connectivity_fr" TargetMode="External"/><Relationship Id="rId47" Type="http://schemas.openxmlformats.org/officeDocument/2006/relationships/hyperlink" Target="https://www.blacksea-cbc.net/interreg-next-bsb-2021-2027/projects/bsb00959" TargetMode="External"/><Relationship Id="rId50" Type="http://schemas.openxmlformats.org/officeDocument/2006/relationships/hyperlink" Target="https://black-sea-maritime-agenda.ec.europa.eu/sites/default/files/2026-03/CMA%20-%202025%20implementation%20report%20_compressed.pdf" TargetMode="External"/><Relationship Id="rId55" Type="http://schemas.openxmlformats.org/officeDocument/2006/relationships/hyperlink" Target="https://eur-lex.europa.eu/legal-content/FR/TXT/?uri=CELEX:52026DC0082" TargetMode="External"/><Relationship Id="rId63" Type="http://schemas.openxmlformats.org/officeDocument/2006/relationships/hyperlink" Target="https://www.eea.europa.eu/fr/newsroom/news/eea-and-eionet-welcome-ukraine-as-a-cooperating-country" TargetMode="External"/><Relationship Id="rId68" Type="http://schemas.openxmlformats.org/officeDocument/2006/relationships/hyperlink" Target="https://eur-lex.europa.eu/legal-content/FR/TXT/?uri=celex:52026DC0081" TargetMode="External"/><Relationship Id="rId7" Type="http://schemas.openxmlformats.org/officeDocument/2006/relationships/hyperlink" Target="https://enlargement.ec.europa.eu/news/european-union-and-armenia-adopt-new-strategic-agenda-deepen-partnership-2025-12-02_fr" TargetMode="External"/><Relationship Id="rId71" Type="http://schemas.openxmlformats.org/officeDocument/2006/relationships/hyperlink" Target="https://black-sea-maritime-agenda.ec.europa.eu/bulgaria-takes-lead-coordinating-common-maritime-agenda-black-sea-2026" TargetMode="External"/><Relationship Id="rId2" Type="http://schemas.openxmlformats.org/officeDocument/2006/relationships/hyperlink" Target="https://www.consilium.europa.eu/media/demaqsbm/20250626-european-council-conclusions-fr.pdf" TargetMode="External"/><Relationship Id="rId16" Type="http://schemas.openxmlformats.org/officeDocument/2006/relationships/hyperlink" Target="https://mfa.gov.md/en/content/republic-moldova-host-third-edition-black-sea-security-conference-under-auspices" TargetMode="External"/><Relationship Id="rId29" Type="http://schemas.openxmlformats.org/officeDocument/2006/relationships/hyperlink" Target="https://www.consilium.europa.eu/fr/press/press-releases/2026/04/21/armenia-eu-establishes-a-new-civilian-mission-to-contribute-strengthening-the-country-s-resilience/" TargetMode="External"/><Relationship Id="rId1" Type="http://schemas.openxmlformats.org/officeDocument/2006/relationships/hyperlink" Target="https://eur-lex.europa.eu/legal-content/FR/TXT/?uri=celex:52025JC0135" TargetMode="External"/><Relationship Id="rId6" Type="http://schemas.openxmlformats.org/officeDocument/2006/relationships/hyperlink" Target="https://enlargement.ec.europa.eu/moldova-report-2025_en?prefLang=fr" TargetMode="External"/><Relationship Id="rId11" Type="http://schemas.openxmlformats.org/officeDocument/2006/relationships/hyperlink" Target="https://enlargement.ec.europa.eu/georgia-report-2025_fr" TargetMode="External"/><Relationship Id="rId24" Type="http://schemas.openxmlformats.org/officeDocument/2006/relationships/hyperlink" Target="https://defence-industry-space.ec.europa.eu/eu-defence-industry/military-mobility_en?prefLang=fr" TargetMode="External"/><Relationship Id="rId32" Type="http://schemas.openxmlformats.org/officeDocument/2006/relationships/hyperlink" Target="https://eur-lex.europa.eu/legal-content/FR/TXT/?uri=celex:52025DC0743" TargetMode="External"/><Relationship Id="rId37" Type="http://schemas.openxmlformats.org/officeDocument/2006/relationships/hyperlink" Target="https://transport.ec.europa.eu/ukraine/eu-ukraine-solidarity-lanes_fr" TargetMode="External"/><Relationship Id="rId40" Type="http://schemas.openxmlformats.org/officeDocument/2006/relationships/hyperlink" Target="https://transport.ec.europa.eu/transport-themes/infrastructure-and-investment/trans-european-transport-network-ten-t/tentec-information-system-and-ten-t-map-library/ten-t-maps-indicative-extension-neighbouring-countries_fr" TargetMode="External"/><Relationship Id="rId45" Type="http://schemas.openxmlformats.org/officeDocument/2006/relationships/hyperlink" Target="https://transport.ec.europa.eu/news-events/news/commission-unveils-eu-ports-strategy-strengthen-competitiveness-security-and-sustainability-european-2026-03-04_fr" TargetMode="External"/><Relationship Id="rId53" Type="http://schemas.openxmlformats.org/officeDocument/2006/relationships/hyperlink" Target="https://oceans-and-fisheries.ec.europa.eu/news/eu-leads-efforts-harmonise-fishing-rules-across-mediterranean-and-black-seas-countries-2025-11-11_fr" TargetMode="External"/><Relationship Id="rId58" Type="http://schemas.openxmlformats.org/officeDocument/2006/relationships/hyperlink" Target="https://data.europa.eu/doi/10.2777/2375732" TargetMode="External"/><Relationship Id="rId66" Type="http://schemas.openxmlformats.org/officeDocument/2006/relationships/hyperlink" Target="https://www.eu4greenrecoveryeast.eu/" TargetMode="External"/><Relationship Id="rId5" Type="http://schemas.openxmlformats.org/officeDocument/2006/relationships/hyperlink" Target="https://enlargement.ec.europa.eu/ukraine-report-2025_en?prefLang=fr" TargetMode="External"/><Relationship Id="rId15" Type="http://schemas.openxmlformats.org/officeDocument/2006/relationships/hyperlink" Target="https://crimea-platform.org/en/news/third-black-sea-security-conference-of-the-international-crimea-platform-begins-in-moldova/" TargetMode="External"/><Relationship Id="rId23" Type="http://schemas.openxmlformats.org/officeDocument/2006/relationships/hyperlink" Target="https://www.consilium.europa.eu/fr/press/press-releases/2026/04/23/russia-s-war-of-aggression-against-ukraine-20th-round-of-stern-eu-sanctions-hits-energy-military-industrial-complex-trade-and-financial-services-including-crypto/" TargetMode="External"/><Relationship Id="rId28" Type="http://schemas.openxmlformats.org/officeDocument/2006/relationships/hyperlink" Target="https://www.consilium.europa.eu/fr/press/press-releases/2026/04/21/armenia-eu-establishes-a-new-civilian-mission-to-contribute-strengthening-the-country-s-resilience/" TargetMode="External"/><Relationship Id="rId36" Type="http://schemas.openxmlformats.org/officeDocument/2006/relationships/hyperlink" Target="https://transport.ec.europa.eu/news-events/news/greece-bulgaria-and-romania-strengthen-cooperation-key-transport-links-2025-12-04_fr" TargetMode="External"/><Relationship Id="rId49" Type="http://schemas.openxmlformats.org/officeDocument/2006/relationships/hyperlink" Target="https://crmfacility.eu/" TargetMode="External"/><Relationship Id="rId57" Type="http://schemas.openxmlformats.org/officeDocument/2006/relationships/hyperlink" Target="https://cordis.europa.eu/project/id/101000240/fr" TargetMode="External"/><Relationship Id="rId61" Type="http://schemas.openxmlformats.org/officeDocument/2006/relationships/hyperlink" Target="https://blackseadb.org/" TargetMode="External"/><Relationship Id="rId10" Type="http://schemas.openxmlformats.org/officeDocument/2006/relationships/hyperlink" Target="https://www.consilium.europa.eu/fr/press/press-releases/2026/03/11/joint-press-statement-by-president-of-the-european-council-antonio-costa-and-president-of-the-republic-of-azerbaijan-ilham-aliyev/" TargetMode="External"/><Relationship Id="rId19" Type="http://schemas.openxmlformats.org/officeDocument/2006/relationships/hyperlink" Target="https://eur-lex.europa.eu/legal-content/FR/TXT/?uri=celex:52025JC0009" TargetMode="External"/><Relationship Id="rId31" Type="http://schemas.openxmlformats.org/officeDocument/2006/relationships/hyperlink" Target="https://www.consilium.europa.eu/fr/meetings/international-ministerial-meetings/2025/12/02/" TargetMode="External"/><Relationship Id="rId44" Type="http://schemas.openxmlformats.org/officeDocument/2006/relationships/hyperlink" Target="https://energy.ec.europa.eu/topics/international-cooperation/key-partner-countries-and-regions/neighbourhood-east_fr" TargetMode="External"/><Relationship Id="rId52" Type="http://schemas.openxmlformats.org/officeDocument/2006/relationships/hyperlink" Target="https://www.fao.org/gfcm/fr/" TargetMode="External"/><Relationship Id="rId60" Type="http://schemas.openxmlformats.org/officeDocument/2006/relationships/hyperlink" Target="https://emblasproject.org/" TargetMode="External"/><Relationship Id="rId65" Type="http://schemas.openxmlformats.org/officeDocument/2006/relationships/hyperlink" Target="https://eur-lex.europa.eu/legal-content/FR/TXT/?uri=celex:52025DC0280" TargetMode="External"/><Relationship Id="rId4" Type="http://schemas.openxmlformats.org/officeDocument/2006/relationships/hyperlink" Target="https://www.consilium.europa.eu/fr/press/press-releases/2025/10/20/co-chairs-conclusions-on-strengthening-cross-regional-security-and-connectivity/" TargetMode="External"/><Relationship Id="rId9" Type="http://schemas.openxmlformats.org/officeDocument/2006/relationships/hyperlink" Target="https://ec.europa.eu/commission/presscorner/detail/fr/ip_26_988" TargetMode="External"/><Relationship Id="rId14" Type="http://schemas.openxmlformats.org/officeDocument/2006/relationships/hyperlink" Target="https://www.consilium.europa.eu/fr/press/press-releases/2026/04/23/council-finalises-90-billion-support-loan-to-ukraine/" TargetMode="External"/><Relationship Id="rId22" Type="http://schemas.openxmlformats.org/officeDocument/2006/relationships/hyperlink" Target="https://digital-strategy.ec.europa.eu/fr/activities/cef-digital" TargetMode="External"/><Relationship Id="rId27" Type="http://schemas.openxmlformats.org/officeDocument/2006/relationships/hyperlink" Target="https://www.consilium.europa.eu/fr/policies/sanctions-against-cyber-attacks/" TargetMode="External"/><Relationship Id="rId30" Type="http://schemas.openxmlformats.org/officeDocument/2006/relationships/hyperlink" Target="http://data.europa.eu/eli/dir/2022/2555/2022-12-27" TargetMode="External"/><Relationship Id="rId35" Type="http://schemas.openxmlformats.org/officeDocument/2006/relationships/hyperlink" Target="https://enlargement.ec.europa.eu/news/trans-caspian-transport-corridor-and-connectivity-investors-forum-eu-advances-cross-regional-2025-11-27_fr" TargetMode="External"/><Relationship Id="rId43" Type="http://schemas.openxmlformats.org/officeDocument/2006/relationships/hyperlink" Target="https://energy.ec.europa.eu/news/press-statement-dan-jorgensen-european-commissioner-energy-and-housing-and-parviz-shahbazov-minister-2026-03-03_fr" TargetMode="External"/><Relationship Id="rId48" Type="http://schemas.openxmlformats.org/officeDocument/2006/relationships/hyperlink" Target="https://www.consilium.europa.eu/fr/press/press-releases/2025/04/04/joint-declaration-following-the-first-european-union-central-asia-summit/" TargetMode="External"/><Relationship Id="rId56" Type="http://schemas.openxmlformats.org/officeDocument/2006/relationships/hyperlink" Target="https://cordis.europa.eu/project/id/101000518/fr" TargetMode="External"/><Relationship Id="rId64" Type="http://schemas.openxmlformats.org/officeDocument/2006/relationships/hyperlink" Target="https://eu4climate.eu/" TargetMode="External"/><Relationship Id="rId69" Type="http://schemas.openxmlformats.org/officeDocument/2006/relationships/hyperlink" Target="https://eur-lex.europa.eu/legal-content/FR/TXT/?uri=celex:52026DC0082" TargetMode="External"/><Relationship Id="rId8" Type="http://schemas.openxmlformats.org/officeDocument/2006/relationships/hyperlink" Target="https://www.consilium.europa.eu/fr/press/press-releases/2026/05/05/joint-declaration-following-the-first-armenia-eu-summit/" TargetMode="External"/><Relationship Id="rId51" Type="http://schemas.openxmlformats.org/officeDocument/2006/relationships/hyperlink" Target="https://black-sea-maritime-agenda.ec.europa.eu/node/755" TargetMode="External"/><Relationship Id="rId3" Type="http://schemas.openxmlformats.org/officeDocument/2006/relationships/hyperlink" Target="https://www.ebrd.com/home/news-and-events/publications/economics/transition-reports/transition-report-2025-26.html" TargetMode="External"/><Relationship Id="rId12" Type="http://schemas.openxmlformats.org/officeDocument/2006/relationships/hyperlink" Target="https://www.eesc.europa.eu/fr/news-media/news/le-cese-plaide-en-faveur-dune-mise-en-oeuvre-ambitieuse-et-pragmatique-de-lapproche-strategique-de-lunion-europeenne" TargetMode="External"/><Relationship Id="rId17" Type="http://schemas.openxmlformats.org/officeDocument/2006/relationships/hyperlink" Target="https://odesaforum.org/" TargetMode="External"/><Relationship Id="rId25" Type="http://schemas.openxmlformats.org/officeDocument/2006/relationships/hyperlink" Target="https://transport.ec.europa.eu/transport-themes/military-mobility_fr" TargetMode="External"/><Relationship Id="rId33" Type="http://schemas.openxmlformats.org/officeDocument/2006/relationships/hyperlink" Target="https://enlargement.ec.europa.eu/meta-study-advancing-cross-regional-connectivity-agenda_fr" TargetMode="External"/><Relationship Id="rId38" Type="http://schemas.openxmlformats.org/officeDocument/2006/relationships/hyperlink" Target="https://transport.ec.europa.eu/news-events/news/eu-support-better-transport-connections-eastern-europe-ukraine-and-moldova-2025-11-07_fr" TargetMode="External"/><Relationship Id="rId46" Type="http://schemas.openxmlformats.org/officeDocument/2006/relationships/hyperlink" Target="https://blacksea-cbc.net/interreg-next-bsb-2021-2027" TargetMode="External"/><Relationship Id="rId59" Type="http://schemas.openxmlformats.org/officeDocument/2006/relationships/hyperlink" Target="https://ec.europa.eu/commission/presscorner/detail/fr/ip_26_1318" TargetMode="External"/><Relationship Id="rId67" Type="http://schemas.openxmlformats.org/officeDocument/2006/relationships/hyperlink" Target="https://commission.europa.eu/topics/preparedness_fr" TargetMode="External"/><Relationship Id="rId20" Type="http://schemas.openxmlformats.org/officeDocument/2006/relationships/hyperlink" Target="https://digital-strategy.ec.europa.eu/fr/library/report-security-and-resilience-eu-submarine-cable-infrastructures" TargetMode="External"/><Relationship Id="rId41" Type="http://schemas.openxmlformats.org/officeDocument/2006/relationships/hyperlink" Target="https://eur-lex.europa.eu/legal-content/FR/TXT/?uri=PI_COM%3AC%282025%298144&amp;qid=1766157187792" TargetMode="External"/><Relationship Id="rId54" Type="http://schemas.openxmlformats.org/officeDocument/2006/relationships/hyperlink" Target="https://doi.org/10.4060/cd7701fr" TargetMode="External"/><Relationship Id="rId62" Type="http://schemas.openxmlformats.org/officeDocument/2006/relationships/hyperlink" Target="https://www.eea.europa.eu/fr/newsroom/news/eea-and-eionet-welcome-moldova-as-a-cooperating-country" TargetMode="External"/><Relationship Id="rId70" Type="http://schemas.openxmlformats.org/officeDocument/2006/relationships/hyperlink" Target="https://eur-lex.europa.eu/legal-content/FR/TXT/?uri=celex:52026DC0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be4fcb0-26a9-4b4f-826e-3f76808092f6" xsi:nil="true"/>
  </documentManagement>
</p:properties>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5" ma:contentTypeDescription="Create a new document." ma:contentTypeScope="" ma:versionID="6751cf9da597dbfcdf76b656f532ce40">
  <xsd:schema xmlns:xsd="http://www.w3.org/2001/XMLSchema" xmlns:xs="http://www.w3.org/2001/XMLSchema" xmlns:p="http://schemas.microsoft.com/office/2006/metadata/properties" xmlns:ns3="b1574990-7dca-46ed-ac87-7eb4962c31b1" targetNamespace="http://schemas.microsoft.com/office/2006/metadata/properties" ma:root="true" ma:fieldsID="833867750abe91f0d127f860ae7a9e1e" ns3:_="">
    <xsd:import namespace="b1574990-7dca-46ed-ac87-7eb4962c31b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EurolookProperties>
  <ProductCustomizationId>EC</ProductCustomizationId>
  <Created>
    <Version>10.0.47989.0</Version>
    <Date>2026-01-27T10:38:43</Date>
    <Language>EN</Language>
    <Note/>
  </Created>
  <DocumentModel>
    <Id>6cbda13a-4db2-46c6-876a-ef72275827ef</Id>
    <Name>Report</Name>
  </DocumentModel>
  <CustomTemplate>
    <Id/>
    <Name/>
  </CustomTemplate>
  <DocumentDate>2026-01-27T10:38:43</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SENSITIVE</EC_SecurityMarking>
    <EC_SecurityDistributionSensitive MetadataSerializationType="SimpleValue">SENSITIVE</EC_SecurityDistributionSensitiv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6.xml><?xml version="1.0" encoding="utf-8"?>
<Author Role="Creator" AuthorRoleName="Writer" AuthorRoleDisplayName="Writer" AuthorRoleId="a4fbaff4-b07c-48b4-a21e-e7b9eedf3796">
  <Id>a636736c-99b9-46ff-ba11-186886164816</Id>
  <Names>
    <Latin>
      <FirstName>Angela</FirstName>
      <LastName>BULARGA</LastName>
    </Latin>
    <Greek>
      <FirstName/>
      <LastName/>
    </Greek>
    <Cyrillic>
      <FirstName/>
      <LastName/>
    </Cyrillic>
    <DocumentScript>
      <FirstName>Angela</FirstName>
      <LastName>BULARGA</LastName>
      <FullName>Angela BULARGA</FullName>
    </DocumentScript>
  </Names>
  <Initials>AB</Initials>
  <Gender>f</Gender>
  <Email>Angela.BULARGA@ec.europa.eu</Email>
  <Service>ENEST.C.1</Service>
  <Function ADCode="" ShowInSignature="true" ShowInHeader="false" HeaderText=""/>
  <WebAddress/>
  <FunctionalMailbox/>
  <InheritedWebAddress>WebAddress</InheritedWebAddress>
  <OrgaEntity1>
    <Id>ac32d9ad-18d1-40eb-9c44-36fa252a076e</Id>
    <LogicalLevel>1</LogicalLevel>
    <Name>ENEST</Name>
    <HeadLine1>Directorate-General for Enlargement and Eastern Neighbourhood</HeadLine1>
    <HeadLine2/>
    <PrimaryAddressId>f03b5801-04c9-4931-aa17-c6d6c70bc579</PrimaryAddressId>
    <SecondaryAddressId/>
    <WebAddress>WebAddress</WebAddress>
    <InheritedWebAddress>WebAddress</InheritedWebAddress>
    <ShowInHeader>true</ShowInHeader>
  </OrgaEntity1>
  <OrgaEntity2>
    <Id>6b865546-1c8e-46fa-9f96-71ade0a6a2b0</Id>
    <LogicalLevel>2</LogicalLevel>
    <Name>ENEST.C</Name>
    <HeadLine1>C – Neighbourhood East &amp; Türkiye</HeadLine1>
    <HeadLine2/>
    <PrimaryAddressId>f03b5801-04c9-4931-aa17-c6d6c70bc579</PrimaryAddressId>
    <SecondaryAddressId/>
    <WebAddress/>
    <InheritedWebAddress>WebAddress</InheritedWebAddress>
    <ShowInHeader>true</ShowInHeader>
  </OrgaEntity2>
  <OrgaEntity3>
    <Id>e783ae75-b20e-47a0-9246-dbd55b7fb2dc</Id>
    <LogicalLevel>3</LogicalLevel>
    <Name>ENEST.C.1</Name>
    <HeadLine1>C.1 – Regional Strategy &amp; Investment</HeadLine1>
    <HeadLine2/>
    <PrimaryAddressId>f03b5801-04c9-4931-aa17-c6d6c70bc579</PrimaryAddressId>
    <SecondaryAddressId/>
    <WebAddress/>
    <InheritedWebAddress>WebAddress</InheritedWebAddress>
    <ShowInHeader>true</ShowInHeader>
  </OrgaEntity3>
  <Hierarchy>
    <OrgaEntity>
      <Id>ac32d9ad-18d1-40eb-9c44-36fa252a076e</Id>
      <LogicalLevel>1</LogicalLevel>
      <Name>ENEST</Name>
      <HeadLine1>Directorate-General for Enlargement and Eastern Neighbourhood</HeadLine1>
      <HeadLine2/>
      <PrimaryAddressId>f03b5801-04c9-4931-aa17-c6d6c70bc579</PrimaryAddressId>
      <SecondaryAddressId/>
      <WebAddress>WebAddress</WebAddress>
      <InheritedWebAddress>WebAddress</InheritedWebAddress>
      <ShowInHeader>true</ShowInHeader>
    </OrgaEntity>
    <OrgaEntity>
      <Id>6b865546-1c8e-46fa-9f96-71ade0a6a2b0</Id>
      <LogicalLevel>2</LogicalLevel>
      <Name>ENEST.C</Name>
      <HeadLine1>C – Neighbourhood East &amp; Türkiye</HeadLine1>
      <HeadLine2/>
      <PrimaryAddressId>f03b5801-04c9-4931-aa17-c6d6c70bc579</PrimaryAddressId>
      <SecondaryAddressId/>
      <WebAddress/>
      <InheritedWebAddress>WebAddress</InheritedWebAddress>
      <ShowInHeader>true</ShowInHeader>
    </OrgaEntity>
    <OrgaEntity>
      <Id>e783ae75-b20e-47a0-9246-dbd55b7fb2dc</Id>
      <LogicalLevel>3</LogicalLevel>
      <Name>ENEST.C.1</Name>
      <HeadLine1>C.1 – Regional Strategy &amp; Investment</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+32 229-54900</Phone>
    <Office>MO34 05/DCS</Office>
  </MainWorkplace>
  <Workplaces>
    <Workplace IsMain="true">
      <AddressId>f03b5801-04c9-4931-aa17-c6d6c70bc579</AddressId>
      <Fax/>
      <Phone>+32 229-54900</Phone>
      <Office>MO34 05/DCS</Office>
    </Workplace>
  </Workplaces>
</Author>
</file>

<file path=customXml/item7.xml><?xml version="1.0" encoding="utf-8"?>
<ct:contentTypeSchema xmlns:ct="http://schemas.microsoft.com/office/2006/metadata/contentType" xmlns:ma="http://schemas.microsoft.com/office/2006/metadata/properties/metaAttributes" ct:_="" ma:_="" ma:contentTypeName="Document" ma:contentTypeID="0x0101004F8954455CC87A47ADC9993F8A21564F" ma:contentTypeVersion="8" ma:contentTypeDescription="Create a new document." ma:contentTypeScope="" ma:versionID="122fe5f643f35b292a65252d7c776db1">
  <xsd:schema xmlns:xsd="http://www.w3.org/2001/XMLSchema" xmlns:xs="http://www.w3.org/2001/XMLSchema" xmlns:p="http://schemas.microsoft.com/office/2006/metadata/properties" xmlns:ns3="88bf217f-49c9-4146-840d-3aa20c401dac" xmlns:ns4="abe4fcb0-26a9-4b4f-826e-3f76808092f6" targetNamespace="http://schemas.microsoft.com/office/2006/metadata/properties" ma:root="true" ma:fieldsID="7dbf6579d12929645ede4483f7311798" ns3:_="" ns4:_="">
    <xsd:import namespace="88bf217f-49c9-4146-840d-3aa20c401dac"/>
    <xsd:import namespace="abe4fcb0-26a9-4b4f-826e-3f76808092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f217f-49c9-4146-840d-3aa20c401d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e4fcb0-26a9-4b4f-826e-3f76808092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B98EC-6302-432D-8954-F3CDC1EB25BD}">
  <ds:schemaRefs>
    <ds:schemaRef ds:uri="http://schemas.microsoft.com/office/2006/metadata/properties"/>
    <ds:schemaRef ds:uri="http://schemas.microsoft.com/office/infopath/2007/PartnerControls"/>
    <ds:schemaRef ds:uri="abe4fcb0-26a9-4b4f-826e-3f76808092f6"/>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F45266FE-1F47-46CE-9033-F7B166171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74990-7dca-46ed-ac87-7eb4962c3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53BDD2-E131-4985-9CA3-361F7FF5B774}">
  <ds:schemaRefs>
    <ds:schemaRef ds:uri="http://schemas.microsoft.com/sharepoint/v3/contenttype/fo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2DFA01F8-7F66-4776-B4AC-04AEFB428656}">
  <ds:schemaRefs/>
</ds:datastoreItem>
</file>

<file path=customXml/itemProps7.xml><?xml version="1.0" encoding="utf-8"?>
<ds:datastoreItem xmlns:ds="http://schemas.openxmlformats.org/officeDocument/2006/customXml" ds:itemID="{9C7C0269-673A-41A2-8804-215806053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f217f-49c9-4146-840d-3aa20c401dac"/>
    <ds:schemaRef ds:uri="abe4fcb0-26a9-4b4f-826e-3f7680809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A17C6E80-78A5-4CA4-A3A9-80CA834BA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13185</Words>
  <Characters>75156</Characters>
  <Application>Microsoft Office Word</Application>
  <DocSecurity>0</DocSecurity>
  <PresentationFormat>Microsoft Word 14.0</PresentationFormat>
  <Lines>626</Lines>
  <Paragraphs>176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88165</CharactersWithSpaces>
  <SharedDoc>false</SharedDoc>
  <HLinks>
    <vt:vector size="480" baseType="variant">
      <vt:variant>
        <vt:i4>589834</vt:i4>
      </vt:variant>
      <vt:variant>
        <vt:i4>207</vt:i4>
      </vt:variant>
      <vt:variant>
        <vt:i4>0</vt:i4>
      </vt:variant>
      <vt:variant>
        <vt:i4>5</vt:i4>
      </vt:variant>
      <vt:variant>
        <vt:lpwstr>https://black-sea-maritime-agenda.ec.europa.eu/bulgaria-takes-lead-coordinating-common-maritime-agenda-black-sea-2026</vt:lpwstr>
      </vt:variant>
      <vt:variant>
        <vt:lpwstr/>
      </vt:variant>
      <vt:variant>
        <vt:i4>65555</vt:i4>
      </vt:variant>
      <vt:variant>
        <vt:i4>204</vt:i4>
      </vt:variant>
      <vt:variant>
        <vt:i4>0</vt:i4>
      </vt:variant>
      <vt:variant>
        <vt:i4>5</vt:i4>
      </vt:variant>
      <vt:variant>
        <vt:lpwstr>https://eur-lex.europa.eu/legal-content/EN/TXT/?uri=celex:52026DC0112</vt:lpwstr>
      </vt:variant>
      <vt:variant>
        <vt:lpwstr/>
      </vt:variant>
      <vt:variant>
        <vt:i4>524306</vt:i4>
      </vt:variant>
      <vt:variant>
        <vt:i4>201</vt:i4>
      </vt:variant>
      <vt:variant>
        <vt:i4>0</vt:i4>
      </vt:variant>
      <vt:variant>
        <vt:i4>5</vt:i4>
      </vt:variant>
      <vt:variant>
        <vt:lpwstr>https://eur-lex.europa.eu/legal-content/EN/TXT/?uri=celex:52026DC0082</vt:lpwstr>
      </vt:variant>
      <vt:variant>
        <vt:lpwstr/>
      </vt:variant>
      <vt:variant>
        <vt:i4>524306</vt:i4>
      </vt:variant>
      <vt:variant>
        <vt:i4>198</vt:i4>
      </vt:variant>
      <vt:variant>
        <vt:i4>0</vt:i4>
      </vt:variant>
      <vt:variant>
        <vt:i4>5</vt:i4>
      </vt:variant>
      <vt:variant>
        <vt:lpwstr>https://eur-lex.europa.eu/legal-content/EN/TXT/?uri=celex:52026DC0081</vt:lpwstr>
      </vt:variant>
      <vt:variant>
        <vt:lpwstr/>
      </vt:variant>
      <vt:variant>
        <vt:i4>7602178</vt:i4>
      </vt:variant>
      <vt:variant>
        <vt:i4>195</vt:i4>
      </vt:variant>
      <vt:variant>
        <vt:i4>0</vt:i4>
      </vt:variant>
      <vt:variant>
        <vt:i4>5</vt:i4>
      </vt:variant>
      <vt:variant>
        <vt:lpwstr>https://commission.europa.eu/topics/preparedness_en</vt:lpwstr>
      </vt:variant>
      <vt:variant>
        <vt:lpwstr/>
      </vt:variant>
      <vt:variant>
        <vt:i4>1572958</vt:i4>
      </vt:variant>
      <vt:variant>
        <vt:i4>192</vt:i4>
      </vt:variant>
      <vt:variant>
        <vt:i4>0</vt:i4>
      </vt:variant>
      <vt:variant>
        <vt:i4>5</vt:i4>
      </vt:variant>
      <vt:variant>
        <vt:lpwstr>https://www.eu4greenrecoveryeast.eu/</vt:lpwstr>
      </vt:variant>
      <vt:variant>
        <vt:lpwstr/>
      </vt:variant>
      <vt:variant>
        <vt:i4>524307</vt:i4>
      </vt:variant>
      <vt:variant>
        <vt:i4>189</vt:i4>
      </vt:variant>
      <vt:variant>
        <vt:i4>0</vt:i4>
      </vt:variant>
      <vt:variant>
        <vt:i4>5</vt:i4>
      </vt:variant>
      <vt:variant>
        <vt:lpwstr>https://eur-lex.europa.eu/legal-content/EN/TXT/?uri=celex:52025DC0280</vt:lpwstr>
      </vt:variant>
      <vt:variant>
        <vt:lpwstr/>
      </vt:variant>
      <vt:variant>
        <vt:i4>2097215</vt:i4>
      </vt:variant>
      <vt:variant>
        <vt:i4>186</vt:i4>
      </vt:variant>
      <vt:variant>
        <vt:i4>0</vt:i4>
      </vt:variant>
      <vt:variant>
        <vt:i4>5</vt:i4>
      </vt:variant>
      <vt:variant>
        <vt:lpwstr>https://eu4climate.eu/</vt:lpwstr>
      </vt:variant>
      <vt:variant>
        <vt:lpwstr/>
      </vt:variant>
      <vt:variant>
        <vt:i4>3866686</vt:i4>
      </vt:variant>
      <vt:variant>
        <vt:i4>183</vt:i4>
      </vt:variant>
      <vt:variant>
        <vt:i4>0</vt:i4>
      </vt:variant>
      <vt:variant>
        <vt:i4>5</vt:i4>
      </vt:variant>
      <vt:variant>
        <vt:lpwstr>https://www.eea.europa.eu/en/newsroom/news/eea-and-eionet-welcome-moldova-as-a-cooperating-country</vt:lpwstr>
      </vt:variant>
      <vt:variant>
        <vt:lpwstr/>
      </vt:variant>
      <vt:variant>
        <vt:i4>6684789</vt:i4>
      </vt:variant>
      <vt:variant>
        <vt:i4>180</vt:i4>
      </vt:variant>
      <vt:variant>
        <vt:i4>0</vt:i4>
      </vt:variant>
      <vt:variant>
        <vt:i4>5</vt:i4>
      </vt:variant>
      <vt:variant>
        <vt:lpwstr>https://blackseadb.org/</vt:lpwstr>
      </vt:variant>
      <vt:variant>
        <vt:lpwstr/>
      </vt:variant>
      <vt:variant>
        <vt:i4>7012384</vt:i4>
      </vt:variant>
      <vt:variant>
        <vt:i4>177</vt:i4>
      </vt:variant>
      <vt:variant>
        <vt:i4>0</vt:i4>
      </vt:variant>
      <vt:variant>
        <vt:i4>5</vt:i4>
      </vt:variant>
      <vt:variant>
        <vt:lpwstr>https://emblasproject.org/</vt:lpwstr>
      </vt:variant>
      <vt:variant>
        <vt:lpwstr/>
      </vt:variant>
      <vt:variant>
        <vt:i4>4128800</vt:i4>
      </vt:variant>
      <vt:variant>
        <vt:i4>174</vt:i4>
      </vt:variant>
      <vt:variant>
        <vt:i4>0</vt:i4>
      </vt:variant>
      <vt:variant>
        <vt:i4>5</vt:i4>
      </vt:variant>
      <vt:variant>
        <vt:lpwstr>https://data.europa.eu/doi/10.2777/2375732</vt:lpwstr>
      </vt:variant>
      <vt:variant>
        <vt:lpwstr/>
      </vt:variant>
      <vt:variant>
        <vt:i4>1441880</vt:i4>
      </vt:variant>
      <vt:variant>
        <vt:i4>171</vt:i4>
      </vt:variant>
      <vt:variant>
        <vt:i4>0</vt:i4>
      </vt:variant>
      <vt:variant>
        <vt:i4>5</vt:i4>
      </vt:variant>
      <vt:variant>
        <vt:lpwstr>https://doi.org/10.3030/101000240</vt:lpwstr>
      </vt:variant>
      <vt:variant>
        <vt:lpwstr/>
      </vt:variant>
      <vt:variant>
        <vt:i4>1245279</vt:i4>
      </vt:variant>
      <vt:variant>
        <vt:i4>168</vt:i4>
      </vt:variant>
      <vt:variant>
        <vt:i4>0</vt:i4>
      </vt:variant>
      <vt:variant>
        <vt:i4>5</vt:i4>
      </vt:variant>
      <vt:variant>
        <vt:lpwstr>https://doi.org/10.3030/101000518</vt:lpwstr>
      </vt:variant>
      <vt:variant>
        <vt:lpwstr/>
      </vt:variant>
      <vt:variant>
        <vt:i4>524306</vt:i4>
      </vt:variant>
      <vt:variant>
        <vt:i4>165</vt:i4>
      </vt:variant>
      <vt:variant>
        <vt:i4>0</vt:i4>
      </vt:variant>
      <vt:variant>
        <vt:i4>5</vt:i4>
      </vt:variant>
      <vt:variant>
        <vt:lpwstr>https://eur-lex.europa.eu/legal-content/EN/TXT/?uri=CELEX:52026DC0082</vt:lpwstr>
      </vt:variant>
      <vt:variant>
        <vt:lpwstr/>
      </vt:variant>
      <vt:variant>
        <vt:i4>1835099</vt:i4>
      </vt:variant>
      <vt:variant>
        <vt:i4>162</vt:i4>
      </vt:variant>
      <vt:variant>
        <vt:i4>0</vt:i4>
      </vt:variant>
      <vt:variant>
        <vt:i4>5</vt:i4>
      </vt:variant>
      <vt:variant>
        <vt:lpwstr>https://doi.org/10.4060/cd7701en</vt:lpwstr>
      </vt:variant>
      <vt:variant>
        <vt:lpwstr/>
      </vt:variant>
      <vt:variant>
        <vt:i4>2752532</vt:i4>
      </vt:variant>
      <vt:variant>
        <vt:i4>159</vt:i4>
      </vt:variant>
      <vt:variant>
        <vt:i4>0</vt:i4>
      </vt:variant>
      <vt:variant>
        <vt:i4>5</vt:i4>
      </vt:variant>
      <vt:variant>
        <vt:lpwstr>https://oceans-and-fisheries.ec.europa.eu/news/eu-leads-efforts-harmonise-fishing-rules-across-mediterranean-and-black-seas-countries-2025-11-11_en</vt:lpwstr>
      </vt:variant>
      <vt:variant>
        <vt:lpwstr/>
      </vt:variant>
      <vt:variant>
        <vt:i4>1769476</vt:i4>
      </vt:variant>
      <vt:variant>
        <vt:i4>156</vt:i4>
      </vt:variant>
      <vt:variant>
        <vt:i4>0</vt:i4>
      </vt:variant>
      <vt:variant>
        <vt:i4>5</vt:i4>
      </vt:variant>
      <vt:variant>
        <vt:lpwstr>https://www.fao.org/gfcm/en/</vt:lpwstr>
      </vt:variant>
      <vt:variant>
        <vt:lpwstr/>
      </vt:variant>
      <vt:variant>
        <vt:i4>8257598</vt:i4>
      </vt:variant>
      <vt:variant>
        <vt:i4>153</vt:i4>
      </vt:variant>
      <vt:variant>
        <vt:i4>0</vt:i4>
      </vt:variant>
      <vt:variant>
        <vt:i4>5</vt:i4>
      </vt:variant>
      <vt:variant>
        <vt:lpwstr>https://black-sea-maritime-agenda.ec.europa.eu/node/755</vt:lpwstr>
      </vt:variant>
      <vt:variant>
        <vt:lpwstr/>
      </vt:variant>
      <vt:variant>
        <vt:i4>6619231</vt:i4>
      </vt:variant>
      <vt:variant>
        <vt:i4>150</vt:i4>
      </vt:variant>
      <vt:variant>
        <vt:i4>0</vt:i4>
      </vt:variant>
      <vt:variant>
        <vt:i4>5</vt:i4>
      </vt:variant>
      <vt:variant>
        <vt:lpwstr>https://black-sea-maritime-agenda.ec.europa.eu/sites/default/files/2026-03/CMA - 2025 implementation report _compressed.pdf</vt:lpwstr>
      </vt:variant>
      <vt:variant>
        <vt:lpwstr/>
      </vt:variant>
      <vt:variant>
        <vt:i4>2424883</vt:i4>
      </vt:variant>
      <vt:variant>
        <vt:i4>147</vt:i4>
      </vt:variant>
      <vt:variant>
        <vt:i4>0</vt:i4>
      </vt:variant>
      <vt:variant>
        <vt:i4>5</vt:i4>
      </vt:variant>
      <vt:variant>
        <vt:lpwstr>https://crmfacility.eu/</vt:lpwstr>
      </vt:variant>
      <vt:variant>
        <vt:lpwstr/>
      </vt:variant>
      <vt:variant>
        <vt:i4>5898317</vt:i4>
      </vt:variant>
      <vt:variant>
        <vt:i4>144</vt:i4>
      </vt:variant>
      <vt:variant>
        <vt:i4>0</vt:i4>
      </vt:variant>
      <vt:variant>
        <vt:i4>5</vt:i4>
      </vt:variant>
      <vt:variant>
        <vt:lpwstr>https://www.consilium.europa.eu/en/press/press-releases/2025/04/04/joint-declaration-following-the-first-european-union-central-asia-summit/</vt:lpwstr>
      </vt:variant>
      <vt:variant>
        <vt:lpwstr/>
      </vt:variant>
      <vt:variant>
        <vt:i4>3211326</vt:i4>
      </vt:variant>
      <vt:variant>
        <vt:i4>141</vt:i4>
      </vt:variant>
      <vt:variant>
        <vt:i4>0</vt:i4>
      </vt:variant>
      <vt:variant>
        <vt:i4>5</vt:i4>
      </vt:variant>
      <vt:variant>
        <vt:lpwstr>https://www.blacksea-cbc.net/interreg-next-bsb-2021-2027/projects/bsb00959</vt:lpwstr>
      </vt:variant>
      <vt:variant>
        <vt:lpwstr/>
      </vt:variant>
      <vt:variant>
        <vt:i4>655388</vt:i4>
      </vt:variant>
      <vt:variant>
        <vt:i4>138</vt:i4>
      </vt:variant>
      <vt:variant>
        <vt:i4>0</vt:i4>
      </vt:variant>
      <vt:variant>
        <vt:i4>5</vt:i4>
      </vt:variant>
      <vt:variant>
        <vt:lpwstr>https://blacksea-cbc.net/interreg-next-bsb-2021-2027</vt:lpwstr>
      </vt:variant>
      <vt:variant>
        <vt:lpwstr/>
      </vt:variant>
      <vt:variant>
        <vt:i4>5636154</vt:i4>
      </vt:variant>
      <vt:variant>
        <vt:i4>135</vt:i4>
      </vt:variant>
      <vt:variant>
        <vt:i4>0</vt:i4>
      </vt:variant>
      <vt:variant>
        <vt:i4>5</vt:i4>
      </vt:variant>
      <vt:variant>
        <vt:lpwstr>https://transport.ec.europa.eu/news-events/news/commission-unveils-eu-ports-strategy-strengthen-competitiveness-security-and-sustainability-european-2026-03-04_en</vt:lpwstr>
      </vt:variant>
      <vt:variant>
        <vt:lpwstr/>
      </vt:variant>
      <vt:variant>
        <vt:i4>3604506</vt:i4>
      </vt:variant>
      <vt:variant>
        <vt:i4>132</vt:i4>
      </vt:variant>
      <vt:variant>
        <vt:i4>0</vt:i4>
      </vt:variant>
      <vt:variant>
        <vt:i4>5</vt:i4>
      </vt:variant>
      <vt:variant>
        <vt:lpwstr>https://energy.ec.europa.eu/topics/international-cooperation/key-partner-countries-and-regions/neighbourhood-east_en</vt:lpwstr>
      </vt:variant>
      <vt:variant>
        <vt:lpwstr/>
      </vt:variant>
      <vt:variant>
        <vt:i4>2883654</vt:i4>
      </vt:variant>
      <vt:variant>
        <vt:i4>129</vt:i4>
      </vt:variant>
      <vt:variant>
        <vt:i4>0</vt:i4>
      </vt:variant>
      <vt:variant>
        <vt:i4>5</vt:i4>
      </vt:variant>
      <vt:variant>
        <vt:lpwstr>https://energy.ec.europa.eu/news/press-statement-dan-jorgensen-european-commissioner-energy-and-housing-and-parviz-shahbazov-minister-2026-03-03_en</vt:lpwstr>
      </vt:variant>
      <vt:variant>
        <vt:lpwstr/>
      </vt:variant>
      <vt:variant>
        <vt:i4>3407872</vt:i4>
      </vt:variant>
      <vt:variant>
        <vt:i4>126</vt:i4>
      </vt:variant>
      <vt:variant>
        <vt:i4>0</vt:i4>
      </vt:variant>
      <vt:variant>
        <vt:i4>5</vt:i4>
      </vt:variant>
      <vt:variant>
        <vt:lpwstr>https://energy.ec.europa.eu/topics/infrastructure/high-level-groups/central-and-south-eastern-europe-energy-connectivity_en</vt:lpwstr>
      </vt:variant>
      <vt:variant>
        <vt:lpwstr/>
      </vt:variant>
      <vt:variant>
        <vt:i4>7012446</vt:i4>
      </vt:variant>
      <vt:variant>
        <vt:i4>123</vt:i4>
      </vt:variant>
      <vt:variant>
        <vt:i4>0</vt:i4>
      </vt:variant>
      <vt:variant>
        <vt:i4>5</vt:i4>
      </vt:variant>
      <vt:variant>
        <vt:lpwstr>https://eur-lex.europa.eu/legal-content/EN/TXT/?uri=PI_COM%3AC%282025%298144&amp;qid=1766157187792</vt:lpwstr>
      </vt:variant>
      <vt:variant>
        <vt:lpwstr/>
      </vt:variant>
      <vt:variant>
        <vt:i4>786478</vt:i4>
      </vt:variant>
      <vt:variant>
        <vt:i4>120</vt:i4>
      </vt:variant>
      <vt:variant>
        <vt:i4>0</vt:i4>
      </vt:variant>
      <vt:variant>
        <vt:i4>5</vt:i4>
      </vt:variant>
      <vt:variant>
        <vt:lpwstr>https://transport.ec.europa.eu/transport-themes/infrastructure-and-investment/trans-european-transport-network-ten-t/tentec-information-system-and-ten-t-map-library/ten-t-maps-indicative-extension-neighbouring-countries_en</vt:lpwstr>
      </vt:variant>
      <vt:variant>
        <vt:lpwstr/>
      </vt:variant>
      <vt:variant>
        <vt:i4>3932271</vt:i4>
      </vt:variant>
      <vt:variant>
        <vt:i4>117</vt:i4>
      </vt:variant>
      <vt:variant>
        <vt:i4>0</vt:i4>
      </vt:variant>
      <vt:variant>
        <vt:i4>5</vt:i4>
      </vt:variant>
      <vt:variant>
        <vt:lpwstr>https://data.consilium.europa.eu/doc/document/ST-16415-2025-INIT/en/pdf</vt:lpwstr>
      </vt:variant>
      <vt:variant>
        <vt:lpwstr/>
      </vt:variant>
      <vt:variant>
        <vt:i4>7733334</vt:i4>
      </vt:variant>
      <vt:variant>
        <vt:i4>114</vt:i4>
      </vt:variant>
      <vt:variant>
        <vt:i4>0</vt:i4>
      </vt:variant>
      <vt:variant>
        <vt:i4>5</vt:i4>
      </vt:variant>
      <vt:variant>
        <vt:lpwstr>https://transport.ec.europa.eu/news-events/news/eu-support-better-transport-connections-eastern-europe-ukraine-and-moldova-2025-11-07_en</vt:lpwstr>
      </vt:variant>
      <vt:variant>
        <vt:lpwstr/>
      </vt:variant>
      <vt:variant>
        <vt:i4>1507449</vt:i4>
      </vt:variant>
      <vt:variant>
        <vt:i4>111</vt:i4>
      </vt:variant>
      <vt:variant>
        <vt:i4>0</vt:i4>
      </vt:variant>
      <vt:variant>
        <vt:i4>5</vt:i4>
      </vt:variant>
      <vt:variant>
        <vt:lpwstr>https://transport.ec.europa.eu/ukraine/eu-ukraine-solidarity-lanes_en</vt:lpwstr>
      </vt:variant>
      <vt:variant>
        <vt:lpwstr/>
      </vt:variant>
      <vt:variant>
        <vt:i4>3670096</vt:i4>
      </vt:variant>
      <vt:variant>
        <vt:i4>108</vt:i4>
      </vt:variant>
      <vt:variant>
        <vt:i4>0</vt:i4>
      </vt:variant>
      <vt:variant>
        <vt:i4>5</vt:i4>
      </vt:variant>
      <vt:variant>
        <vt:lpwstr>https://transport.ec.europa.eu/news-events/news/greece-bulgaria-and-romania-strengthen-cooperation-key-transport-links-2025-12-04_en</vt:lpwstr>
      </vt:variant>
      <vt:variant>
        <vt:lpwstr/>
      </vt:variant>
      <vt:variant>
        <vt:i4>3211291</vt:i4>
      </vt:variant>
      <vt:variant>
        <vt:i4>105</vt:i4>
      </vt:variant>
      <vt:variant>
        <vt:i4>0</vt:i4>
      </vt:variant>
      <vt:variant>
        <vt:i4>5</vt:i4>
      </vt:variant>
      <vt:variant>
        <vt:lpwstr>https://enlargement.ec.europa.eu/news/trans-caspian-transport-corridor-and-connectivity-investors-forum-eu-advances-cross-regional-2025-11-27_en</vt:lpwstr>
      </vt:variant>
      <vt:variant>
        <vt:lpwstr/>
      </vt:variant>
      <vt:variant>
        <vt:i4>7929957</vt:i4>
      </vt:variant>
      <vt:variant>
        <vt:i4>102</vt:i4>
      </vt:variant>
      <vt:variant>
        <vt:i4>0</vt:i4>
      </vt:variant>
      <vt:variant>
        <vt:i4>5</vt:i4>
      </vt:variant>
      <vt:variant>
        <vt:lpwstr>https://ec.europa.eu/commission/presscorner/detail/en/ip_25_2452</vt:lpwstr>
      </vt:variant>
      <vt:variant>
        <vt:lpwstr/>
      </vt:variant>
      <vt:variant>
        <vt:i4>3866708</vt:i4>
      </vt:variant>
      <vt:variant>
        <vt:i4>99</vt:i4>
      </vt:variant>
      <vt:variant>
        <vt:i4>0</vt:i4>
      </vt:variant>
      <vt:variant>
        <vt:i4>5</vt:i4>
      </vt:variant>
      <vt:variant>
        <vt:lpwstr>https://enlargement.ec.europa.eu/meta-study-advancing-cross-regional-connectivity-agenda_en</vt:lpwstr>
      </vt:variant>
      <vt:variant>
        <vt:lpwstr/>
      </vt:variant>
      <vt:variant>
        <vt:i4>262166</vt:i4>
      </vt:variant>
      <vt:variant>
        <vt:i4>96</vt:i4>
      </vt:variant>
      <vt:variant>
        <vt:i4>0</vt:i4>
      </vt:variant>
      <vt:variant>
        <vt:i4>5</vt:i4>
      </vt:variant>
      <vt:variant>
        <vt:lpwstr>https://eur-lex.europa.eu/legal-content/EN/TXT/?uri=celex:52025DC0743</vt:lpwstr>
      </vt:variant>
      <vt:variant>
        <vt:lpwstr/>
      </vt:variant>
      <vt:variant>
        <vt:i4>6488111</vt:i4>
      </vt:variant>
      <vt:variant>
        <vt:i4>93</vt:i4>
      </vt:variant>
      <vt:variant>
        <vt:i4>0</vt:i4>
      </vt:variant>
      <vt:variant>
        <vt:i4>5</vt:i4>
      </vt:variant>
      <vt:variant>
        <vt:lpwstr>https://www.consilium.europa.eu/en/meetings/international-ministerial-meetings/2025/12/02/</vt:lpwstr>
      </vt:variant>
      <vt:variant>
        <vt:lpwstr/>
      </vt:variant>
      <vt:variant>
        <vt:i4>2228269</vt:i4>
      </vt:variant>
      <vt:variant>
        <vt:i4>90</vt:i4>
      </vt:variant>
      <vt:variant>
        <vt:i4>0</vt:i4>
      </vt:variant>
      <vt:variant>
        <vt:i4>5</vt:i4>
      </vt:variant>
      <vt:variant>
        <vt:lpwstr>http://data.europa.eu/eli/dir/2022/2555/2022-12-27</vt:lpwstr>
      </vt:variant>
      <vt:variant>
        <vt:lpwstr/>
      </vt:variant>
      <vt:variant>
        <vt:i4>2228256</vt:i4>
      </vt:variant>
      <vt:variant>
        <vt:i4>87</vt:i4>
      </vt:variant>
      <vt:variant>
        <vt:i4>0</vt:i4>
      </vt:variant>
      <vt:variant>
        <vt:i4>5</vt:i4>
      </vt:variant>
      <vt:variant>
        <vt:lpwstr>https://www.consilium.europa.eu/en/press/press-releases/2026/04/21/armenia-eu-establishes-a-new-civilian-mission-to-contribute-strengthening-the-country-s-resilience/</vt:lpwstr>
      </vt:variant>
      <vt:variant>
        <vt:lpwstr/>
      </vt:variant>
      <vt:variant>
        <vt:i4>2228256</vt:i4>
      </vt:variant>
      <vt:variant>
        <vt:i4>84</vt:i4>
      </vt:variant>
      <vt:variant>
        <vt:i4>0</vt:i4>
      </vt:variant>
      <vt:variant>
        <vt:i4>5</vt:i4>
      </vt:variant>
      <vt:variant>
        <vt:lpwstr>https://www.consilium.europa.eu/en/press/press-releases/2026/04/21/armenia-eu-establishes-a-new-civilian-mission-to-contribute-strengthening-the-country-s-resilience/</vt:lpwstr>
      </vt:variant>
      <vt:variant>
        <vt:lpwstr/>
      </vt:variant>
      <vt:variant>
        <vt:i4>1114195</vt:i4>
      </vt:variant>
      <vt:variant>
        <vt:i4>81</vt:i4>
      </vt:variant>
      <vt:variant>
        <vt:i4>0</vt:i4>
      </vt:variant>
      <vt:variant>
        <vt:i4>5</vt:i4>
      </vt:variant>
      <vt:variant>
        <vt:lpwstr>https://www.consilium.europa.eu/en/policies/sanctions-against-cyber-attacks/</vt:lpwstr>
      </vt:variant>
      <vt:variant>
        <vt:lpwstr/>
      </vt:variant>
      <vt:variant>
        <vt:i4>917531</vt:i4>
      </vt:variant>
      <vt:variant>
        <vt:i4>78</vt:i4>
      </vt:variant>
      <vt:variant>
        <vt:i4>0</vt:i4>
      </vt:variant>
      <vt:variant>
        <vt:i4>5</vt:i4>
      </vt:variant>
      <vt:variant>
        <vt:lpwstr>https://www.consilium.europa.eu/en/policies/sanctions-against-russia-hybrid-threats/</vt:lpwstr>
      </vt:variant>
      <vt:variant>
        <vt:lpwstr/>
      </vt:variant>
      <vt:variant>
        <vt:i4>5242910</vt:i4>
      </vt:variant>
      <vt:variant>
        <vt:i4>75</vt:i4>
      </vt:variant>
      <vt:variant>
        <vt:i4>0</vt:i4>
      </vt:variant>
      <vt:variant>
        <vt:i4>5</vt:i4>
      </vt:variant>
      <vt:variant>
        <vt:lpwstr>https://www.eib.org/en/press/all/2025-322-ukraine-opens-its-first-railway-line-with-european-track-width-standard-boosting-the-country-s-integration-with-the-european-union</vt:lpwstr>
      </vt:variant>
      <vt:variant>
        <vt:lpwstr/>
      </vt:variant>
      <vt:variant>
        <vt:i4>6684763</vt:i4>
      </vt:variant>
      <vt:variant>
        <vt:i4>72</vt:i4>
      </vt:variant>
      <vt:variant>
        <vt:i4>0</vt:i4>
      </vt:variant>
      <vt:variant>
        <vt:i4>5</vt:i4>
      </vt:variant>
      <vt:variant>
        <vt:lpwstr>https://transport.ec.europa.eu/transport-themes/military-mobility_en</vt:lpwstr>
      </vt:variant>
      <vt:variant>
        <vt:lpwstr/>
      </vt:variant>
      <vt:variant>
        <vt:i4>2424899</vt:i4>
      </vt:variant>
      <vt:variant>
        <vt:i4>69</vt:i4>
      </vt:variant>
      <vt:variant>
        <vt:i4>0</vt:i4>
      </vt:variant>
      <vt:variant>
        <vt:i4>5</vt:i4>
      </vt:variant>
      <vt:variant>
        <vt:lpwstr>https://defence-industry-space.ec.europa.eu/eu-defence-industry/military-mobility_en</vt:lpwstr>
      </vt:variant>
      <vt:variant>
        <vt:lpwstr/>
      </vt:variant>
      <vt:variant>
        <vt:i4>524372</vt:i4>
      </vt:variant>
      <vt:variant>
        <vt:i4>66</vt:i4>
      </vt:variant>
      <vt:variant>
        <vt:i4>0</vt:i4>
      </vt:variant>
      <vt:variant>
        <vt:i4>5</vt:i4>
      </vt:variant>
      <vt:variant>
        <vt:lpwstr>https://www.consilium.europa.eu/en/press/press-releases/2026/04/23/russia-s-war-of-aggression-against-ukraine-20th-round-of-stern-eu-sanctions-hits-energy-military-industrial-complex-trade-and-financial-services-including-crypto/</vt:lpwstr>
      </vt:variant>
      <vt:variant>
        <vt:lpwstr/>
      </vt:variant>
      <vt:variant>
        <vt:i4>3407993</vt:i4>
      </vt:variant>
      <vt:variant>
        <vt:i4>63</vt:i4>
      </vt:variant>
      <vt:variant>
        <vt:i4>0</vt:i4>
      </vt:variant>
      <vt:variant>
        <vt:i4>5</vt:i4>
      </vt:variant>
      <vt:variant>
        <vt:lpwstr>https://digital-strategy.ec.europa.eu/en/activities/cef-digital</vt:lpwstr>
      </vt:variant>
      <vt:variant>
        <vt:lpwstr/>
      </vt:variant>
      <vt:variant>
        <vt:i4>7209075</vt:i4>
      </vt:variant>
      <vt:variant>
        <vt:i4>60</vt:i4>
      </vt:variant>
      <vt:variant>
        <vt:i4>0</vt:i4>
      </vt:variant>
      <vt:variant>
        <vt:i4>5</vt:i4>
      </vt:variant>
      <vt:variant>
        <vt:lpwstr>https://digital-strategy.ec.europa.eu/en/library/submarine-cable-security-toolbox-and-cable-projects-european-interest</vt:lpwstr>
      </vt:variant>
      <vt:variant>
        <vt:lpwstr/>
      </vt:variant>
      <vt:variant>
        <vt:i4>4128883</vt:i4>
      </vt:variant>
      <vt:variant>
        <vt:i4>57</vt:i4>
      </vt:variant>
      <vt:variant>
        <vt:i4>0</vt:i4>
      </vt:variant>
      <vt:variant>
        <vt:i4>5</vt:i4>
      </vt:variant>
      <vt:variant>
        <vt:lpwstr>https://digital-strategy.ec.europa.eu/en/library/report-security-and-resilience-eu-submarine-cable-infrastructures</vt:lpwstr>
      </vt:variant>
      <vt:variant>
        <vt:lpwstr/>
      </vt:variant>
      <vt:variant>
        <vt:i4>917521</vt:i4>
      </vt:variant>
      <vt:variant>
        <vt:i4>54</vt:i4>
      </vt:variant>
      <vt:variant>
        <vt:i4>0</vt:i4>
      </vt:variant>
      <vt:variant>
        <vt:i4>5</vt:i4>
      </vt:variant>
      <vt:variant>
        <vt:lpwstr>https://eur-lex.europa.eu/legal-content/EN/TXT/?uri=celex:52025JC0009</vt:lpwstr>
      </vt:variant>
      <vt:variant>
        <vt:lpwstr/>
      </vt:variant>
      <vt:variant>
        <vt:i4>31</vt:i4>
      </vt:variant>
      <vt:variant>
        <vt:i4>51</vt:i4>
      </vt:variant>
      <vt:variant>
        <vt:i4>0</vt:i4>
      </vt:variant>
      <vt:variant>
        <vt:i4>5</vt:i4>
      </vt:variant>
      <vt:variant>
        <vt:lpwstr>https://digital-strategy.ec.europa.eu/en/library/action-plan-drone-and-counter-drone-security</vt:lpwstr>
      </vt:variant>
      <vt:variant>
        <vt:lpwstr/>
      </vt:variant>
      <vt:variant>
        <vt:i4>7798893</vt:i4>
      </vt:variant>
      <vt:variant>
        <vt:i4>48</vt:i4>
      </vt:variant>
      <vt:variant>
        <vt:i4>0</vt:i4>
      </vt:variant>
      <vt:variant>
        <vt:i4>5</vt:i4>
      </vt:variant>
      <vt:variant>
        <vt:lpwstr>https://odesaforum.org/</vt:lpwstr>
      </vt:variant>
      <vt:variant>
        <vt:lpwstr/>
      </vt:variant>
      <vt:variant>
        <vt:i4>3473468</vt:i4>
      </vt:variant>
      <vt:variant>
        <vt:i4>45</vt:i4>
      </vt:variant>
      <vt:variant>
        <vt:i4>0</vt:i4>
      </vt:variant>
      <vt:variant>
        <vt:i4>5</vt:i4>
      </vt:variant>
      <vt:variant>
        <vt:lpwstr>https://mfa.gov.md/en/content/republic-moldova-host-third-edition-black-sea-security-conference-under-auspices</vt:lpwstr>
      </vt:variant>
      <vt:variant>
        <vt:lpwstr/>
      </vt:variant>
      <vt:variant>
        <vt:i4>3276833</vt:i4>
      </vt:variant>
      <vt:variant>
        <vt:i4>42</vt:i4>
      </vt:variant>
      <vt:variant>
        <vt:i4>0</vt:i4>
      </vt:variant>
      <vt:variant>
        <vt:i4>5</vt:i4>
      </vt:variant>
      <vt:variant>
        <vt:lpwstr>https://crimea-platform.org/en/news/third-black-sea-security-conference-of-the-international-crimea-platform-begins-in-moldova/</vt:lpwstr>
      </vt:variant>
      <vt:variant>
        <vt:lpwstr/>
      </vt:variant>
      <vt:variant>
        <vt:i4>4456539</vt:i4>
      </vt:variant>
      <vt:variant>
        <vt:i4>39</vt:i4>
      </vt:variant>
      <vt:variant>
        <vt:i4>0</vt:i4>
      </vt:variant>
      <vt:variant>
        <vt:i4>5</vt:i4>
      </vt:variant>
      <vt:variant>
        <vt:lpwstr>https://www.consilium.europa.eu/en/press/press-releases/2026/04/23/council-finalises-90-billion-support-loan-to-ukraine/</vt:lpwstr>
      </vt:variant>
      <vt:variant>
        <vt:lpwstr/>
      </vt:variant>
      <vt:variant>
        <vt:i4>262172</vt:i4>
      </vt:variant>
      <vt:variant>
        <vt:i4>36</vt:i4>
      </vt:variant>
      <vt:variant>
        <vt:i4>0</vt:i4>
      </vt:variant>
      <vt:variant>
        <vt:i4>5</vt:i4>
      </vt:variant>
      <vt:variant>
        <vt:lpwstr>https://cor.europa.eu/en/our-work/opinions/cdr-2757-2025</vt:lpwstr>
      </vt:variant>
      <vt:variant>
        <vt:lpwstr/>
      </vt:variant>
      <vt:variant>
        <vt:i4>1966144</vt:i4>
      </vt:variant>
      <vt:variant>
        <vt:i4>33</vt:i4>
      </vt:variant>
      <vt:variant>
        <vt:i4>0</vt:i4>
      </vt:variant>
      <vt:variant>
        <vt:i4>5</vt:i4>
      </vt:variant>
      <vt:variant>
        <vt:lpwstr>https://www.eesc.europa.eu/en/news-media/news/eesc-calls-ambitious-and-pragmatic-implementation-eus-strategic-approach-black-sea-region-0</vt:lpwstr>
      </vt:variant>
      <vt:variant>
        <vt:lpwstr/>
      </vt:variant>
      <vt:variant>
        <vt:i4>3670087</vt:i4>
      </vt:variant>
      <vt:variant>
        <vt:i4>30</vt:i4>
      </vt:variant>
      <vt:variant>
        <vt:i4>0</vt:i4>
      </vt:variant>
      <vt:variant>
        <vt:i4>5</vt:i4>
      </vt:variant>
      <vt:variant>
        <vt:lpwstr>https://enlargement.ec.europa.eu/georgia-report-2025_en</vt:lpwstr>
      </vt:variant>
      <vt:variant>
        <vt:lpwstr/>
      </vt:variant>
      <vt:variant>
        <vt:i4>327768</vt:i4>
      </vt:variant>
      <vt:variant>
        <vt:i4>27</vt:i4>
      </vt:variant>
      <vt:variant>
        <vt:i4>0</vt:i4>
      </vt:variant>
      <vt:variant>
        <vt:i4>5</vt:i4>
      </vt:variant>
      <vt:variant>
        <vt:lpwstr>https://www.consilium.europa.eu/en/press/press-releases/2026/03/11/joint-press-statement-by-president-of-the-european-council-antonio-costa-and-president-of-the-republic-of-azerbaijan-ilham-aliyev/</vt:lpwstr>
      </vt:variant>
      <vt:variant>
        <vt:lpwstr/>
      </vt:variant>
      <vt:variant>
        <vt:i4>4587607</vt:i4>
      </vt:variant>
      <vt:variant>
        <vt:i4>24</vt:i4>
      </vt:variant>
      <vt:variant>
        <vt:i4>0</vt:i4>
      </vt:variant>
      <vt:variant>
        <vt:i4>5</vt:i4>
      </vt:variant>
      <vt:variant>
        <vt:lpwstr>https://ec.europa.eu/commission/presscorner/detail/da/ip_26_988</vt:lpwstr>
      </vt:variant>
      <vt:variant>
        <vt:lpwstr/>
      </vt:variant>
      <vt:variant>
        <vt:i4>7274532</vt:i4>
      </vt:variant>
      <vt:variant>
        <vt:i4>21</vt:i4>
      </vt:variant>
      <vt:variant>
        <vt:i4>0</vt:i4>
      </vt:variant>
      <vt:variant>
        <vt:i4>5</vt:i4>
      </vt:variant>
      <vt:variant>
        <vt:lpwstr>https://www.consilium.europa.eu/en/press/press-releases/2026/05/05/joint-declaration-following-the-first-armenia-eu-summit/</vt:lpwstr>
      </vt:variant>
      <vt:variant>
        <vt:lpwstr/>
      </vt:variant>
      <vt:variant>
        <vt:i4>6553689</vt:i4>
      </vt:variant>
      <vt:variant>
        <vt:i4>18</vt:i4>
      </vt:variant>
      <vt:variant>
        <vt:i4>0</vt:i4>
      </vt:variant>
      <vt:variant>
        <vt:i4>5</vt:i4>
      </vt:variant>
      <vt:variant>
        <vt:lpwstr>https://enlargement.ec.europa.eu/news/european-union-and-armenia-adopt-new-strategic-agenda-deepen-partnership-2025-12-02_en</vt:lpwstr>
      </vt:variant>
      <vt:variant>
        <vt:lpwstr/>
      </vt:variant>
      <vt:variant>
        <vt:i4>3735620</vt:i4>
      </vt:variant>
      <vt:variant>
        <vt:i4>15</vt:i4>
      </vt:variant>
      <vt:variant>
        <vt:i4>0</vt:i4>
      </vt:variant>
      <vt:variant>
        <vt:i4>5</vt:i4>
      </vt:variant>
      <vt:variant>
        <vt:lpwstr>https://enlargement.ec.europa.eu/moldova-report-2025_en</vt:lpwstr>
      </vt:variant>
      <vt:variant>
        <vt:lpwstr/>
      </vt:variant>
      <vt:variant>
        <vt:i4>3997789</vt:i4>
      </vt:variant>
      <vt:variant>
        <vt:i4>12</vt:i4>
      </vt:variant>
      <vt:variant>
        <vt:i4>0</vt:i4>
      </vt:variant>
      <vt:variant>
        <vt:i4>5</vt:i4>
      </vt:variant>
      <vt:variant>
        <vt:lpwstr>https://enlargement.ec.europa.eu/ukraine-report-2025_en</vt:lpwstr>
      </vt:variant>
      <vt:variant>
        <vt:lpwstr/>
      </vt:variant>
      <vt:variant>
        <vt:i4>2097275</vt:i4>
      </vt:variant>
      <vt:variant>
        <vt:i4>9</vt:i4>
      </vt:variant>
      <vt:variant>
        <vt:i4>0</vt:i4>
      </vt:variant>
      <vt:variant>
        <vt:i4>5</vt:i4>
      </vt:variant>
      <vt:variant>
        <vt:lpwstr>https://www.consilium.europa.eu/en/press/press-releases/2025/10/20/co-chairs-conclusions-on-strengthening-cross-regional-security-and-connectivity/</vt:lpwstr>
      </vt:variant>
      <vt:variant>
        <vt:lpwstr/>
      </vt:variant>
      <vt:variant>
        <vt:i4>6291568</vt:i4>
      </vt:variant>
      <vt:variant>
        <vt:i4>6</vt:i4>
      </vt:variant>
      <vt:variant>
        <vt:i4>0</vt:i4>
      </vt:variant>
      <vt:variant>
        <vt:i4>5</vt:i4>
      </vt:variant>
      <vt:variant>
        <vt:lpwstr>https://www.ebrd.com/home/news-and-events/publications/economics/transition-reports/transition-report-2025-26.html</vt:lpwstr>
      </vt:variant>
      <vt:variant>
        <vt:lpwstr/>
      </vt:variant>
      <vt:variant>
        <vt:i4>6291516</vt:i4>
      </vt:variant>
      <vt:variant>
        <vt:i4>3</vt:i4>
      </vt:variant>
      <vt:variant>
        <vt:i4>0</vt:i4>
      </vt:variant>
      <vt:variant>
        <vt:i4>5</vt:i4>
      </vt:variant>
      <vt:variant>
        <vt:lpwstr>https://www.consilium.europa.eu/media/cjtb3oep/20250626-european-council-conclusions-en.pdf</vt:lpwstr>
      </vt:variant>
      <vt:variant>
        <vt:lpwstr/>
      </vt:variant>
      <vt:variant>
        <vt:i4>851984</vt:i4>
      </vt:variant>
      <vt:variant>
        <vt:i4>0</vt:i4>
      </vt:variant>
      <vt:variant>
        <vt:i4>0</vt:i4>
      </vt:variant>
      <vt:variant>
        <vt:i4>5</vt:i4>
      </vt:variant>
      <vt:variant>
        <vt:lpwstr>https://eur-lex.europa.eu/legal-content/EN/TXT/?uri=celex:52025JC0135</vt:lpwstr>
      </vt:variant>
      <vt:variant>
        <vt:lpwstr/>
      </vt:variant>
      <vt:variant>
        <vt:i4>7602273</vt:i4>
      </vt:variant>
      <vt:variant>
        <vt:i4>27</vt:i4>
      </vt:variant>
      <vt:variant>
        <vt:i4>0</vt:i4>
      </vt:variant>
      <vt:variant>
        <vt:i4>5</vt:i4>
      </vt:variant>
      <vt:variant>
        <vt:lpwstr>https://ec.europa.eu/commission/presscorner/detail/en/ip_26_1318</vt:lpwstr>
      </vt:variant>
      <vt:variant>
        <vt:lpwstr/>
      </vt:variant>
      <vt:variant>
        <vt:i4>7340034</vt:i4>
      </vt:variant>
      <vt:variant>
        <vt:i4>24</vt:i4>
      </vt:variant>
      <vt:variant>
        <vt:i4>0</vt:i4>
      </vt:variant>
      <vt:variant>
        <vt:i4>5</vt:i4>
      </vt:variant>
      <vt:variant>
        <vt:lpwstr>mailto:Dorothea.VON-KALNEIN@ec.europa.eu</vt:lpwstr>
      </vt:variant>
      <vt:variant>
        <vt:lpwstr/>
      </vt:variant>
      <vt:variant>
        <vt:i4>4194363</vt:i4>
      </vt:variant>
      <vt:variant>
        <vt:i4>21</vt:i4>
      </vt:variant>
      <vt:variant>
        <vt:i4>0</vt:i4>
      </vt:variant>
      <vt:variant>
        <vt:i4>5</vt:i4>
      </vt:variant>
      <vt:variant>
        <vt:lpwstr>mailto:Nicolas.DOMINGUEZ-MENDOZA@ec.europa.eu</vt:lpwstr>
      </vt:variant>
      <vt:variant>
        <vt:lpwstr/>
      </vt:variant>
      <vt:variant>
        <vt:i4>3538957</vt:i4>
      </vt:variant>
      <vt:variant>
        <vt:i4>18</vt:i4>
      </vt:variant>
      <vt:variant>
        <vt:i4>0</vt:i4>
      </vt:variant>
      <vt:variant>
        <vt:i4>5</vt:i4>
      </vt:variant>
      <vt:variant>
        <vt:lpwstr>mailto:Manuela.AMADORI@ec.europa.eu</vt:lpwstr>
      </vt:variant>
      <vt:variant>
        <vt:lpwstr/>
      </vt:variant>
      <vt:variant>
        <vt:i4>7340034</vt:i4>
      </vt:variant>
      <vt:variant>
        <vt:i4>15</vt:i4>
      </vt:variant>
      <vt:variant>
        <vt:i4>0</vt:i4>
      </vt:variant>
      <vt:variant>
        <vt:i4>5</vt:i4>
      </vt:variant>
      <vt:variant>
        <vt:lpwstr>mailto:Dorothea.VON-KALNEIN@ec.europa.eu</vt:lpwstr>
      </vt:variant>
      <vt:variant>
        <vt:lpwstr/>
      </vt:variant>
      <vt:variant>
        <vt:i4>2031654</vt:i4>
      </vt:variant>
      <vt:variant>
        <vt:i4>12</vt:i4>
      </vt:variant>
      <vt:variant>
        <vt:i4>0</vt:i4>
      </vt:variant>
      <vt:variant>
        <vt:i4>5</vt:i4>
      </vt:variant>
      <vt:variant>
        <vt:lpwstr>mailto:Chaima.AKROUM@ec.europa.eu</vt:lpwstr>
      </vt:variant>
      <vt:variant>
        <vt:lpwstr/>
      </vt:variant>
      <vt:variant>
        <vt:i4>7340034</vt:i4>
      </vt:variant>
      <vt:variant>
        <vt:i4>9</vt:i4>
      </vt:variant>
      <vt:variant>
        <vt:i4>0</vt:i4>
      </vt:variant>
      <vt:variant>
        <vt:i4>5</vt:i4>
      </vt:variant>
      <vt:variant>
        <vt:lpwstr>mailto:Dorothea.VON-KALNEIN@ec.europa.eu</vt:lpwstr>
      </vt:variant>
      <vt:variant>
        <vt:lpwstr/>
      </vt:variant>
      <vt:variant>
        <vt:i4>6750277</vt:i4>
      </vt:variant>
      <vt:variant>
        <vt:i4>6</vt:i4>
      </vt:variant>
      <vt:variant>
        <vt:i4>0</vt:i4>
      </vt:variant>
      <vt:variant>
        <vt:i4>5</vt:i4>
      </vt:variant>
      <vt:variant>
        <vt:lpwstr>mailto:Laura.BRETEA@ec.europa.eu</vt:lpwstr>
      </vt:variant>
      <vt:variant>
        <vt:lpwstr/>
      </vt:variant>
      <vt:variant>
        <vt:i4>2228302</vt:i4>
      </vt:variant>
      <vt:variant>
        <vt:i4>3</vt:i4>
      </vt:variant>
      <vt:variant>
        <vt:i4>0</vt:i4>
      </vt:variant>
      <vt:variant>
        <vt:i4>5</vt:i4>
      </vt:variant>
      <vt:variant>
        <vt:lpwstr>mailto:Jules.BIGOT@ext.ec.europa.eu</vt:lpwstr>
      </vt:variant>
      <vt:variant>
        <vt:lpwstr/>
      </vt:variant>
      <vt:variant>
        <vt:i4>4980857</vt:i4>
      </vt:variant>
      <vt:variant>
        <vt:i4>0</vt:i4>
      </vt:variant>
      <vt:variant>
        <vt:i4>0</vt:i4>
      </vt:variant>
      <vt:variant>
        <vt:i4>5</vt:i4>
      </vt:variant>
      <vt:variant>
        <vt:lpwstr>mailto:Marcus.LIPPOLD@ec.europa.eu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2026-05-29T01:21:00Z</cp:lastPrinted>
  <dcterms:created xsi:type="dcterms:W3CDTF">2026-06-25T15:35:00Z</dcterms:created>
  <dcterms:modified xsi:type="dcterms:W3CDTF">2026-08-19T07:10:00Z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2026-05-26T16:21:02Z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f6ddc6ee-4261-46e3-a889-d00af3baa877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0x0101004F8954455CC87A47ADC9993F8A21564F</vt:lpwstr>
  </property>
  <property fmtid="{D5CDD505-2E9C-101B-9397-08002B2CF9AE}" pid="11" name="Level of sensitivity">
    <vt:lpwstr>Standard treatment</vt:lpwstr>
  </property>
  <property fmtid="{D5CDD505-2E9C-101B-9397-08002B2CF9AE}" pid="12" name="_LW_INVALIDATED_EurolookVersion">
    <vt:lpwstr>10.0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CP-018</vt:lpwstr>
  </property>
  <property fmtid="{D5CDD505-2E9C-101B-9397-08002B2CF9AE}" pid="17" name="Last edited using">
    <vt:lpwstr>LW 9.2, Build 20250828</vt:lpwstr>
  </property>
  <property fmtid="{D5CDD505-2E9C-101B-9397-08002B2CF9AE}" pid="18" name="Created using">
    <vt:lpwstr>LW 9.2, Build 20250828</vt:lpwstr>
  </property>
</Properties>
</file>