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181764B-BB7C-4E43-A774-268FC3E4A48A" style="width:455.25pt;height:313.5pt">
            <v:imagedata r:id="rId7" o:title=""/>
          </v:shape>
        </w:pict>
      </w:r>
    </w:p>
    <w:bookmarkEnd w:id="0"/>
    <w:p>
      <w:pPr>
        <w:rPr>
          <w:noProof/>
        </w:rPr>
        <w:sectPr>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pPr>
        <w:spacing w:after="0" w:line="240" w:lineRule="auto"/>
        <w:jc w:val="center"/>
        <w:rPr>
          <w:rFonts w:ascii="Times New Roman" w:eastAsia="SimSun" w:hAnsi="Times New Roman" w:cs="Times New Roman"/>
          <w:b/>
          <w:noProof/>
          <w:kern w:val="0"/>
          <w14:ligatures w14:val="none"/>
        </w:rPr>
      </w:pPr>
      <w:r>
        <w:rPr>
          <w:rFonts w:ascii="Times New Roman" w:hAnsi="Times New Roman"/>
          <w:b/>
          <w:noProof/>
        </w:rPr>
        <w:lastRenderedPageBreak/>
        <w:t>RAPPORT CONJOINT AU PARLEMENT EUROPÉEN ET AU CONSEIL</w:t>
      </w:r>
    </w:p>
    <w:p>
      <w:pPr>
        <w:spacing w:after="0" w:line="240" w:lineRule="auto"/>
        <w:jc w:val="center"/>
        <w:rPr>
          <w:rFonts w:ascii="Times New Roman" w:eastAsia="SimSun" w:hAnsi="Times New Roman" w:cs="Times New Roman"/>
          <w:b/>
          <w:noProof/>
          <w:kern w:val="0"/>
          <w:lang w:eastAsia="zh-CN"/>
          <w14:ligatures w14:val="none"/>
        </w:rPr>
      </w:pPr>
    </w:p>
    <w:p>
      <w:pPr>
        <w:spacing w:after="0" w:line="240" w:lineRule="auto"/>
        <w:jc w:val="center"/>
        <w:rPr>
          <w:rFonts w:ascii="Times New Roman" w:eastAsia="SimSun" w:hAnsi="Times New Roman" w:cs="Times New Roman"/>
          <w:b/>
          <w:noProof/>
          <w:kern w:val="0"/>
          <w14:ligatures w14:val="none"/>
        </w:rPr>
      </w:pPr>
      <w:r>
        <w:rPr>
          <w:rFonts w:ascii="Times New Roman" w:hAnsi="Times New Roman"/>
          <w:b/>
          <w:noProof/>
        </w:rPr>
        <w:t>RÉGION ADMINISTRATIVE SPÉCIALE DE MACAO</w:t>
      </w:r>
    </w:p>
    <w:p>
      <w:pPr>
        <w:spacing w:after="0" w:line="240" w:lineRule="auto"/>
        <w:jc w:val="center"/>
        <w:rPr>
          <w:rFonts w:ascii="Times New Roman" w:eastAsia="SimSun" w:hAnsi="Times New Roman" w:cs="Times New Roman"/>
          <w:b/>
          <w:noProof/>
          <w:kern w:val="0"/>
          <w:lang w:eastAsia="zh-CN"/>
          <w14:ligatures w14:val="none"/>
        </w:rPr>
      </w:pPr>
    </w:p>
    <w:p>
      <w:pPr>
        <w:spacing w:after="0" w:line="240" w:lineRule="auto"/>
        <w:jc w:val="center"/>
        <w:rPr>
          <w:rFonts w:ascii="Times New Roman" w:eastAsia="SimSun" w:hAnsi="Times New Roman" w:cs="Times New Roman"/>
          <w:b/>
          <w:noProof/>
          <w:kern w:val="0"/>
          <w14:ligatures w14:val="none"/>
        </w:rPr>
      </w:pPr>
      <w:r>
        <w:rPr>
          <w:rFonts w:ascii="Times New Roman" w:hAnsi="Times New Roman"/>
          <w:b/>
          <w:noProof/>
        </w:rPr>
        <w:t>RAPPORT ANNUEL 2025</w:t>
      </w:r>
    </w:p>
    <w:p>
      <w:pPr>
        <w:rPr>
          <w:noProof/>
        </w:rPr>
      </w:pPr>
    </w:p>
    <w:p>
      <w:pPr>
        <w:spacing w:after="0" w:line="240" w:lineRule="auto"/>
        <w:rPr>
          <w:rFonts w:ascii="Times New Roman" w:eastAsia="SimSun" w:hAnsi="Times New Roman" w:cs="Times New Roman"/>
          <w:b/>
          <w:noProof/>
          <w:kern w:val="0"/>
          <w14:ligatures w14:val="none"/>
        </w:rPr>
      </w:pPr>
      <w:r>
        <w:rPr>
          <w:rFonts w:ascii="Times New Roman" w:hAnsi="Times New Roman"/>
          <w:b/>
          <w:noProof/>
        </w:rPr>
        <w:t>Synthèse</w:t>
      </w:r>
    </w:p>
    <w:p>
      <w:pPr>
        <w:spacing w:after="0" w:line="240" w:lineRule="auto"/>
        <w:rPr>
          <w:rFonts w:ascii="Times New Roman" w:eastAsia="SimSun" w:hAnsi="Times New Roman" w:cs="Times New Roman"/>
          <w:b/>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Depuis la rétrocession de Macao à la République populaire de Chine en 1999, l’Union européenne et ses États membres ont suivi de près l’évolution de la situation politique et économique dans la région administrative spéciale (RAS) de Macao, soumise au principe «un pays, deux systèmes». L’UE soutient ce principe et sa mise en œuvre conformément à la loi fondamentale, qui vise à garantir que le mode de vie, l’état de droit et la protection des droits et libertés fondamentaux à Macao ne changent pas jusqu’en 2049.</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Afin de respecter l’engagement pris en 1999 à l’égard du Parlement européen, la Commission et le haut représentant/vice-président publient un rapport annuel sur l’évolution de la situation à Macao. Au fil des ans, l’accent a été mis sur la mise en œuvre du principe «un pays, deux systèmes» et sur l’autonomie de Macao, comme le prévoit la loi fondamentale de Macao.</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Le présent document, qui constitue le 26</w:t>
      </w:r>
      <w:r>
        <w:rPr>
          <w:rFonts w:ascii="Times New Roman" w:hAnsi="Times New Roman"/>
          <w:noProof/>
          <w:vertAlign w:val="superscript"/>
        </w:rPr>
        <w:t>e</w:t>
      </w:r>
      <w:r>
        <w:rPr>
          <w:rFonts w:ascii="Times New Roman" w:hAnsi="Times New Roman"/>
          <w:noProof/>
        </w:rPr>
        <w:t> rapport, porte sur l’année 2025. Sur le plan politique, l’année a été caractérisée par la poursuite de l’érosion de l’autonomie et des libertés et droits fondamentaux qui sont censés être protégés jusqu’en 2049 au moins. L’année a été marquée par: i) la huitième élection de l’Assemblée législative; ii) la première arrestation en vertu de la loi sur la sauvegarde de la sécurité nationale.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La porte-parole de l’Union européenne a fait une déclaration sur le sujet suivant:</w:t>
      </w:r>
    </w:p>
    <w:p>
      <w:pPr>
        <w:spacing w:after="0" w:line="240" w:lineRule="auto"/>
        <w:jc w:val="both"/>
        <w:rPr>
          <w:rFonts w:ascii="Times New Roman" w:eastAsia="SimSun" w:hAnsi="Times New Roman" w:cs="Times New Roman"/>
          <w:b/>
          <w:noProof/>
          <w:kern w:val="0"/>
          <w:lang w:eastAsia="zh-CN"/>
          <w14:ligatures w14:val="none"/>
        </w:rPr>
      </w:pPr>
    </w:p>
    <w:p>
      <w:pPr>
        <w:numPr>
          <w:ilvl w:val="0"/>
          <w:numId w:val="2"/>
        </w:numPr>
        <w:spacing w:after="0" w:line="240" w:lineRule="auto"/>
        <w:contextualSpacing/>
        <w:jc w:val="both"/>
        <w:rPr>
          <w:rFonts w:ascii="Times New Roman" w:eastAsia="SimSun" w:hAnsi="Times New Roman" w:cs="Times New Roman"/>
          <w:b/>
          <w:bCs/>
          <w:noProof/>
          <w:kern w:val="0"/>
          <w14:ligatures w14:val="none"/>
        </w:rPr>
      </w:pPr>
      <w:r>
        <w:rPr>
          <w:rFonts w:ascii="Times New Roman" w:hAnsi="Times New Roman"/>
          <w:noProof/>
        </w:rPr>
        <w:t>2 août 2025, Déclaration de la porte-parole sur l’arrestation d’Au Kam San</w:t>
      </w:r>
      <w:r>
        <w:rPr>
          <w:rStyle w:val="FootnoteReference"/>
          <w:noProof/>
        </w:rPr>
        <w:footnoteReference w:id="1"/>
      </w:r>
      <w:r>
        <w:rPr>
          <w:rFonts w:ascii="Times New Roman" w:hAnsi="Times New Roman"/>
          <w:noProof/>
        </w:rPr>
        <w:t>.</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PMingLiU" w:hAnsi="Times New Roman" w:cs="Times New Roman"/>
          <w:noProof/>
          <w:color w:val="000000"/>
          <w:kern w:val="0"/>
          <w14:ligatures w14:val="none"/>
        </w:rPr>
      </w:pPr>
      <w:r>
        <w:rPr>
          <w:rFonts w:ascii="Times New Roman" w:hAnsi="Times New Roman"/>
          <w:noProof/>
          <w:color w:val="000000"/>
        </w:rPr>
        <w:t>En 2025, le PIB de Macao a augmenté de 4,7 % en glissement annuel. Il s’agit de la troisième année consécutive de croissance, mais l’économie n’a pas encore complètement retrouvé ses niveaux d’avant la pandémie de COVID-19. La croissance économique a été favorisée par l’augmentation du nombre de touristes à Macao et des recettes des jeux qui y sont liées. La RAS a enregistré 40,1 millions de visiteurs en 2025. C’est la première fois, depuis la fin de la pandémie de COVID-19, que le nombre de touristes a dépassé les niveaux d’avant la pandémie. Toutefois, malgré l’augmentation du nombre de visiteurs, les recettes des jeux n’ont pas retrouvé leur niveau d’avant la pandémie.</w:t>
      </w:r>
    </w:p>
    <w:p>
      <w:pPr>
        <w:spacing w:after="0" w:line="240" w:lineRule="auto"/>
        <w:jc w:val="both"/>
        <w:rPr>
          <w:rFonts w:ascii="Times New Roman" w:eastAsia="PMingLiU" w:hAnsi="Times New Roman" w:cs="Times New Roman"/>
          <w:noProof/>
          <w:color w:val="000000"/>
          <w:kern w:val="0"/>
          <w:lang w:eastAsia="zh-CN"/>
          <w14:ligatures w14:val="none"/>
        </w:rPr>
      </w:pPr>
    </w:p>
    <w:p>
      <w:pPr>
        <w:spacing w:after="0" w:line="240" w:lineRule="auto"/>
        <w:jc w:val="both"/>
        <w:rPr>
          <w:rFonts w:ascii="Times New Roman" w:eastAsia="PMingLiU" w:hAnsi="Times New Roman" w:cs="Times New Roman"/>
          <w:noProof/>
          <w:color w:val="000000"/>
          <w:kern w:val="0"/>
          <w14:ligatures w14:val="none"/>
        </w:rPr>
      </w:pPr>
      <w:r>
        <w:rPr>
          <w:rFonts w:ascii="Times New Roman" w:hAnsi="Times New Roman"/>
          <w:noProof/>
          <w:color w:val="000000"/>
        </w:rPr>
        <w:t>En 2025, l’UE a été le deuxième partenaire commercial de Macao en ce qui concerne les marchandises, représentant 26 % du total des échanges de la RAS, un excédent commercial étant dégagé en faveur de l’UE. L’Union a été la troisième source d’investissements directs étrangers (IDE) de Macao en 2024 (dernières données disponibles).</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rPr>
          <w:rFonts w:ascii="Times New Roman" w:eastAsia="SimSun" w:hAnsi="Times New Roman" w:cs="Times New Roman"/>
          <w:b/>
          <w:noProof/>
          <w:kern w:val="0"/>
          <w:lang w:eastAsia="zh-CN"/>
          <w14:ligatures w14:val="none"/>
        </w:rPr>
      </w:pPr>
    </w:p>
    <w:p>
      <w:pPr>
        <w:numPr>
          <w:ilvl w:val="0"/>
          <w:numId w:val="1"/>
        </w:numPr>
        <w:spacing w:after="0" w:line="240" w:lineRule="auto"/>
        <w:contextualSpacing/>
        <w:rPr>
          <w:rFonts w:ascii="Times New Roman" w:eastAsia="SimSun" w:hAnsi="Times New Roman" w:cs="Times New Roman"/>
          <w:b/>
          <w:noProof/>
          <w:kern w:val="0"/>
          <w14:ligatures w14:val="none"/>
        </w:rPr>
      </w:pPr>
      <w:r>
        <w:rPr>
          <w:rFonts w:ascii="Times New Roman" w:hAnsi="Times New Roman"/>
          <w:b/>
          <w:noProof/>
        </w:rPr>
        <w:t>Évolution politique et sociale</w:t>
      </w:r>
    </w:p>
    <w:p>
      <w:pPr>
        <w:spacing w:after="0" w:line="240" w:lineRule="auto"/>
        <w:jc w:val="both"/>
        <w:rPr>
          <w:rFonts w:ascii="Times New Roman" w:eastAsia="MS Mincho" w:hAnsi="Times New Roman" w:cs="Times New Roman"/>
          <w:noProof/>
          <w:kern w:val="0"/>
          <w:lang w:eastAsia="ja-JP"/>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lastRenderedPageBreak/>
        <w:t>La huitième élection de l’Assemblée législative a eu lieu le 14 septembre. À cette occasion, 14 députés ont été élus au suffrage direct et 12 indirectement par des associations représentant différents secteurs sociaux. Le 29 septembre, sept autres députés ont été nommés par le chef de l’exécutif, Sam Hou Fai. Les 33 membres de l’Assemblée ont prêté serment le 16 octobre.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Le taux de participation pour la circonscription élue au suffrage direct a atteint 53,35 %, soit 175 272 votants. Il s’agit du troisième taux de participation le plus faible depuis la rétrocession en 1999, malgré les incitations au vote mises en avant par le gouvernement et par les entreprises privées. C’est la liste du parti New Hope, dirigée par le député sortant José Pereira Coutinho, membre de l’Assemblée depuis de nombreuses années, qui a remporté le plus grand nombre de voix, obtenant le nombre record de 43 361 suffrages, soit environ un quart des suffrages exprimés.</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Le nombre de votes invalides a atteint un niveau record, s’élevant à 13 040. Les autorités ont adopté de nouvelles modalités interdisant aux médias d’assister à la session d’examen des bulletins invalides. La prise de photographies et l’enregistrement de vidéos du processus n’étaient toujours pas autorisés.</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André Cheong, qui était auparavant secrétaire à l’administration et à la justice, est devenu député et a été élu président de l’Assemblée législative par les députés, à l’unanimité, le 16 octobre. Cette élection à la présidence d’un député siégeant pour la première fois à l’Assemblée législative est sans précédent dans l’histoire de la législature de Macao.</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L’élection a été suivie d’un remaniement des principaux fonctionnaires. Wong Sio Chak, ancien secrétaire à la sécurité, a succédé à André Cheong et a lui-même été remplacé par Chan Tsz King, ancien procureur général.</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Le 6 novembre, la Commission de lutte contre la corruption a déclaré avoir renvoyé au ministère public deux affaires découlant du processus d’élection de l’Assemblée législative, y compris un cas présumé de corruption électorale dans lequel le suspect s’était engagé, sur une plateforme de médias sociaux, à voter pour le candidat qui pourrait fournir des récompenses monétaires.</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MS Mincho" w:hAnsi="Times New Roman" w:cs="Times New Roman"/>
          <w:noProof/>
          <w:kern w:val="0"/>
          <w14:ligatures w14:val="none"/>
        </w:rPr>
      </w:pPr>
      <w:r>
        <w:rPr>
          <w:rFonts w:ascii="Times New Roman" w:hAnsi="Times New Roman"/>
          <w:noProof/>
        </w:rPr>
        <w:t>Avant l’élection, le 15 juillet, la commission des affaires électorales établie pour l’élection de l’Assemblée législative a exclu 12 candidats de deux listes électorales, invoquant leur non-respect de la loi fondamentale et le fait qu’ils n’avaient pas prêté allégeance à la RAS de Macao. L’une des personnes concernées était un député sortant qui avait été soumis à la même démarche de vérification en 2021, lorsque les autorités avaient pour la première fois disqualifié des candidats pro-démocratie. La décision n’était pas susceptible de recours.</w:t>
      </w:r>
    </w:p>
    <w:p>
      <w:pPr>
        <w:spacing w:after="0" w:line="240" w:lineRule="auto"/>
        <w:jc w:val="both"/>
        <w:rPr>
          <w:rFonts w:ascii="Times New Roman" w:eastAsia="MS Mincho" w:hAnsi="Times New Roman" w:cs="Times New Roman"/>
          <w:noProof/>
          <w:kern w:val="0"/>
          <w:lang w:eastAsia="ja-JP"/>
          <w14:ligatures w14:val="none"/>
        </w:rPr>
      </w:pPr>
    </w:p>
    <w:p>
      <w:pPr>
        <w:spacing w:after="0" w:line="240" w:lineRule="auto"/>
        <w:jc w:val="both"/>
        <w:rPr>
          <w:rFonts w:ascii="Times New Roman" w:eastAsia="SimSun" w:hAnsi="Times New Roman" w:cs="Times New Roman"/>
          <w:i/>
          <w:iCs/>
          <w:noProof/>
          <w:kern w:val="0"/>
          <w14:ligatures w14:val="none"/>
        </w:rPr>
      </w:pPr>
      <w:r>
        <w:rPr>
          <w:rFonts w:ascii="Times New Roman" w:hAnsi="Times New Roman"/>
          <w:noProof/>
        </w:rPr>
        <w:t>Le président de la commission a expliqué, également le 15 juillet, que la décision de disqualification avait été prise sur la base d’«avis de réexamen» du Comité de sauvegarde de la sécurité nationale de la ville, présidé par le chef de l’exécutif. Certains fonctionnaires du continent affectés au bureau de liaison du gouvernement central à Macao sont aussi membres du Comité de sauvegarde de la sécurité nationale. Cet arrangement confère au gouvernement central une influence directe sur les élections locales de Macao.</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 xml:space="preserve">Dans une autre déclaration publiée le 15 juillet, le gouvernement a souligné que, même s’il n’avait pas été constaté qu’un candidat ait commis une action considérée comme un «non-respect de la loi fondamentale» ou un «défaut d’allégeance à la RAS», ce candidat devait </w:t>
      </w:r>
      <w:r>
        <w:rPr>
          <w:rFonts w:ascii="Times New Roman" w:hAnsi="Times New Roman"/>
          <w:noProof/>
        </w:rPr>
        <w:lastRenderedPageBreak/>
        <w:t>néanmoins être exclu pour avoir «aidé d’autres personnes à accomplir de tels actes», en citant la «modification de la loi électorale pour l’Assemblée législative de la région administrative spéciale de Macao» adoptée en 2024.</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Dans cette déclaration, il a ajouté que tant qu’un candidat figurant sur une liste électorale était considéré comme «ne respectant pas la loi fondamentale» ou «ne prêtant pas allégeance à la RAS» en raison du fait qu’il aurait «attaqué de mauvaise foi, diffamé, calomnié ou insulté» les lois et décisions du Congrès national du peuple et de son Comité permanent, les autres candidats figurant sur la même liste qui accepteraient «le soutien d’un tel candidat à des fins électorales» ne pourraient pas être considérés comme «respectant la loi fondamentale» et «prêtant allégeance à la RAS».</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Le 18 juillet, la commission des affaires électorales de l’Assemblée législative a rejeté un recours présenté par Tim Wong Tak Loi et son groupe électoral «Livelihood Power in Macao», qui ont été déchus de leur droit de se présenter à l’élection. La Commission a répété que cette disqualification n’était pas susceptible de recours. Toutefois, elle a accepté de restituer la caution du candidat au groupe.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Par ailleurs, Antonio Kuok Cheong Ng, ancien député pro-démocratie, a fait savoir sur ses réseaux sociaux, le 12 septembre, qu’il avait reçu un «ordre des autorités» lui imposant de quitter Macao pendant dix jours, période qui coïncidait avec celle des élections.</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b/>
          <w:noProof/>
        </w:rPr>
        <w:t>L’ancien député pro-démocratie Sunny Au a été arrêté le 30 juillet, au titre de la législation de Macao sur la sécurité nationale</w:t>
      </w:r>
      <w:r>
        <w:rPr>
          <w:rFonts w:ascii="Times New Roman" w:hAnsi="Times New Roman"/>
          <w:noProof/>
        </w:rPr>
        <w:t>, pour des accusations de «collusion avec des forces étrangères». C’était la première fois que les autorités invoquaient la loi sur la sauvegarde de la sécurité nationale, qui a été modifiée pour la dernière fois en 2023 afin d’être plus étroitement alignée sur la législation du continent relative à la sécurité.</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Sunny Au a ensuite été placé en détention provisoire pour une durée maximale de trois ans. Son épouse a été inscrite en tant que témoin et a dû se présenter au ministère public pour témoigner le 31 juillet. L’arrestation aurait été liée à la fourniture de matériels, dans le contexte de la commémoration, le 4 juin, de la répression de Tiananmen en 1989, à l’Alliance chinoise pour la démocratie, un groupe basé aux États-Unis qui soutient les activités démocratiques en Chine.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Sunny Au avait reçu plusieurs appels exprimant des «préoccupations» au cours des dix jours précédant la commémoration du 4 juin, mais a déclaré aux médias qu’il ne s’était pas senti sous pression. Comme les années précédentes, il avait publié sur Facebook des textes retraçant l’événement historique.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Le 18 novembre, le chef de l’exécutif, Sam Hou Fai, a prononcé son deuxième discours politique. Il s’est engagé à faire progresser la diversification économique, à améliorer l’efficacité de la gouvernance et les moyens de subsistance de la population, ainsi qu’à approfondir l’intégration de Macao dans le développement national.</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Son administration prévoit en outre d’exiger de tous les fonctionnaires actuels et futurs qu’ils prêtent serment de respecter la loi fondamentale de Macao et prêtent allégeance à la RAS. Cette politique est censée «renforcer la base de gouvernance des “patriotes qui dirigent Macao”».</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bCs/>
          <w:noProof/>
          <w:kern w:val="0"/>
          <w14:ligatures w14:val="none"/>
        </w:rPr>
      </w:pPr>
      <w:r>
        <w:rPr>
          <w:rFonts w:ascii="Times New Roman" w:hAnsi="Times New Roman"/>
          <w:noProof/>
        </w:rPr>
        <w:lastRenderedPageBreak/>
        <w:t>Avec effet au 1</w:t>
      </w:r>
      <w:r>
        <w:rPr>
          <w:rFonts w:ascii="Times New Roman" w:hAnsi="Times New Roman"/>
          <w:noProof/>
          <w:vertAlign w:val="superscript"/>
        </w:rPr>
        <w:t>er</w:t>
      </w:r>
      <w:r>
        <w:rPr>
          <w:rFonts w:ascii="Times New Roman" w:hAnsi="Times New Roman"/>
          <w:noProof/>
        </w:rPr>
        <w:t> novembre, le juge portugais Rui Carlos dos Santos Pereira Ribeiro a démissionné du tribunal de deuxième instance. Le 12 décembre, le seul juge portugais actif à Macao, Jerónimo Alberto Gonçalves Santos, a été promu au tribunal de deuxième instance par le tribunal de première instance. Il a pris ses fonctions le 1</w:t>
      </w:r>
      <w:r>
        <w:rPr>
          <w:rFonts w:ascii="Times New Roman" w:hAnsi="Times New Roman"/>
          <w:noProof/>
          <w:vertAlign w:val="superscript"/>
        </w:rPr>
        <w:t>er</w:t>
      </w:r>
      <w:r>
        <w:rPr>
          <w:rFonts w:ascii="Times New Roman" w:hAnsi="Times New Roman"/>
          <w:noProof/>
        </w:rPr>
        <w:t> janvier 2026.</w:t>
      </w:r>
    </w:p>
    <w:p>
      <w:pPr>
        <w:spacing w:after="0" w:line="240" w:lineRule="auto"/>
        <w:jc w:val="both"/>
        <w:rPr>
          <w:rFonts w:ascii="Times New Roman" w:eastAsia="SimSun" w:hAnsi="Times New Roman" w:cs="Times New Roman"/>
          <w:bCs/>
          <w:noProof/>
          <w:kern w:val="0"/>
          <w:lang w:eastAsia="zh-CN"/>
          <w14:ligatures w14:val="none"/>
        </w:rPr>
      </w:pPr>
    </w:p>
    <w:p>
      <w:pPr>
        <w:spacing w:after="0" w:line="240" w:lineRule="auto"/>
        <w:jc w:val="both"/>
        <w:rPr>
          <w:rFonts w:ascii="Times New Roman" w:eastAsia="SimSun" w:hAnsi="Times New Roman" w:cs="Times New Roman"/>
          <w:b/>
          <w:bCs/>
          <w:noProof/>
          <w:kern w:val="0"/>
          <w14:ligatures w14:val="none"/>
        </w:rPr>
      </w:pPr>
      <w:r>
        <w:rPr>
          <w:rFonts w:ascii="Times New Roman" w:hAnsi="Times New Roman"/>
          <w:noProof/>
        </w:rPr>
        <w:t xml:space="preserve">Le Premier ministre portugais, Luís Montenegro, s’est rendu à Macao du 9 au 10 septembre. Il a annoncé que la réunion de la </w:t>
      </w:r>
      <w:r>
        <w:rPr>
          <w:rFonts w:ascii="Times New Roman" w:hAnsi="Times New Roman"/>
          <w:b/>
          <w:noProof/>
        </w:rPr>
        <w:t>commission mixte Macao-Portugal</w:t>
      </w:r>
      <w:r>
        <w:rPr>
          <w:rFonts w:ascii="Times New Roman" w:hAnsi="Times New Roman"/>
          <w:noProof/>
        </w:rPr>
        <w:t xml:space="preserve"> se tiendrait à Macao du 4 au 6 février 2026, près de sept ans après la dernière session</w:t>
      </w:r>
      <w:r>
        <w:rPr>
          <w:rFonts w:ascii="Times New Roman" w:hAnsi="Times New Roman"/>
          <w:b/>
          <w:noProof/>
        </w:rPr>
        <w:t>.</w:t>
      </w:r>
    </w:p>
    <w:p>
      <w:pPr>
        <w:spacing w:after="0" w:line="240" w:lineRule="auto"/>
        <w:jc w:val="both"/>
        <w:rPr>
          <w:rFonts w:ascii="Times New Roman" w:eastAsia="SimSun" w:hAnsi="Times New Roman" w:cs="Times New Roman"/>
          <w:b/>
          <w:bCs/>
          <w:noProof/>
          <w:kern w:val="0"/>
          <w:lang w:eastAsia="zh-CN"/>
          <w14:ligatures w14:val="none"/>
        </w:rPr>
      </w:pPr>
    </w:p>
    <w:p>
      <w:pPr>
        <w:spacing w:after="0" w:line="240" w:lineRule="auto"/>
        <w:jc w:val="both"/>
        <w:rPr>
          <w:rFonts w:ascii="Times New Roman" w:eastAsia="SimSun" w:hAnsi="Times New Roman" w:cs="Times New Roman"/>
          <w:b/>
          <w:noProof/>
          <w:kern w:val="0"/>
          <w14:ligatures w14:val="none"/>
        </w:rPr>
      </w:pPr>
      <w:r>
        <w:rPr>
          <w:rFonts w:ascii="Times New Roman" w:hAnsi="Times New Roman"/>
          <w:noProof/>
        </w:rPr>
        <w:t>Lors de la réception organisée à l’occasion de la Journée du Portugal, de Camões et des communautés portugaises, le 10 juin, le chef de l’exécutif, Sam Hou Fai, a déclaré que la communauté portugaise avait contribué considérablement et sans relâche au «développement sain de diverses entreprises» à Macao. Il a exprimé sa «gratitude pour le soutien sans faille de la communauté portugaise» au gouvernement de la RAS et pour sa coopération avec celui-ci, ainsi que pour sa contribution au développement socio-économique</w:t>
      </w:r>
      <w:r>
        <w:rPr>
          <w:rFonts w:ascii="Times New Roman" w:hAnsi="Times New Roman"/>
          <w:b/>
          <w:noProof/>
        </w:rPr>
        <w:t xml:space="preserve"> </w:t>
      </w:r>
      <w:r>
        <w:rPr>
          <w:rFonts w:ascii="Times New Roman" w:hAnsi="Times New Roman"/>
          <w:noProof/>
        </w:rPr>
        <w:t>de Macao.</w:t>
      </w:r>
    </w:p>
    <w:p>
      <w:pPr>
        <w:spacing w:after="0" w:line="240" w:lineRule="auto"/>
        <w:jc w:val="both"/>
        <w:rPr>
          <w:rFonts w:ascii="Times New Roman" w:eastAsia="SimSun" w:hAnsi="Times New Roman" w:cs="Times New Roman"/>
          <w:b/>
          <w:noProof/>
          <w:kern w:val="0"/>
          <w:lang w:eastAsia="zh-CN"/>
          <w14:ligatures w14:val="none"/>
        </w:rPr>
      </w:pPr>
    </w:p>
    <w:p>
      <w:pPr>
        <w:spacing w:after="0" w:line="240" w:lineRule="auto"/>
        <w:jc w:val="both"/>
        <w:rPr>
          <w:rFonts w:ascii="Times New Roman" w:eastAsia="SimSun" w:hAnsi="Times New Roman" w:cs="Times New Roman"/>
          <w:bCs/>
          <w:noProof/>
          <w:kern w:val="0"/>
          <w14:ligatures w14:val="none"/>
        </w:rPr>
      </w:pPr>
      <w:r>
        <w:rPr>
          <w:rFonts w:ascii="Times New Roman" w:hAnsi="Times New Roman"/>
          <w:b/>
          <w:noProof/>
        </w:rPr>
        <w:t>Le supertyphon Ragasa</w:t>
      </w:r>
      <w:r>
        <w:rPr>
          <w:rFonts w:ascii="Times New Roman" w:hAnsi="Times New Roman"/>
          <w:noProof/>
        </w:rPr>
        <w:t xml:space="preserve"> a frappé Macao le 24 septembre, poussant le bureau météorologique et géophysique à émettre le signal d’avertissement le plus élevé (le «signal d’ouragan» nº 10) en raison de vents d’une vitesse moyenne supérieure à 118 km/h. Cette tempête a été le cyclone tropical le plus puissant qu’a connu la région du Pacifique nord occidental en 2025. Grâce à une préparation efficace, la ville n’a enregistré aucun décès et que huit blessés.</w:t>
      </w:r>
    </w:p>
    <w:p>
      <w:pPr>
        <w:spacing w:after="0" w:line="240" w:lineRule="auto"/>
        <w:jc w:val="both"/>
        <w:rPr>
          <w:rFonts w:ascii="Times New Roman" w:eastAsia="SimSun" w:hAnsi="Times New Roman" w:cs="Times New Roman"/>
          <w:b/>
          <w:bCs/>
          <w:noProof/>
          <w:kern w:val="0"/>
          <w:lang w:eastAsia="zh-CN"/>
          <w14:ligatures w14:val="none"/>
        </w:rPr>
      </w:pPr>
    </w:p>
    <w:p>
      <w:pPr>
        <w:spacing w:after="0" w:line="240" w:lineRule="auto"/>
        <w:ind w:left="720"/>
        <w:jc w:val="both"/>
        <w:rPr>
          <w:rFonts w:ascii="Times New Roman" w:eastAsia="SimSun" w:hAnsi="Times New Roman" w:cs="Times New Roman"/>
          <w:b/>
          <w:bCs/>
          <w:noProof/>
          <w:kern w:val="0"/>
          <w14:ligatures w14:val="none"/>
        </w:rPr>
      </w:pPr>
      <w:r>
        <w:rPr>
          <w:rFonts w:ascii="Times New Roman" w:hAnsi="Times New Roman"/>
          <w:b/>
          <w:noProof/>
        </w:rPr>
        <w:t>Droits, libertés et égalité des chances</w:t>
      </w:r>
    </w:p>
    <w:p>
      <w:pPr>
        <w:spacing w:after="0" w:line="240" w:lineRule="auto"/>
        <w:jc w:val="both"/>
        <w:rPr>
          <w:rFonts w:ascii="Times New Roman" w:eastAsia="Times New Roman" w:hAnsi="Times New Roman" w:cs="Times New Roman"/>
          <w:noProof/>
          <w:kern w:val="0"/>
          <w:highlight w:val="red"/>
          <w:lang w:eastAsia="zh-CN"/>
          <w14:ligatures w14:val="none"/>
        </w:rPr>
      </w:pPr>
    </w:p>
    <w:p>
      <w:pPr>
        <w:spacing w:after="0" w:line="240" w:lineRule="auto"/>
        <w:jc w:val="both"/>
        <w:rPr>
          <w:rFonts w:ascii="Times New Roman" w:eastAsia="MS Mincho" w:hAnsi="Times New Roman" w:cs="Times New Roman"/>
          <w:noProof/>
          <w:kern w:val="0"/>
          <w14:ligatures w14:val="none"/>
        </w:rPr>
      </w:pPr>
      <w:r>
        <w:rPr>
          <w:rFonts w:ascii="Times New Roman" w:hAnsi="Times New Roman"/>
          <w:noProof/>
        </w:rPr>
        <w:t>Le 3 février 2025, le gouvernement central et le gouvernement de Macao ont présenté leur rapport régulier au Comité des Nations unies contre la torture, avec un retard de six ans. Ce rapport devait initialement être présenté en 2019. Le gouvernement de Macao a détaillé les travaux accomplis en vue de se conformer à la Convention contre la torture et autres peines ou traitements cruels, inhumains ou dégradants. Alors que le Comité des Nations unies contre la torture, dans ses dernières observations finales, rendues en 2016, s’était dit préoccupé par le fait que la loi sur la prévention de la violence dans la famille «ne [couvrait] pas toutes les personnes ayant des relations intimes quelle que soit leur orientation sexuelle», les dernières observations du gouvernement de Macao n’ont pas répondu à cette préoccupation.</w:t>
      </w:r>
    </w:p>
    <w:p>
      <w:pPr>
        <w:spacing w:after="0" w:line="240" w:lineRule="auto"/>
        <w:jc w:val="both"/>
        <w:rPr>
          <w:rFonts w:ascii="Times New Roman" w:eastAsia="MS Mincho" w:hAnsi="Times New Roman" w:cs="Times New Roman"/>
          <w:noProof/>
          <w:kern w:val="0"/>
          <w:lang w:eastAsia="ja-JP"/>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Le 5 décembre 2025, Macao a présenté son «rapport de l’État partie sur le suivi des observations finales» concernant le Pacte international relatif aux droits civils et politiques. En réponse à la demande formulée dans les observations finales de réviser la loi nº 2/93/M (sur les droits de réunion et de manifestation) «afin d’éviter toute interprétation arbitraire susceptible de restreindre injustement le droit à la liberté de réunion», les autorités de Macao ont réaffirmé que la police «a l’obligation» de veiller à ce que «les rassemblements et manifestations publics soient menés de manière légale et ordonnée afin d’éviter de graves répercussions sur la sécurité nationale».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b/>
          <w:noProof/>
          <w:kern w:val="0"/>
          <w14:ligatures w14:val="none"/>
        </w:rPr>
      </w:pPr>
      <w:r>
        <w:rPr>
          <w:rFonts w:ascii="Times New Roman" w:hAnsi="Times New Roman"/>
          <w:b/>
          <w:noProof/>
        </w:rPr>
        <w:t>En ce qui concerne les droits des travailleurs</w:t>
      </w:r>
      <w:r>
        <w:rPr>
          <w:rFonts w:ascii="Times New Roman" w:hAnsi="Times New Roman"/>
          <w:noProof/>
        </w:rPr>
        <w:t>, le Conseil exécutif a approuvé, le 24 octobre, une augmentation de 2,9 % du salaire minimum équivalant à 1 MOP par heure; ce salaire passera donc de 34 MOP actuellement (3,7 EUR) à 35 MOP (3,8 EUR). Cette mesure entrera en vigueur le 1</w:t>
      </w:r>
      <w:r>
        <w:rPr>
          <w:rFonts w:ascii="Times New Roman" w:hAnsi="Times New Roman"/>
          <w:noProof/>
          <w:vertAlign w:val="superscript"/>
        </w:rPr>
        <w:t>er</w:t>
      </w:r>
      <w:r>
        <w:rPr>
          <w:rFonts w:ascii="Times New Roman" w:hAnsi="Times New Roman"/>
          <w:noProof/>
        </w:rPr>
        <w:t> janvier 2026. Selon les estimations du gouvernement, environ 18 200 personnes bénéficieront de cette augmentation, soit 4,4 % de l’ensemble de la main-d’œuvre.</w:t>
      </w:r>
    </w:p>
    <w:p>
      <w:pPr>
        <w:spacing w:after="0" w:line="240" w:lineRule="auto"/>
        <w:jc w:val="both"/>
        <w:rPr>
          <w:rFonts w:ascii="Times New Roman" w:eastAsia="SimSun" w:hAnsi="Times New Roman" w:cs="Times New Roman"/>
          <w:b/>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lastRenderedPageBreak/>
        <w:t xml:space="preserve">La </w:t>
      </w:r>
      <w:r>
        <w:rPr>
          <w:rFonts w:ascii="Times New Roman" w:hAnsi="Times New Roman"/>
          <w:b/>
          <w:noProof/>
        </w:rPr>
        <w:t>liberté de réunion</w:t>
      </w:r>
      <w:r>
        <w:rPr>
          <w:rFonts w:ascii="Times New Roman" w:hAnsi="Times New Roman"/>
          <w:noProof/>
        </w:rPr>
        <w:t xml:space="preserve"> a continué d’être sous pression. Pour la quatrième année consécutive, il n’y a pas eu de commémoration publique du 35</w:t>
      </w:r>
      <w:r>
        <w:rPr>
          <w:rFonts w:ascii="Times New Roman" w:hAnsi="Times New Roman"/>
          <w:noProof/>
          <w:vertAlign w:val="superscript"/>
        </w:rPr>
        <w:t>e</w:t>
      </w:r>
      <w:r>
        <w:rPr>
          <w:rFonts w:ascii="Times New Roman" w:hAnsi="Times New Roman"/>
          <w:noProof/>
        </w:rPr>
        <w:t> anniversaire de la répression de Tiananmen en 1989.</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Le 1</w:t>
      </w:r>
      <w:r>
        <w:rPr>
          <w:rFonts w:ascii="Times New Roman" w:hAnsi="Times New Roman"/>
          <w:noProof/>
          <w:vertAlign w:val="superscript"/>
        </w:rPr>
        <w:t>er</w:t>
      </w:r>
      <w:r>
        <w:rPr>
          <w:rFonts w:ascii="Times New Roman" w:hAnsi="Times New Roman"/>
          <w:noProof/>
        </w:rPr>
        <w:t> mai, la police a arrêté un homme qui protestait seul contre la présence de travailleurs migrants à Macao. Les services répressifs ont accusé l’homme d’enfreindre la loi sur les droits de réunion et de manifestation. Par ailleurs, le groupe de défense des droits des travailleurs Macau People Power a dû annuler une manifestation prévue à l’occasion de la Fête du travail en raison de «pressions» exercées par la police. Le président du groupe a expliqué qu’il avait présenté une demande formelle en avril pour organiser une manifestation, mais qu’il avait été convoqué à plusieurs reprises par la police pour discuter de plans d’urgence en cas de «circonstances incontrôlables», par exemple dans l’éventualité où «des manifestants en profiteraient pour provoquer des troubles». Le groupe a finalement décidé de s’abstenir de toute action publique et de présenter plutôt une lettre de pétition au chef de l’exécutif.</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b/>
          <w:noProof/>
        </w:rPr>
        <w:t>La liberté de la presse et la liberté d’expression</w:t>
      </w:r>
      <w:r>
        <w:rPr>
          <w:rFonts w:ascii="Times New Roman" w:hAnsi="Times New Roman"/>
          <w:noProof/>
        </w:rPr>
        <w:t xml:space="preserve"> sont elles aussi demeurées sous pression. L’organe de presse indépendant All About Macau a annoncé, le 30 octobre, qu’il mettrait fin à ses activités après le 20 décembre. Ses représentants ont expliqué que cette décision avait été prise «à l’issue d’une réflexion approfondie» dans un contexte marqué par «des pressions et des risques de plus en plus importants». En octobre, le Bureau d’information du gouvernement avait informé l’organe de presse qu’il avait été radié en vertu de la loi sur la presse (nº 7/90/M) et qu’il ne remplissait plus les «conditions légales requises pour exercer les activités pertinentes».</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En avril 2025, des enquêtes pénales ont été ouvertes à l’encontre de trois journalistes de All About Macau pour avoir cherché à assister à une réunion de l’Assemblée législative, qui aurait normalement été ouverte au public et à la presse. La Society of European Journalists &amp; Communication Professionals in Asia a publié une déclaration condamnant ce refus d’accès et la détention des journalistes. Deux reporters de All About Macao se sont à nouveau vu refuser l’accès au bâtiment de l’Assemblée législative en juin, alors qu’ils souhaitaient assister à une conférence de presse organisée par le comité de suivi des affaires de l’administration publique de la législature sur des sujets tels que l’emploi et la formation des travailleurs locaux.</w:t>
      </w:r>
    </w:p>
    <w:p>
      <w:pPr>
        <w:spacing w:after="0" w:line="240" w:lineRule="auto"/>
        <w:jc w:val="both"/>
        <w:rPr>
          <w:rFonts w:ascii="Times New Roman" w:eastAsia="SimSun" w:hAnsi="Times New Roman" w:cs="Times New Roman"/>
          <w:bCs/>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b/>
          <w:noProof/>
        </w:rPr>
        <w:t xml:space="preserve">Les possibilités de faire progresser les droits des personnes LGBTI + ont été limitées. </w:t>
      </w:r>
      <w:r>
        <w:rPr>
          <w:rFonts w:ascii="Times New Roman" w:hAnsi="Times New Roman"/>
          <w:noProof/>
        </w:rPr>
        <w:t>Le troisième</w:t>
      </w:r>
      <w:r>
        <w:rPr>
          <w:rFonts w:ascii="Times New Roman" w:hAnsi="Times New Roman"/>
          <w:b/>
          <w:noProof/>
        </w:rPr>
        <w:t xml:space="preserve"> </w:t>
      </w:r>
      <w:r>
        <w:rPr>
          <w:rFonts w:ascii="Times New Roman" w:hAnsi="Times New Roman"/>
          <w:noProof/>
        </w:rPr>
        <w:t>festival international du film queer de Macao (MIQFF) s’est déroulé entre le 30 mai et le 21 juin, avec le soutien de plusieurs consulats des États membres de l’UE.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p>
    <w:p>
      <w:pPr>
        <w:numPr>
          <w:ilvl w:val="0"/>
          <w:numId w:val="1"/>
        </w:numPr>
        <w:spacing w:after="0" w:line="240" w:lineRule="auto"/>
        <w:contextualSpacing/>
        <w:jc w:val="both"/>
        <w:rPr>
          <w:rFonts w:ascii="Times New Roman" w:eastAsia="SimSun" w:hAnsi="Times New Roman" w:cs="Times New Roman"/>
          <w:b/>
          <w:noProof/>
          <w:kern w:val="0"/>
          <w14:ligatures w14:val="none"/>
        </w:rPr>
      </w:pPr>
      <w:r>
        <w:rPr>
          <w:rFonts w:ascii="Times New Roman" w:hAnsi="Times New Roman"/>
          <w:b/>
          <w:noProof/>
        </w:rPr>
        <w:t>Développement économique</w:t>
      </w:r>
    </w:p>
    <w:p>
      <w:pPr>
        <w:spacing w:after="0" w:line="240" w:lineRule="auto"/>
        <w:jc w:val="both"/>
        <w:rPr>
          <w:rFonts w:ascii="Times New Roman" w:eastAsia="SimSun" w:hAnsi="Times New Roman" w:cs="Times New Roman"/>
          <w:noProof/>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L’économie de Macao a enregistré une croissance pour la troisième année consécutive en 2025. D’après les chiffres préliminaires disponibles au moment de la rédaction du présent rapport, </w:t>
      </w:r>
      <w:r>
        <w:rPr>
          <w:rFonts w:ascii="Times New Roman" w:hAnsi="Times New Roman"/>
          <w:b/>
          <w:noProof/>
          <w:color w:val="000000"/>
        </w:rPr>
        <w:t>le PIB de Macao a augmenté</w:t>
      </w:r>
      <w:r>
        <w:rPr>
          <w:rFonts w:ascii="Times New Roman" w:hAnsi="Times New Roman"/>
          <w:noProof/>
          <w:color w:val="000000"/>
        </w:rPr>
        <w:t xml:space="preserve"> de 4,7 % en glissement annuel en 2025, pour atteindre 417,3 milliards de MOP (45 milliards d’EUR)</w:t>
      </w:r>
      <w:r>
        <w:rPr>
          <w:rStyle w:val="FootnoteReference"/>
          <w:noProof/>
        </w:rPr>
        <w:footnoteReference w:id="2"/>
      </w:r>
      <w:r>
        <w:rPr>
          <w:rFonts w:ascii="Times New Roman" w:hAnsi="Times New Roman"/>
          <w:noProof/>
          <w:color w:val="000000"/>
        </w:rPr>
        <w:t>. Toutefois, l’économie de Macao n’avait pas encore retrouvé son niveau d’avant la pandémie.</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En 2025, la croissance économique a été favorisée par </w:t>
      </w:r>
      <w:r>
        <w:rPr>
          <w:rFonts w:ascii="Times New Roman" w:hAnsi="Times New Roman"/>
          <w:b/>
          <w:noProof/>
          <w:color w:val="000000"/>
        </w:rPr>
        <w:t>une augmentation du nombre de touristes</w:t>
      </w:r>
      <w:r>
        <w:rPr>
          <w:rFonts w:ascii="Times New Roman" w:hAnsi="Times New Roman"/>
          <w:noProof/>
          <w:color w:val="000000"/>
        </w:rPr>
        <w:t xml:space="preserve">. Au total, 40,1 millions de visiteurs se sont rendus à Macao au cours de l’année. Cela </w:t>
      </w:r>
      <w:r>
        <w:rPr>
          <w:rFonts w:ascii="Times New Roman" w:hAnsi="Times New Roman"/>
          <w:noProof/>
          <w:color w:val="000000"/>
        </w:rPr>
        <w:lastRenderedPageBreak/>
        <w:t>représente une augmentation de 14,7 % en glissement annuel et, pour la première fois depuis la fin de la pandémie de COVID-19, le nombre de touristes a dépassé le niveau d’avant la pandémie (39,4 millions en 2019). Les visiteurs de Chine continentale représentaient 72,4 % des touristes arrivant à Macao, et les visiteurs de Hong Kong 18,2 %</w:t>
      </w:r>
      <w:r>
        <w:rPr>
          <w:rStyle w:val="FootnoteReference"/>
          <w:noProof/>
        </w:rPr>
        <w:footnoteReference w:id="3"/>
      </w:r>
      <w:r>
        <w:rPr>
          <w:rFonts w:ascii="Times New Roman" w:hAnsi="Times New Roman"/>
          <w:noProof/>
          <w:color w:val="000000"/>
        </w:rPr>
        <w:t>.</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Les principaux contributeurs à l’économie de Macao sont restés </w:t>
      </w:r>
      <w:r>
        <w:rPr>
          <w:rFonts w:ascii="Times New Roman" w:hAnsi="Times New Roman"/>
          <w:b/>
          <w:noProof/>
          <w:color w:val="000000"/>
        </w:rPr>
        <w:t>le secteur des jeux et les industries connexes</w:t>
      </w:r>
      <w:r>
        <w:rPr>
          <w:rFonts w:ascii="Times New Roman" w:hAnsi="Times New Roman"/>
          <w:noProof/>
          <w:color w:val="000000"/>
        </w:rPr>
        <w:t>, largement renforcés par les dépenses des touristes. En 2025, les recettes des jeux ont poursuivi leur rétablissement et ont augmenté de 9,1 % en glissement annuel pour atteindre 248 milliards de MOP (26,7 milliards d’EUR)</w:t>
      </w:r>
      <w:r>
        <w:rPr>
          <w:rStyle w:val="FootnoteReference"/>
          <w:noProof/>
        </w:rPr>
        <w:footnoteReference w:id="4"/>
      </w:r>
      <w:r>
        <w:rPr>
          <w:rFonts w:ascii="Times New Roman" w:hAnsi="Times New Roman"/>
          <w:noProof/>
          <w:color w:val="000000"/>
        </w:rPr>
        <w:t>. Toutefois, malgré cette augmentation, les recettes des jeux étaient toujours inférieures de 15,4 % à celles d’avant la pandémie (en 2019).</w:t>
      </w:r>
    </w:p>
    <w:p>
      <w:pPr>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Le </w:t>
      </w:r>
      <w:r>
        <w:rPr>
          <w:rFonts w:ascii="Times New Roman" w:hAnsi="Times New Roman"/>
          <w:b/>
          <w:noProof/>
          <w:color w:val="000000"/>
        </w:rPr>
        <w:t>taux de chômage</w:t>
      </w:r>
      <w:r>
        <w:rPr>
          <w:rFonts w:ascii="Times New Roman" w:hAnsi="Times New Roman"/>
          <w:noProof/>
          <w:color w:val="000000"/>
        </w:rPr>
        <w:t xml:space="preserve"> s’élevait à 1,9 % en 2025, soit une légère augmentation par rapport au taux de 1,8 % enregistré en 2024. L’</w:t>
      </w:r>
      <w:r>
        <w:rPr>
          <w:rFonts w:ascii="Times New Roman" w:hAnsi="Times New Roman"/>
          <w:b/>
          <w:noProof/>
          <w:color w:val="000000"/>
        </w:rPr>
        <w:t>inflation</w:t>
      </w:r>
      <w:r>
        <w:rPr>
          <w:rFonts w:ascii="Times New Roman" w:hAnsi="Times New Roman"/>
          <w:noProof/>
          <w:color w:val="000000"/>
        </w:rPr>
        <w:t xml:space="preserve"> s’est avérée faible durant l’année, avec une augmentation moyenne de l’indice composite des prix à la consommation de 0,3 %.</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À la fin de l’année 2025, les </w:t>
      </w:r>
      <w:r>
        <w:rPr>
          <w:rFonts w:ascii="Times New Roman" w:hAnsi="Times New Roman"/>
          <w:b/>
          <w:noProof/>
          <w:color w:val="000000"/>
        </w:rPr>
        <w:t>réserves budgétaires</w:t>
      </w:r>
      <w:r>
        <w:rPr>
          <w:rFonts w:ascii="Times New Roman" w:hAnsi="Times New Roman"/>
          <w:noProof/>
          <w:color w:val="000000"/>
        </w:rPr>
        <w:t xml:space="preserve"> de Macao s’élevaient à 667 milliards de MOP (71,9 milliards d’EUR), soit une augmentation de 8,2 % par rapport à la fin de l’année 2024. Les réserves sont suffisantes pour couvrir environ 7,1 années de dépenses publiques (sur la base des dépenses publiques au niveau de 2025).</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En 2024 (institut de statistiques de Macao, dernières données disponibles), les </w:t>
      </w:r>
      <w:r>
        <w:rPr>
          <w:rFonts w:ascii="Times New Roman" w:hAnsi="Times New Roman"/>
          <w:b/>
          <w:noProof/>
          <w:color w:val="000000"/>
        </w:rPr>
        <w:t>IDE</w:t>
      </w:r>
      <w:r>
        <w:rPr>
          <w:rFonts w:ascii="Times New Roman" w:hAnsi="Times New Roman"/>
          <w:noProof/>
          <w:color w:val="000000"/>
        </w:rPr>
        <w:t xml:space="preserve"> à Macao avaient atteint 395 milliards de MOP (42,6 milliards d’EUR), soit une augmentation de 4,5 % en glissement annuel. Hong Kong et la Chine continentale étaient les principales sources d’IDE.</w:t>
      </w:r>
    </w:p>
    <w:p>
      <w:pPr>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ind w:firstLine="720"/>
        <w:jc w:val="both"/>
        <w:rPr>
          <w:rFonts w:ascii="Times New Roman" w:eastAsia="PMingLiU" w:hAnsi="Times New Roman" w:cs="Times New Roman"/>
          <w:noProof/>
          <w:color w:val="000000"/>
          <w:kern w:val="0"/>
          <w14:ligatures w14:val="none"/>
        </w:rPr>
      </w:pPr>
      <w:r>
        <w:rPr>
          <w:rFonts w:ascii="Times New Roman" w:hAnsi="Times New Roman"/>
          <w:b/>
          <w:noProof/>
          <w:color w:val="000000"/>
        </w:rPr>
        <w:t>Politique économique</w:t>
      </w:r>
    </w:p>
    <w:p>
      <w:pPr>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Dans son discours de politique générale du 18 novembre 2025, le chef de l’exécutif, Sam Hou Fai, a présenté les priorités économiques de Macao, notamment: i) la promotion de la diversification économique de Macao; ii) la poursuite du développement de la région de la Grande baie et de l’intégration dans cette région; iii) la poursuite de l’intégration et de la participation au développement économique de la Chine continentale; iv) la poursuite du développement de la zone de coopération intensive Guangdong-Macao à Hengqin; v) le renforcement du rôle de Macao en tant que lien entre la Chine continentale et les pays lusophones; vi) l’amélioration de la gouvernance de Macao. Dans ce discours, il a également annoncé des initiatives visant à améliorer l’environnement des entreprises, y compris une révision de la réglementation, des démarches de rationalisation et de numérisation des procédures, une réorganisation des services, un renforcement des travaux de lutte contre la corruption et la poursuite du soutien aux petites et moyennes entreprises.</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b/>
          <w:noProof/>
          <w:color w:val="000000"/>
        </w:rPr>
        <w:t>Dans le secteur des jeux</w:t>
      </w:r>
      <w:r>
        <w:rPr>
          <w:rFonts w:ascii="Times New Roman" w:hAnsi="Times New Roman"/>
          <w:noProof/>
          <w:color w:val="000000"/>
        </w:rPr>
        <w:t xml:space="preserve">, les concessionnaires de casinos sont restés tenus d’investir dans des activités non liées au jeu, dans le but de favoriser la diversification économique de Macao. Au cours de l’année, les casinos satellites (casinos gérés par des opérateurs tiers, mais dont les principaux concessionnaires de la ville détiennent les licences) ont fermé, conformément à une </w:t>
      </w:r>
      <w:r>
        <w:rPr>
          <w:rFonts w:ascii="Times New Roman" w:hAnsi="Times New Roman"/>
          <w:noProof/>
          <w:color w:val="000000"/>
        </w:rPr>
        <w:lastRenderedPageBreak/>
        <w:t>nouvelle loi sur les jeux adoptée en 2022, qui prévoyait l’obligation de fermer les casinos satellites d’ici décembre 2025</w:t>
      </w:r>
      <w:r>
        <w:rPr>
          <w:rStyle w:val="FootnoteReference"/>
          <w:noProof/>
        </w:rPr>
        <w:footnoteReference w:id="5"/>
      </w:r>
      <w:r>
        <w:rPr>
          <w:rFonts w:ascii="Times New Roman" w:hAnsi="Times New Roman"/>
          <w:noProof/>
          <w:color w:val="000000"/>
        </w:rPr>
        <w:t>. Dans son discours de politique générale, le chef de l’exécutif a annoncé que le gouvernement procéderait à un examen légal des performances des concessionnaires de casinos, y compris en évaluant leurs investissements dans des activités autres que les jeux pour favoriser la diversification économique de Macao. Au cours de l’année, un projet de loi a été présenté à l’Assemblée législative afin de modifier les règles relatives à la publicité à Macao, notamment en réglementant plus strictement la publicité des activités de jeux d’argent et de hasard</w:t>
      </w:r>
      <w:r>
        <w:rPr>
          <w:rStyle w:val="FootnoteReference"/>
          <w:noProof/>
        </w:rPr>
        <w:footnoteReference w:id="6"/>
      </w:r>
      <w:r>
        <w:rPr>
          <w:rFonts w:ascii="Times New Roman" w:hAnsi="Times New Roman"/>
          <w:noProof/>
          <w:color w:val="000000"/>
        </w:rPr>
        <w:t>.</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Au cours de l’année, la principale stratégie de promotion de la </w:t>
      </w:r>
      <w:r>
        <w:rPr>
          <w:rFonts w:ascii="Times New Roman" w:hAnsi="Times New Roman"/>
          <w:b/>
          <w:noProof/>
          <w:color w:val="000000"/>
        </w:rPr>
        <w:t>diversification économique</w:t>
      </w:r>
      <w:r>
        <w:rPr>
          <w:rFonts w:ascii="Times New Roman" w:hAnsi="Times New Roman"/>
          <w:noProof/>
          <w:color w:val="000000"/>
        </w:rPr>
        <w:t xml:space="preserve"> s’est poursuivie, dans le but d’accroître la contribution au PIB des secteurs autres que celui des jeux. La réalisation de cet objectif doit passer par le développement des secteurs «1 + 4» («1» désigne le secteur du tourisme et des loisirs), c’est-à-dire par la diversification des sources de tourisme et par la réorientation des recettes touristiques vers des activités autres que les jeux. Les «4» autres secteurs sont les soins de santé (centrés sur la médecine traditionnelle chinoise, y compris la recherche et le développement, la production, les services médicaux et l’expansion à l’étranger); les services financiers; les nouvelles technologies; et les conférences et expositions, le commerce, la culture et le sport. Dans son discours de politique générale, le chef de l’exécutif a indiqué que la diversification avait été plus lente que prévu.</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Selon les professionnels du secteur, </w:t>
      </w:r>
      <w:r>
        <w:rPr>
          <w:rFonts w:ascii="Times New Roman" w:hAnsi="Times New Roman"/>
          <w:b/>
          <w:noProof/>
          <w:color w:val="000000"/>
        </w:rPr>
        <w:t>l’absence d’un réservoir de talents diversifié</w:t>
      </w:r>
      <w:r>
        <w:rPr>
          <w:rFonts w:ascii="Times New Roman" w:hAnsi="Times New Roman"/>
          <w:noProof/>
          <w:color w:val="000000"/>
        </w:rPr>
        <w:t xml:space="preserve"> à Macao fait obstacle à la diversification économique. Dans son discours, le chef de l’exécutif a annoncé que son gouvernement s’efforcerait d’attirer davantage de talents hautement qualifiés à Macao, tout en continuant à donner la priorité à l’emploi local.</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Il a également présenté des initiatives visant à soutenir </w:t>
      </w:r>
      <w:r>
        <w:rPr>
          <w:rFonts w:ascii="Times New Roman" w:hAnsi="Times New Roman"/>
          <w:b/>
          <w:noProof/>
          <w:color w:val="000000"/>
        </w:rPr>
        <w:t>les nouvelles technologies et l’innovation</w:t>
      </w:r>
      <w:r>
        <w:rPr>
          <w:rFonts w:ascii="Times New Roman" w:hAnsi="Times New Roman"/>
          <w:noProof/>
          <w:color w:val="000000"/>
        </w:rPr>
        <w:t>.</w:t>
      </w:r>
      <w:r>
        <w:rPr>
          <w:rFonts w:ascii="Times New Roman" w:hAnsi="Times New Roman"/>
          <w:b/>
          <w:noProof/>
          <w:color w:val="000000"/>
        </w:rPr>
        <w:t xml:space="preserve"> </w:t>
      </w:r>
      <w:r>
        <w:rPr>
          <w:rFonts w:ascii="Times New Roman" w:hAnsi="Times New Roman"/>
          <w:noProof/>
          <w:color w:val="000000"/>
        </w:rPr>
        <w:t>L’objectif est notamment d’attirer et de cultiver les talents ainsi que de continuer à fournir des financements par l’intermédiaire de divers programmes de recherche et d’innovation et de nouveaux fonds publics pour le développement industriel et technologique. Ces initiatives visent également à attirer davantage d’entreprises étrangères, en particulier pour établir une présence à Hengqin, dans des secteurs tels que les circuits intégrés, la biomédecine, la technologie numérique et l’aérospatiale. La coopération en matière de recherche avec la Chine continentale et les pays lusophones est encouragée. Le gouvernement construira un nouveau parc industriel de recherche et de développement technologique et prévoit de lancer des satellites en coopération avec la Chine continentale. L’économie numérique est mise en avant, y compris le commerce électronique et les paiements numériques transfrontières en yuan renminbi (CNY). Au cours de l’année, de nouvelles entreprises ont été certifiées dans le cadre du programme de certification des entreprises technologiques de Macao. En novembre 2025, 51 entreprises étaient certifiées, employant 1 800 personnes, selon des sources gouvernementales</w:t>
      </w:r>
      <w:r>
        <w:rPr>
          <w:rStyle w:val="FootnoteReference"/>
          <w:noProof/>
        </w:rPr>
        <w:footnoteReference w:id="7"/>
      </w:r>
      <w:r>
        <w:rPr>
          <w:rFonts w:ascii="Times New Roman" w:hAnsi="Times New Roman"/>
          <w:noProof/>
          <w:color w:val="000000"/>
        </w:rPr>
        <w:t>.</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En ce qui concerne les </w:t>
      </w:r>
      <w:r>
        <w:rPr>
          <w:rFonts w:ascii="Times New Roman" w:hAnsi="Times New Roman"/>
          <w:b/>
          <w:noProof/>
          <w:color w:val="000000"/>
        </w:rPr>
        <w:t>conventions et expositions</w:t>
      </w:r>
      <w:r>
        <w:rPr>
          <w:rFonts w:ascii="Times New Roman" w:hAnsi="Times New Roman"/>
          <w:noProof/>
          <w:color w:val="000000"/>
        </w:rPr>
        <w:t xml:space="preserve">, 1 331 événements MICE («réunions, mesures d’incitation, conférences et expositions») ont eu lieu à Macao au cours des trois </w:t>
      </w:r>
      <w:r>
        <w:rPr>
          <w:rFonts w:ascii="Times New Roman" w:hAnsi="Times New Roman"/>
          <w:noProof/>
          <w:color w:val="000000"/>
        </w:rPr>
        <w:lastRenderedPageBreak/>
        <w:t>premiers trimestres de 2025 (soit une augmentation de 25,7 % en glissement annuel, dépassant le niveau de 2019)</w:t>
      </w:r>
      <w:r>
        <w:rPr>
          <w:rStyle w:val="FootnoteReference"/>
          <w:noProof/>
        </w:rPr>
        <w:footnoteReference w:id="8"/>
      </w:r>
      <w:r>
        <w:rPr>
          <w:rFonts w:ascii="Times New Roman" w:hAnsi="Times New Roman"/>
          <w:noProof/>
          <w:color w:val="000000"/>
        </w:rPr>
        <w:t>.</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b/>
          <w:noProof/>
          <w:color w:val="000000"/>
        </w:rPr>
        <w:t>En ce qui concerne la santé</w:t>
      </w:r>
      <w:r>
        <w:rPr>
          <w:rFonts w:ascii="Times New Roman" w:hAnsi="Times New Roman"/>
          <w:noProof/>
          <w:color w:val="000000"/>
        </w:rPr>
        <w:t>, le gouvernement poursuit la promotion des industries du «Big Health», y compris les services médicaux et le tourisme de santé ainsi que le développement, la production et la commercialisation de la médecine traditionnelle chinoise, notamment en coopération avec Hengqin</w:t>
      </w:r>
      <w:r>
        <w:rPr>
          <w:rStyle w:val="FootnoteReference"/>
          <w:noProof/>
        </w:rPr>
        <w:footnoteReference w:id="9"/>
      </w:r>
      <w:r>
        <w:rPr>
          <w:rFonts w:ascii="Times New Roman" w:hAnsi="Times New Roman"/>
          <w:noProof/>
          <w:color w:val="000000"/>
        </w:rPr>
        <w:t>, où se trouve également un pôle de médecine traditionnelle chinoise favorisant la coopération entre le Guangdong et Macao.</w:t>
      </w:r>
    </w:p>
    <w:p>
      <w:pPr>
        <w:shd w:val="clear" w:color="auto" w:fill="FFFFFF"/>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En ce qui concerne les </w:t>
      </w:r>
      <w:r>
        <w:rPr>
          <w:rFonts w:ascii="Times New Roman" w:hAnsi="Times New Roman"/>
          <w:b/>
          <w:noProof/>
          <w:color w:val="000000"/>
        </w:rPr>
        <w:t>services financiers</w:t>
      </w:r>
      <w:r>
        <w:rPr>
          <w:rFonts w:ascii="Times New Roman" w:hAnsi="Times New Roman"/>
          <w:noProof/>
          <w:color w:val="000000"/>
        </w:rPr>
        <w:t>, Macao cherche à attirer davantage de fonds et d’entreprises étrangers (y compris au moyen d’incitations fiscales) et à poursuivre la réforme du cadre législatif applicable aux services financiers. Le gouvernement vise également à développer le marché obligataire de Macao, notamment en favorisant les liens avec la Chine continentale et au niveau international, et à attirer davantage d’émissions en provenance de la Chine continentale (le ministère des finances de la République populaire de Chine, le gouvernement de la province du Guangdong et la municipalité de Shenzhen ont émis des obligations à Macao au cours de l’année)</w:t>
      </w:r>
      <w:r>
        <w:rPr>
          <w:rStyle w:val="FootnoteReference"/>
          <w:noProof/>
        </w:rPr>
        <w:footnoteReference w:id="10"/>
      </w:r>
      <w:r>
        <w:rPr>
          <w:rFonts w:ascii="Times New Roman" w:hAnsi="Times New Roman"/>
          <w:noProof/>
          <w:color w:val="000000"/>
        </w:rPr>
        <w:t>. Au cours de l’année, un lien direct a été créé entre l’unité centrale des marchés monétaires de Hong Kong et le dépositaire central de titres de Macao, afin de promouvoir le développement des marchés obligataires dans les deux régions</w:t>
      </w:r>
      <w:r>
        <w:rPr>
          <w:rStyle w:val="FootnoteReference"/>
          <w:noProof/>
        </w:rPr>
        <w:footnoteReference w:id="11"/>
      </w:r>
      <w:r>
        <w:rPr>
          <w:rFonts w:ascii="Times New Roman" w:hAnsi="Times New Roman"/>
          <w:noProof/>
          <w:color w:val="000000"/>
        </w:rPr>
        <w:t>. Macao a également reformulé la «loi sur les fonds d’investissement» (promulguée le 28 juillet 2025 et entrée en vigueur le 1</w:t>
      </w:r>
      <w:r>
        <w:rPr>
          <w:rFonts w:ascii="Times New Roman" w:hAnsi="Times New Roman"/>
          <w:noProof/>
          <w:color w:val="000000"/>
          <w:vertAlign w:val="superscript"/>
        </w:rPr>
        <w:t>er</w:t>
      </w:r>
      <w:r>
        <w:rPr>
          <w:rFonts w:ascii="Times New Roman" w:hAnsi="Times New Roman"/>
          <w:noProof/>
          <w:color w:val="000000"/>
        </w:rPr>
        <w:t> janvier 2026)</w:t>
      </w:r>
      <w:r>
        <w:rPr>
          <w:rStyle w:val="FootnoteReference"/>
          <w:noProof/>
        </w:rPr>
        <w:footnoteReference w:id="12"/>
      </w:r>
      <w:r>
        <w:rPr>
          <w:rFonts w:ascii="Times New Roman" w:hAnsi="Times New Roman"/>
          <w:noProof/>
          <w:color w:val="000000"/>
        </w:rPr>
        <w:t xml:space="preserve"> dans le but de renforcer la convergence réglementaire et la connectivité entre Macao et les marchés des fonds étrangers et d’attirer davantage d’institutions étrangères. En août 2025, la «loi sur les activités d’intermédiaire d’assurance» (loi nº 15/2024)</w:t>
      </w:r>
      <w:r>
        <w:rPr>
          <w:rStyle w:val="FootnoteReference"/>
          <w:noProof/>
        </w:rPr>
        <w:footnoteReference w:id="13"/>
      </w:r>
      <w:r>
        <w:rPr>
          <w:rFonts w:ascii="Calibri" w:hAnsi="Calibri"/>
          <w:noProof/>
          <w:color w:val="000000"/>
          <w:sz w:val="22"/>
          <w:vertAlign w:val="superscript"/>
        </w:rPr>
        <w:t xml:space="preserve"> </w:t>
      </w:r>
      <w:r>
        <w:rPr>
          <w:rFonts w:ascii="Times New Roman" w:hAnsi="Times New Roman"/>
          <w:noProof/>
          <w:color w:val="000000"/>
        </w:rPr>
        <w:t>est entrée en vigueur, modifiant le système d’agrément, les normes opérationnelles et le cadre de surveillance dans le secteur de l’assurance.</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Au cours de l’année, Macao a introduit un nouveau cadre juridique régissant l’</w:t>
      </w:r>
      <w:r>
        <w:rPr>
          <w:rFonts w:ascii="Times New Roman" w:hAnsi="Times New Roman"/>
          <w:b/>
          <w:noProof/>
          <w:color w:val="000000"/>
        </w:rPr>
        <w:t>aviation civile</w:t>
      </w:r>
      <w:r>
        <w:rPr>
          <w:rFonts w:ascii="Times New Roman" w:hAnsi="Times New Roman"/>
          <w:noProof/>
          <w:color w:val="000000"/>
        </w:rPr>
        <w:t xml:space="preserve"> en vue d’élargir l’accès au marché en instaurant un régime de licences fondé sur des appels d’offres pour l’exploitation de services de transport de passagers</w:t>
      </w:r>
      <w:r>
        <w:rPr>
          <w:rStyle w:val="FootnoteReference"/>
          <w:noProof/>
        </w:rPr>
        <w:footnoteReference w:id="14"/>
      </w:r>
      <w:r>
        <w:rPr>
          <w:rFonts w:ascii="Times New Roman" w:hAnsi="Times New Roman"/>
          <w:noProof/>
          <w:color w:val="000000"/>
        </w:rPr>
        <w:t xml:space="preserve"> (mettant fin à la concession exclusive de la RAS avec Air Macao).</w:t>
      </w:r>
    </w:p>
    <w:p>
      <w:pPr>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En ce qui concerne les </w:t>
      </w:r>
      <w:r>
        <w:rPr>
          <w:rFonts w:ascii="Times New Roman" w:hAnsi="Times New Roman"/>
          <w:b/>
          <w:noProof/>
          <w:color w:val="000000"/>
        </w:rPr>
        <w:t>politiques environnementales</w:t>
      </w:r>
      <w:r>
        <w:rPr>
          <w:rFonts w:ascii="Times New Roman" w:hAnsi="Times New Roman"/>
          <w:noProof/>
          <w:color w:val="000000"/>
        </w:rPr>
        <w:t xml:space="preserve">, le chef de l’exécutif a annoncé, dans son discours de politique générale, des travaux visant à améliorer le traitement des eaux usées, à réduire les déchets et à prévenir et atténuer les catastrophes climatiques (y compris les </w:t>
      </w:r>
      <w:r>
        <w:rPr>
          <w:rFonts w:ascii="Times New Roman" w:hAnsi="Times New Roman"/>
          <w:noProof/>
          <w:color w:val="000000"/>
        </w:rPr>
        <w:lastRenderedPageBreak/>
        <w:t>inondations). Le gouvernement prévoit de porter à 50 % la part de l’électricité propre fournie à Macao par le réseau électrique du sud de la Chine (China Southern Power Grid) (la RAS importe la majeure partie de son électricité depuis la Chine continentale). Les véhicules électriques et les transports publics écologiques seront davantage encouragés et un plan de protection de l’environnement (2026-2030) sera publié. En 2025, 37,8 % des véhicules à moteur nouvellement immatriculés étaient des véhicules électriques</w:t>
      </w:r>
      <w:r>
        <w:rPr>
          <w:rStyle w:val="FootnoteReference"/>
          <w:noProof/>
        </w:rPr>
        <w:footnoteReference w:id="15"/>
      </w:r>
      <w:r>
        <w:rPr>
          <w:rFonts w:ascii="Times New Roman" w:hAnsi="Times New Roman"/>
          <w:noProof/>
          <w:color w:val="000000"/>
        </w:rPr>
        <w:t>. L’édition 2025 du Macao International Environmental Cooperation Forum &amp; Exhibition (MIECF) a eu lieu en mars.</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Au cours de l’année, le gouvernement a continué d’octroyer des </w:t>
      </w:r>
      <w:r>
        <w:rPr>
          <w:rFonts w:ascii="Times New Roman" w:hAnsi="Times New Roman"/>
          <w:b/>
          <w:noProof/>
          <w:color w:val="000000"/>
        </w:rPr>
        <w:t>aides financières aux résidents</w:t>
      </w:r>
      <w:r>
        <w:rPr>
          <w:rFonts w:ascii="Times New Roman" w:hAnsi="Times New Roman"/>
          <w:noProof/>
          <w:color w:val="000000"/>
        </w:rPr>
        <w:t>, y compris des prestations en espèces au titre du programme de partage des richesses et diverses allocations.</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Des travaux d’infrastructure ont été réalisés en 2025, y compris dans les secteurs des logements publics et des transports. Le gouvernement prévoit de poursuivre l’expansion de l’aéroport de Macao (avec un projet d’agrandissement situé à Hengqin) et du réseau de transport ferroviaire urbain de la RAS. Il prévoit en outre la construction d’un parc industriel et d’une zone touristique et culturelle, ainsi que d’un campus universitaire à Hengqin.</w:t>
      </w:r>
    </w:p>
    <w:p>
      <w:pPr>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ind w:firstLine="720"/>
        <w:jc w:val="both"/>
        <w:rPr>
          <w:rFonts w:ascii="Times New Roman" w:eastAsia="PMingLiU" w:hAnsi="Times New Roman" w:cs="Times New Roman"/>
          <w:b/>
          <w:bCs/>
          <w:noProof/>
          <w:color w:val="000000"/>
          <w:kern w:val="0"/>
          <w14:ligatures w14:val="none"/>
        </w:rPr>
      </w:pPr>
      <w:r>
        <w:rPr>
          <w:rFonts w:ascii="Times New Roman" w:hAnsi="Times New Roman"/>
          <w:b/>
          <w:noProof/>
          <w:color w:val="000000"/>
        </w:rPr>
        <w:t>Intégration économique avec la Chine continentale</w:t>
      </w:r>
    </w:p>
    <w:p>
      <w:pPr>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La Chine continentale est le principal partenaire commercial de Macao pour les marchandises, représentant 29,4 % du commerce extérieur total de Macao en 2025. En 2024, elle était également la deuxième source d’IDE de la RAS, après Hong Kong (dernières données disponibles). L’économie de Macao est fortement tributaire des visiteurs de Chine continentale qui se rendent dans la RAS pour le tourisme et les jeux.</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r>
        <w:rPr>
          <w:rFonts w:ascii="Times New Roman" w:hAnsi="Times New Roman"/>
          <w:noProof/>
          <w:color w:val="000000"/>
        </w:rPr>
        <w:t xml:space="preserve">Macao continue à se positionner comme une plateforme et un lien entre la Chine continentale et les </w:t>
      </w:r>
      <w:r>
        <w:rPr>
          <w:rFonts w:ascii="Times New Roman" w:hAnsi="Times New Roman"/>
          <w:b/>
          <w:noProof/>
          <w:color w:val="000000"/>
        </w:rPr>
        <w:t>pays lusophones</w:t>
      </w:r>
      <w:r>
        <w:rPr>
          <w:rFonts w:ascii="Times New Roman" w:hAnsi="Times New Roman"/>
          <w:noProof/>
          <w:color w:val="000000"/>
        </w:rPr>
        <w:t xml:space="preserve"> dans des domaines tels que le tourisme, le commerce et l’investissement, les technologies et les services financiers.</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La RAS progresse également vers une intégration économique plus poussée avec la Chine continentale, notamment grâce à des initiatives telles que la </w:t>
      </w:r>
      <w:r>
        <w:rPr>
          <w:rFonts w:ascii="Times New Roman" w:hAnsi="Times New Roman"/>
          <w:b/>
          <w:noProof/>
          <w:color w:val="000000"/>
        </w:rPr>
        <w:t>région de la Grande baie Guangdong-Hong Kong-Macao</w:t>
      </w:r>
      <w:r>
        <w:rPr>
          <w:rFonts w:ascii="Times New Roman" w:hAnsi="Times New Roman"/>
          <w:noProof/>
          <w:color w:val="000000"/>
        </w:rPr>
        <w:t xml:space="preserve"> (la «région de la Grande baie») et la zone de coopération intensive Guangdong-Macao à Hengqin.</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Dans son discours de politique générale de novembre 2025, le chef de l’exécutif a expliqué que Macao continuera de participer activement au développement de la région de la Grande baie, d’aligner les règles et les mécanismes au sein de la région, de renforcer la coopération avec les autorités du Guangdong et de Hong Kong et d’améliorer la connectivité des infrastructures ainsi que les flux transfrontières de personnes. Les résidents de Macao sont encouragés à vivre et à travailler dans la région de la Grande baie, notamment par la facilitation des services administratifs, sociaux et de soins de santé transfrontaliers. D’autres objectifs consistent à promouvoir la marque touristique de la région de la Grande baie, la collaboration en matière de recherche, de technologie et de services financiers, ainsi que la reconnaissance régionale de la certification des talents et de la propriété intellectuelle.</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La </w:t>
      </w:r>
      <w:r>
        <w:rPr>
          <w:rFonts w:ascii="Times New Roman" w:hAnsi="Times New Roman"/>
          <w:b/>
          <w:noProof/>
          <w:color w:val="000000"/>
        </w:rPr>
        <w:t>zone de coopération intensive Guangdong-Macao à Hengqin</w:t>
      </w:r>
      <w:r>
        <w:rPr>
          <w:rFonts w:ascii="Times New Roman" w:hAnsi="Times New Roman"/>
          <w:noProof/>
          <w:color w:val="000000"/>
        </w:rPr>
        <w:t xml:space="preserve"> est un territoire d’environ 100 kilomètres carrés (près de trois fois la taille de Macao) situé dans la province du Guangdong, adjacent à la RAS. Cette zone, administrée conjointement par le Guangdong et Macao, offre des terrains supplémentaires pour poursuivre la diversification et l’intégration économiques de Macao avec la Chine continentale. Un régime douanier prévoit un traitement préférentiel pour les marchandises de Macao entrant dans la zone de coopération de Hengqin (les marchandises admissibles sont exonérées des taxes de la Chine continentale). Au cours de l’année, des plans de développement de Hengqin ont été publiés</w:t>
      </w:r>
      <w:r>
        <w:rPr>
          <w:rStyle w:val="FootnoteReference"/>
          <w:noProof/>
        </w:rPr>
        <w:footnoteReference w:id="16"/>
      </w:r>
      <w:r>
        <w:rPr>
          <w:rFonts w:ascii="Times New Roman" w:hAnsi="Times New Roman"/>
          <w:noProof/>
          <w:color w:val="000000"/>
        </w:rPr>
        <w:t xml:space="preserve"> et, dans son discours de politique générale, le chef de l’exécutif de Macao a présenté le développement de cette zone comme l’une de ses politiques principales. Parmi les secteurs économiques prioritaires pour le développement figurent l’innovation et la technologie, la fabrication intelligente, les soins de santé et la médecine traditionnelle chinoise, les services financiers, les loisirs et les MICE. Ces stratégies visent notamment à promouvoir l’intégration et l’alignement réglementaire, à améliorer l’environnement des entreprises et à encourager les entreprises et les résidents de Macao à s’établir à Hengqin.</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D’après les statistiques officielles, en 2025, le PIB de Hengqin s’élevait à 54,7 milliards de CNY (6,7 milliards d’EUR) et 7 681 entreprises financées par Macao étaient établies dans la zone (décembre 2025)</w:t>
      </w:r>
      <w:r>
        <w:rPr>
          <w:rStyle w:val="FootnoteReference"/>
          <w:noProof/>
        </w:rPr>
        <w:footnoteReference w:id="17"/>
      </w:r>
      <w:r>
        <w:rPr>
          <w:rFonts w:ascii="Times New Roman" w:hAnsi="Times New Roman"/>
          <w:noProof/>
          <w:color w:val="000000"/>
        </w:rPr>
        <w:t>; 23 749 résidents de Macao vivaient à Hengqin et 5 762 résidents de Macao travaillaient à Hengqin (juin 2025)</w:t>
      </w:r>
      <w:r>
        <w:rPr>
          <w:rStyle w:val="FootnoteReference"/>
          <w:noProof/>
        </w:rPr>
        <w:footnoteReference w:id="18"/>
      </w:r>
      <w:r>
        <w:rPr>
          <w:rFonts w:ascii="Times New Roman" w:hAnsi="Times New Roman"/>
          <w:noProof/>
          <w:color w:val="000000"/>
        </w:rPr>
        <w:t>.</w:t>
      </w:r>
    </w:p>
    <w:p>
      <w:pPr>
        <w:autoSpaceDE w:val="0"/>
        <w:autoSpaceDN w:val="0"/>
        <w:adjustRightInd w:val="0"/>
        <w:spacing w:after="0" w:line="240" w:lineRule="auto"/>
        <w:jc w:val="both"/>
        <w:rPr>
          <w:rFonts w:ascii="Times New Roman" w:eastAsia="SimSun" w:hAnsi="Times New Roman" w:cs="Times New Roman"/>
          <w:noProof/>
          <w:kern w:val="0"/>
          <w:lang w:eastAsia="zh-CN"/>
          <w14:ligatures w14:val="none"/>
        </w:rPr>
      </w:pPr>
    </w:p>
    <w:p>
      <w:pPr>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r>
        <w:rPr>
          <w:rFonts w:ascii="Times New Roman" w:hAnsi="Times New Roman"/>
          <w:noProof/>
          <w:color w:val="000000"/>
        </w:rPr>
        <w:t>Le</w:t>
      </w:r>
      <w:r>
        <w:rPr>
          <w:rFonts w:ascii="Times New Roman" w:hAnsi="Times New Roman"/>
          <w:b/>
          <w:noProof/>
          <w:color w:val="000000"/>
        </w:rPr>
        <w:t xml:space="preserve"> programme transfrontalier de gestion de patrimoine</w:t>
      </w:r>
      <w:r>
        <w:rPr>
          <w:rFonts w:ascii="Times New Roman" w:hAnsi="Times New Roman"/>
          <w:noProof/>
          <w:color w:val="000000"/>
        </w:rPr>
        <w:t xml:space="preserve"> permet aux résidents de Chine continentale, de Hong Kong et de Macao éligibles d’investir dans des produits de gestion de patrimoine proposés par des banques sur leurs marchés respectifs; 11 banques de Macao participent à ce programme.</w:t>
      </w:r>
    </w:p>
    <w:p>
      <w:pPr>
        <w:autoSpaceDE w:val="0"/>
        <w:autoSpaceDN w:val="0"/>
        <w:adjustRightInd w:val="0"/>
        <w:spacing w:after="0" w:line="240" w:lineRule="auto"/>
        <w:jc w:val="both"/>
        <w:rPr>
          <w:rFonts w:ascii="Times New Roman" w:eastAsia="PMingLiU" w:hAnsi="Times New Roman" w:cs="Times New Roman"/>
          <w:noProof/>
          <w:color w:val="FF0000"/>
          <w:kern w:val="0"/>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b/>
          <w:noProof/>
          <w:color w:val="000000"/>
        </w:rPr>
        <w:t>L’accord instaurant un partenariat économique plus étroit sur le commerce des services entre la Chine continentale et Macao</w:t>
      </w:r>
      <w:r>
        <w:rPr>
          <w:rFonts w:ascii="Times New Roman" w:hAnsi="Times New Roman"/>
          <w:noProof/>
          <w:color w:val="000000"/>
        </w:rPr>
        <w:t xml:space="preserve"> accorde un accès à droits nuls aux marchandises de la RAS entrant sur le marché chinois ainsi qu’un accès préférentiel aux prestataires de services de Macao.</w:t>
      </w:r>
    </w:p>
    <w:p>
      <w:pPr>
        <w:spacing w:after="0" w:line="240" w:lineRule="auto"/>
        <w:jc w:val="both"/>
        <w:rPr>
          <w:rFonts w:ascii="Times New Roman" w:eastAsia="SimSun" w:hAnsi="Times New Roman" w:cs="Times New Roman"/>
          <w:noProof/>
          <w:kern w:val="0"/>
          <w:lang w:eastAsia="zh-CN"/>
          <w14:ligatures w14:val="none"/>
        </w:rPr>
      </w:pPr>
    </w:p>
    <w:p>
      <w:pPr>
        <w:numPr>
          <w:ilvl w:val="0"/>
          <w:numId w:val="1"/>
        </w:numPr>
        <w:spacing w:after="0" w:line="240" w:lineRule="auto"/>
        <w:contextualSpacing/>
        <w:jc w:val="both"/>
        <w:rPr>
          <w:rFonts w:ascii="Times New Roman" w:eastAsia="SimSun" w:hAnsi="Times New Roman" w:cs="Times New Roman"/>
          <w:b/>
          <w:noProof/>
          <w:kern w:val="0"/>
          <w14:ligatures w14:val="none"/>
        </w:rPr>
      </w:pPr>
      <w:r>
        <w:rPr>
          <w:rFonts w:ascii="Times New Roman" w:hAnsi="Times New Roman"/>
          <w:b/>
          <w:noProof/>
        </w:rPr>
        <w:t>Relations entre Macao et la Chine continentale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u w:val="single"/>
          <w14:ligatures w14:val="none"/>
        </w:rPr>
      </w:pPr>
      <w:r>
        <w:rPr>
          <w:rFonts w:ascii="Times New Roman" w:hAnsi="Times New Roman"/>
          <w:noProof/>
        </w:rPr>
        <w:t>Le 20</w:t>
      </w:r>
      <w:r>
        <w:rPr>
          <w:rFonts w:ascii="Times New Roman" w:hAnsi="Times New Roman"/>
          <w:noProof/>
          <w:vertAlign w:val="superscript"/>
        </w:rPr>
        <w:t>e</w:t>
      </w:r>
      <w:r>
        <w:rPr>
          <w:rFonts w:ascii="Times New Roman" w:hAnsi="Times New Roman"/>
          <w:noProof/>
        </w:rPr>
        <w:t> Comité central du Parti communiste chinois (PCC) a tenu sa quatrième session plénière entre le 20 et le 23 octobre. Cette réunion était axée sur la formulation du 15</w:t>
      </w:r>
      <w:r>
        <w:rPr>
          <w:rFonts w:ascii="Times New Roman" w:hAnsi="Times New Roman"/>
          <w:noProof/>
          <w:vertAlign w:val="superscript"/>
        </w:rPr>
        <w:t>e</w:t>
      </w:r>
      <w:r>
        <w:rPr>
          <w:rFonts w:ascii="Times New Roman" w:hAnsi="Times New Roman"/>
          <w:noProof/>
        </w:rPr>
        <w:t> plan quinquennal chinois, qui orientera le développement du pays de 2026 à 2030. Dans les «Recommandations du Comité central du Parti communiste chinois pour l’élaboration du 15</w:t>
      </w:r>
      <w:r>
        <w:rPr>
          <w:rFonts w:ascii="Times New Roman" w:hAnsi="Times New Roman"/>
          <w:noProof/>
          <w:vertAlign w:val="superscript"/>
        </w:rPr>
        <w:t>e</w:t>
      </w:r>
      <w:r>
        <w:rPr>
          <w:rFonts w:ascii="Times New Roman" w:hAnsi="Times New Roman"/>
          <w:noProof/>
        </w:rPr>
        <w:t> plan quinquennal pour le développement économique et social national» publiées le 28 octobre, le Parti s’est engagé à soutenir «la prospérité et la stabilité à long terme» de Hong Kong et de Macao.</w:t>
      </w:r>
    </w:p>
    <w:p>
      <w:pPr>
        <w:spacing w:after="0" w:line="240" w:lineRule="auto"/>
        <w:jc w:val="both"/>
        <w:rPr>
          <w:rFonts w:ascii="Times New Roman" w:eastAsia="SimSun" w:hAnsi="Times New Roman" w:cs="Times New Roman"/>
          <w:noProof/>
          <w:kern w:val="0"/>
          <w:u w:val="single"/>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Le 23 octobre, le chef de l’exécutif de Macao a souligné que la RAS «exploitera les nouvelles possibilités offertes par le 15</w:t>
      </w:r>
      <w:r>
        <w:rPr>
          <w:rFonts w:ascii="Times New Roman" w:hAnsi="Times New Roman"/>
          <w:noProof/>
          <w:vertAlign w:val="superscript"/>
        </w:rPr>
        <w:t>e</w:t>
      </w:r>
      <w:r>
        <w:rPr>
          <w:rFonts w:ascii="Times New Roman" w:hAnsi="Times New Roman"/>
          <w:noProof/>
        </w:rPr>
        <w:t xml:space="preserve"> plan quinquennal». Selon une déclaration, «le gouvernement </w:t>
      </w:r>
      <w:r>
        <w:rPr>
          <w:rFonts w:ascii="Times New Roman" w:hAnsi="Times New Roman"/>
          <w:noProof/>
        </w:rPr>
        <w:lastRenderedPageBreak/>
        <w:t>approfondira ses liens avec la communauté internationale afin de mieux servir le développement national».</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Une délégation composée du président de l’Académie chinoise des sciences, du directeur adjoint du bureau de la Commission centrale des affaires financières et économiques et du directeur adjoint du bureau du groupe de direction du travail rural du PCC s’est rendue à Macao du 22 au 23 novembre pour discuter du 15</w:t>
      </w:r>
      <w:r>
        <w:rPr>
          <w:rFonts w:ascii="Times New Roman" w:hAnsi="Times New Roman"/>
          <w:noProof/>
          <w:vertAlign w:val="superscript"/>
        </w:rPr>
        <w:t>e</w:t>
      </w:r>
      <w:r>
        <w:rPr>
          <w:rFonts w:ascii="Times New Roman" w:hAnsi="Times New Roman"/>
          <w:noProof/>
        </w:rPr>
        <w:t> plan quinquennal et de ses implications pour la RAS. La délégation a également visité la zone de coopération intensive Guangdong-Macao à Hengqin.</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Xia Baolong, directeur du bureau des affaires de Hong Kong et de Macao du Comité central du PCC et du Conseil des affaires de l’État de la République populaire de Chine, s’est rendu à Macao du 8 au 13 mai. Il s’agissait de sa première visite de contrôle à Macao depuis l’entrée en fonction de l’administration locale en décembre 2024. Xia Baolong a appelé le gouvernement à exploiter les avantages du «système dirigé par l’exécutif».</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Il a également exhorté les milieux d’affaires de Macao et de Hong Kong à «faire avancer l’esprit de lutte», en invitant ces entreprises à contribuer davantage au développement économique national et en déclarant que «chacun devrait défendre fermement la ligne de fond des intérêts nationaux lorsque ces intérêts sont mis à mal».</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bCs/>
          <w:noProof/>
          <w:color w:val="000000"/>
          <w:kern w:val="0"/>
          <w14:ligatures w14:val="none"/>
        </w:rPr>
      </w:pPr>
      <w:r>
        <w:rPr>
          <w:rFonts w:ascii="Times New Roman" w:hAnsi="Times New Roman"/>
          <w:noProof/>
        </w:rPr>
        <w:t xml:space="preserve">Le 30 mai, le Conseil des affaires de l’État de la République populaire de Chine a nommé Zhou Ji, ancien directeur adjoint du bureau des affaires de Hong Kong et de Macao de l’exécutif du Comité central du PCC, nouveau directeur du bureau de liaison du gouvernement central à Hong Kong. </w:t>
      </w:r>
      <w:r>
        <w:rPr>
          <w:rFonts w:ascii="Times New Roman" w:hAnsi="Times New Roman"/>
          <w:noProof/>
          <w:color w:val="000000"/>
        </w:rPr>
        <w:t>Le 14 juillet, Pékin a nommé Xu Qifang, ancien directeur adjoint du département de l’organisation du Comité central du PCC, pour succéder à Zhou Ji au bureau des affaires de Hong Kong et de Macao.</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t>Les 15</w:t>
      </w:r>
      <w:r>
        <w:rPr>
          <w:rFonts w:ascii="Times New Roman" w:hAnsi="Times New Roman"/>
          <w:noProof/>
          <w:vertAlign w:val="superscript"/>
        </w:rPr>
        <w:t>es</w:t>
      </w:r>
      <w:r>
        <w:rPr>
          <w:rFonts w:ascii="Times New Roman" w:hAnsi="Times New Roman"/>
          <w:noProof/>
        </w:rPr>
        <w:t> Jeux nationaux de Chine et les 12</w:t>
      </w:r>
      <w:r>
        <w:rPr>
          <w:rFonts w:ascii="Times New Roman" w:hAnsi="Times New Roman"/>
          <w:noProof/>
          <w:vertAlign w:val="superscript"/>
        </w:rPr>
        <w:t>es</w:t>
      </w:r>
      <w:r>
        <w:rPr>
          <w:rFonts w:ascii="Times New Roman" w:hAnsi="Times New Roman"/>
          <w:noProof/>
        </w:rPr>
        <w:t> Jeux nationaux pour personnes handicapées, en novembre 2025, ainsi que les 9</w:t>
      </w:r>
      <w:r>
        <w:rPr>
          <w:rFonts w:ascii="Times New Roman" w:hAnsi="Times New Roman"/>
          <w:noProof/>
          <w:vertAlign w:val="superscript"/>
        </w:rPr>
        <w:t>es</w:t>
      </w:r>
      <w:r>
        <w:rPr>
          <w:rFonts w:ascii="Times New Roman" w:hAnsi="Times New Roman"/>
          <w:noProof/>
        </w:rPr>
        <w:t> Jeux olympiques spéciaux nationaux, en décembre 2025, ont été organisés conjointement par le Guangdong, Hong Kong et Macao. Il s’agissait de la première organisation conjointe des Jeux nationaux par la région de la Grande baie.</w:t>
      </w:r>
    </w:p>
    <w:p>
      <w:pPr>
        <w:spacing w:after="0" w:line="240" w:lineRule="auto"/>
        <w:jc w:val="both"/>
        <w:rPr>
          <w:rFonts w:ascii="Times New Roman" w:eastAsia="SimSun" w:hAnsi="Times New Roman" w:cs="Times New Roman"/>
          <w:noProof/>
          <w:kern w:val="0"/>
          <w:lang w:eastAsia="zh-CN"/>
          <w14:ligatures w14:val="none"/>
        </w:rPr>
      </w:pPr>
    </w:p>
    <w:p>
      <w:pPr>
        <w:numPr>
          <w:ilvl w:val="0"/>
          <w:numId w:val="1"/>
        </w:numPr>
        <w:spacing w:after="0" w:line="240" w:lineRule="auto"/>
        <w:contextualSpacing/>
        <w:jc w:val="both"/>
        <w:rPr>
          <w:rFonts w:ascii="Times New Roman" w:eastAsia="SimSun" w:hAnsi="Times New Roman" w:cs="Times New Roman"/>
          <w:b/>
          <w:noProof/>
          <w:kern w:val="0"/>
          <w14:ligatures w14:val="none"/>
        </w:rPr>
      </w:pPr>
      <w:r>
        <w:rPr>
          <w:rFonts w:ascii="Times New Roman" w:hAnsi="Times New Roman"/>
          <w:b/>
          <w:noProof/>
        </w:rPr>
        <w:t>Relations bilatérales et coopération UE-Macao en 2025</w:t>
      </w:r>
    </w:p>
    <w:p>
      <w:pPr>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L’accord commercial et de coopération entre la Communauté économique européenne et Macao de 1992 visait à renforcer les relations entre l’UE et Macao. L’accord porte sur la coopération commerciale, économique, scientifique et technologique.</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Le comité mixte UE-Macao est une plateforme de dialogue entre Macao et l’UE dans plusieurs domaines. La dernière </w:t>
      </w:r>
      <w:r>
        <w:rPr>
          <w:rFonts w:ascii="Times New Roman" w:hAnsi="Times New Roman"/>
          <w:b/>
          <w:noProof/>
          <w:color w:val="000000"/>
        </w:rPr>
        <w:t>réunion du comité mixte</w:t>
      </w:r>
      <w:r>
        <w:rPr>
          <w:rFonts w:ascii="Times New Roman" w:hAnsi="Times New Roman"/>
          <w:noProof/>
          <w:color w:val="000000"/>
        </w:rPr>
        <w:t xml:space="preserve"> a eu lieu en 2019.</w:t>
      </w:r>
    </w:p>
    <w:p>
      <w:pPr>
        <w:autoSpaceDE w:val="0"/>
        <w:autoSpaceDN w:val="0"/>
        <w:adjustRightInd w:val="0"/>
        <w:spacing w:after="0" w:line="240" w:lineRule="auto"/>
        <w:jc w:val="both"/>
        <w:rPr>
          <w:rFonts w:ascii="Times New Roman" w:eastAsia="SimSun" w:hAnsi="Times New Roman" w:cs="Times New Roman"/>
          <w:noProof/>
          <w:color w:val="984806"/>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Le bureau de l’Union européenne a organisé une célébration de la Journée de l’Europe en 2025, la deuxième depuis la levée des restrictions de déplacement liées à la COVID-19. Le chef du bureau de l’Union européenne à Hong Kong et Macao a rencontré des responsables de Macao (dont le chef de l’exécutif) et des parties prenantes du monde des affaires et de la société civile à plusieurs reprises au cours de l’année.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14:ligatures w14:val="none"/>
        </w:rPr>
      </w:pPr>
      <w:r>
        <w:rPr>
          <w:rFonts w:ascii="Times New Roman" w:hAnsi="Times New Roman"/>
          <w:noProof/>
        </w:rPr>
        <w:lastRenderedPageBreak/>
        <w:t>Le troisième festival international du film queer de Macao (MIQFF) s’est déroulé entre le 30 mai et le 21 juin, avec le soutien de plusieurs consulats généraux et instituts culturels des États membres de l’UE.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En 2025, </w:t>
      </w:r>
      <w:r>
        <w:rPr>
          <w:rFonts w:ascii="Times New Roman" w:hAnsi="Times New Roman"/>
          <w:b/>
          <w:noProof/>
          <w:color w:val="000000"/>
        </w:rPr>
        <w:t>l’UE était le deuxième partenaire commercial de Macao en ce qui concerne les marchandises</w:t>
      </w:r>
      <w:r>
        <w:rPr>
          <w:rFonts w:ascii="Times New Roman" w:hAnsi="Times New Roman"/>
          <w:noProof/>
          <w:color w:val="000000"/>
        </w:rPr>
        <w:t>, représentant 25,3 % du commerce total de la RAS (contre 28,3 % pour la Chine continentale, qui est le premier partenaire commercial de Macao).</w:t>
      </w:r>
    </w:p>
    <w:p>
      <w:pPr>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D’après les données d’Eurostat, en 2025, </w:t>
      </w:r>
      <w:r>
        <w:rPr>
          <w:rFonts w:ascii="Times New Roman" w:hAnsi="Times New Roman"/>
          <w:b/>
          <w:noProof/>
          <w:color w:val="000000"/>
        </w:rPr>
        <w:t>le commerce bilatéral de marchandises entre l’UE et Macao</w:t>
      </w:r>
      <w:r>
        <w:rPr>
          <w:rFonts w:ascii="Times New Roman" w:hAnsi="Times New Roman"/>
          <w:noProof/>
          <w:color w:val="000000"/>
        </w:rPr>
        <w:t xml:space="preserve"> représentait 887 millions d’EUR et consistait principalement en des exportations de l’UE vers Macao (801 millions d’EUR). Les principales exportations de l’UE vers Macao comprenaient des vêtements et articles d’habillement, des bijoux, des articles en cuir et des articles de luxe, des produits alimentaires et des boissons, ainsi que des équipements de transport.</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14:ligatures w14:val="none"/>
        </w:rPr>
      </w:pPr>
      <w:r>
        <w:rPr>
          <w:rFonts w:ascii="Times New Roman" w:hAnsi="Times New Roman"/>
          <w:noProof/>
          <w:color w:val="000000"/>
        </w:rPr>
        <w:t xml:space="preserve">En ce qui concerne le </w:t>
      </w:r>
      <w:r>
        <w:rPr>
          <w:rFonts w:ascii="Times New Roman" w:hAnsi="Times New Roman"/>
          <w:b/>
          <w:noProof/>
          <w:color w:val="000000"/>
        </w:rPr>
        <w:t>commerce de services</w:t>
      </w:r>
      <w:r>
        <w:rPr>
          <w:rFonts w:ascii="Times New Roman" w:hAnsi="Times New Roman"/>
          <w:noProof/>
          <w:color w:val="000000"/>
        </w:rPr>
        <w:t xml:space="preserve">, d’après les données d’Eurostat, l’Union a exporté pour 292 millions d’EUR de services vers Macao en 2024 (soit une hausse de 7,7 % par rapport à 2023). Les importations dans l’UE de services en provenance de Macao se sont élevées à 95 millions d’EUR en 2024 (soit une baisse de 23,8 % par rapport à 2023).   </w:t>
      </w:r>
    </w:p>
    <w:p>
      <w:pPr>
        <w:autoSpaceDE w:val="0"/>
        <w:autoSpaceDN w:val="0"/>
        <w:adjustRightInd w:val="0"/>
        <w:spacing w:after="0" w:line="240" w:lineRule="auto"/>
        <w:jc w:val="both"/>
        <w:rPr>
          <w:rFonts w:ascii="Times New Roman" w:eastAsia="SimSun" w:hAnsi="Times New Roman" w:cs="Times New Roman"/>
          <w:noProof/>
          <w:color w:val="FF0000"/>
          <w:kern w:val="0"/>
          <w:lang w:eastAsia="zh-CN"/>
          <w14:ligatures w14:val="none"/>
        </w:rPr>
      </w:pPr>
    </w:p>
    <w:p>
      <w:pPr>
        <w:spacing w:after="0" w:line="240" w:lineRule="auto"/>
        <w:jc w:val="both"/>
        <w:rPr>
          <w:noProof/>
        </w:rPr>
      </w:pPr>
      <w:r>
        <w:rPr>
          <w:rFonts w:ascii="Times New Roman" w:hAnsi="Times New Roman"/>
          <w:noProof/>
          <w:color w:val="000000"/>
        </w:rPr>
        <w:t xml:space="preserve">Selon Eurostat, </w:t>
      </w:r>
      <w:r>
        <w:rPr>
          <w:rFonts w:ascii="Times New Roman" w:hAnsi="Times New Roman"/>
          <w:b/>
          <w:noProof/>
          <w:color w:val="000000"/>
        </w:rPr>
        <w:t>les IDE de l’UE</w:t>
      </w:r>
      <w:r>
        <w:rPr>
          <w:rFonts w:ascii="Times New Roman" w:hAnsi="Times New Roman"/>
          <w:noProof/>
          <w:color w:val="000000"/>
        </w:rPr>
        <w:t xml:space="preserve"> à Macao représentaient 1,68 milliard d’EUR à la fin de 2024 (dernières données disponibles), tandis que les IDE de Macao dans l’UE s’élevaient à 1,17 milliard d’EUR.</w:t>
      </w:r>
    </w:p>
    <w:sectPr>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Yu Gothi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rPr>
      <w:id w:val="-1522861299"/>
      <w:docPartObj>
        <w:docPartGallery w:val="Page Numbers (Bottom of Page)"/>
        <w:docPartUnique/>
      </w:docPartObj>
    </w:sdtPr>
    <w:sdtEndPr>
      <w:rPr>
        <w:sz w:val="22"/>
        <w:szCs w:val="22"/>
      </w:rPr>
    </w:sdtEndPr>
    <w:sdtContent>
      <w:p>
        <w:pPr>
          <w:pStyle w:val="Footer"/>
          <w:jc w:val="center"/>
          <w:rPr>
            <w:rFonts w:ascii="Calibri" w:hAnsi="Calibri" w:cs="Calibri"/>
            <w:sz w:val="22"/>
            <w:szCs w:val="22"/>
          </w:rPr>
        </w:pPr>
        <w:r>
          <w:rPr>
            <w:rFonts w:ascii="Calibri" w:hAnsi="Calibri" w:cs="Calibri"/>
            <w:sz w:val="22"/>
          </w:rPr>
          <w:fldChar w:fldCharType="begin"/>
        </w:r>
        <w:r>
          <w:rPr>
            <w:rFonts w:ascii="Calibri" w:hAnsi="Calibri" w:cs="Calibri"/>
            <w:sz w:val="22"/>
          </w:rPr>
          <w:instrText>PAGE   \* MERGEFORMAT</w:instrText>
        </w:r>
        <w:r>
          <w:rPr>
            <w:rFonts w:ascii="Calibri" w:hAnsi="Calibri" w:cs="Calibri"/>
            <w:sz w:val="22"/>
          </w:rPr>
          <w:fldChar w:fldCharType="separate"/>
        </w:r>
        <w:r>
          <w:rPr>
            <w:rFonts w:ascii="Calibri" w:hAnsi="Calibri" w:cs="Calibri"/>
            <w:sz w:val="22"/>
          </w:rPr>
          <w:t>2</w:t>
        </w:r>
        <w:r>
          <w:rPr>
            <w:rFonts w:ascii="Calibri" w:hAnsi="Calibri" w:cs="Calibri"/>
            <w:sz w:val="22"/>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1"/>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Déclaration de la porte-parole sur l’arrestation d’Au Kam San, 2 août 2025, disponible (en anglais uniquement) à l’adresse suivante: </w:t>
      </w:r>
      <w:hyperlink r:id="rId1" w:history="1">
        <w:r>
          <w:rPr>
            <w:rStyle w:val="Hyperlink1"/>
            <w:rFonts w:ascii="Times New Roman" w:hAnsi="Times New Roman"/>
            <w:sz w:val="16"/>
          </w:rPr>
          <w:t>https://www.eeas.europa.eu/eeas/macao-statement-spokesperson-arrest-au-kam-san_en</w:t>
        </w:r>
      </w:hyperlink>
      <w:r>
        <w:rPr>
          <w:rFonts w:ascii="Times New Roman" w:hAnsi="Times New Roman"/>
          <w:sz w:val="16"/>
        </w:rPr>
        <w:t>.</w:t>
      </w:r>
    </w:p>
  </w:footnote>
  <w:footnote w:id="2">
    <w:p>
      <w:pPr>
        <w:pStyle w:val="FootnoteText1"/>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Communiqué de presse du gouvernement de la région administrative spéciale de Macao, </w:t>
      </w:r>
      <w:hyperlink r:id="rId2" w:history="1">
        <w:r>
          <w:rPr>
            <w:rStyle w:val="Hyperlink1"/>
            <w:rFonts w:ascii="Times New Roman" w:hAnsi="Times New Roman"/>
            <w:sz w:val="16"/>
          </w:rPr>
          <w:t>https://www.gov.mo/en/news/392652/</w:t>
        </w:r>
      </w:hyperlink>
      <w:r>
        <w:rPr>
          <w:rFonts w:asciiTheme="minorHAnsi" w:hAnsiTheme="minorHAnsi"/>
        </w:rPr>
        <w:t>.</w:t>
      </w:r>
    </w:p>
  </w:footnote>
  <w:footnote w:id="3">
    <w:p>
      <w:pPr>
        <w:pStyle w:val="FootnoteText1"/>
        <w:rPr>
          <w:rFonts w:ascii="Times New Roman" w:hAnsi="Times New Roman"/>
          <w:color w:val="000000"/>
          <w:sz w:val="16"/>
          <w:szCs w:val="16"/>
        </w:rPr>
      </w:pPr>
      <w:r>
        <w:rPr>
          <w:rStyle w:val="FootnoteReference"/>
          <w:rFonts w:ascii="Times New Roman" w:hAnsi="Times New Roman"/>
          <w:sz w:val="16"/>
          <w:szCs w:val="16"/>
        </w:rPr>
        <w:footnoteRef/>
      </w:r>
      <w:r>
        <w:rPr>
          <w:rFonts w:ascii="Times New Roman" w:hAnsi="Times New Roman"/>
          <w:color w:val="000000"/>
          <w:sz w:val="16"/>
        </w:rPr>
        <w:t xml:space="preserve"> Service des statistiques et du recensement, gouvernement de la région administrative spéciale de Macao,</w:t>
      </w:r>
    </w:p>
    <w:p>
      <w:pPr>
        <w:pStyle w:val="FootnoteText1"/>
        <w:rPr>
          <w:rFonts w:ascii="Times New Roman" w:hAnsi="Times New Roman"/>
          <w:color w:val="000000"/>
          <w:sz w:val="16"/>
          <w:szCs w:val="16"/>
        </w:rPr>
      </w:pPr>
      <w:hyperlink r:id="rId3" w:history="1">
        <w:r>
          <w:rPr>
            <w:rStyle w:val="Hyperlink1"/>
            <w:rFonts w:ascii="Times New Roman" w:hAnsi="Times New Roman"/>
            <w:sz w:val="16"/>
          </w:rPr>
          <w:t>https://www.dsec.gov.mo/en-US/</w:t>
        </w:r>
      </w:hyperlink>
      <w:r>
        <w:t>.</w:t>
      </w:r>
    </w:p>
  </w:footnote>
  <w:footnote w:id="4">
    <w:p>
      <w:pPr>
        <w:pStyle w:val="FootnoteText1"/>
        <w:rPr>
          <w:rFonts w:ascii="Times New Roman" w:hAnsi="Times New Roman"/>
          <w:sz w:val="16"/>
          <w:szCs w:val="16"/>
        </w:rPr>
      </w:pPr>
      <w:r>
        <w:rPr>
          <w:rStyle w:val="FootnoteReference"/>
          <w:rFonts w:ascii="Times New Roman" w:hAnsi="Times New Roman"/>
          <w:sz w:val="16"/>
          <w:szCs w:val="16"/>
        </w:rPr>
        <w:footnoteRef/>
      </w:r>
      <w:r>
        <w:t xml:space="preserve"> </w:t>
      </w:r>
      <w:r>
        <w:rPr>
          <w:rFonts w:ascii="Times New Roman" w:hAnsi="Times New Roman"/>
          <w:sz w:val="16"/>
        </w:rPr>
        <w:t>Somme convertie en euros au taux de change 1 EUR = 9,28 MOP (fin décembre 2025):</w:t>
      </w:r>
    </w:p>
    <w:p>
      <w:pPr>
        <w:pStyle w:val="FootnoteText1"/>
        <w:rPr>
          <w:rFonts w:ascii="Times New Roman" w:hAnsi="Times New Roman"/>
          <w:sz w:val="18"/>
          <w:szCs w:val="18"/>
        </w:rPr>
      </w:pPr>
      <w:hyperlink r:id="rId4" w:history="1">
        <w:r>
          <w:rPr>
            <w:rStyle w:val="Hyperlink1"/>
            <w:rFonts w:ascii="Times New Roman" w:hAnsi="Times New Roman"/>
            <w:sz w:val="16"/>
          </w:rPr>
          <w:t>https://commission.europa.eu/funding-tenders/procedures-guidelines-tenders/information-contractors-and-beneficiaries/exchange-rate-inforeuro_fr</w:t>
        </w:r>
      </w:hyperlink>
      <w:r>
        <w:t>.</w:t>
      </w:r>
    </w:p>
  </w:footnote>
  <w:footnote w:id="5">
    <w:p>
      <w:pPr>
        <w:spacing w:after="0"/>
        <w:rPr>
          <w:rFonts w:ascii="Times New Roman" w:hAnsi="Times New Roman" w:cs="Times New Roman"/>
          <w:color w:val="000000"/>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sz w:val="16"/>
        </w:rPr>
        <w:t xml:space="preserve"> </w:t>
      </w:r>
      <w:r>
        <w:rPr>
          <w:rFonts w:ascii="Times New Roman" w:hAnsi="Times New Roman"/>
          <w:color w:val="000000"/>
          <w:sz w:val="16"/>
        </w:rPr>
        <w:t>Service des statistiques et du recensement, gouvernement de la région administrative spéciale de Macao,</w:t>
      </w:r>
      <w:r>
        <w:t xml:space="preserve"> </w:t>
      </w:r>
      <w:hyperlink r:id="rId5" w:history="1">
        <w:r>
          <w:rPr>
            <w:rStyle w:val="Hyperlink1"/>
            <w:rFonts w:ascii="Times New Roman" w:hAnsi="Times New Roman"/>
            <w:sz w:val="16"/>
          </w:rPr>
          <w:t>https://www.gov.mo/en/news/360247/</w:t>
        </w:r>
      </w:hyperlink>
      <w:r>
        <w:rPr>
          <w:sz w:val="20"/>
        </w:rPr>
        <w:t>.</w:t>
      </w:r>
    </w:p>
  </w:footnote>
  <w:footnote w:id="6">
    <w:p>
      <w:pPr>
        <w:pStyle w:val="FootnoteText1"/>
        <w:rPr>
          <w:rFonts w:ascii="Times New Roman" w:hAnsi="Times New Roman"/>
          <w:sz w:val="16"/>
          <w:szCs w:val="16"/>
        </w:rPr>
      </w:pPr>
      <w:r>
        <w:rPr>
          <w:rStyle w:val="FootnoteReference"/>
          <w:rFonts w:ascii="Times New Roman" w:hAnsi="Times New Roman"/>
          <w:sz w:val="16"/>
          <w:szCs w:val="16"/>
        </w:rPr>
        <w:footnoteRef/>
      </w:r>
      <w:r>
        <w:t xml:space="preserve"> </w:t>
      </w:r>
      <w:r>
        <w:rPr>
          <w:rFonts w:ascii="Times New Roman" w:hAnsi="Times New Roman"/>
          <w:sz w:val="16"/>
        </w:rPr>
        <w:t xml:space="preserve">Site web de l’Assemblée législative de la </w:t>
      </w:r>
      <w:r>
        <w:rPr>
          <w:rFonts w:ascii="Times New Roman" w:hAnsi="Times New Roman"/>
          <w:color w:val="000000"/>
          <w:sz w:val="16"/>
        </w:rPr>
        <w:t>Région administrative spéciale de Macao,</w:t>
      </w:r>
    </w:p>
    <w:p>
      <w:pPr>
        <w:pStyle w:val="FootnoteText1"/>
        <w:rPr>
          <w:rFonts w:ascii="Times New Roman" w:hAnsi="Times New Roman"/>
          <w:sz w:val="18"/>
          <w:szCs w:val="18"/>
        </w:rPr>
      </w:pPr>
      <w:hyperlink r:id="rId6" w:history="1">
        <w:r>
          <w:rPr>
            <w:rStyle w:val="Hyperlink1"/>
            <w:rFonts w:ascii="Times New Roman" w:hAnsi="Times New Roman"/>
            <w:sz w:val="16"/>
          </w:rPr>
          <w:t>https://www.al.gov.mo/pt/law/lawcase/615</w:t>
        </w:r>
      </w:hyperlink>
      <w:r>
        <w:t>.</w:t>
      </w:r>
    </w:p>
  </w:footnote>
  <w:footnote w:id="7">
    <w:p>
      <w:pPr>
        <w:pStyle w:val="FootnoteText1"/>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Site web du Fonds de développement scientifique et technologique, </w:t>
      </w:r>
      <w:hyperlink r:id="rId7" w:anchor=":~:text=The%20%E2%80%9CTechnology%20Enterprise%20Certification%20Program%E2%80%9D%20has%20been,annual%20revenue%20of%20nearly%20MOP%204.3%20billion" w:history="1">
        <w:r>
          <w:rPr>
            <w:rStyle w:val="Hyperlink1"/>
            <w:rFonts w:ascii="Times New Roman" w:hAnsi="Times New Roman"/>
            <w:sz w:val="16"/>
          </w:rPr>
          <w:t>https://www.fdct.gov.mo/en/fund_information_detail/article/mhsugm5e.html#:~:text=The%20%E2%80%9CTechnology%20Enterprise%20Certification%20Program%E2%80%9D%20has%20been,annual%20revenue%20of%20nearly%20MOP%204.3%20billion</w:t>
        </w:r>
      </w:hyperlink>
      <w:r>
        <w:rPr>
          <w:rFonts w:asciiTheme="minorHAnsi" w:hAnsiTheme="minorHAnsi"/>
        </w:rPr>
        <w:t>.</w:t>
      </w:r>
    </w:p>
  </w:footnote>
  <w:footnote w:id="8">
    <w:p>
      <w:pPr>
        <w:spacing w:after="0"/>
        <w:rPr>
          <w:rFonts w:ascii="Times New Roman" w:hAnsi="Times New Roman" w:cs="Times New Roman"/>
          <w:color w:val="000000"/>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sz w:val="16"/>
        </w:rPr>
        <w:t xml:space="preserve"> </w:t>
      </w:r>
      <w:r>
        <w:rPr>
          <w:rFonts w:ascii="Times New Roman" w:hAnsi="Times New Roman"/>
          <w:sz w:val="16"/>
        </w:rPr>
        <w:t>C</w:t>
      </w:r>
      <w:r>
        <w:rPr>
          <w:rFonts w:ascii="Times New Roman" w:hAnsi="Times New Roman"/>
          <w:color w:val="000000"/>
          <w:sz w:val="16"/>
        </w:rPr>
        <w:t>ommuniqué de presse du Service des statistiques et du recensement, gouvernement de la région administrative spéciale de Macao,</w:t>
      </w:r>
    </w:p>
    <w:p>
      <w:pPr>
        <w:spacing w:after="0"/>
        <w:rPr>
          <w:rFonts w:ascii="Times New Roman" w:hAnsi="Times New Roman" w:cs="Times New Roman"/>
          <w:color w:val="000000"/>
          <w:sz w:val="16"/>
          <w:szCs w:val="16"/>
        </w:rPr>
      </w:pPr>
      <w:hyperlink r:id="rId8" w:history="1">
        <w:r>
          <w:rPr>
            <w:rStyle w:val="Hyperlink1"/>
            <w:rFonts w:ascii="Times New Roman" w:hAnsi="Times New Roman"/>
            <w:sz w:val="16"/>
          </w:rPr>
          <w:t>https://www.gov.mo/en/news/374828/</w:t>
        </w:r>
      </w:hyperlink>
      <w:r>
        <w:t>.</w:t>
      </w:r>
    </w:p>
  </w:footnote>
  <w:footnote w:id="9">
    <w:p>
      <w:pPr>
        <w:pStyle w:val="FootnoteText1"/>
        <w:rPr>
          <w:rFonts w:ascii="Times New Roman" w:hAnsi="Times New Roman"/>
          <w:color w:val="000000"/>
          <w:sz w:val="16"/>
          <w:szCs w:val="16"/>
        </w:rPr>
      </w:pPr>
      <w:r>
        <w:rPr>
          <w:rStyle w:val="FootnoteReference"/>
          <w:rFonts w:ascii="Times New Roman" w:hAnsi="Times New Roman"/>
          <w:sz w:val="16"/>
          <w:szCs w:val="16"/>
        </w:rPr>
        <w:footnoteRef/>
      </w:r>
      <w:r>
        <w:rPr>
          <w:rFonts w:ascii="Times New Roman" w:hAnsi="Times New Roman"/>
          <w:sz w:val="16"/>
        </w:rPr>
        <w:t>C</w:t>
      </w:r>
      <w:r>
        <w:rPr>
          <w:rFonts w:ascii="Times New Roman" w:hAnsi="Times New Roman"/>
          <w:color w:val="000000"/>
          <w:sz w:val="16"/>
        </w:rPr>
        <w:t>ommuniqué de presse du Bureau du développement économique de Hengqin,</w:t>
      </w:r>
    </w:p>
    <w:p>
      <w:pPr>
        <w:pStyle w:val="FootnoteText1"/>
        <w:rPr>
          <w:sz w:val="16"/>
          <w:szCs w:val="16"/>
        </w:rPr>
      </w:pPr>
      <w:hyperlink r:id="rId9" w:history="1">
        <w:r>
          <w:rPr>
            <w:rStyle w:val="Hyperlink1"/>
            <w:rFonts w:ascii="Times New Roman" w:hAnsi="Times New Roman"/>
            <w:sz w:val="16"/>
          </w:rPr>
          <w:t>https://www.hengqin.gov.cn/invest-hengqin-en/hqzx/news/zcdt/content/post_3862629.html</w:t>
        </w:r>
      </w:hyperlink>
      <w:r>
        <w:t>.</w:t>
      </w:r>
    </w:p>
  </w:footnote>
  <w:footnote w:id="10">
    <w:p>
      <w:pPr>
        <w:spacing w:after="0"/>
        <w:rPr>
          <w:rFonts w:ascii="Times New Roman" w:hAnsi="Times New Roman" w:cs="Times New Roman"/>
          <w:color w:val="000000"/>
          <w:sz w:val="16"/>
          <w:szCs w:val="16"/>
        </w:rPr>
      </w:pPr>
      <w:r>
        <w:rPr>
          <w:rStyle w:val="FootnoteReference"/>
          <w:rFonts w:ascii="Times New Roman" w:hAnsi="Times New Roman" w:cs="Times New Roman"/>
          <w:sz w:val="16"/>
          <w:szCs w:val="16"/>
        </w:rPr>
        <w:footnoteRef/>
      </w:r>
      <w:r>
        <w:rPr>
          <w:rFonts w:ascii="Times New Roman" w:hAnsi="Times New Roman"/>
          <w:color w:val="000000"/>
          <w:sz w:val="16"/>
        </w:rPr>
        <w:t xml:space="preserve"> Communiqués de presse de l’Autorité monétaire de Macao:</w:t>
      </w:r>
    </w:p>
    <w:p>
      <w:pPr>
        <w:spacing w:after="0"/>
        <w:rPr>
          <w:rFonts w:ascii="Times New Roman" w:hAnsi="Times New Roman" w:cs="Times New Roman"/>
          <w:sz w:val="16"/>
          <w:szCs w:val="16"/>
        </w:rPr>
      </w:pPr>
      <w:hyperlink r:id="rId10" w:history="1">
        <w:r>
          <w:rPr>
            <w:rStyle w:val="Hyperlink1"/>
            <w:rFonts w:ascii="Times New Roman" w:hAnsi="Times New Roman"/>
            <w:sz w:val="16"/>
          </w:rPr>
          <w:t>https://www.gov.mo/en/news/363318/</w:t>
        </w:r>
      </w:hyperlink>
      <w:r>
        <w:t>,</w:t>
      </w:r>
    </w:p>
    <w:p>
      <w:pPr>
        <w:spacing w:after="0"/>
        <w:rPr>
          <w:rFonts w:ascii="Times New Roman" w:hAnsi="Times New Roman" w:cs="Times New Roman"/>
          <w:color w:val="000000"/>
          <w:sz w:val="16"/>
          <w:szCs w:val="16"/>
        </w:rPr>
      </w:pPr>
      <w:hyperlink r:id="rId11" w:history="1">
        <w:r>
          <w:rPr>
            <w:rStyle w:val="Hyperlink1"/>
            <w:rFonts w:ascii="Times New Roman" w:hAnsi="Times New Roman"/>
            <w:sz w:val="16"/>
          </w:rPr>
          <w:t>https://www.gov.mo/en/news/366975/</w:t>
        </w:r>
      </w:hyperlink>
      <w:r>
        <w:t>,</w:t>
      </w:r>
    </w:p>
    <w:p>
      <w:pPr>
        <w:spacing w:after="0"/>
        <w:rPr>
          <w:rFonts w:ascii="Times New Roman" w:hAnsi="Times New Roman" w:cs="Times New Roman"/>
          <w:color w:val="000000"/>
          <w:sz w:val="16"/>
          <w:szCs w:val="16"/>
        </w:rPr>
      </w:pPr>
      <w:hyperlink r:id="rId12" w:history="1">
        <w:r>
          <w:rPr>
            <w:rStyle w:val="Hyperlink1"/>
            <w:rFonts w:ascii="Times New Roman" w:hAnsi="Times New Roman"/>
            <w:sz w:val="16"/>
          </w:rPr>
          <w:t>https://www.gov.mo/en/news/367989/</w:t>
        </w:r>
      </w:hyperlink>
      <w:r>
        <w:t>.</w:t>
      </w:r>
    </w:p>
  </w:footnote>
  <w:footnote w:id="11">
    <w:p>
      <w:pPr>
        <w:pStyle w:val="FootnoteText1"/>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Communiqué de presse de l’Autorité monétaire de Hong Kong:</w:t>
      </w:r>
    </w:p>
    <w:p>
      <w:pPr>
        <w:pStyle w:val="FootnoteText1"/>
        <w:rPr>
          <w:rFonts w:ascii="Times New Roman" w:hAnsi="Times New Roman"/>
          <w:sz w:val="16"/>
          <w:szCs w:val="16"/>
        </w:rPr>
      </w:pPr>
      <w:hyperlink r:id="rId13" w:history="1">
        <w:r>
          <w:rPr>
            <w:rStyle w:val="Hyperlink1"/>
            <w:rFonts w:ascii="Times New Roman" w:hAnsi="Times New Roman"/>
            <w:sz w:val="16"/>
          </w:rPr>
          <w:t>https://www.hkma.gov.hk/eng/news-and-media/press-releases/2025/01/20250121-3/</w:t>
        </w:r>
      </w:hyperlink>
      <w:r>
        <w:t>.</w:t>
      </w:r>
    </w:p>
  </w:footnote>
  <w:footnote w:id="12">
    <w:p>
      <w:pPr>
        <w:pStyle w:val="FootnoteText1"/>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Communiqué de presse du gouvernement de la région administrative spéciale de Macao</w:t>
      </w:r>
    </w:p>
    <w:p>
      <w:pPr>
        <w:pStyle w:val="FootnoteText1"/>
        <w:rPr>
          <w:rFonts w:ascii="Times New Roman" w:hAnsi="Times New Roman"/>
          <w:sz w:val="18"/>
          <w:szCs w:val="18"/>
        </w:rPr>
      </w:pPr>
      <w:hyperlink r:id="rId14" w:history="1">
        <w:r>
          <w:rPr>
            <w:rStyle w:val="Hyperlink1"/>
            <w:rFonts w:ascii="Times New Roman" w:hAnsi="Times New Roman"/>
            <w:sz w:val="16"/>
          </w:rPr>
          <w:t>https://www.gov.mo/en/news/391480/</w:t>
        </w:r>
      </w:hyperlink>
      <w:r>
        <w:t>.</w:t>
      </w:r>
    </w:p>
  </w:footnote>
  <w:footnote w:id="13">
    <w:p>
      <w:pPr>
        <w:spacing w:after="0"/>
        <w:rPr>
          <w:rFonts w:ascii="Times New Roman" w:hAnsi="Times New Roman" w:cs="Times New Roman"/>
          <w:color w:val="000000"/>
          <w:sz w:val="16"/>
          <w:szCs w:val="16"/>
        </w:rPr>
      </w:pPr>
      <w:r>
        <w:rPr>
          <w:rStyle w:val="FootnoteReference"/>
          <w:rFonts w:ascii="Times New Roman" w:hAnsi="Times New Roman" w:cs="Times New Roman"/>
          <w:sz w:val="16"/>
          <w:szCs w:val="16"/>
        </w:rPr>
        <w:footnoteRef/>
      </w:r>
      <w:r>
        <w:rPr>
          <w:rFonts w:ascii="Times New Roman" w:hAnsi="Times New Roman"/>
          <w:color w:val="000000"/>
          <w:sz w:val="16"/>
        </w:rPr>
        <w:t xml:space="preserve"> Journal officiel, gouvernement de la région administrative spéciale de Macao,</w:t>
      </w:r>
    </w:p>
    <w:p>
      <w:pPr>
        <w:spacing w:after="0"/>
        <w:rPr>
          <w:rFonts w:ascii="Times New Roman" w:hAnsi="Times New Roman" w:cs="Times New Roman"/>
          <w:color w:val="000000"/>
          <w:sz w:val="16"/>
          <w:szCs w:val="16"/>
        </w:rPr>
      </w:pPr>
      <w:hyperlink r:id="rId15" w:history="1">
        <w:r>
          <w:rPr>
            <w:rStyle w:val="Hyperlink1"/>
            <w:rFonts w:ascii="Times New Roman" w:hAnsi="Times New Roman"/>
            <w:sz w:val="16"/>
          </w:rPr>
          <w:t>https://bo.dsaj.gov.mo/bo/i/2024/33/lei15.asp</w:t>
        </w:r>
      </w:hyperlink>
      <w:r>
        <w:t>.</w:t>
      </w:r>
    </w:p>
  </w:footnote>
  <w:footnote w:id="14">
    <w:p>
      <w:pPr>
        <w:spacing w:after="0"/>
        <w:rPr>
          <w:rFonts w:ascii="Times New Roman" w:hAnsi="Times New Roman" w:cs="Times New Roman"/>
          <w:color w:val="000000"/>
          <w:sz w:val="16"/>
          <w:szCs w:val="16"/>
        </w:rPr>
      </w:pPr>
      <w:r>
        <w:rPr>
          <w:rStyle w:val="FootnoteReference"/>
          <w:rFonts w:ascii="Times New Roman" w:hAnsi="Times New Roman" w:cs="Times New Roman"/>
          <w:sz w:val="16"/>
          <w:szCs w:val="16"/>
        </w:rPr>
        <w:footnoteRef/>
      </w:r>
      <w:r>
        <w:rPr>
          <w:rFonts w:ascii="Times New Roman" w:hAnsi="Times New Roman"/>
          <w:color w:val="000000"/>
          <w:sz w:val="16"/>
        </w:rPr>
        <w:t xml:space="preserve"> Journal officiel, gouvernement de la région administrative spéciale de Macao,</w:t>
      </w:r>
    </w:p>
    <w:p>
      <w:pPr>
        <w:pStyle w:val="FootnoteText1"/>
        <w:rPr>
          <w:rFonts w:ascii="Times New Roman" w:hAnsi="Times New Roman"/>
          <w:sz w:val="16"/>
          <w:szCs w:val="16"/>
        </w:rPr>
      </w:pPr>
      <w:hyperlink r:id="rId16" w:anchor="4" w:history="1">
        <w:r>
          <w:rPr>
            <w:rStyle w:val="Hyperlink1"/>
            <w:rFonts w:ascii="Times New Roman" w:hAnsi="Times New Roman"/>
            <w:sz w:val="16"/>
          </w:rPr>
          <w:t>https://bo.dsaj.gov.mo/bo/i/2025/27/lei04.asp#4</w:t>
        </w:r>
      </w:hyperlink>
      <w:r>
        <w:t>.</w:t>
      </w:r>
    </w:p>
  </w:footnote>
  <w:footnote w:id="15">
    <w:p>
      <w:pPr>
        <w:spacing w:after="0"/>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sz w:val="16"/>
        </w:rPr>
        <w:t xml:space="preserve"> </w:t>
      </w:r>
      <w:r>
        <w:rPr>
          <w:rFonts w:ascii="Times New Roman" w:hAnsi="Times New Roman"/>
          <w:sz w:val="16"/>
        </w:rPr>
        <w:t>Communiqué de presse du gouvernement de la région administrative spéciale de Macao,</w:t>
      </w:r>
    </w:p>
    <w:p>
      <w:pPr>
        <w:rPr>
          <w:sz w:val="18"/>
          <w:szCs w:val="18"/>
        </w:rPr>
      </w:pPr>
      <w:hyperlink r:id="rId17" w:history="1">
        <w:r>
          <w:rPr>
            <w:rStyle w:val="Hyperlink1"/>
            <w:rFonts w:ascii="Times New Roman" w:hAnsi="Times New Roman"/>
            <w:sz w:val="16"/>
          </w:rPr>
          <w:t>https://www.gov.mo/en/news/392648/</w:t>
        </w:r>
      </w:hyperlink>
      <w:r>
        <w:t>.</w:t>
      </w:r>
    </w:p>
  </w:footnote>
  <w:footnote w:id="16">
    <w:p>
      <w:pPr>
        <w:pStyle w:val="FootnoteText1"/>
        <w:rPr>
          <w:rFonts w:ascii="Times New Roman" w:hAnsi="Times New Roman"/>
          <w:sz w:val="16"/>
          <w:szCs w:val="16"/>
        </w:rPr>
      </w:pPr>
      <w:r>
        <w:rPr>
          <w:rStyle w:val="FootnoteReference"/>
          <w:rFonts w:ascii="Times New Roman" w:hAnsi="Times New Roman"/>
          <w:sz w:val="16"/>
          <w:szCs w:val="16"/>
        </w:rPr>
        <w:footnoteRef/>
      </w:r>
      <w:r>
        <w:rPr>
          <w:rStyle w:val="FootnoteReference"/>
          <w:rFonts w:ascii="Times New Roman" w:hAnsi="Times New Roman"/>
          <w:sz w:val="16"/>
        </w:rPr>
        <w:t xml:space="preserve"> </w:t>
      </w:r>
      <w:r>
        <w:rPr>
          <w:rFonts w:ascii="Times New Roman" w:hAnsi="Times New Roman"/>
          <w:sz w:val="16"/>
        </w:rPr>
        <w:t>Planification territoriale globale de la zone de coopération intensive Guangdong-Macao à Hengdin (2021-2035),</w:t>
      </w:r>
      <w:r>
        <w:t xml:space="preserve"> </w:t>
      </w:r>
      <w:hyperlink r:id="rId18" w:history="1">
        <w:r>
          <w:rPr>
            <w:rStyle w:val="Hyperlink1"/>
            <w:rFonts w:ascii="Times New Roman" w:hAnsi="Times New Roman"/>
            <w:sz w:val="16"/>
          </w:rPr>
          <w:t>https://www.hengqin.gov.cn/macao_zh_hans/zwgk/zcfg/zyzc/content/post_3836370.html</w:t>
        </w:r>
      </w:hyperlink>
      <w:r>
        <w:t>.</w:t>
      </w:r>
      <w:r>
        <w:rPr>
          <w:rFonts w:ascii="Times New Roman" w:hAnsi="Times New Roman"/>
          <w:sz w:val="16"/>
        </w:rPr>
        <w:t xml:space="preserve"> </w:t>
      </w:r>
    </w:p>
    <w:p>
      <w:pPr>
        <w:pStyle w:val="FootnoteText1"/>
        <w:rPr>
          <w:rFonts w:ascii="Times New Roman" w:hAnsi="Times New Roman"/>
          <w:sz w:val="16"/>
          <w:szCs w:val="16"/>
        </w:rPr>
      </w:pPr>
      <w:r>
        <w:rPr>
          <w:rFonts w:ascii="Times New Roman" w:hAnsi="Times New Roman"/>
          <w:sz w:val="16"/>
        </w:rPr>
        <w:t>Plan de développement industriel de la zone de coopération intensive Guangdong-Macao à Hengdin (2025-2029),</w:t>
      </w:r>
      <w:r>
        <w:t xml:space="preserve"> </w:t>
      </w:r>
      <w:hyperlink r:id="rId19" w:history="1">
        <w:r>
          <w:rPr>
            <w:rStyle w:val="Hyperlink1"/>
            <w:rFonts w:ascii="Times New Roman" w:hAnsi="Times New Roman"/>
            <w:sz w:val="16"/>
          </w:rPr>
          <w:t>https://www.hengqin.gov.cn/macao_zh_hans/zwgk/tzgg/gg/content/post_3810641.html</w:t>
        </w:r>
      </w:hyperlink>
      <w:r>
        <w:rPr>
          <w:rFonts w:asciiTheme="minorHAnsi" w:hAnsiTheme="minorHAnsi"/>
        </w:rPr>
        <w:t>.</w:t>
      </w:r>
    </w:p>
  </w:footnote>
  <w:footnote w:id="17">
    <w:p>
      <w:pPr>
        <w:pStyle w:val="FootnoteText1"/>
        <w:rPr>
          <w:rFonts w:ascii="Times New Roman" w:hAnsi="Times New Roman"/>
          <w:sz w:val="16"/>
          <w:szCs w:val="16"/>
        </w:rPr>
      </w:pPr>
      <w:r>
        <w:rPr>
          <w:rStyle w:val="FootnoteReference"/>
          <w:rFonts w:ascii="Times New Roman" w:hAnsi="Times New Roman"/>
          <w:sz w:val="16"/>
          <w:szCs w:val="16"/>
        </w:rPr>
        <w:footnoteRef/>
      </w:r>
      <w:r>
        <w:rPr>
          <w:rStyle w:val="FootnoteReference"/>
          <w:rFonts w:ascii="Times New Roman" w:hAnsi="Times New Roman"/>
          <w:sz w:val="16"/>
        </w:rPr>
        <w:t xml:space="preserve"> </w:t>
      </w:r>
      <w:r>
        <w:rPr>
          <w:rFonts w:ascii="Times New Roman" w:hAnsi="Times New Roman"/>
          <w:sz w:val="16"/>
        </w:rPr>
        <w:t xml:space="preserve">Site web du bureau du développement économique de Hengqin, </w:t>
      </w:r>
    </w:p>
    <w:p>
      <w:pPr>
        <w:pStyle w:val="FootnoteText1"/>
        <w:rPr>
          <w:rFonts w:ascii="Times New Roman" w:hAnsi="Times New Roman"/>
          <w:sz w:val="16"/>
          <w:szCs w:val="16"/>
        </w:rPr>
      </w:pPr>
      <w:hyperlink r:id="rId20" w:history="1">
        <w:r>
          <w:rPr>
            <w:rStyle w:val="Hyperlink1"/>
            <w:rFonts w:ascii="Times New Roman" w:hAnsi="Times New Roman"/>
            <w:sz w:val="16"/>
          </w:rPr>
          <w:t>https://www.hengqin.gov.cn/invest-hengqin-en/tshq/tjsj/index.html</w:t>
        </w:r>
      </w:hyperlink>
      <w:r>
        <w:t>.</w:t>
      </w:r>
      <w:r>
        <w:rPr>
          <w:rFonts w:ascii="Times New Roman" w:hAnsi="Times New Roman"/>
          <w:sz w:val="16"/>
        </w:rPr>
        <w:t xml:space="preserve"> </w:t>
      </w:r>
    </w:p>
  </w:footnote>
  <w:footnote w:id="18">
    <w:p>
      <w:pPr>
        <w:pStyle w:val="FootnoteText1"/>
        <w:rPr>
          <w:rFonts w:ascii="Times New Roman" w:hAnsi="Times New Roman"/>
          <w:sz w:val="18"/>
          <w:szCs w:val="18"/>
        </w:rPr>
      </w:pPr>
      <w:r>
        <w:rPr>
          <w:rStyle w:val="FootnoteReference"/>
          <w:rFonts w:ascii="Times New Roman" w:hAnsi="Times New Roman"/>
          <w:sz w:val="16"/>
          <w:szCs w:val="16"/>
        </w:rPr>
        <w:footnoteRef/>
      </w:r>
      <w:r>
        <w:rPr>
          <w:rStyle w:val="FootnoteReference"/>
          <w:rFonts w:ascii="Times New Roman" w:hAnsi="Times New Roman"/>
          <w:sz w:val="16"/>
        </w:rPr>
        <w:t xml:space="preserve"> </w:t>
      </w:r>
      <w:r>
        <w:rPr>
          <w:rFonts w:ascii="Times New Roman" w:hAnsi="Times New Roman"/>
          <w:sz w:val="16"/>
        </w:rPr>
        <w:t>Communiqué de presse du bureau du développement économique de Hengqin,</w:t>
      </w:r>
      <w:r>
        <w:t xml:space="preserve"> </w:t>
      </w:r>
      <w:hyperlink r:id="rId21" w:history="1">
        <w:r>
          <w:rPr>
            <w:rStyle w:val="Hyperlink1"/>
            <w:rFonts w:ascii="Times New Roman" w:hAnsi="Times New Roman"/>
            <w:sz w:val="16"/>
          </w:rPr>
          <w:t>https://www.hengqin.gov.cn/macao_en/xwbb/content/post_3831188.html</w:t>
        </w:r>
      </w:hyperlink>
      <w:r>
        <w:t>.</w:t>
      </w:r>
      <w:r>
        <w:rPr>
          <w:rFonts w:asciiTheme="minorHAnsi" w:hAnsiTheme="minorHAn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123A"/>
    <w:multiLevelType w:val="hybridMultilevel"/>
    <w:tmpl w:val="EC564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E55C0E"/>
    <w:multiLevelType w:val="hybridMultilevel"/>
    <w:tmpl w:val="207A70F2"/>
    <w:lvl w:ilvl="0" w:tplc="42EE1CF4">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0181764B-BB7C-4E43-A774-268FC3E4A48A"/>
    <w:docVar w:name="LW_COVERPAGE_TYPE" w:val="1"/>
    <w:docVar w:name="LW_CROSSREFERENCE" w:val="&lt;UNUSED&gt;"/>
    <w:docVar w:name="LW_DocType" w:val="NORMAL"/>
    <w:docVar w:name="LW_EMISSION" w:val="22.9.2026"/>
    <w:docVar w:name="LW_EMISSION_ISODATE" w:val="2026-09-22"/>
    <w:docVar w:name="LW_EMISSION_LOCATION" w:val="BRX"/>
    <w:docVar w:name="LW_EMISSION_PREFIX" w:val="Bruxelles, le "/>
    <w:docVar w:name="LW_EMISSION_SUFFIX" w:val=" "/>
    <w:docVar w:name="LW_ID_DOCTYPE_NONLW" w:val="CP-018"/>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NST.NEW" w:val="JOIN"/>
    <w:docVar w:name="LW_REF.INST.NEW_ADOPTED" w:val="final"/>
    <w:docVar w:name="LW_REF.INST.NEW_TEXT" w:val="(2026) 2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 _x0009__x000d_Région administrative spéciale de Macao_x000d__x000d__x000d__x000b_       _x000d__x000d__x000b_        Rapport annuel 2025_x000d__x000d__x000d__x000d__x000d__x000d__x000b_"/>
    <w:docVar w:name="LW_TYPE.DOC.CP" w:val="RAPPORT CONJOINT AU PARLEMENT EUROPÉEN ET A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42F9CDCD-5966-47B5-85C7-E6752B360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yperlink1">
    <w:name w:val="Hyperlink1"/>
    <w:basedOn w:val="DefaultParagraphFont"/>
    <w:uiPriority w:val="99"/>
    <w:unhideWhenUsed/>
    <w:rPr>
      <w:color w:val="0000FF"/>
      <w:u w:val="single"/>
    </w:rPr>
  </w:style>
  <w:style w:type="paragraph" w:customStyle="1" w:styleId="FootnoteText1">
    <w:name w:val="Footnote Text1"/>
    <w:basedOn w:val="Normal"/>
    <w:next w:val="FootnoteText"/>
    <w:link w:val="FootnoteTextChar"/>
    <w:uiPriority w:val="99"/>
    <w:unhideWhenUsed/>
    <w:pPr>
      <w:spacing w:after="0" w:line="240" w:lineRule="auto"/>
    </w:pPr>
    <w:rPr>
      <w:rFonts w:ascii="Cambria" w:eastAsia="SimSun" w:hAnsi="Cambria" w:cs="Times New Roman"/>
      <w:sz w:val="20"/>
      <w:szCs w:val="20"/>
    </w:rPr>
  </w:style>
  <w:style w:type="character" w:customStyle="1" w:styleId="FootnoteTextChar">
    <w:name w:val="Footnote Text Char"/>
    <w:basedOn w:val="DefaultParagraphFont"/>
    <w:link w:val="FootnoteText1"/>
    <w:uiPriority w:val="99"/>
    <w:rPr>
      <w:rFonts w:ascii="Cambria" w:eastAsia="SimSun" w:hAnsi="Cambria" w:cs="Times New Roman"/>
      <w:sz w:val="20"/>
      <w:szCs w:val="20"/>
    </w:rPr>
  </w:style>
  <w:style w:type="character" w:styleId="FootnoteReference">
    <w:name w:val="footnote reference"/>
    <w:basedOn w:val="DefaultParagraphFont"/>
    <w:uiPriority w:val="99"/>
    <w:unhideWhenUsed/>
    <w:rPr>
      <w:vertAlign w:val="superscript"/>
    </w:rPr>
  </w:style>
  <w:style w:type="character" w:styleId="Hyperlink">
    <w:name w:val="Hyperlink"/>
    <w:basedOn w:val="DefaultParagraphFont"/>
    <w:uiPriority w:val="99"/>
    <w:semiHidden/>
    <w:unhideWhenUsed/>
    <w:rPr>
      <w:color w:val="467886" w:themeColor="hyperlink"/>
      <w:u w:val="single"/>
    </w:rPr>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1">
    <w:name w:val="Footnote Text Char1"/>
    <w:basedOn w:val="DefaultParagraphFont"/>
    <w:uiPriority w:val="99"/>
    <w:semiHidden/>
    <w:rPr>
      <w:sz w:val="20"/>
      <w:szCs w:val="20"/>
    </w:rPr>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szCs w:val="22"/>
      <w14:ligatures w14:val="none"/>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s://www.gov.mo/en/news/374828/" TargetMode="External"/><Relationship Id="rId13" Type="http://schemas.openxmlformats.org/officeDocument/2006/relationships/hyperlink" Target="https://www.hkma.gov.hk/eng/news-and-media/press-releases/2025/01/20250121-3/" TargetMode="External"/><Relationship Id="rId18" Type="http://schemas.openxmlformats.org/officeDocument/2006/relationships/hyperlink" Target="https://www.hengqin.gov.cn/macao_zh_hans/zwgk/zcfg/zyzc/content/post_3836370.html" TargetMode="External"/><Relationship Id="rId3" Type="http://schemas.openxmlformats.org/officeDocument/2006/relationships/hyperlink" Target="https://www.dsec.gov.mo/en-US/" TargetMode="External"/><Relationship Id="rId21" Type="http://schemas.openxmlformats.org/officeDocument/2006/relationships/hyperlink" Target="https://www.hengqin.gov.cn/macao_en/xwbb/content/post_3831188.html" TargetMode="External"/><Relationship Id="rId7" Type="http://schemas.openxmlformats.org/officeDocument/2006/relationships/hyperlink" Target="https://www.fdct.gov.mo/en/fund_information_detail/article/mhsugm5e.html" TargetMode="External"/><Relationship Id="rId12" Type="http://schemas.openxmlformats.org/officeDocument/2006/relationships/hyperlink" Target="https://www.gov.mo/en/news/367989/" TargetMode="External"/><Relationship Id="rId17" Type="http://schemas.openxmlformats.org/officeDocument/2006/relationships/hyperlink" Target="https://www.gov.mo/en/news/392648/" TargetMode="External"/><Relationship Id="rId2" Type="http://schemas.openxmlformats.org/officeDocument/2006/relationships/hyperlink" Target="https://www.gov.mo/en/news/392652/" TargetMode="External"/><Relationship Id="rId16" Type="http://schemas.openxmlformats.org/officeDocument/2006/relationships/hyperlink" Target="https://bo.dsaj.gov.mo/bo/i/2025/27/lei04.asp" TargetMode="External"/><Relationship Id="rId20" Type="http://schemas.openxmlformats.org/officeDocument/2006/relationships/hyperlink" Target="https://www.hengqin.gov.cn/invest-hengqin-en/tshq/tjsj/index.html" TargetMode="External"/><Relationship Id="rId1" Type="http://schemas.openxmlformats.org/officeDocument/2006/relationships/hyperlink" Target="https://www.eeas.europa.eu/eeas/macao-statement-spokesperson-arrest-au-kam-san_en" TargetMode="External"/><Relationship Id="rId6" Type="http://schemas.openxmlformats.org/officeDocument/2006/relationships/hyperlink" Target="https://www.al.gov.mo/pt/law/lawcase/615" TargetMode="External"/><Relationship Id="rId11" Type="http://schemas.openxmlformats.org/officeDocument/2006/relationships/hyperlink" Target="https://www.gov.mo/en/news/366975/" TargetMode="External"/><Relationship Id="rId5" Type="http://schemas.openxmlformats.org/officeDocument/2006/relationships/hyperlink" Target="https://www.gov.mo/en/news/360247/" TargetMode="External"/><Relationship Id="rId15" Type="http://schemas.openxmlformats.org/officeDocument/2006/relationships/hyperlink" Target="https://bo.dsaj.gov.mo/bo/i/2024/33/lei15.asp" TargetMode="External"/><Relationship Id="rId10" Type="http://schemas.openxmlformats.org/officeDocument/2006/relationships/hyperlink" Target="https://www.gov.mo/en/news/363318/" TargetMode="External"/><Relationship Id="rId19" Type="http://schemas.openxmlformats.org/officeDocument/2006/relationships/hyperlink" Target="https://www.hengqin.gov.cn/macao_zh_hans/zwgk/tzgg/gg/content/post_3810641.html" TargetMode="External"/><Relationship Id="rId4" Type="http://schemas.openxmlformats.org/officeDocument/2006/relationships/hyperlink" Target="https://commission.europa.eu/funding-tenders/procedures-guidelines-tenders/information-contractors-and-beneficiaries/exchange-rate-inforeuro_fr" TargetMode="External"/><Relationship Id="rId9" Type="http://schemas.openxmlformats.org/officeDocument/2006/relationships/hyperlink" Target="https://www.hengqin.gov.cn/invest-hengqin-en/hqzx/news/zcdt/content/post_3862629.html" TargetMode="External"/><Relationship Id="rId14" Type="http://schemas.openxmlformats.org/officeDocument/2006/relationships/hyperlink" Target="https://www.gov.mo/en/news/3914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5442</Words>
  <Characters>31026</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10</cp:revision>
  <dcterms:created xsi:type="dcterms:W3CDTF">2026-05-29T10:13:00Z</dcterms:created>
  <dcterms:modified xsi:type="dcterms:W3CDTF">2026-09-15T08:29:00Z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2026-05-06T15:24:55Z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3030bb0d-a022-4a4e-97ea-a66e7d1a38fa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CP-018</vt:lpwstr>
  </property>
</Properties>
</file>