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D179DCF-33AF-4831-9AB1-119FDE731B9E" style="width:455.25pt;height:313.5pt">
            <v:imagedata r:id="rId7" o:title=""/>
          </v:shape>
        </w:pict>
      </w:r>
    </w:p>
    <w:bookmarkEnd w:id="0"/>
    <w:p>
      <w:pPr>
        <w:rPr>
          <w:noProof/>
        </w:rPr>
        <w:sectPr>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pPr>
        <w:spacing w:after="0" w:line="240" w:lineRule="auto"/>
        <w:jc w:val="center"/>
        <w:rPr>
          <w:rFonts w:ascii="Times New Roman" w:eastAsia="SimSun" w:hAnsi="Times New Roman" w:cs="Times New Roman"/>
          <w:b/>
          <w:noProof/>
          <w:kern w:val="0"/>
          <w14:ligatures w14:val="none"/>
        </w:rPr>
      </w:pPr>
      <w:r>
        <w:rPr>
          <w:rFonts w:ascii="Times New Roman" w:hAnsi="Times New Roman"/>
          <w:b/>
          <w:noProof/>
        </w:rPr>
        <w:lastRenderedPageBreak/>
        <w:t>RAPORT COMUN CĂTRE PARLAMENTUL EUROPEAN ȘI CONSILIU</w:t>
      </w:r>
    </w:p>
    <w:p>
      <w:pPr>
        <w:spacing w:after="0" w:line="240" w:lineRule="auto"/>
        <w:jc w:val="center"/>
        <w:rPr>
          <w:rFonts w:ascii="Times New Roman" w:eastAsia="SimSun" w:hAnsi="Times New Roman" w:cs="Times New Roman"/>
          <w:b/>
          <w:noProof/>
          <w:kern w:val="0"/>
          <w:lang w:eastAsia="zh-CN"/>
          <w14:ligatures w14:val="none"/>
        </w:rPr>
      </w:pPr>
    </w:p>
    <w:p>
      <w:pPr>
        <w:spacing w:after="0" w:line="240" w:lineRule="auto"/>
        <w:jc w:val="center"/>
        <w:rPr>
          <w:rFonts w:ascii="Times New Roman" w:eastAsia="SimSun" w:hAnsi="Times New Roman" w:cs="Times New Roman"/>
          <w:b/>
          <w:noProof/>
          <w:kern w:val="0"/>
          <w14:ligatures w14:val="none"/>
        </w:rPr>
      </w:pPr>
      <w:r>
        <w:rPr>
          <w:rFonts w:ascii="Times New Roman" w:hAnsi="Times New Roman"/>
          <w:b/>
          <w:noProof/>
        </w:rPr>
        <w:t>REGIUNEA ADMINISTRATIVĂ SPECIALĂ MACAO</w:t>
      </w:r>
    </w:p>
    <w:p>
      <w:pPr>
        <w:spacing w:after="0" w:line="240" w:lineRule="auto"/>
        <w:jc w:val="center"/>
        <w:rPr>
          <w:rFonts w:ascii="Times New Roman" w:eastAsia="SimSun" w:hAnsi="Times New Roman" w:cs="Times New Roman"/>
          <w:b/>
          <w:noProof/>
          <w:kern w:val="0"/>
          <w:lang w:eastAsia="zh-CN"/>
          <w14:ligatures w14:val="none"/>
        </w:rPr>
      </w:pPr>
    </w:p>
    <w:p>
      <w:pPr>
        <w:spacing w:after="0" w:line="240" w:lineRule="auto"/>
        <w:jc w:val="center"/>
        <w:rPr>
          <w:rFonts w:ascii="Times New Roman" w:eastAsia="SimSun" w:hAnsi="Times New Roman" w:cs="Times New Roman"/>
          <w:b/>
          <w:noProof/>
          <w:kern w:val="0"/>
          <w14:ligatures w14:val="none"/>
        </w:rPr>
      </w:pPr>
      <w:r>
        <w:rPr>
          <w:rFonts w:ascii="Times New Roman" w:hAnsi="Times New Roman"/>
          <w:b/>
          <w:noProof/>
        </w:rPr>
        <w:t>RAPORT ANUAL PENTRU 2025</w:t>
      </w:r>
    </w:p>
    <w:p>
      <w:pPr>
        <w:rPr>
          <w:noProof/>
        </w:rPr>
      </w:pPr>
    </w:p>
    <w:p>
      <w:pPr>
        <w:spacing w:after="0" w:line="240" w:lineRule="auto"/>
        <w:rPr>
          <w:rFonts w:ascii="Times New Roman" w:eastAsia="SimSun" w:hAnsi="Times New Roman" w:cs="Times New Roman"/>
          <w:b/>
          <w:noProof/>
          <w:kern w:val="0"/>
          <w14:ligatures w14:val="none"/>
        </w:rPr>
      </w:pPr>
      <w:r>
        <w:rPr>
          <w:rFonts w:ascii="Times New Roman" w:hAnsi="Times New Roman"/>
          <w:b/>
          <w:noProof/>
        </w:rPr>
        <w:t>Rezumat</w:t>
      </w:r>
    </w:p>
    <w:p>
      <w:pPr>
        <w:spacing w:after="0" w:line="240" w:lineRule="auto"/>
        <w:rPr>
          <w:rFonts w:ascii="Times New Roman" w:eastAsia="SimSun" w:hAnsi="Times New Roman" w:cs="Times New Roman"/>
          <w:b/>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De la retrocedarea regiunii Macao către Republica Populară Chineză (RPC) în 1999, Uniunea Europeană (UE) și statele membre ale acesteia au urmărit îndeaproape evoluția situației politice și economice din Regiunea Administrativă Specială (RAS) Macao, în temeiul principiului „o țară, două sisteme”. UE sprijină acest principiu și punerea sa în aplicare în conformitate cu Legea fundamentală, care urmărește să garanteze că modul de viață, statul de drept și protecția drepturilor și a libertăților fundamentale în Macao rămân neschimbate până în 2049.</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În conformitate cu angajamentul asumat în 1999 față de Parlamentul European, Comisia și Înaltul Reprezentant/vicepreședinte publică în fiecare an un raport privind evoluția situației din Macao. De-a lungul anilor, acesta a pus accentul în special pe punerea în aplicare a principiului „o țară, două sisteme” cu privire la autonomia Macao, astfel cum este afirmată de Legea fundamentală a Macao.</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Prezentul raport, care se referă la anul 2025, este cel de al 26-lea de acest tip. Din punct de vedere politic, în cursul anului s-a produs o erodare continuă a autonomiei și a libertăților și drepturilor fundamentale menite să fie protejate cel puțin până în 2049. Anul 2025 a fost marcat de: (i) alegerea celei de a opta Adunări Legislative și (ii) prima arestare în temeiul Legii privind protejarea securității naționale.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Declarația făcută de purtătorul de cuvânt al UE a vizat următoarele aspecte:</w:t>
      </w:r>
    </w:p>
    <w:p>
      <w:pPr>
        <w:spacing w:after="0" w:line="240" w:lineRule="auto"/>
        <w:jc w:val="both"/>
        <w:rPr>
          <w:rFonts w:ascii="Times New Roman" w:eastAsia="SimSun" w:hAnsi="Times New Roman" w:cs="Times New Roman"/>
          <w:b/>
          <w:noProof/>
          <w:kern w:val="0"/>
          <w:lang w:eastAsia="zh-CN"/>
          <w14:ligatures w14:val="none"/>
        </w:rPr>
      </w:pPr>
    </w:p>
    <w:p>
      <w:pPr>
        <w:numPr>
          <w:ilvl w:val="0"/>
          <w:numId w:val="2"/>
        </w:numPr>
        <w:spacing w:after="0" w:line="240" w:lineRule="auto"/>
        <w:contextualSpacing/>
        <w:jc w:val="both"/>
        <w:rPr>
          <w:rFonts w:ascii="Times New Roman" w:eastAsia="SimSun" w:hAnsi="Times New Roman" w:cs="Times New Roman"/>
          <w:b/>
          <w:bCs/>
          <w:noProof/>
          <w:kern w:val="0"/>
          <w14:ligatures w14:val="none"/>
        </w:rPr>
      </w:pPr>
      <w:r>
        <w:rPr>
          <w:rFonts w:ascii="Times New Roman" w:hAnsi="Times New Roman"/>
          <w:noProof/>
        </w:rPr>
        <w:t>2 august 2025 – Declarația purtătorului de cuvânt privind arestarea lui Au Kam San</w:t>
      </w:r>
      <w:r>
        <w:rPr>
          <w:rStyle w:val="FootnoteReference"/>
          <w:noProof/>
        </w:rPr>
        <w:footnoteReference w:id="1"/>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PMingLiU" w:hAnsi="Times New Roman" w:cs="Times New Roman"/>
          <w:noProof/>
          <w:color w:val="000000"/>
          <w:kern w:val="0"/>
          <w14:ligatures w14:val="none"/>
        </w:rPr>
      </w:pPr>
      <w:r>
        <w:rPr>
          <w:rFonts w:ascii="Times New Roman" w:hAnsi="Times New Roman"/>
          <w:noProof/>
          <w:color w:val="000000"/>
        </w:rPr>
        <w:t>PIB-ul Macao a crescut cu 4,7 % de la an la an în 2025. Acesta a fost al treilea an consecutiv de creștere, dar economia nu s-a redresat încă pe deplin la nivelurile anterioare pandemiei de COVID-19. Creșterea economică a fost susținută de creșterea numărului de turiști care călătoresc în Macao și de veniturile aferente jocurilor de noroc. Macao a raportat 40,1 milioane de vizitatori în 2025. Este pentru prima dată de la sfârșitul pandemiei de COVID-19 când numărul turiștilor a depășit nivelurile anterioare pandemiei. Cu toate acestea, în pofida creșterii numărului de turiști, veniturile din jocurile de noroc nu au revenit la nivelul anterior pandemiei.</w:t>
      </w:r>
    </w:p>
    <w:p>
      <w:pPr>
        <w:spacing w:after="0" w:line="240" w:lineRule="auto"/>
        <w:jc w:val="both"/>
        <w:rPr>
          <w:rFonts w:ascii="Times New Roman" w:eastAsia="PMingLiU" w:hAnsi="Times New Roman" w:cs="Times New Roman"/>
          <w:noProof/>
          <w:color w:val="000000"/>
          <w:kern w:val="0"/>
          <w:lang w:eastAsia="zh-CN"/>
          <w14:ligatures w14:val="none"/>
        </w:rPr>
      </w:pPr>
    </w:p>
    <w:p>
      <w:pPr>
        <w:spacing w:after="0" w:line="240" w:lineRule="auto"/>
        <w:jc w:val="both"/>
        <w:rPr>
          <w:rFonts w:ascii="Times New Roman" w:eastAsia="PMingLiU" w:hAnsi="Times New Roman" w:cs="Times New Roman"/>
          <w:noProof/>
          <w:color w:val="000000"/>
          <w:kern w:val="0"/>
          <w14:ligatures w14:val="none"/>
        </w:rPr>
      </w:pPr>
      <w:r>
        <w:rPr>
          <w:rFonts w:ascii="Times New Roman" w:hAnsi="Times New Roman"/>
          <w:noProof/>
          <w:color w:val="000000"/>
        </w:rPr>
        <w:t>UE a fost al doilea partener comercial al Macao în ceea ce privește comerțul cu mărfuri în 2025, reprezentând 26,0 % din comerțul total al Macao și cu un excedent comercial în favoarea UE. UE a fost a treia cea mai mare sursă de investiții străine directe (ISD) a Macao în 2024 (cele mai recente date disponibile).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rPr>
          <w:rFonts w:ascii="Times New Roman" w:eastAsia="SimSun" w:hAnsi="Times New Roman" w:cs="Times New Roman"/>
          <w:b/>
          <w:noProof/>
          <w:kern w:val="0"/>
          <w:lang w:eastAsia="zh-CN"/>
          <w14:ligatures w14:val="none"/>
        </w:rPr>
      </w:pPr>
    </w:p>
    <w:p>
      <w:pPr>
        <w:keepNext/>
        <w:numPr>
          <w:ilvl w:val="0"/>
          <w:numId w:val="1"/>
        </w:numPr>
        <w:spacing w:after="0" w:line="240" w:lineRule="auto"/>
        <w:contextualSpacing/>
        <w:rPr>
          <w:rFonts w:ascii="Times New Roman" w:eastAsia="SimSun" w:hAnsi="Times New Roman" w:cs="Times New Roman"/>
          <w:b/>
          <w:noProof/>
          <w:kern w:val="0"/>
          <w14:ligatures w14:val="none"/>
        </w:rPr>
      </w:pPr>
      <w:r>
        <w:rPr>
          <w:rFonts w:ascii="Times New Roman" w:hAnsi="Times New Roman"/>
          <w:b/>
          <w:noProof/>
        </w:rPr>
        <w:lastRenderedPageBreak/>
        <w:t>Evoluții politice și sociale</w:t>
      </w:r>
    </w:p>
    <w:p>
      <w:pPr>
        <w:spacing w:after="0" w:line="240" w:lineRule="auto"/>
        <w:jc w:val="both"/>
        <w:rPr>
          <w:rFonts w:ascii="Times New Roman" w:eastAsia="MS Mincho" w:hAnsi="Times New Roman" w:cs="Times New Roman"/>
          <w:noProof/>
          <w:kern w:val="0"/>
          <w:lang w:eastAsia="ja-JP"/>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Alegerea celei de a opta Adunări Legislative a avut loc la 14 septembrie. 14 parlamentari au fost aleși în mod direct, iar 12 indirect de către asociații din diferite sectoare sociale. La 29 septembrie, alți șapte parlamentari au fost numiți de șeful executivului, Sam Hou Fai. Cei 33 de membri ai Adunării au depus jurământul la 16 octombrie.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Prezența la vot pentru circumscripția aleasă în mod direct a ajuns la 53,35 %, 175 272 de alegători exprimându-și votul. Aceasta a fost a treia cea mai scăzută rată a prezenței la vot de la retrocedarea din 1999, în pofida stimulentelor oferite de guvern și de întreprinderile private pentru exprimarea votului. Echipa New Hope, condusă de deputatul veteran în exercițiu José Pereira Coutinho, a câștigat cel mai mare număr de voturi, obținând un număr record de 43 361 de voturi sau aproximativ un sfert din voturile exprimate.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Numărul voturilor nule a atins un nivel record de 13 040. Autoritățile au adoptat un nou acord care interzice organelor de presă să participe la sesiunea care a examinat voturile nule. Fotografierea și videografia procesului erau în continuare interzise.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André Cheong, care a ocupat anterior funcția de secretar pentru administrație și justiție, a devenit legiuitor numit și a fost ales în unanimitate președinte al Adunării Legislative de către legiuitori la 16 octombrie. Un legiuitor care își asumă pentru prima dată rolul de lider este fără precedent în istoria legislaturii Macao.</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Alegerile au fost urmate de o remaniere a principalilor funcționari. Cheong a fost urmat de Wong Sio Chak, care a ocupat anterior funcția de secretar pentru securitate; Wong a fost înlocuit de Chan Tsz King, fostul procuror general.</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La 6 noiembrie, Comisia împotriva corupției a declarat că a sesizat Parchetul cu privire la două cazuri care decurg din procesul de alegere a Adunării Legislative, inclusiv un presupus caz de corupție electorală în care suspectul s-a angajat pe o platformă de comunicare socială să voteze pentru candidatul care ar putea oferi recompense monetare.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MS Mincho" w:hAnsi="Times New Roman" w:cs="Times New Roman"/>
          <w:noProof/>
          <w:kern w:val="0"/>
          <w14:ligatures w14:val="none"/>
        </w:rPr>
      </w:pPr>
      <w:r>
        <w:rPr>
          <w:rFonts w:ascii="Times New Roman" w:hAnsi="Times New Roman"/>
          <w:noProof/>
        </w:rPr>
        <w:t>Înainte de alegeri, Comisia electorală pentru Adunarea Legislativă din 15 iulie a descalificat 12 candidați de pe două liste electorale, invocând nerespectarea de către aceștia a Legii fundamentale și lipsa loialității față de RAS Macao. Una dintre persoanele afectate a fost un legiuitor în exercițiu care a trecut de aceeași verificare politică în 2021, când autoritățile au descalificat pentru prima dată candidații pro-democrație. Decizia nu a făcut obiectul unei căi de atac.</w:t>
      </w:r>
    </w:p>
    <w:p>
      <w:pPr>
        <w:spacing w:after="0" w:line="240" w:lineRule="auto"/>
        <w:jc w:val="both"/>
        <w:rPr>
          <w:rFonts w:ascii="Times New Roman" w:eastAsia="MS Mincho" w:hAnsi="Times New Roman" w:cs="Times New Roman"/>
          <w:noProof/>
          <w:kern w:val="0"/>
          <w:lang w:eastAsia="ja-JP"/>
          <w14:ligatures w14:val="none"/>
        </w:rPr>
      </w:pPr>
    </w:p>
    <w:p>
      <w:pPr>
        <w:spacing w:after="0" w:line="240" w:lineRule="auto"/>
        <w:jc w:val="both"/>
        <w:rPr>
          <w:rFonts w:ascii="Times New Roman" w:eastAsia="SimSun" w:hAnsi="Times New Roman" w:cs="Times New Roman"/>
          <w:i/>
          <w:iCs/>
          <w:noProof/>
          <w:kern w:val="0"/>
          <w14:ligatures w14:val="none"/>
        </w:rPr>
      </w:pPr>
      <w:r>
        <w:rPr>
          <w:rFonts w:ascii="Times New Roman" w:hAnsi="Times New Roman"/>
          <w:noProof/>
        </w:rPr>
        <w:t>Președintele Comisiei a explicat, tot la 15 iulie, că decizia de descalificare a fost luată pe baza „avizelor de revizuire” ale Comitetului pentru protejarea securității naționale la nivel local, prezidat de șeful executivului. Funcționari de pe continent din cadrul Biroului de legătură al guvernului central în Macao fac parte, de asemenea, din Comitetul pentru protejarea securității naționale. Acest acord conferă guvernului central o influență directă asupra alegerilor din legislatura locală din Macao.</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 xml:space="preserve">Într-o declarație separată publicată la 15 iulie, guvernul a subliniat că, deși nu s-a constatat că un candidat a săvârșit o acțiune considerată ca „nerespectare a Legii fundamentale” sau „lipsă a loialității față de RAS”, candidatul va fi, totuși, descalificat pentru că „a contribuit la săvârșirea unor astfel de acte sau a facilitat altor persoane săvârșirea actelor, citând „Legea </w:t>
      </w:r>
      <w:r>
        <w:rPr>
          <w:rFonts w:ascii="Times New Roman" w:hAnsi="Times New Roman"/>
          <w:noProof/>
        </w:rPr>
        <w:lastRenderedPageBreak/>
        <w:t>electorală modificată pentru Adunarea Legislativă a Regiunii Administrative Speciale Macao”, adoptată în 2024.</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Declarația a adăugat că, atât timp cât se consideră că un candidat de pe o listă electorală „nu respectă Legea fundamentală” sau „nu dă dovadă de loialitate față de RAS” pentru „atacarea cu rea-credință, defăimarea, calomnia sau insultarea” legilor și deciziilor Congresului Popular Național și ale Comitetului său permanent, alți candidați de pe aceeași listă care au acceptat „sprijinul unui astfel de candidat în scopuri electorale” nu pot fi considerați ca „susținând Legea fundamentală” și „dând dovadă de loialitate față de RAS”.</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La 18 iulie, Comisia electorală a Adunării Legislative a respins un recurs formulat de Tim Wong Tak Loi și grupul său electoral „Puterea de subzistență în Macao”, care au fost descalificați din cursa pentru alegeri. Comisia a reiterat faptul că descalificarea nu a făcut obiectul unei căi de atac. Cu toate acestea, a fost de acord să returneze grupului depozitul pentru candidat.</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Separat, fostul deputat pro-democrație Antonio Kuok Cheong Ng a declarat pe platformele sale de comunicare socială, la 12 septembrie, că a primit un „ordin din partea autorităților” de a părăsi Macao pentru o perioadă de zece zile, care a coincis cu perioada electorală.</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b/>
          <w:noProof/>
        </w:rPr>
        <w:t>Fostul legiuitor pro-democrație Sunny Au a fost arestat la 30 iulie în temeiul legislației privind securitatea națională din Macao</w:t>
      </w:r>
      <w:r>
        <w:rPr>
          <w:rFonts w:ascii="Times New Roman" w:hAnsi="Times New Roman"/>
          <w:noProof/>
        </w:rPr>
        <w:t xml:space="preserve"> pentru presupusa „coluziune cu forțe străine”. Aceasta a fost prima dată când autoritățile au invocat Legea privind protejarea securității naționale, care a fost modificată ultima dată în 2023 pentru a se alinia mai îndeaproape la legislația privind securitatea din China continentală.</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De atunci, acesta este reținut în arest preventiv, care ar putea dura maximum trei ani. Soția lui Au a fost înscrisă ca martor și a trebuit să se prezinte la Ministerul Public pentru a depune mărturie la 31 iulie. Se pare că arestarea a avut legătură cu furnizarea de materiale, asociate cu aniversarea represiunii din Piața Tiananmen din 1989 la 4 iunie, de Alianța chineză pentru democrație, un grup cu sediul în SUA care sprijină activitățile democratice din China.</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În cele zece zile care au precedat aniversarea din 4 iunie, Au a primit mai multe apeluri în care au fost exprimate „preocupări”, dar a informat mass-media că nu se simte presat. La fel ca în anii precedenți, a postat din nou pe Facebook texte care relatează evenimentul istoric.</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La 18 noiembrie, șeful executivului, Sam Hou Fai, și-a anunțat cel de al doilea discurs privind politica generală. El și-a luat angajamentul să continue diversificarea economică, să îmbunătățească eficacitatea guvernanței și mijloacele de subzistență ale oamenilor, precum și să aprofundeze integrarea Macao în dezvoltarea națională.</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În plus, administrația sa intenționează să solicite tuturor funcționarilor publici actuali și viitori să depună un jurământ pentru a respecta Legea fundamentală a Macao și a da dovadă de loialitate față de RAS. Această politică este menită să „consolideze fundamentul guvernanței «patrioților care administrează Macao»”.</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bCs/>
          <w:noProof/>
          <w:kern w:val="0"/>
          <w14:ligatures w14:val="none"/>
        </w:rPr>
      </w:pPr>
      <w:r>
        <w:rPr>
          <w:rFonts w:ascii="Times New Roman" w:hAnsi="Times New Roman"/>
          <w:noProof/>
        </w:rPr>
        <w:t xml:space="preserve">Începând cu 1 noiembrie, judecătorul portughez Rui Carlos dos Santos Pereira Ribeiro a demisionat din funcția de judecător al Tribunalului de Primă Instanță. La 12 decembrie, singurul judecător portughez activ în Macao, Jerónimo Alberto Gonçalves Santos, a primit o </w:t>
      </w:r>
      <w:r>
        <w:rPr>
          <w:rFonts w:ascii="Times New Roman" w:hAnsi="Times New Roman"/>
          <w:noProof/>
        </w:rPr>
        <w:lastRenderedPageBreak/>
        <w:t>promovare la Tribunalul de Primă Instanță din partea Tribunalului Suprem. Numirea a intrat în vigoare la 1 ianuarie 2026.</w:t>
      </w:r>
    </w:p>
    <w:p>
      <w:pPr>
        <w:spacing w:after="0" w:line="240" w:lineRule="auto"/>
        <w:jc w:val="both"/>
        <w:rPr>
          <w:rFonts w:ascii="Times New Roman" w:eastAsia="SimSun" w:hAnsi="Times New Roman" w:cs="Times New Roman"/>
          <w:bCs/>
          <w:noProof/>
          <w:kern w:val="0"/>
          <w:lang w:eastAsia="zh-CN"/>
          <w14:ligatures w14:val="none"/>
        </w:rPr>
      </w:pPr>
    </w:p>
    <w:p>
      <w:pPr>
        <w:spacing w:after="0" w:line="240" w:lineRule="auto"/>
        <w:jc w:val="both"/>
        <w:rPr>
          <w:rFonts w:ascii="Times New Roman" w:eastAsia="SimSun" w:hAnsi="Times New Roman" w:cs="Times New Roman"/>
          <w:b/>
          <w:bCs/>
          <w:noProof/>
          <w:kern w:val="0"/>
          <w14:ligatures w14:val="none"/>
        </w:rPr>
      </w:pPr>
      <w:r>
        <w:rPr>
          <w:rFonts w:ascii="Times New Roman" w:hAnsi="Times New Roman"/>
          <w:noProof/>
        </w:rPr>
        <w:t>Prim-ministrul portughez Luís Montenegro a vizitat Macao în perioada 9-10 septembrie. Prim</w:t>
      </w:r>
      <w:r>
        <w:rPr>
          <w:rFonts w:ascii="Times New Roman" w:hAnsi="Times New Roman" w:cs="Times New Roman"/>
          <w:noProof/>
        </w:rPr>
        <w:t>­</w:t>
      </w:r>
      <w:r>
        <w:rPr>
          <w:rFonts w:ascii="Times New Roman" w:hAnsi="Times New Roman"/>
          <w:noProof/>
        </w:rPr>
        <w:t xml:space="preserve">ministrul a anunțat că </w:t>
      </w:r>
      <w:r>
        <w:rPr>
          <w:rFonts w:ascii="Times New Roman" w:hAnsi="Times New Roman"/>
          <w:b/>
          <w:noProof/>
        </w:rPr>
        <w:t>reuniunea Comitetului mixt Macao-Portugalia</w:t>
      </w:r>
      <w:r>
        <w:rPr>
          <w:rFonts w:ascii="Times New Roman" w:hAnsi="Times New Roman"/>
          <w:noProof/>
        </w:rPr>
        <w:t xml:space="preserve"> va avea loc în Macao în perioada 4-6 februarie 2026, la aproape șapte ani de la ultima sesiune.</w:t>
      </w:r>
    </w:p>
    <w:p>
      <w:pPr>
        <w:spacing w:after="0" w:line="240" w:lineRule="auto"/>
        <w:jc w:val="both"/>
        <w:rPr>
          <w:rFonts w:ascii="Times New Roman" w:eastAsia="SimSun" w:hAnsi="Times New Roman" w:cs="Times New Roman"/>
          <w:b/>
          <w:bCs/>
          <w:noProof/>
          <w:kern w:val="0"/>
          <w:lang w:eastAsia="zh-CN"/>
          <w14:ligatures w14:val="none"/>
        </w:rPr>
      </w:pPr>
    </w:p>
    <w:p>
      <w:pPr>
        <w:spacing w:after="0" w:line="240" w:lineRule="auto"/>
        <w:jc w:val="both"/>
        <w:rPr>
          <w:rFonts w:ascii="Times New Roman" w:eastAsia="SimSun" w:hAnsi="Times New Roman" w:cs="Times New Roman"/>
          <w:b/>
          <w:noProof/>
          <w:kern w:val="0"/>
          <w14:ligatures w14:val="none"/>
        </w:rPr>
      </w:pPr>
      <w:r>
        <w:rPr>
          <w:rFonts w:ascii="Times New Roman" w:hAnsi="Times New Roman"/>
          <w:noProof/>
        </w:rPr>
        <w:t>La recepția organizată cu ocazia Zilei Portugaliei, a lui Camões și a Comunităților Portugheze la 10 iunie, potrivit declarațiilor șefului executivului, Sam Hou Fai, comunitatea portugheză a adus în mod constant contribuții semnificative la „dezvoltarea sănătoasă a diferitelor întreprinderi” din Macao. SAM „și-a exprimat recunoștința pentru sprijinul ferm și cooperarea comunității portugheze cu guvernul din Macao și pentru contribuțiile acestuia la dezvoltarea socioeconomică a Macao.</w:t>
      </w:r>
    </w:p>
    <w:p>
      <w:pPr>
        <w:spacing w:after="0" w:line="240" w:lineRule="auto"/>
        <w:jc w:val="both"/>
        <w:rPr>
          <w:rFonts w:ascii="Times New Roman" w:eastAsia="SimSun" w:hAnsi="Times New Roman" w:cs="Times New Roman"/>
          <w:b/>
          <w:noProof/>
          <w:kern w:val="0"/>
          <w:lang w:eastAsia="zh-CN"/>
          <w14:ligatures w14:val="none"/>
        </w:rPr>
      </w:pPr>
    </w:p>
    <w:p>
      <w:pPr>
        <w:spacing w:after="0" w:line="240" w:lineRule="auto"/>
        <w:jc w:val="both"/>
        <w:rPr>
          <w:rFonts w:ascii="Times New Roman" w:eastAsia="SimSun" w:hAnsi="Times New Roman" w:cs="Times New Roman"/>
          <w:bCs/>
          <w:noProof/>
          <w:kern w:val="0"/>
          <w14:ligatures w14:val="none"/>
        </w:rPr>
      </w:pPr>
      <w:r>
        <w:rPr>
          <w:rFonts w:ascii="Times New Roman" w:hAnsi="Times New Roman"/>
          <w:b/>
          <w:noProof/>
        </w:rPr>
        <w:t>Super Typhoon Ragasa</w:t>
      </w:r>
      <w:r>
        <w:rPr>
          <w:rFonts w:ascii="Times New Roman" w:hAnsi="Times New Roman"/>
          <w:noProof/>
        </w:rPr>
        <w:t xml:space="preserve"> a lovit Macao la 24 septembrie, determinând Biroul Meteorologic și Geofizic să emită cel mai înalt semnal de avertizare (nr. 10, „Avertizarea de uragan”), deoarece viteza medie a vântului depășea 118 km pe oră. Furtuna a fost cel mai puternic ciclon tropical din regiunea Pacificului de Nord și de Vest în 2025. Datorită unei pregătiri eficace, orașul nu a înregistrat niciun deces și doar opt răniți.</w:t>
      </w:r>
    </w:p>
    <w:p>
      <w:pPr>
        <w:spacing w:after="0" w:line="240" w:lineRule="auto"/>
        <w:jc w:val="both"/>
        <w:rPr>
          <w:rFonts w:ascii="Times New Roman" w:eastAsia="SimSun" w:hAnsi="Times New Roman" w:cs="Times New Roman"/>
          <w:b/>
          <w:bCs/>
          <w:noProof/>
          <w:kern w:val="0"/>
          <w:lang w:eastAsia="zh-CN"/>
          <w14:ligatures w14:val="none"/>
        </w:rPr>
      </w:pPr>
    </w:p>
    <w:p>
      <w:pPr>
        <w:spacing w:after="0" w:line="240" w:lineRule="auto"/>
        <w:ind w:left="720"/>
        <w:jc w:val="both"/>
        <w:rPr>
          <w:rFonts w:ascii="Times New Roman" w:eastAsia="SimSun" w:hAnsi="Times New Roman" w:cs="Times New Roman"/>
          <w:b/>
          <w:bCs/>
          <w:noProof/>
          <w:kern w:val="0"/>
          <w14:ligatures w14:val="none"/>
        </w:rPr>
      </w:pPr>
      <w:r>
        <w:rPr>
          <w:rFonts w:ascii="Times New Roman" w:hAnsi="Times New Roman"/>
          <w:b/>
          <w:noProof/>
        </w:rPr>
        <w:t>Drepturi, libertăți și egalitatea de șanse</w:t>
      </w:r>
    </w:p>
    <w:p>
      <w:pPr>
        <w:spacing w:after="0" w:line="240" w:lineRule="auto"/>
        <w:jc w:val="both"/>
        <w:rPr>
          <w:rFonts w:ascii="Times New Roman" w:eastAsia="Times New Roman" w:hAnsi="Times New Roman" w:cs="Times New Roman"/>
          <w:noProof/>
          <w:kern w:val="0"/>
          <w:highlight w:val="red"/>
          <w:lang w:eastAsia="zh-CN"/>
          <w14:ligatures w14:val="none"/>
        </w:rPr>
      </w:pPr>
    </w:p>
    <w:p>
      <w:pPr>
        <w:spacing w:after="0" w:line="240" w:lineRule="auto"/>
        <w:jc w:val="both"/>
        <w:rPr>
          <w:rFonts w:ascii="Times New Roman" w:eastAsia="MS Mincho" w:hAnsi="Times New Roman" w:cs="Times New Roman"/>
          <w:noProof/>
          <w:kern w:val="0"/>
          <w14:ligatures w14:val="none"/>
        </w:rPr>
      </w:pPr>
      <w:r>
        <w:rPr>
          <w:rFonts w:ascii="Times New Roman" w:hAnsi="Times New Roman"/>
          <w:noProof/>
        </w:rPr>
        <w:t>La 3 februarie 2025, guvernul central și guvernul din Macao și-au prezentat raportul periodic Comitetului împotriva torturii al Organizației Națiunilor Unite, cu o întârziere de șase ani. Inițial, raportul trebuia prezentat în 2019. Guvernul din Macao și-a detaliat activitatea în ceea ce privește respectarea Convenției împotriva torturii și altor pedepse ori tratamente crude, inumane sau degradante. Deși Comitetul ONU împotriva torturii, în ultima sa observație finală emisă în 2016, și-a exprimat îngrijorarea cu privire la faptul că legea privind violența domestică „nu a fost extinsă la toate persoanele aflate într-o relație intimă, indiferent de orientarea lor sexuală”, cea mai recentă observație a guvernului din Macao nu a abordat această preocupare.</w:t>
      </w:r>
    </w:p>
    <w:p>
      <w:pPr>
        <w:spacing w:after="0" w:line="240" w:lineRule="auto"/>
        <w:jc w:val="both"/>
        <w:rPr>
          <w:rFonts w:ascii="Times New Roman" w:eastAsia="MS Mincho" w:hAnsi="Times New Roman" w:cs="Times New Roman"/>
          <w:noProof/>
          <w:kern w:val="0"/>
          <w:lang w:eastAsia="ja-JP"/>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La 5 decembrie 2025, Macao a prezentat „Raportul statului parte privind acțiunile întreprinse în urma observațiilor finale” din Pactul internațional cu privire la drepturile civile și politice. Ca răspuns la solicitarea formulată în observațiile finale de revizuire a Legii nr. 2/93/M (Drepturile de întrunire și de demonstrație) pentru a preveni „orice interpretare arbitrară care poate restricționa în mod nejustificat dreptul la libertatea de întrunire”, autoritățile din Macao au reiterat faptul că poliția „are obligația” de a se asigura că „adunările și demonstrațiile publice se desfășoară în mod legal și ordonat pentru a evita producerea unor efecte grave asupra securității naționale”.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b/>
          <w:noProof/>
          <w:kern w:val="0"/>
          <w14:ligatures w14:val="none"/>
        </w:rPr>
      </w:pPr>
      <w:r>
        <w:rPr>
          <w:rFonts w:ascii="Times New Roman" w:hAnsi="Times New Roman"/>
          <w:b/>
          <w:noProof/>
        </w:rPr>
        <w:t>În ceea ce privește drepturile lucrătorilor</w:t>
      </w:r>
      <w:r>
        <w:rPr>
          <w:rFonts w:ascii="Times New Roman" w:hAnsi="Times New Roman"/>
          <w:noProof/>
        </w:rPr>
        <w:t>, Consiliul executiv a aprobat o creștere cu 2,9 % a salariului minim de 1 MOP pe oră la 24 octombrie, majorându-l de la nivelul actual de 34 MOP (3,7 EUR) la 35 MOP (3,8 EUR). Politica va intra în vigoare la 1 ianuarie 2026. Potrivit estimărilor guvernului, aproximativ 18 200 de persoane vor fi afectate de această măsură, reprezentând 4,4 % din totalul forței de muncă.</w:t>
      </w:r>
    </w:p>
    <w:p>
      <w:pPr>
        <w:spacing w:after="0" w:line="240" w:lineRule="auto"/>
        <w:jc w:val="both"/>
        <w:rPr>
          <w:rFonts w:ascii="Times New Roman" w:eastAsia="SimSun" w:hAnsi="Times New Roman" w:cs="Times New Roman"/>
          <w:b/>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b/>
          <w:noProof/>
        </w:rPr>
        <w:t>Libertatea de întrunire</w:t>
      </w:r>
      <w:r>
        <w:rPr>
          <w:rFonts w:ascii="Times New Roman" w:hAnsi="Times New Roman"/>
          <w:noProof/>
        </w:rPr>
        <w:t xml:space="preserve"> a continuat să fie supusă presiunilor. De patru ani consecutivi nu a avut loc nicio comemorare publică a aniversării represiunii din Piața Tiananmen din 1989.</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lastRenderedPageBreak/>
        <w:t xml:space="preserve">La 1 mai, poliția a reținut un bărbat care protesta pe cont propriu împotriva prezenței lucrătorilor migranți în Macao. Autoritățile de aplicare a legii l-au acuzat pe bărbat de încălcarea Legii privind dreptul de întrunire și de demonstrație. Separat, grupul pentru drepturile lucrătorilor </w:t>
      </w:r>
      <w:r>
        <w:rPr>
          <w:rFonts w:ascii="Times New Roman" w:hAnsi="Times New Roman"/>
          <w:i/>
          <w:noProof/>
        </w:rPr>
        <w:t>Macau People Power</w:t>
      </w:r>
      <w:r>
        <w:rPr>
          <w:rFonts w:ascii="Times New Roman" w:hAnsi="Times New Roman"/>
          <w:noProof/>
        </w:rPr>
        <w:t xml:space="preserve"> a trebuit, de asemenea, să anuleze o demonstrație planificată pentru Ziua Muncii din cauza „presiunii” exercitate de poliție. Președintele grupului a explicat că, în aprilie, a depus o cerere oficială de a organiza un protest, dar a fost convocat în mod repetat de poliție pentru a discuta planuri de urgență pentru „circumstanțe incontrolabile”, cum ar fi „protestatarii care profită de ocazie pentru a cauza probleme”. În cele din urmă, grupul a decis să renunțe la acțiunea publică și, în schimb, să adreseze o scrisoare șefului executivului.</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b/>
          <w:noProof/>
        </w:rPr>
        <w:t>Libertatea presei și libertatea de exprimare</w:t>
      </w:r>
      <w:r>
        <w:rPr>
          <w:rFonts w:ascii="Times New Roman" w:hAnsi="Times New Roman"/>
          <w:noProof/>
        </w:rPr>
        <w:t xml:space="preserve"> au rămas, de asemenea, sub presiune. Canalul media independent </w:t>
      </w:r>
      <w:r>
        <w:rPr>
          <w:rFonts w:ascii="Times New Roman" w:hAnsi="Times New Roman"/>
          <w:i/>
          <w:noProof/>
        </w:rPr>
        <w:t>All About Macau</w:t>
      </w:r>
      <w:r>
        <w:rPr>
          <w:rFonts w:ascii="Times New Roman" w:hAnsi="Times New Roman"/>
          <w:noProof/>
        </w:rPr>
        <w:t xml:space="preserve"> a anunțat la 30 octombrie că operațiunile sale vor înceta după 20 decembrie. Canalul media a explicat că decizia a fost luată „după o analiză aprofundată” pe fondul „presiunii și riscului în creștere”. În octombrie, Biroul guvernamental de informare a informat canalul media că a fost radiat în temeiul Legii presei (nr. 7/90/M) și că nu mai îndeplinea „condițiile legale pentru desfășurarea activităților relevante”.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 xml:space="preserve">În aprilie 2025, au fost inițiate anchete penale împotriva a trei reporteri </w:t>
      </w:r>
      <w:r>
        <w:rPr>
          <w:rFonts w:ascii="Times New Roman" w:hAnsi="Times New Roman"/>
          <w:i/>
          <w:noProof/>
        </w:rPr>
        <w:t>All About Macau</w:t>
      </w:r>
      <w:r>
        <w:rPr>
          <w:rFonts w:ascii="Times New Roman" w:hAnsi="Times New Roman"/>
          <w:noProof/>
        </w:rPr>
        <w:t xml:space="preserve"> pentru tentativa de a participa la o reuniune a Adunării Legislative, care, în mod normal, ar fi fost deschisă publicului și presei. Societatea Jurnaliștilor Europeni și Profesioniștilor în Comunicare din Asia a emis o declarație prin care condamnă refuzul accesului și detenția reporterilor. Doi reporteri </w:t>
      </w:r>
      <w:r>
        <w:rPr>
          <w:rFonts w:ascii="Times New Roman" w:hAnsi="Times New Roman"/>
          <w:i/>
          <w:noProof/>
        </w:rPr>
        <w:t>All About Macao</w:t>
      </w:r>
      <w:r>
        <w:rPr>
          <w:rFonts w:ascii="Times New Roman" w:hAnsi="Times New Roman"/>
          <w:noProof/>
        </w:rPr>
        <w:t xml:space="preserve"> au fost din nou împiedicați să intre în clădirea Adunării Legislative în iunie, când au încercat să participe la un briefing de presă organizat de Comitetul de monitorizare a afacerilor administrației publice al legislaturii pe teme precum ocuparea forței de muncă și formarea lucrătorilor locali.</w:t>
      </w:r>
    </w:p>
    <w:p>
      <w:pPr>
        <w:spacing w:after="0" w:line="240" w:lineRule="auto"/>
        <w:jc w:val="both"/>
        <w:rPr>
          <w:rFonts w:ascii="Times New Roman" w:eastAsia="SimSun" w:hAnsi="Times New Roman" w:cs="Times New Roman"/>
          <w:bCs/>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b/>
          <w:noProof/>
        </w:rPr>
        <w:t xml:space="preserve">A existat un spațiu limitat pentru promovarea drepturilor persoanelor LGBTI+. </w:t>
      </w:r>
      <w:r>
        <w:rPr>
          <w:rFonts w:ascii="Times New Roman" w:hAnsi="Times New Roman"/>
          <w:noProof/>
        </w:rPr>
        <w:t>Al treilea Festival Internațional de Film Queer din Macao a avut loc între 30 mai și 21 iunie, cu sprijinul mai multor consulate ale statelor membre ale UE.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p>
    <w:p>
      <w:pPr>
        <w:numPr>
          <w:ilvl w:val="0"/>
          <w:numId w:val="1"/>
        </w:numPr>
        <w:spacing w:after="0" w:line="240" w:lineRule="auto"/>
        <w:contextualSpacing/>
        <w:jc w:val="both"/>
        <w:rPr>
          <w:rFonts w:ascii="Times New Roman" w:eastAsia="SimSun" w:hAnsi="Times New Roman" w:cs="Times New Roman"/>
          <w:b/>
          <w:noProof/>
          <w:kern w:val="0"/>
          <w14:ligatures w14:val="none"/>
        </w:rPr>
      </w:pPr>
      <w:r>
        <w:rPr>
          <w:rFonts w:ascii="Times New Roman" w:hAnsi="Times New Roman"/>
          <w:b/>
          <w:noProof/>
        </w:rPr>
        <w:t>Evoluția situației economice</w:t>
      </w:r>
    </w:p>
    <w:p>
      <w:pPr>
        <w:spacing w:after="0" w:line="240" w:lineRule="auto"/>
        <w:jc w:val="both"/>
        <w:rPr>
          <w:rFonts w:ascii="Times New Roman" w:eastAsia="SimSun" w:hAnsi="Times New Roman" w:cs="Times New Roman"/>
          <w:noProof/>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Economia Macao s-a extins pentru al treilea an consecutiv în 2025. </w:t>
      </w:r>
      <w:r>
        <w:rPr>
          <w:rFonts w:ascii="Times New Roman" w:hAnsi="Times New Roman"/>
          <w:b/>
          <w:noProof/>
          <w:color w:val="000000"/>
        </w:rPr>
        <w:t>PIB-ul Macao a crescut</w:t>
      </w:r>
      <w:r>
        <w:rPr>
          <w:rFonts w:ascii="Times New Roman" w:hAnsi="Times New Roman"/>
          <w:noProof/>
          <w:color w:val="000000"/>
        </w:rPr>
        <w:t xml:space="preserve"> cu 4,7 % de la an la an în 2025, ajungând la 417,3 miliarde MOP (45,0 miliarde EUR), conform cifrelor preliminare disponibile la momentul redactării prezentului raport (</w:t>
      </w:r>
      <w:r>
        <w:rPr>
          <w:rStyle w:val="FootnoteReference"/>
          <w:noProof/>
        </w:rPr>
        <w:footnoteReference w:id="2"/>
      </w:r>
      <w:r>
        <w:rPr>
          <w:rFonts w:ascii="Times New Roman" w:hAnsi="Times New Roman"/>
          <w:noProof/>
          <w:color w:val="000000"/>
        </w:rPr>
        <w:t>). Cu toate acestea, economia Macao nu a revenit încă pe deplin la nivelurile anterioare pandemiei.</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Creșterea economică din 2025 a fost susținută de o </w:t>
      </w:r>
      <w:r>
        <w:rPr>
          <w:rFonts w:ascii="Times New Roman" w:hAnsi="Times New Roman"/>
          <w:b/>
          <w:noProof/>
          <w:color w:val="000000"/>
        </w:rPr>
        <w:t>creștere a numărului de turiști</w:t>
      </w:r>
      <w:r>
        <w:rPr>
          <w:rFonts w:ascii="Times New Roman" w:hAnsi="Times New Roman"/>
          <w:noProof/>
          <w:color w:val="000000"/>
        </w:rPr>
        <w:t>. În total, 40,1 milioane de persoane au vizitat Macao în cursul anului. Aceasta reprezintă o creștere de 14,7 % de la an la an și, pentru prima dată de la sfârșitul pandemiei de COVID-19, numărul turiștilor a depășit nivelul anterior pandemiei (39,4 milioane în 2019). Vizitatorii din China continentală au reprezentat 72,4 % din turiștii care au sosit în Macao, iar vizitatorii din Hong Kong au reprezentat 18,2 % (</w:t>
      </w:r>
      <w:r>
        <w:rPr>
          <w:rStyle w:val="FootnoteReference"/>
          <w:noProof/>
        </w:rPr>
        <w:footnoteReference w:id="3"/>
      </w:r>
      <w:r>
        <w:rPr>
          <w:rFonts w:ascii="Times New Roman" w:hAnsi="Times New Roman"/>
          <w:noProof/>
          <w:color w:val="000000"/>
        </w:rPr>
        <w:t>).</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b/>
          <w:noProof/>
          <w:color w:val="000000"/>
        </w:rPr>
        <w:lastRenderedPageBreak/>
        <w:t>Jocurile de noroc și industriile conexe</w:t>
      </w:r>
      <w:r>
        <w:rPr>
          <w:rFonts w:ascii="Times New Roman" w:hAnsi="Times New Roman"/>
          <w:noProof/>
          <w:color w:val="000000"/>
        </w:rPr>
        <w:t xml:space="preserve"> contribuie în continuare cel mai mult la economia Macao, în mare parte datorită cheltuielilor turistice. În 2025, veniturile din jocurile de noroc au continuat să se redreseze și au crescut cu 9,1 % de la an la an, ajungând la 248,0 miliarde MOP (26,7 miliarde EUR) (</w:t>
      </w:r>
      <w:r>
        <w:rPr>
          <w:rStyle w:val="FootnoteReference"/>
          <w:noProof/>
        </w:rPr>
        <w:footnoteReference w:id="4"/>
      </w:r>
      <w:r>
        <w:rPr>
          <w:rFonts w:ascii="Times New Roman" w:hAnsi="Times New Roman"/>
          <w:noProof/>
          <w:color w:val="000000"/>
        </w:rPr>
        <w:t>). Cu toate acestea, în pofida creșterii, veniturile din jocurile de noroc erau în continuare cu 15,4 % mai mici decât înainte de pandemie (în 2019).</w:t>
      </w:r>
    </w:p>
    <w:p>
      <w:pPr>
        <w:autoSpaceDE w:val="0"/>
        <w:autoSpaceDN w:val="0"/>
        <w:adjustRightInd w:val="0"/>
        <w:spacing w:after="0" w:line="240" w:lineRule="auto"/>
        <w:jc w:val="both"/>
        <w:rPr>
          <w:rFonts w:ascii="Times New Roman" w:eastAsia="PMingLiU" w:hAnsi="Times New Roman" w:cs="Times New Roman"/>
          <w:noProof/>
          <w:color w:val="000000"/>
          <w:kern w:val="0"/>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b/>
          <w:noProof/>
          <w:color w:val="000000"/>
        </w:rPr>
        <w:t>Rata șomajului</w:t>
      </w:r>
      <w:r>
        <w:rPr>
          <w:rFonts w:ascii="Times New Roman" w:hAnsi="Times New Roman"/>
          <w:noProof/>
          <w:color w:val="000000"/>
        </w:rPr>
        <w:t xml:space="preserve"> a fost de 1,9 % în 2025, ceea ce reprezintă o ușoară creștere față de 1,8 % în 2024. </w:t>
      </w:r>
      <w:r>
        <w:rPr>
          <w:rFonts w:ascii="Times New Roman" w:hAnsi="Times New Roman"/>
          <w:b/>
          <w:noProof/>
          <w:color w:val="000000"/>
        </w:rPr>
        <w:t>Inflația</w:t>
      </w:r>
      <w:r>
        <w:rPr>
          <w:rFonts w:ascii="Times New Roman" w:hAnsi="Times New Roman"/>
          <w:noProof/>
          <w:color w:val="000000"/>
        </w:rPr>
        <w:t xml:space="preserve"> a înregistrat un nivel scăzut în cursul anului, cu o creștere de 0,3 % a indicelui mediu compozit al prețurilor de consum.</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La sfârșitul anului 2025, </w:t>
      </w:r>
      <w:r>
        <w:rPr>
          <w:rFonts w:ascii="Times New Roman" w:hAnsi="Times New Roman"/>
          <w:b/>
          <w:noProof/>
          <w:color w:val="000000"/>
        </w:rPr>
        <w:t>rezervele bugetare</w:t>
      </w:r>
      <w:r>
        <w:rPr>
          <w:rFonts w:ascii="Times New Roman" w:hAnsi="Times New Roman"/>
          <w:noProof/>
          <w:color w:val="000000"/>
        </w:rPr>
        <w:t xml:space="preserve"> ale Macao se ridicau la 667 de miliarde MOP (71,9 miliarde EUR), ceea ce reprezintă o creștere de 8,2 % față de sfârșitul anului 2024. Rezervele sunt suficiente pentru a acoperi cheltuielile publice pe o perioadă de aproximativ 7,1 ani (pe baza cheltuielilor publice la nivelul din 2025).</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În 2024 (statisticile din Macao, cele mai recente date disponibile), stocul de investiții străine directe (</w:t>
      </w:r>
      <w:r>
        <w:rPr>
          <w:rFonts w:ascii="Times New Roman" w:hAnsi="Times New Roman"/>
          <w:b/>
          <w:noProof/>
          <w:color w:val="000000"/>
        </w:rPr>
        <w:t>ISD</w:t>
      </w:r>
      <w:r>
        <w:rPr>
          <w:rFonts w:ascii="Times New Roman" w:hAnsi="Times New Roman"/>
          <w:noProof/>
          <w:color w:val="000000"/>
        </w:rPr>
        <w:t>) în Macao a ajuns la 395 de miliarde MOP (42,6 miliarde EUR), ceea ce reprezintă o creștere de 4,5 % de la an la an. Hong Kongul și China continentală au fost cele mai mari surse de investiții străine directe.</w:t>
      </w:r>
    </w:p>
    <w:p>
      <w:pPr>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ind w:firstLine="720"/>
        <w:jc w:val="both"/>
        <w:rPr>
          <w:rFonts w:ascii="Times New Roman" w:eastAsia="PMingLiU" w:hAnsi="Times New Roman" w:cs="Times New Roman"/>
          <w:noProof/>
          <w:color w:val="000000"/>
          <w:kern w:val="0"/>
          <w14:ligatures w14:val="none"/>
        </w:rPr>
      </w:pPr>
      <w:r>
        <w:rPr>
          <w:rFonts w:ascii="Times New Roman" w:hAnsi="Times New Roman"/>
          <w:b/>
          <w:noProof/>
          <w:color w:val="000000"/>
        </w:rPr>
        <w:t>Politica economică</w:t>
      </w:r>
    </w:p>
    <w:p>
      <w:pPr>
        <w:autoSpaceDE w:val="0"/>
        <w:autoSpaceDN w:val="0"/>
        <w:adjustRightInd w:val="0"/>
        <w:spacing w:after="0" w:line="240" w:lineRule="auto"/>
        <w:jc w:val="both"/>
        <w:rPr>
          <w:rFonts w:ascii="Times New Roman" w:eastAsia="PMingLiU" w:hAnsi="Times New Roman" w:cs="Times New Roman"/>
          <w:noProof/>
          <w:color w:val="000000"/>
          <w:kern w:val="0"/>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În discursul său privind politica generală din 18 noiembrie 2025, șeful executivului, Sam Hou Fai, a prezentat prioritățile economice ale Macao, printre care (i) promovarea diversificării economice a Macao; (ii) continuarea dezvoltării Zonei Marelui Golf și a integrării în aceasta; (iii) integrarea și participarea în continuare la dezvoltarea economică a Chinei continentale; (iv) continuarea dezvoltării zonei de cooperare intensă Guangdong-Macao din Hengqin; (v) consolidarea rolului Macao ca un conector între China continentală și țările vorbitoare de limbă portugheză și (vi) îmbunătățirea guvernanței Macao. În discursul privind politica generală s-au anunțat, de asemenea, inițiative de îmbunătățire a mediului de afaceri, inclusiv revizuirea reglementărilor, raționalizarea și digitalizarea procedurilor, reorganizarea departamentelor, consolidarea lucrărilor anticorupție și continuarea sprijinirii întreprinderilor mici și mijlocii.</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b/>
          <w:noProof/>
          <w:color w:val="000000"/>
        </w:rPr>
        <w:t>În sectorul jocurilor de noroc</w:t>
      </w:r>
      <w:r>
        <w:rPr>
          <w:rFonts w:ascii="Times New Roman" w:hAnsi="Times New Roman"/>
          <w:noProof/>
          <w:color w:val="000000"/>
        </w:rPr>
        <w:t>, concesionarii de cazinouri au fost obligați în continuare să investească în activități care nu au legătură cu jocurile de noroc, cu scopul de a sprijini diversificarea economică a Macao. În cursul anului, cazinourile-satelit (cazinouri gestionate de operatori terți în temeiul licențelor principalilor concesionari locali) s-au închis, în conformitate cu o nouă lege privind jocurile de noroc adoptată în 2022, care includea cerința de a pune capăt cazinourilor-satelit până în decembrie 2025 (</w:t>
      </w:r>
      <w:r>
        <w:rPr>
          <w:rStyle w:val="FootnoteReference"/>
          <w:noProof/>
        </w:rPr>
        <w:footnoteReference w:id="5"/>
      </w:r>
      <w:r>
        <w:rPr>
          <w:rFonts w:ascii="Times New Roman" w:hAnsi="Times New Roman"/>
          <w:noProof/>
          <w:color w:val="000000"/>
        </w:rPr>
        <w:t xml:space="preserve">). În discursul privind politica generală, șeful executivului a anunțat că guvernul va efectua o revizuire statutară a performanțelor concesionarilor de cazinouri, inclusiv evaluarea investițiilor acestora în activități care nu au legătură cu jocurile de noroc, în sprijinul diversificării economice a Macao. În cursul anului, în Adunarea Legislativă a fost introdus un proiect de lege de modificare a normelor privind </w:t>
      </w:r>
      <w:r>
        <w:rPr>
          <w:rFonts w:ascii="Times New Roman" w:hAnsi="Times New Roman"/>
          <w:noProof/>
          <w:color w:val="000000"/>
        </w:rPr>
        <w:lastRenderedPageBreak/>
        <w:t>publicitatea în Macao, inclusiv de reglementare mai strictă a publicității pentru activitățile de jocuri de noroc (</w:t>
      </w:r>
      <w:r>
        <w:rPr>
          <w:rStyle w:val="FootnoteReference"/>
          <w:noProof/>
        </w:rPr>
        <w:footnoteReference w:id="6"/>
      </w:r>
      <w:r>
        <w:rPr>
          <w:rFonts w:ascii="Times New Roman" w:hAnsi="Times New Roman"/>
          <w:noProof/>
          <w:color w:val="000000"/>
        </w:rPr>
        <w:t>).</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În cursul anului, principala politică de promovare a </w:t>
      </w:r>
      <w:r>
        <w:rPr>
          <w:rFonts w:ascii="Times New Roman" w:hAnsi="Times New Roman"/>
          <w:b/>
          <w:noProof/>
          <w:color w:val="000000"/>
        </w:rPr>
        <w:t>diversificării economice</w:t>
      </w:r>
      <w:r>
        <w:rPr>
          <w:rFonts w:ascii="Times New Roman" w:hAnsi="Times New Roman"/>
          <w:noProof/>
          <w:color w:val="000000"/>
        </w:rPr>
        <w:t xml:space="preserve"> a continuat, cu obiectivul de a crește contribuția la PIB a industriilor care nu au legătură cu jocurile de noroc. Acest fapt trebuie realizat prin dezvoltarea industriilor „1 + 4” („1” înseamnă turism și activități recreative), și anume diversificarea surselor de turiști și redirecționarea cheltuielilor turistice către activități care nu au legătură cu jocurile de noroc. Celelalte „4” industrii sunt asistența medicală (cu accent pe medicina tradițională chineză, inclusiv cercetarea și dezvoltarea, producția, serviciile medicale și extinderea în străinătate); serviciile financiare; noile tehnologii și convenții și expoziții, comerț, cultură și sport. În discursul privind politica generală, șeful executivului a fost de acord că diversificarea a fost mai lentă decât se preconizase.</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Potrivit sectorului, </w:t>
      </w:r>
      <w:r>
        <w:rPr>
          <w:rFonts w:ascii="Times New Roman" w:hAnsi="Times New Roman"/>
          <w:b/>
          <w:noProof/>
          <w:color w:val="000000"/>
        </w:rPr>
        <w:t>lipsa unei rezerve diversificate de talente</w:t>
      </w:r>
      <w:r>
        <w:rPr>
          <w:rFonts w:ascii="Times New Roman" w:hAnsi="Times New Roman"/>
          <w:noProof/>
          <w:color w:val="000000"/>
        </w:rPr>
        <w:t xml:space="preserve"> în Macao rămâne un obstacol în calea diversificării economice. Discursul privind politica generală a anunțat că guvernul va urmări să atragă mai multe talente de vârf în Macao, continuând, în același timp, să acorde prioritate ocupării forței de muncă la nivel local.</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Discursul privind politica generală a prezentat inițiative de sprijinire </w:t>
      </w:r>
      <w:r>
        <w:rPr>
          <w:rFonts w:ascii="Times New Roman" w:hAnsi="Times New Roman"/>
          <w:b/>
          <w:noProof/>
          <w:color w:val="000000"/>
        </w:rPr>
        <w:t>a noilor tehnologii și a inovării</w:t>
      </w:r>
      <w:r>
        <w:rPr>
          <w:rFonts w:ascii="Times New Roman" w:hAnsi="Times New Roman"/>
          <w:noProof/>
          <w:color w:val="000000"/>
        </w:rPr>
        <w:t>.</w:t>
      </w:r>
      <w:r>
        <w:rPr>
          <w:rFonts w:ascii="Times New Roman" w:hAnsi="Times New Roman"/>
          <w:b/>
          <w:noProof/>
          <w:color w:val="000000"/>
        </w:rPr>
        <w:t xml:space="preserve"> </w:t>
      </w:r>
      <w:r>
        <w:rPr>
          <w:rFonts w:ascii="Times New Roman" w:hAnsi="Times New Roman"/>
          <w:noProof/>
          <w:color w:val="000000"/>
        </w:rPr>
        <w:t>Aceasta include atragerea și cultivarea talentelor și continuarea furnizării de finanțare, prin diverse sisteme de cercetare și inovare și prin noi fonduri guvernamentale pentru dezvoltarea industrială și tehnologică. Un alt obiectiv este de a atrage mai multe întreprinderi din străinătate, în special pentru a-și stabili o prezență în Hengqin, în sectoare precum circuitele integrate, biomedicina, tehnologia digitală și industria aerospațială. Este încurajată cooperarea în domeniul cercetării cu China continentală și cu țările vorbitoare de limbă portugheză. Guvernul va construi un nou parc industrial de cercetare și dezvoltare tehnologică și intenționează să lanseze sateliți în cooperare cu China continentală. Se promovează economia digitală, inclusiv comerțul electronic și plățile digitale transfrontaliere în renminbi. În cursul anului, au fost certificate și alte societăți în cadrul Programului de certificare a întreprinderilor tehnologice din Macao. În noiembrie 2025, 51 de întreprinderi erau certificate, având 1 800 de angajați, conform surselor guvernamentale (</w:t>
      </w:r>
      <w:r>
        <w:rPr>
          <w:rStyle w:val="FootnoteReference"/>
          <w:noProof/>
        </w:rPr>
        <w:footnoteReference w:id="7"/>
      </w:r>
      <w:r>
        <w:rPr>
          <w:rFonts w:ascii="Times New Roman" w:hAnsi="Times New Roman"/>
          <w:noProof/>
          <w:color w:val="000000"/>
        </w:rPr>
        <w:t>).</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În ceea ce privește </w:t>
      </w:r>
      <w:r>
        <w:rPr>
          <w:rFonts w:ascii="Times New Roman" w:hAnsi="Times New Roman"/>
          <w:b/>
          <w:noProof/>
          <w:color w:val="000000"/>
        </w:rPr>
        <w:t>convențiile și expozițiile</w:t>
      </w:r>
      <w:r>
        <w:rPr>
          <w:rFonts w:ascii="Times New Roman" w:hAnsi="Times New Roman"/>
          <w:noProof/>
          <w:color w:val="000000"/>
        </w:rPr>
        <w:t>, 1 331 de evenimente MICE („reuniuni, stimulente, conferințe și expoziții”) au avut loc în Macao în primele trei trimestre ale anului 2025 (o creștere de 25,7 % de la an la an, depășind nivelurile din 2019) (</w:t>
      </w:r>
      <w:r>
        <w:rPr>
          <w:rStyle w:val="FootnoteReference"/>
          <w:noProof/>
        </w:rPr>
        <w:footnoteReference w:id="8"/>
      </w:r>
      <w:r>
        <w:rPr>
          <w:rFonts w:ascii="Times New Roman" w:hAnsi="Times New Roman"/>
          <w:noProof/>
          <w:color w:val="000000"/>
        </w:rPr>
        <w:t>).</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b/>
          <w:noProof/>
          <w:color w:val="000000"/>
        </w:rPr>
        <w:t>În ceea ce privește sănătatea</w:t>
      </w:r>
      <w:r>
        <w:rPr>
          <w:rFonts w:ascii="Times New Roman" w:hAnsi="Times New Roman"/>
          <w:noProof/>
          <w:color w:val="000000"/>
        </w:rPr>
        <w:t>, guvernul urmărește promovarea industriilor „Big Health”, inclusiv a serviciilor medicale, a turismului medical și a dezvoltării, producției și comercializării medicinei tradiționale chineze (MTC) – inclusiv în cooperare cu Hengqin (</w:t>
      </w:r>
      <w:r>
        <w:rPr>
          <w:rStyle w:val="FootnoteReference"/>
          <w:noProof/>
        </w:rPr>
        <w:footnoteReference w:id="9"/>
      </w:r>
      <w:r>
        <w:rPr>
          <w:rFonts w:ascii="Times New Roman" w:hAnsi="Times New Roman"/>
          <w:noProof/>
          <w:color w:val="000000"/>
        </w:rPr>
        <w:t>), unde se află, de asemenea, un parc MTC pentru cooperarea dintre Guangdong și Macao.</w:t>
      </w:r>
    </w:p>
    <w:p>
      <w:pPr>
        <w:shd w:val="clear" w:color="auto" w:fill="FFFFFF"/>
        <w:autoSpaceDE w:val="0"/>
        <w:autoSpaceDN w:val="0"/>
        <w:adjustRightInd w:val="0"/>
        <w:spacing w:after="0" w:line="240" w:lineRule="auto"/>
        <w:jc w:val="both"/>
        <w:rPr>
          <w:rFonts w:ascii="Times New Roman" w:eastAsia="PMingLiU" w:hAnsi="Times New Roman" w:cs="Times New Roman"/>
          <w:noProof/>
          <w:color w:val="000000"/>
          <w:kern w:val="0"/>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În ceea ce privește </w:t>
      </w:r>
      <w:r>
        <w:rPr>
          <w:rFonts w:ascii="Times New Roman" w:hAnsi="Times New Roman"/>
          <w:b/>
          <w:noProof/>
          <w:color w:val="000000"/>
        </w:rPr>
        <w:t>serviciile financiare</w:t>
      </w:r>
      <w:r>
        <w:rPr>
          <w:rFonts w:ascii="Times New Roman" w:hAnsi="Times New Roman"/>
          <w:noProof/>
          <w:color w:val="000000"/>
        </w:rPr>
        <w:t>, Macao își propune să atragă mai multe fonduri și societăți străine (inclusiv prin stimulente fiscale) și să continue reforma cadrului legislativ pentru serviciile financiare. Guvernul vizează, de asemenea, dezvoltarea pieței obligațiunilor din Macao, inclusiv promovarea legăturilor cu China continentală și la nivel internațional și atragerea mai multor emisiuni din partea Chinei continentale (Ministerul Finanțelor din RPC; guvernul provinciei Guangdong și guvernul orașului Shenzhen au emis obligațiuni în Macao în cursul anului) (</w:t>
      </w:r>
      <w:r>
        <w:rPr>
          <w:rStyle w:val="FootnoteReference"/>
          <w:noProof/>
        </w:rPr>
        <w:footnoteReference w:id="10"/>
      </w:r>
      <w:r>
        <w:rPr>
          <w:rFonts w:ascii="Times New Roman" w:hAnsi="Times New Roman"/>
          <w:noProof/>
          <w:color w:val="000000"/>
        </w:rPr>
        <w:t>). În cursul anului, a fost lansată o legătură directă între unitatea centrală a piețelor monetare din Hong Kong și depozitarul central de titluri de valoare din Macao, pentru a promova dezvoltarea piețelor de obligațiuni în cele două regiuni (</w:t>
      </w:r>
      <w:r>
        <w:rPr>
          <w:rStyle w:val="FootnoteReference"/>
          <w:noProof/>
        </w:rPr>
        <w:footnoteReference w:id="11"/>
      </w:r>
      <w:r>
        <w:rPr>
          <w:rFonts w:ascii="Times New Roman" w:hAnsi="Times New Roman"/>
          <w:noProof/>
          <w:color w:val="000000"/>
        </w:rPr>
        <w:t>). Macao a reformulat, de asemenea, „Legea privind fondurile de investiții” (promulgare la 28 iulie 2025 și intrare în vigoare la 1 ianuarie 2026) (</w:t>
      </w:r>
      <w:r>
        <w:rPr>
          <w:rStyle w:val="FootnoteReference"/>
          <w:noProof/>
        </w:rPr>
        <w:footnoteReference w:id="12"/>
      </w:r>
      <w:r>
        <w:rPr>
          <w:rFonts w:ascii="Times New Roman" w:hAnsi="Times New Roman"/>
          <w:noProof/>
          <w:color w:val="000000"/>
        </w:rPr>
        <w:t>), cu scopul de a consolida convergența în materie de reglementare și conectivitatea dintre piețele de fonduri din Macao și din străinătate, precum și de a atrage mai multe instituții de peste mări. În august 2025 a intrat în vigoare „Legea privind activitățile de intermediere în domeniul asigurărilor” (Legea nr. 15/2024)</w:t>
      </w:r>
      <w:r>
        <w:rPr>
          <w:rStyle w:val="FootnoteReference"/>
          <w:noProof/>
        </w:rPr>
        <w:footnoteReference w:id="13"/>
      </w:r>
      <w:r>
        <w:rPr>
          <w:rFonts w:ascii="Calibri" w:hAnsi="Calibri"/>
          <w:noProof/>
          <w:color w:val="000000"/>
          <w:sz w:val="22"/>
          <w:vertAlign w:val="superscript"/>
        </w:rPr>
        <w:t xml:space="preserve">, </w:t>
      </w:r>
      <w:r>
        <w:rPr>
          <w:rFonts w:ascii="Times New Roman" w:hAnsi="Times New Roman"/>
          <w:noProof/>
          <w:color w:val="000000"/>
        </w:rPr>
        <w:t>modificând sistemul de autorizare, standardele operaționale și cadrul de supraveghere din sectorul asigurărilor.</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În cursul anului, Macao a introdus un nou cadru juridic care reglementează </w:t>
      </w:r>
      <w:r>
        <w:rPr>
          <w:rFonts w:ascii="Times New Roman" w:hAnsi="Times New Roman"/>
          <w:b/>
          <w:noProof/>
          <w:color w:val="000000"/>
        </w:rPr>
        <w:t>aviația civilă</w:t>
      </w:r>
      <w:r>
        <w:rPr>
          <w:rFonts w:ascii="Times New Roman" w:hAnsi="Times New Roman"/>
          <w:noProof/>
          <w:color w:val="000000"/>
        </w:rPr>
        <w:t>, cu scopul de a extinde accesul pe piață prin introducerea unui regim de acordare a licențelor bazat pe licitații pentru operarea serviciilor de transport de persoane (</w:t>
      </w:r>
      <w:r>
        <w:rPr>
          <w:rStyle w:val="FootnoteReference"/>
          <w:noProof/>
        </w:rPr>
        <w:footnoteReference w:id="14"/>
      </w:r>
      <w:r>
        <w:rPr>
          <w:rFonts w:ascii="Times New Roman" w:hAnsi="Times New Roman"/>
          <w:noProof/>
          <w:color w:val="000000"/>
        </w:rPr>
        <w:t>) (încetarea concesiunii exclusive a Macao cu Air Macau).</w:t>
      </w:r>
    </w:p>
    <w:p>
      <w:pPr>
        <w:autoSpaceDE w:val="0"/>
        <w:autoSpaceDN w:val="0"/>
        <w:adjustRightInd w:val="0"/>
        <w:spacing w:after="0" w:line="240" w:lineRule="auto"/>
        <w:jc w:val="both"/>
        <w:rPr>
          <w:rFonts w:ascii="Times New Roman" w:eastAsia="PMingLiU" w:hAnsi="Times New Roman" w:cs="Times New Roman"/>
          <w:noProof/>
          <w:color w:val="000000"/>
          <w:kern w:val="0"/>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În ceea ce privește </w:t>
      </w:r>
      <w:r>
        <w:rPr>
          <w:rFonts w:ascii="Times New Roman" w:hAnsi="Times New Roman"/>
          <w:b/>
          <w:noProof/>
          <w:color w:val="000000"/>
        </w:rPr>
        <w:t>politicile de mediu</w:t>
      </w:r>
      <w:r>
        <w:rPr>
          <w:rFonts w:ascii="Times New Roman" w:hAnsi="Times New Roman"/>
          <w:noProof/>
          <w:color w:val="000000"/>
        </w:rPr>
        <w:t>, șeful executivului a anunțat în discursul său privind politica generală lucrări de îmbunătățire a tratării apelor uzate, de reducere a deșeurilor și de prevenire și atenuare a dezastrelor climatice (inclusiv a inundațiilor). Guvernul intenționează să crească ponderea de energie electrică curată furnizată Macao de China Southern Power Grid la 50 % (cea mai mare parte a energiei electrice din Macao este importată din China continentală). Vehiculele electrice și transportul public verde vor fi promovate în continuare și va fi lansat un plan de protecție a mediului (2026-2030). În 2025, 37,8 % din autovehiculele înmatriculate pentru prima dată erau vehicule electrice (</w:t>
      </w:r>
      <w:r>
        <w:rPr>
          <w:rStyle w:val="FootnoteReference"/>
          <w:noProof/>
        </w:rPr>
        <w:footnoteReference w:id="15"/>
      </w:r>
      <w:r>
        <w:rPr>
          <w:rFonts w:ascii="Times New Roman" w:hAnsi="Times New Roman"/>
          <w:noProof/>
          <w:color w:val="000000"/>
        </w:rPr>
        <w:t>). Ediția din 2025 a Forumului internațional de cooperare în domeniul mediului din Macao (MIECF) a avut loc în luna martie.</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lastRenderedPageBreak/>
        <w:t xml:space="preserve">În cursul anului, guvernul a continuat să ofere </w:t>
      </w:r>
      <w:r>
        <w:rPr>
          <w:rFonts w:ascii="Times New Roman" w:hAnsi="Times New Roman"/>
          <w:b/>
          <w:noProof/>
          <w:color w:val="000000"/>
        </w:rPr>
        <w:t>sprijin financiar rezidenților</w:t>
      </w:r>
      <w:r>
        <w:rPr>
          <w:rFonts w:ascii="Times New Roman" w:hAnsi="Times New Roman"/>
          <w:noProof/>
          <w:color w:val="000000"/>
        </w:rPr>
        <w:t>, inclusiv prestații în numerar în cadrul sistemului de împărțire a bunăstării și diverse alocații.</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În cursul anului au fost efectuate lucrări de infrastructură, inclusiv locuințe publice și infrastructuri de transport. Guvernul își propune să extindă în continuare aeroportul din Macao (cu un proiect de extindere situat în Hengqin) și rețeaua de tranzit feroviar urban a RAS și să construiască un parc industrial și o zonă turistică și culturală, precum și un campus universitar în Hengqin.</w:t>
      </w:r>
    </w:p>
    <w:p>
      <w:pPr>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ind w:firstLine="720"/>
        <w:jc w:val="both"/>
        <w:rPr>
          <w:rFonts w:ascii="Times New Roman" w:eastAsia="PMingLiU" w:hAnsi="Times New Roman" w:cs="Times New Roman"/>
          <w:b/>
          <w:bCs/>
          <w:noProof/>
          <w:color w:val="000000"/>
          <w:kern w:val="0"/>
          <w14:ligatures w14:val="none"/>
        </w:rPr>
      </w:pPr>
      <w:r>
        <w:rPr>
          <w:rFonts w:ascii="Times New Roman" w:hAnsi="Times New Roman"/>
          <w:b/>
          <w:noProof/>
          <w:color w:val="000000"/>
        </w:rPr>
        <w:t>Integrarea economică cu China continentală</w:t>
      </w:r>
    </w:p>
    <w:p>
      <w:pPr>
        <w:autoSpaceDE w:val="0"/>
        <w:autoSpaceDN w:val="0"/>
        <w:adjustRightInd w:val="0"/>
        <w:spacing w:after="0" w:line="240" w:lineRule="auto"/>
        <w:jc w:val="both"/>
        <w:rPr>
          <w:rFonts w:ascii="Times New Roman" w:eastAsia="PMingLiU" w:hAnsi="Times New Roman" w:cs="Times New Roman"/>
          <w:noProof/>
          <w:color w:val="000000"/>
          <w:kern w:val="0"/>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China continentală este principalul partener comercial al Macao în comerțul cu mărfuri, reprezentând 29,4 % din comerțul exterior total al Macao în 2025. China continentală a fost, de asemenea, a doua cea mai mare sursă de stocuri de ISD a RAS, după Hong Kong, în 2024 (cele mai recente date disponibile). Economia Macao depinde în mare măsură de vizitatorii din China continentală care călătoresc în RAS pentru turism și jocuri de noroc.</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PMingLiU" w:hAnsi="Times New Roman" w:cs="Times New Roman"/>
          <w:noProof/>
          <w:color w:val="000000"/>
          <w:kern w:val="0"/>
          <w14:ligatures w14:val="none"/>
        </w:rPr>
      </w:pPr>
      <w:r>
        <w:rPr>
          <w:rFonts w:ascii="Times New Roman" w:hAnsi="Times New Roman"/>
          <w:noProof/>
          <w:color w:val="000000"/>
        </w:rPr>
        <w:t xml:space="preserve">Macao continuă să se poziționeze ca platformă și conector între China continentală și </w:t>
      </w:r>
      <w:r>
        <w:rPr>
          <w:rFonts w:ascii="Times New Roman" w:hAnsi="Times New Roman"/>
          <w:b/>
          <w:noProof/>
          <w:color w:val="000000"/>
        </w:rPr>
        <w:t>țările vorbitoare de limbă portugheză</w:t>
      </w:r>
      <w:r>
        <w:rPr>
          <w:rFonts w:ascii="Times New Roman" w:hAnsi="Times New Roman"/>
          <w:noProof/>
          <w:color w:val="000000"/>
        </w:rPr>
        <w:t xml:space="preserve"> în domenii precum turism, comerț și investiții, tehnologii și servicii financiare.</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Macao promovează, de asemenea, o integrare economică mai profundă cu China continentală, în special prin inițiative precum </w:t>
      </w:r>
      <w:r>
        <w:rPr>
          <w:rFonts w:ascii="Times New Roman" w:hAnsi="Times New Roman"/>
          <w:b/>
          <w:noProof/>
          <w:color w:val="000000"/>
        </w:rPr>
        <w:t>Zona Marelui Golf Guangdong-Hong Kong-Macao</w:t>
      </w:r>
      <w:r>
        <w:rPr>
          <w:rFonts w:ascii="Times New Roman" w:hAnsi="Times New Roman"/>
          <w:noProof/>
          <w:color w:val="000000"/>
        </w:rPr>
        <w:t xml:space="preserve"> (denumită în continuare „Zona Marelui Golf” sau GBA) și zona de cooperare intensă Guangdong-Macao din Hengqin.</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În discursul privind politica generală din noiembrie 2025, șeful executivului a explicat că Macao va continua să participe activ la dezvoltarea GBA, să alinieze în continuare normele și mecanismele din regiune, să consolideze cooperarea cu autoritățile din Guangdong și Hong Kong și să îmbunătățească conectivitatea infrastructurii și fluxurile transfrontaliere de persoane. Rezidenții din Macao sunt încurajați să locuiască și să lucreze în GBA, inclusiv prin facilitarea serviciilor administrative, de asistență socială și de asistență medicală transfrontaliere. Alte obiective sunt promovarea mărcii turistice a GBA, colaborarea în domeniul cercetării și tehnologiilor și al serviciilor financiare, precum și recunoașterea regională a certificării talentelor și a proprietății intelectuale.</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b/>
          <w:noProof/>
          <w:color w:val="000000"/>
        </w:rPr>
        <w:t>Zona de cooperare intensă Guangdong-Macao din Hengqin</w:t>
      </w:r>
      <w:r>
        <w:rPr>
          <w:rFonts w:ascii="Times New Roman" w:hAnsi="Times New Roman"/>
          <w:noProof/>
          <w:color w:val="000000"/>
        </w:rPr>
        <w:t xml:space="preserve"> acoperă aproximativ 100 de kilometri pătrați – aproximativ de trei ori mai mare decât dimensiunea Macao și este situată în provincia Guangdong, adiacentă RAS. Zona este administrată în comun de Guangdong și Macao și oferă terenuri suplimentare pentru a sprijini diversificarea economică a Macao și o integrare mai profundă cu China continentală. Un regim vamal prevede un tratament preferențial pentru mărfurile din Macao care intră în zona de cooperare Hengqin (care scutește mărfurile eligibile de taxa aplicată de China continentală). În cursul anului, au fost publicate planuri de dezvoltare a Hengqin (</w:t>
      </w:r>
      <w:r>
        <w:rPr>
          <w:rStyle w:val="FootnoteReference"/>
          <w:noProof/>
        </w:rPr>
        <w:footnoteReference w:id="16"/>
      </w:r>
      <w:r>
        <w:rPr>
          <w:rFonts w:ascii="Times New Roman" w:hAnsi="Times New Roman"/>
          <w:noProof/>
          <w:color w:val="000000"/>
        </w:rPr>
        <w:t xml:space="preserve">), iar discursul privind politica generală al șefului executivului din Macao a subliniat, de asemenea, dezvoltarea zonei ca politică principală. Printre sectoarele economice prioritare pentru dezvoltare se numără inovarea și tehnologia, </w:t>
      </w:r>
      <w:r>
        <w:rPr>
          <w:rFonts w:ascii="Times New Roman" w:hAnsi="Times New Roman"/>
          <w:noProof/>
          <w:color w:val="000000"/>
        </w:rPr>
        <w:lastRenderedPageBreak/>
        <w:t>producția inteligentă, asistența medicală și medicina tradițională chineză, serviciile financiare, activitățile recreative și MICE. Politicile includ promovarea integrării și alinierea reglementărilor, îmbunătățirea mediului de afaceri și încurajarea întreprinderilor și a rezidenților din Macao să se stabilească în Hengqin.</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Conform statisticilor oficiale, în 2025 PIB-ul Hengqin s-a ridicat la 54,7 miliarde CNY (6,7 miliarde EUR) și în zonă existau 7 681 de întreprinderi finanțate de Macao (decembrie 2025) (</w:t>
      </w:r>
      <w:r>
        <w:rPr>
          <w:rStyle w:val="FootnoteReference"/>
          <w:noProof/>
        </w:rPr>
        <w:footnoteReference w:id="17"/>
      </w:r>
      <w:r>
        <w:rPr>
          <w:rFonts w:ascii="Times New Roman" w:hAnsi="Times New Roman"/>
          <w:noProof/>
          <w:color w:val="000000"/>
        </w:rPr>
        <w:t>), precum și 23 749 de rezidenți din Macao care locuiau în Hengqin și 5 762 de rezidenți din Macao care lucrau în Hengqin (iunie 2025) (</w:t>
      </w:r>
      <w:r>
        <w:rPr>
          <w:rStyle w:val="FootnoteReference"/>
          <w:noProof/>
        </w:rPr>
        <w:footnoteReference w:id="18"/>
      </w:r>
      <w:r>
        <w:rPr>
          <w:rFonts w:ascii="Times New Roman" w:hAnsi="Times New Roman"/>
          <w:noProof/>
          <w:color w:val="000000"/>
        </w:rPr>
        <w:t>).</w:t>
      </w:r>
    </w:p>
    <w:p>
      <w:pPr>
        <w:autoSpaceDE w:val="0"/>
        <w:autoSpaceDN w:val="0"/>
        <w:adjustRightInd w:val="0"/>
        <w:spacing w:after="0" w:line="240" w:lineRule="auto"/>
        <w:jc w:val="both"/>
        <w:rPr>
          <w:rFonts w:ascii="Times New Roman" w:eastAsia="SimSun" w:hAnsi="Times New Roman" w:cs="Times New Roman"/>
          <w:noProof/>
          <w:kern w:val="0"/>
          <w:lang w:eastAsia="zh-CN"/>
          <w14:ligatures w14:val="none"/>
        </w:rPr>
      </w:pPr>
    </w:p>
    <w:p>
      <w:pPr>
        <w:autoSpaceDE w:val="0"/>
        <w:autoSpaceDN w:val="0"/>
        <w:adjustRightInd w:val="0"/>
        <w:spacing w:after="0" w:line="240" w:lineRule="auto"/>
        <w:jc w:val="both"/>
        <w:rPr>
          <w:rFonts w:ascii="Times New Roman" w:eastAsia="PMingLiU" w:hAnsi="Times New Roman" w:cs="Times New Roman"/>
          <w:noProof/>
          <w:color w:val="000000"/>
          <w:kern w:val="0"/>
          <w14:ligatures w14:val="none"/>
        </w:rPr>
      </w:pPr>
      <w:r>
        <w:rPr>
          <w:rFonts w:ascii="Times New Roman" w:hAnsi="Times New Roman"/>
          <w:b/>
          <w:noProof/>
          <w:color w:val="000000"/>
        </w:rPr>
        <w:t>Sistemul transfrontalier Wealth Management Connect</w:t>
      </w:r>
      <w:r>
        <w:rPr>
          <w:rFonts w:ascii="Times New Roman" w:hAnsi="Times New Roman"/>
          <w:noProof/>
          <w:color w:val="000000"/>
        </w:rPr>
        <w:t xml:space="preserve"> permite rezidenților eligibili din China continentală, Hong Kong și Macao să investească în produse pentru gestionarea patrimoniului distribuite pe piețele celorlalte părți, 11 bănci din Macao participând la sistem.</w:t>
      </w:r>
    </w:p>
    <w:p>
      <w:pPr>
        <w:autoSpaceDE w:val="0"/>
        <w:autoSpaceDN w:val="0"/>
        <w:adjustRightInd w:val="0"/>
        <w:spacing w:after="0" w:line="240" w:lineRule="auto"/>
        <w:jc w:val="both"/>
        <w:rPr>
          <w:rFonts w:ascii="Times New Roman" w:eastAsia="PMingLiU" w:hAnsi="Times New Roman" w:cs="Times New Roman"/>
          <w:noProof/>
          <w:color w:val="FF0000"/>
          <w:kern w:val="0"/>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b/>
          <w:noProof/>
          <w:color w:val="000000"/>
        </w:rPr>
        <w:t>Acordul de parteneriat economic consolidat dintre China continentală și Macao</w:t>
      </w:r>
      <w:r>
        <w:rPr>
          <w:rFonts w:ascii="Times New Roman" w:hAnsi="Times New Roman"/>
          <w:noProof/>
          <w:color w:val="000000"/>
        </w:rPr>
        <w:t xml:space="preserve"> (CEPA) acordă acces cu tarife zero pentru mărfurile din Macao care intră pe piața chineză, precum și acces preferențial pentru furnizorii de servicii din Macao.</w:t>
      </w:r>
    </w:p>
    <w:p>
      <w:pPr>
        <w:spacing w:after="0" w:line="240" w:lineRule="auto"/>
        <w:jc w:val="both"/>
        <w:rPr>
          <w:rFonts w:ascii="Times New Roman" w:eastAsia="SimSun" w:hAnsi="Times New Roman" w:cs="Times New Roman"/>
          <w:noProof/>
          <w:kern w:val="0"/>
          <w:lang w:eastAsia="zh-CN"/>
          <w14:ligatures w14:val="none"/>
        </w:rPr>
      </w:pPr>
    </w:p>
    <w:p>
      <w:pPr>
        <w:numPr>
          <w:ilvl w:val="0"/>
          <w:numId w:val="1"/>
        </w:numPr>
        <w:spacing w:after="0" w:line="240" w:lineRule="auto"/>
        <w:contextualSpacing/>
        <w:jc w:val="both"/>
        <w:rPr>
          <w:rFonts w:ascii="Times New Roman" w:eastAsia="SimSun" w:hAnsi="Times New Roman" w:cs="Times New Roman"/>
          <w:b/>
          <w:noProof/>
          <w:kern w:val="0"/>
          <w14:ligatures w14:val="none"/>
        </w:rPr>
      </w:pPr>
      <w:r>
        <w:rPr>
          <w:rFonts w:ascii="Times New Roman" w:hAnsi="Times New Roman"/>
          <w:b/>
          <w:noProof/>
        </w:rPr>
        <w:t>Relațiile dintre Macao și China continentală</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u w:val="single"/>
          <w14:ligatures w14:val="none"/>
        </w:rPr>
      </w:pPr>
      <w:r>
        <w:rPr>
          <w:rFonts w:ascii="Times New Roman" w:hAnsi="Times New Roman"/>
          <w:noProof/>
        </w:rPr>
        <w:t>Cel de al 20-lea Comitet Central al Partidului Comunist Chinez a organizat cea de a patra adunare plenară a sa în perioada 20-23 octombrie. Adunarea s-a axat pe formularea celui de al 15-lea plan cincinal al Chinei, care va ghida dezvoltarea țării în perioada 2026-2030. În „Recomandările Comitetului Central al Partidului Comunist Chinez în ceea ce privește formularea celui de al 15-lea plan cincinal pentru dezvoltarea economică și socială națională”, publicate la 28 octombrie, partidul s-a angajat să sprijine „prosperitatea și stabilitatea pe termen lung a Hong Kongului și a regiunii Macao”.</w:t>
      </w:r>
    </w:p>
    <w:p>
      <w:pPr>
        <w:spacing w:after="0" w:line="240" w:lineRule="auto"/>
        <w:jc w:val="both"/>
        <w:rPr>
          <w:rFonts w:ascii="Times New Roman" w:eastAsia="SimSun" w:hAnsi="Times New Roman" w:cs="Times New Roman"/>
          <w:noProof/>
          <w:kern w:val="0"/>
          <w:u w:val="single"/>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La 23 octombrie, șeful executivului din Macao a subliniat că Macao „va profita de noile oportunități din cadrul celui de al 15-lea plan cincinal”. „Guvernul își va aprofunda legătura cu comunitatea internațională pentru a contribui mai bine la dezvoltarea națională”, potrivit unei declarații.</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O delegație formată din președintele Academiei Chineze de Științe, președintele și directorul adjunct al Biroului Comisiei Centrale pentru Afaceri Financiare și Economice și directorul adjunct al Biroului Grupului Director Central pentru Afaceri Rurale al Partidului Comunist Chinez, a vizitat Macao în perioada 22-23 noiembrie pentru a discuta cel de al 15-lea plan cincinal și implicațiile acestuia pentru Macao. Delegația a vizitat, de asemenea, zona de cooperare intensă Guangdong-Macao din Hengqin.</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Xia Baolong, directorul Biroului de lucru din Hong Kong și Macao din cadrul Comitetului Central al Partidului Comunist Chinez (PCC) și al Consiliului de Stat al RPC a vizitat Macao în perioada 8-13 mai. Aceasta a fost prima vizită de inspecție efectuată de Xia în Macao de la preluarea mandatului de către administrația locală în decembrie 2024. Xia a îndemnat guvernul să valorifice avantajele „sistemului condus de autorități”.</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lastRenderedPageBreak/>
        <w:t>De asemenea, Xia a îndemnat comunitățile de afaceri din Macao și Hong Kong să „continue spiritul de luptă”, solicitând comunității de afaceri să contribuie mai mult la dezvoltarea economică națională și afirmând că „toată lumea ar trebui să apere cu fermitate linia de bază a intereselor naționale atunci când interesele sunt afectate”.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bCs/>
          <w:noProof/>
          <w:color w:val="000000"/>
          <w:kern w:val="0"/>
          <w14:ligatures w14:val="none"/>
        </w:rPr>
      </w:pPr>
      <w:r>
        <w:rPr>
          <w:rFonts w:ascii="Times New Roman" w:hAnsi="Times New Roman"/>
          <w:noProof/>
        </w:rPr>
        <w:t xml:space="preserve">La 30 mai, Consiliul de Stat al RPC l-a numit pe Zhou Ji, anterior director adjunct al Biroului de lucru din Hong Kong și Macao din cadrul Comitetului Central al PCC, în calitate de nou director al Biroului de legătură al guvernului central în Hong Kong. </w:t>
      </w:r>
      <w:r>
        <w:rPr>
          <w:rFonts w:ascii="Times New Roman" w:hAnsi="Times New Roman"/>
          <w:noProof/>
          <w:color w:val="000000"/>
        </w:rPr>
        <w:t>La 14 iulie, Beijing l-a numit pe Xu Qifang, fost director adjunct al Departamentului de organizare al Comitetului Central al PCC, ca succesor al lui Zhou în cadrul Biroului de lucru din Hong Kong și Macao.</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Cea de a 15-a ediție a Jocurilor Naționale și cea de a 12-a ediție a Jocurilor Naționale pentru Persoanele cu Handicap, precum și cea de a noua ediție a Jocurilor Olimpice Speciale Naționale au fost găzduite în comun de Guangdong, Hong Kong și Macao în noiembrie și, respectiv, în decembrie 2025. Este pentru prima dată când jocurile naționale au fost găzduite în comun de Zona Marelui Golf.</w:t>
      </w:r>
    </w:p>
    <w:p>
      <w:pPr>
        <w:spacing w:after="0" w:line="240" w:lineRule="auto"/>
        <w:jc w:val="both"/>
        <w:rPr>
          <w:rFonts w:ascii="Times New Roman" w:eastAsia="SimSun" w:hAnsi="Times New Roman" w:cs="Times New Roman"/>
          <w:noProof/>
          <w:kern w:val="0"/>
          <w:lang w:eastAsia="zh-CN"/>
          <w14:ligatures w14:val="none"/>
        </w:rPr>
      </w:pPr>
    </w:p>
    <w:p>
      <w:pPr>
        <w:numPr>
          <w:ilvl w:val="0"/>
          <w:numId w:val="1"/>
        </w:numPr>
        <w:spacing w:after="0" w:line="240" w:lineRule="auto"/>
        <w:contextualSpacing/>
        <w:jc w:val="both"/>
        <w:rPr>
          <w:rFonts w:ascii="Times New Roman" w:eastAsia="SimSun" w:hAnsi="Times New Roman" w:cs="Times New Roman"/>
          <w:b/>
          <w:noProof/>
          <w:kern w:val="0"/>
          <w14:ligatures w14:val="none"/>
        </w:rPr>
      </w:pPr>
      <w:r>
        <w:rPr>
          <w:rFonts w:ascii="Times New Roman" w:hAnsi="Times New Roman"/>
          <w:b/>
          <w:noProof/>
        </w:rPr>
        <w:t>Relațiile bilaterale și cooperarea dintre UE și Macao în 2025</w:t>
      </w:r>
    </w:p>
    <w:p>
      <w:pPr>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Acordul comercial și de cooperare între Comunitatea Economică Europeană și Macao din 1992 urmărea consolidarea într-o mai mare măsură a relației dintre UE și Macao. Acordul include cooperarea comercială, economică, științifică și tehnologică.</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Comitetul mixt UE-Macao este o platformă prin intermediul căreia Macao și UE abordează chestiuni din diverse domenii. Ultima </w:t>
      </w:r>
      <w:r>
        <w:rPr>
          <w:rFonts w:ascii="Times New Roman" w:hAnsi="Times New Roman"/>
          <w:b/>
          <w:noProof/>
          <w:color w:val="000000"/>
        </w:rPr>
        <w:t>reuniune a Comitetului mixt</w:t>
      </w:r>
      <w:r>
        <w:rPr>
          <w:rFonts w:ascii="Times New Roman" w:hAnsi="Times New Roman"/>
          <w:noProof/>
          <w:color w:val="000000"/>
        </w:rPr>
        <w:t xml:space="preserve"> a avut loc în 2019.</w:t>
      </w:r>
    </w:p>
    <w:p>
      <w:pPr>
        <w:autoSpaceDE w:val="0"/>
        <w:autoSpaceDN w:val="0"/>
        <w:adjustRightInd w:val="0"/>
        <w:spacing w:after="0" w:line="240" w:lineRule="auto"/>
        <w:jc w:val="both"/>
        <w:rPr>
          <w:rFonts w:ascii="Times New Roman" w:eastAsia="SimSun" w:hAnsi="Times New Roman" w:cs="Times New Roman"/>
          <w:noProof/>
          <w:color w:val="984806"/>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Biroul Uniunii Europene a organizat o aniversare a Zilei Europei în 2025, a doua de la ridicarea restricțiilor de călătorie legate de pandemia de COVID-19. Șeful Biroului Uniunii Europene din Hong Kong și Macao s-a întâlnit în mai multe rânduri în cursul anului cu oficiali din Macao (inclusiv cu șeful executivului) și cu părți interesate din mediul de afaceri și din societatea civilă.</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Al treilea Festival Internațional de Film Queer din Macao a avut loc între 30 mai și 21 iunie, cu sprijinul consulatelor generale și al institutelor culturale ale statelor membre ale UE.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În 2025, </w:t>
      </w:r>
      <w:r>
        <w:rPr>
          <w:rFonts w:ascii="Times New Roman" w:hAnsi="Times New Roman"/>
          <w:b/>
          <w:noProof/>
          <w:color w:val="000000"/>
        </w:rPr>
        <w:t>UE a fost al doilea partener comercial al Macao în ceea ce privește comerțul cu mărfuri</w:t>
      </w:r>
      <w:r>
        <w:rPr>
          <w:rFonts w:ascii="Times New Roman" w:hAnsi="Times New Roman"/>
          <w:noProof/>
          <w:color w:val="000000"/>
        </w:rPr>
        <w:t>, reprezentând 25,3 % din comerțul total al Macao (față de 28,3 % în cazul Chinei continentale, cel mai important partener comercial al Macao).</w:t>
      </w:r>
    </w:p>
    <w:p>
      <w:pPr>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Pe baza datelor Eurostat, </w:t>
      </w:r>
      <w:r>
        <w:rPr>
          <w:rFonts w:ascii="Times New Roman" w:hAnsi="Times New Roman"/>
          <w:b/>
          <w:noProof/>
          <w:color w:val="000000"/>
        </w:rPr>
        <w:t>comerțul bilateral cu mărfuri al UE cu Macao</w:t>
      </w:r>
      <w:r>
        <w:rPr>
          <w:rFonts w:ascii="Times New Roman" w:hAnsi="Times New Roman"/>
          <w:noProof/>
          <w:color w:val="000000"/>
        </w:rPr>
        <w:t xml:space="preserve"> s-a ridicat în 2025 la 887 de milioane EUR și a constat în cea mai mare parte din exporturile UE către Macao (801 milioane EUR). Principalele exporturi ale UE către Macao au inclus îmbrăcăminte, bijuterii, articole din piele și produse de lux, alimente și băuturi și echipamente de transport.</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În ceea ce privește </w:t>
      </w:r>
      <w:r>
        <w:rPr>
          <w:rFonts w:ascii="Times New Roman" w:hAnsi="Times New Roman"/>
          <w:b/>
          <w:noProof/>
          <w:color w:val="000000"/>
        </w:rPr>
        <w:t>comerțul cu servicii</w:t>
      </w:r>
      <w:r>
        <w:rPr>
          <w:rFonts w:ascii="Times New Roman" w:hAnsi="Times New Roman"/>
          <w:noProof/>
          <w:color w:val="000000"/>
        </w:rPr>
        <w:t xml:space="preserve">, pe baza datelor Eurostat, UE a exportat servicii în valoare de 292 de milioane EUR către Macao în 2024 (în creștere cu 7,7 % față de 2023). Importurile UE de servicii din Macao s-au ridicat la 95 de milioane EUR în 2024 (în scădere cu -23,8 % față de 2023). </w:t>
      </w:r>
    </w:p>
    <w:p>
      <w:pPr>
        <w:autoSpaceDE w:val="0"/>
        <w:autoSpaceDN w:val="0"/>
        <w:adjustRightInd w:val="0"/>
        <w:spacing w:after="0" w:line="240" w:lineRule="auto"/>
        <w:jc w:val="both"/>
        <w:rPr>
          <w:rFonts w:ascii="Times New Roman" w:eastAsia="SimSun" w:hAnsi="Times New Roman" w:cs="Times New Roman"/>
          <w:noProof/>
          <w:color w:val="FF0000"/>
          <w:kern w:val="0"/>
          <w:lang w:eastAsia="zh-CN"/>
          <w14:ligatures w14:val="none"/>
        </w:rPr>
      </w:pPr>
    </w:p>
    <w:p>
      <w:pPr>
        <w:spacing w:after="0" w:line="240" w:lineRule="auto"/>
        <w:jc w:val="both"/>
        <w:rPr>
          <w:noProof/>
        </w:rPr>
      </w:pPr>
      <w:r>
        <w:rPr>
          <w:rFonts w:ascii="Times New Roman" w:hAnsi="Times New Roman"/>
          <w:noProof/>
          <w:color w:val="000000"/>
        </w:rPr>
        <w:lastRenderedPageBreak/>
        <w:t xml:space="preserve">Potrivit Eurostat, la sfârșitul anului 2024 (cele mai recente date disponibile) </w:t>
      </w:r>
      <w:r>
        <w:rPr>
          <w:rFonts w:ascii="Times New Roman" w:hAnsi="Times New Roman"/>
          <w:b/>
          <w:noProof/>
          <w:color w:val="000000"/>
        </w:rPr>
        <w:t>investițiile străine directe ale UE</w:t>
      </w:r>
      <w:r>
        <w:rPr>
          <w:rFonts w:ascii="Times New Roman" w:hAnsi="Times New Roman"/>
          <w:noProof/>
          <w:color w:val="000000"/>
        </w:rPr>
        <w:t xml:space="preserve"> în Macao se ridicau la 1,68 miliarde EUR, în timp ce investițiile străine directe ale Macao în UE se ridicau la 1,17 miliarde EUR.</w:t>
      </w:r>
    </w:p>
    <w:sectPr>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Yu Gothic"/>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rPr>
      <w:id w:val="-1522861299"/>
      <w:docPartObj>
        <w:docPartGallery w:val="Page Numbers (Bottom of Page)"/>
        <w:docPartUnique/>
      </w:docPartObj>
    </w:sdtPr>
    <w:sdtEndPr>
      <w:rPr>
        <w:sz w:val="22"/>
        <w:szCs w:val="22"/>
      </w:rPr>
    </w:sdtEndPr>
    <w:sdtContent>
      <w:p>
        <w:pPr>
          <w:pStyle w:val="Footer"/>
          <w:jc w:val="center"/>
          <w:rPr>
            <w:rFonts w:ascii="Calibri" w:hAnsi="Calibri" w:cs="Calibri"/>
            <w:sz w:val="22"/>
            <w:szCs w:val="22"/>
          </w:rPr>
        </w:pPr>
        <w:r>
          <w:rPr>
            <w:rFonts w:ascii="Calibri" w:hAnsi="Calibri" w:cs="Calibri"/>
            <w:sz w:val="22"/>
          </w:rPr>
          <w:fldChar w:fldCharType="begin"/>
        </w:r>
        <w:r>
          <w:rPr>
            <w:rFonts w:ascii="Calibri" w:hAnsi="Calibri" w:cs="Calibri"/>
            <w:sz w:val="22"/>
          </w:rPr>
          <w:instrText>PAGE   \* MERGEFORMAT</w:instrText>
        </w:r>
        <w:r>
          <w:rPr>
            <w:rFonts w:ascii="Calibri" w:hAnsi="Calibri" w:cs="Calibri"/>
            <w:sz w:val="22"/>
          </w:rPr>
          <w:fldChar w:fldCharType="separate"/>
        </w:r>
        <w:r>
          <w:rPr>
            <w:rFonts w:ascii="Calibri" w:hAnsi="Calibri" w:cs="Calibri"/>
            <w:sz w:val="22"/>
          </w:rPr>
          <w:t>2</w:t>
        </w:r>
        <w:r>
          <w:rPr>
            <w:rFonts w:ascii="Calibri" w:hAnsi="Calibri" w:cs="Calibri"/>
            <w:sz w:val="22"/>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1"/>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Declarația purtătorului de cuvânt privind arestarea lui Au Kam San, 2 august 2025, disponibilă la adresa: </w:t>
      </w:r>
      <w:hyperlink r:id="rId1" w:history="1">
        <w:r>
          <w:rPr>
            <w:rStyle w:val="Hyperlink1"/>
            <w:rFonts w:ascii="Times New Roman" w:hAnsi="Times New Roman"/>
            <w:sz w:val="16"/>
          </w:rPr>
          <w:t>https://www.eeas.europa.eu/eeas/macao-statement-spokesperson-arrest-au-kam-san_en</w:t>
        </w:r>
      </w:hyperlink>
      <w:r>
        <w:rPr>
          <w:rFonts w:ascii="Times New Roman" w:hAnsi="Times New Roman"/>
          <w:sz w:val="16"/>
        </w:rPr>
        <w:t>.</w:t>
      </w:r>
    </w:p>
  </w:footnote>
  <w:footnote w:id="2">
    <w:p>
      <w:pPr>
        <w:pStyle w:val="FootnoteText1"/>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Comunicat de presă al Guvernului Regiunii Administrative Speciale Macao</w:t>
      </w:r>
      <w:hyperlink r:id="rId2" w:history="1">
        <w:r>
          <w:rPr>
            <w:rStyle w:val="Hyperlink1"/>
            <w:rFonts w:ascii="Times New Roman" w:hAnsi="Times New Roman"/>
            <w:sz w:val="16"/>
          </w:rPr>
          <w:t>https://www.gov.mo/en/news/392652/</w:t>
        </w:r>
      </w:hyperlink>
      <w:r>
        <w:rPr>
          <w:rFonts w:asciiTheme="minorHAnsi" w:hAnsiTheme="minorHAnsi"/>
        </w:rPr>
        <w:t>.</w:t>
      </w:r>
    </w:p>
  </w:footnote>
  <w:footnote w:id="3">
    <w:p>
      <w:pPr>
        <w:pStyle w:val="FootnoteText1"/>
        <w:rPr>
          <w:rFonts w:ascii="Times New Roman" w:hAnsi="Times New Roman"/>
          <w:color w:val="000000"/>
          <w:sz w:val="16"/>
          <w:szCs w:val="16"/>
        </w:rPr>
      </w:pPr>
      <w:r>
        <w:rPr>
          <w:rStyle w:val="FootnoteReference"/>
          <w:rFonts w:ascii="Times New Roman" w:hAnsi="Times New Roman"/>
          <w:sz w:val="16"/>
          <w:szCs w:val="16"/>
        </w:rPr>
        <w:footnoteRef/>
      </w:r>
      <w:r>
        <w:rPr>
          <w:rFonts w:ascii="Times New Roman" w:hAnsi="Times New Roman"/>
          <w:sz w:val="16"/>
        </w:rPr>
        <w:t> </w:t>
      </w:r>
      <w:r>
        <w:rPr>
          <w:rFonts w:ascii="Times New Roman" w:hAnsi="Times New Roman"/>
          <w:color w:val="000000"/>
          <w:sz w:val="16"/>
        </w:rPr>
        <w:t>Serviciul de statistică și recensământ al Guvernului Regiunii Administrative Speciale Macao</w:t>
      </w:r>
      <w:r>
        <w:t>.</w:t>
      </w:r>
    </w:p>
    <w:p>
      <w:pPr>
        <w:pStyle w:val="FootnoteText1"/>
        <w:rPr>
          <w:rFonts w:ascii="Times New Roman" w:hAnsi="Times New Roman"/>
          <w:color w:val="000000"/>
          <w:sz w:val="16"/>
          <w:szCs w:val="16"/>
        </w:rPr>
      </w:pPr>
      <w:hyperlink r:id="rId3" w:history="1">
        <w:r>
          <w:rPr>
            <w:rStyle w:val="Hyperlink1"/>
            <w:rFonts w:ascii="Times New Roman" w:hAnsi="Times New Roman"/>
            <w:sz w:val="16"/>
          </w:rPr>
          <w:t>https://www.dsec.gov.mo/en-US/</w:t>
        </w:r>
      </w:hyperlink>
      <w:r>
        <w:t>.</w:t>
      </w:r>
    </w:p>
  </w:footnote>
  <w:footnote w:id="4">
    <w:p>
      <w:pPr>
        <w:pStyle w:val="FootnoteText1"/>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Conversie în EUR la valoarea de 1 EUR = 9,28 MOP (la sfârșitul lunii decembrie 2025)</w:t>
      </w:r>
      <w:r>
        <w:t>.</w:t>
      </w:r>
    </w:p>
    <w:p>
      <w:pPr>
        <w:pStyle w:val="FootnoteText1"/>
        <w:rPr>
          <w:rFonts w:ascii="Times New Roman" w:hAnsi="Times New Roman"/>
          <w:sz w:val="18"/>
          <w:szCs w:val="18"/>
        </w:rPr>
      </w:pPr>
      <w:hyperlink r:id="rId4" w:history="1">
        <w:r>
          <w:rPr>
            <w:rStyle w:val="Hyperlink1"/>
            <w:rFonts w:ascii="Times New Roman" w:hAnsi="Times New Roman"/>
            <w:sz w:val="16"/>
          </w:rPr>
          <w:t>https://commission.europa.eu/funding-tenders/procedures-guidelines-tenders/information-contractors-and-beneficiaries/exchange-rate-inforeuro_ro</w:t>
        </w:r>
      </w:hyperlink>
      <w:r>
        <w:t>.</w:t>
      </w:r>
    </w:p>
  </w:footnote>
  <w:footnote w:id="5">
    <w:p>
      <w:pPr>
        <w:spacing w:after="0"/>
        <w:rPr>
          <w:rFonts w:ascii="Times New Roman" w:hAnsi="Times New Roman" w:cs="Times New Roman"/>
          <w:color w:val="000000"/>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sz w:val="16"/>
        </w:rPr>
        <w:t xml:space="preserve"> </w:t>
      </w:r>
      <w:r>
        <w:rPr>
          <w:rFonts w:ascii="Times New Roman" w:hAnsi="Times New Roman"/>
          <w:color w:val="000000"/>
          <w:sz w:val="16"/>
        </w:rPr>
        <w:t>Serviciul de statistică și recensământ al Guvernului Regiunii Administrative Speciale Macao</w:t>
      </w:r>
      <w:r>
        <w:rPr>
          <w:rFonts w:ascii="Times New Roman" w:hAnsi="Times New Roman"/>
          <w:sz w:val="16"/>
        </w:rPr>
        <w:t xml:space="preserve"> </w:t>
      </w:r>
      <w:hyperlink r:id="rId5" w:history="1">
        <w:r>
          <w:rPr>
            <w:rStyle w:val="Hyperlink1"/>
            <w:rFonts w:ascii="Times New Roman" w:hAnsi="Times New Roman"/>
            <w:sz w:val="16"/>
          </w:rPr>
          <w:t>https://www.gov.mo/en/news/360247/</w:t>
        </w:r>
      </w:hyperlink>
      <w:r>
        <w:rPr>
          <w:sz w:val="20"/>
        </w:rPr>
        <w:t>.</w:t>
      </w:r>
    </w:p>
  </w:footnote>
  <w:footnote w:id="6">
    <w:p>
      <w:pPr>
        <w:pStyle w:val="FootnoteText1"/>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Site-ul web al Adunării legislative a </w:t>
      </w:r>
      <w:r>
        <w:rPr>
          <w:rFonts w:ascii="Times New Roman" w:hAnsi="Times New Roman"/>
          <w:color w:val="000000"/>
          <w:sz w:val="16"/>
        </w:rPr>
        <w:t>Regiunii Administrative</w:t>
      </w:r>
      <w:r>
        <w:rPr>
          <w:rFonts w:ascii="Times New Roman" w:hAnsi="Times New Roman"/>
          <w:sz w:val="16"/>
        </w:rPr>
        <w:t xml:space="preserve"> Speciale Macao</w:t>
      </w:r>
      <w:r>
        <w:t>.</w:t>
      </w:r>
    </w:p>
    <w:p>
      <w:pPr>
        <w:pStyle w:val="FootnoteText1"/>
        <w:rPr>
          <w:rFonts w:ascii="Times New Roman" w:hAnsi="Times New Roman"/>
          <w:sz w:val="18"/>
          <w:szCs w:val="18"/>
        </w:rPr>
      </w:pPr>
      <w:hyperlink r:id="rId6" w:history="1">
        <w:r>
          <w:rPr>
            <w:rStyle w:val="Hyperlink1"/>
            <w:rFonts w:ascii="Times New Roman" w:hAnsi="Times New Roman"/>
            <w:sz w:val="16"/>
          </w:rPr>
          <w:t>https://www.al.gov.mo/pt/law/lawcase/615</w:t>
        </w:r>
      </w:hyperlink>
      <w:r>
        <w:t>.</w:t>
      </w:r>
    </w:p>
  </w:footnote>
  <w:footnote w:id="7">
    <w:p>
      <w:pPr>
        <w:pStyle w:val="FootnoteText1"/>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Site-ul web al Fondului de dezvoltare științifică și tehnologică </w:t>
      </w:r>
      <w:hyperlink r:id="rId7" w:anchor=":~:text=The%20%E2%80%9CTechnology%20Enterprise%20Certification%20Program%E2%80%9D%20has%20been,annual%20revenue%20of%20nearly%20MOP%204.3%20billion" w:history="1">
        <w:r>
          <w:rPr>
            <w:rStyle w:val="Hyperlink1"/>
            <w:rFonts w:ascii="Times New Roman" w:hAnsi="Times New Roman"/>
            <w:sz w:val="16"/>
          </w:rPr>
          <w:t>https://www.fdct.gov.mo/en/fund_information_detail/article/mhsugm5e.html#:~:text=The%20%E2%80%9CTechnology%20Enterprise%20Certification%20Program%E2%80%9D%20has%20been,annual%20revenue%20of%20nearly%20MOP%204.3%20billion</w:t>
        </w:r>
      </w:hyperlink>
      <w:r>
        <w:rPr>
          <w:rFonts w:asciiTheme="minorHAnsi" w:hAnsiTheme="minorHAnsi"/>
        </w:rPr>
        <w:t>.</w:t>
      </w:r>
    </w:p>
  </w:footnote>
  <w:footnote w:id="8">
    <w:p>
      <w:pPr>
        <w:spacing w:after="0"/>
        <w:rPr>
          <w:rFonts w:ascii="Times New Roman" w:hAnsi="Times New Roman" w:cs="Times New Roman"/>
          <w:color w:val="000000"/>
          <w:sz w:val="16"/>
          <w:szCs w:val="16"/>
        </w:rPr>
      </w:pPr>
      <w:r>
        <w:rPr>
          <w:rStyle w:val="FootnoteReference"/>
          <w:rFonts w:ascii="Times New Roman" w:hAnsi="Times New Roman" w:cs="Times New Roman"/>
          <w:sz w:val="16"/>
          <w:szCs w:val="16"/>
        </w:rPr>
        <w:footnoteRef/>
      </w:r>
      <w:r>
        <w:rPr>
          <w:rFonts w:ascii="Times New Roman" w:hAnsi="Times New Roman"/>
          <w:color w:val="000000"/>
          <w:sz w:val="16"/>
        </w:rPr>
        <w:t>Comunicat de presă al Serviciul de statistică și recensământ al Guvernului Regiunii Administrative Speciale Macao</w:t>
      </w:r>
      <w:r>
        <w:t>.</w:t>
      </w:r>
    </w:p>
    <w:p>
      <w:pPr>
        <w:spacing w:after="0"/>
        <w:rPr>
          <w:rFonts w:ascii="Times New Roman" w:hAnsi="Times New Roman" w:cs="Times New Roman"/>
          <w:color w:val="000000"/>
          <w:sz w:val="16"/>
          <w:szCs w:val="16"/>
        </w:rPr>
      </w:pPr>
      <w:hyperlink r:id="rId8" w:history="1">
        <w:r>
          <w:rPr>
            <w:rStyle w:val="Hyperlink1"/>
            <w:rFonts w:ascii="Times New Roman" w:hAnsi="Times New Roman"/>
            <w:sz w:val="16"/>
          </w:rPr>
          <w:t>https://www.gov.mo/en/news/374828/</w:t>
        </w:r>
      </w:hyperlink>
      <w:r>
        <w:t>.</w:t>
      </w:r>
    </w:p>
  </w:footnote>
  <w:footnote w:id="9">
    <w:p>
      <w:pPr>
        <w:pStyle w:val="FootnoteText1"/>
        <w:rPr>
          <w:rFonts w:ascii="Times New Roman" w:hAnsi="Times New Roman"/>
          <w:color w:val="000000"/>
          <w:sz w:val="16"/>
          <w:szCs w:val="16"/>
        </w:rPr>
      </w:pPr>
      <w:r>
        <w:rPr>
          <w:rStyle w:val="FootnoteReference"/>
          <w:rFonts w:ascii="Times New Roman" w:hAnsi="Times New Roman"/>
          <w:sz w:val="16"/>
          <w:szCs w:val="16"/>
        </w:rPr>
        <w:footnoteRef/>
      </w:r>
      <w:r>
        <w:rPr>
          <w:rFonts w:ascii="Times New Roman" w:hAnsi="Times New Roman"/>
          <w:sz w:val="16"/>
        </w:rPr>
        <w:t> </w:t>
      </w:r>
      <w:r>
        <w:rPr>
          <w:rFonts w:ascii="Times New Roman" w:hAnsi="Times New Roman"/>
          <w:color w:val="000000"/>
          <w:sz w:val="16"/>
        </w:rPr>
        <w:t>Comunicat de presă al Biroului de dezvoltare economică din Hengqin.</w:t>
      </w:r>
    </w:p>
    <w:p>
      <w:pPr>
        <w:pStyle w:val="FootnoteText1"/>
        <w:rPr>
          <w:sz w:val="16"/>
          <w:szCs w:val="16"/>
        </w:rPr>
      </w:pPr>
      <w:hyperlink r:id="rId9" w:history="1">
        <w:r>
          <w:rPr>
            <w:rStyle w:val="Hyperlink1"/>
            <w:rFonts w:ascii="Times New Roman" w:hAnsi="Times New Roman"/>
            <w:sz w:val="16"/>
          </w:rPr>
          <w:t>https://www.hengqin.gov.cn/invest-hengqin-en/hqzx/news/zcdt/content/post_3862629.html</w:t>
        </w:r>
      </w:hyperlink>
      <w:r>
        <w:t>.</w:t>
      </w:r>
    </w:p>
  </w:footnote>
  <w:footnote w:id="10">
    <w:p>
      <w:pPr>
        <w:spacing w:after="0"/>
        <w:rPr>
          <w:rFonts w:ascii="Times New Roman" w:hAnsi="Times New Roman" w:cs="Times New Roman"/>
          <w:color w:val="000000"/>
          <w:sz w:val="16"/>
          <w:szCs w:val="16"/>
        </w:rPr>
      </w:pPr>
      <w:r>
        <w:rPr>
          <w:rStyle w:val="FootnoteReference"/>
          <w:rFonts w:ascii="Times New Roman" w:hAnsi="Times New Roman" w:cs="Times New Roman"/>
          <w:sz w:val="16"/>
          <w:szCs w:val="16"/>
        </w:rPr>
        <w:footnoteRef/>
      </w:r>
      <w:r>
        <w:rPr>
          <w:rFonts w:ascii="Times New Roman" w:hAnsi="Times New Roman"/>
          <w:color w:val="000000"/>
          <w:sz w:val="16"/>
        </w:rPr>
        <w:t> Comunicate de presă ale Autorității Monetare din Macao:</w:t>
      </w:r>
    </w:p>
    <w:p>
      <w:pPr>
        <w:spacing w:after="0"/>
        <w:rPr>
          <w:rFonts w:ascii="Times New Roman" w:hAnsi="Times New Roman" w:cs="Times New Roman"/>
          <w:sz w:val="16"/>
          <w:szCs w:val="16"/>
        </w:rPr>
      </w:pPr>
      <w:hyperlink r:id="rId10" w:history="1">
        <w:r>
          <w:rPr>
            <w:rStyle w:val="Hyperlink1"/>
            <w:rFonts w:ascii="Times New Roman" w:hAnsi="Times New Roman"/>
            <w:sz w:val="16"/>
          </w:rPr>
          <w:t>https://www.gov.mo/en/news/363318/</w:t>
        </w:r>
      </w:hyperlink>
      <w:r>
        <w:t>.</w:t>
      </w:r>
    </w:p>
    <w:p>
      <w:pPr>
        <w:spacing w:after="0"/>
        <w:rPr>
          <w:rFonts w:ascii="Times New Roman" w:hAnsi="Times New Roman" w:cs="Times New Roman"/>
          <w:color w:val="000000"/>
          <w:sz w:val="16"/>
          <w:szCs w:val="16"/>
        </w:rPr>
      </w:pPr>
      <w:hyperlink r:id="rId11" w:history="1">
        <w:r>
          <w:rPr>
            <w:rStyle w:val="Hyperlink1"/>
            <w:rFonts w:ascii="Times New Roman" w:hAnsi="Times New Roman"/>
            <w:sz w:val="16"/>
          </w:rPr>
          <w:t>https://www.gov.mo/en/news/366975/</w:t>
        </w:r>
      </w:hyperlink>
      <w:r>
        <w:t>.</w:t>
      </w:r>
    </w:p>
    <w:p>
      <w:pPr>
        <w:spacing w:after="0"/>
        <w:rPr>
          <w:rFonts w:ascii="Times New Roman" w:hAnsi="Times New Roman" w:cs="Times New Roman"/>
          <w:color w:val="000000"/>
          <w:sz w:val="16"/>
          <w:szCs w:val="16"/>
        </w:rPr>
      </w:pPr>
      <w:hyperlink r:id="rId12" w:history="1">
        <w:r>
          <w:rPr>
            <w:rStyle w:val="Hyperlink1"/>
            <w:rFonts w:ascii="Times New Roman" w:hAnsi="Times New Roman"/>
            <w:sz w:val="16"/>
          </w:rPr>
          <w:t>https://www.gov.mo/en/news/367989/</w:t>
        </w:r>
      </w:hyperlink>
      <w:r>
        <w:t>.</w:t>
      </w:r>
    </w:p>
  </w:footnote>
  <w:footnote w:id="11">
    <w:p>
      <w:pPr>
        <w:pStyle w:val="FootnoteText1"/>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Comunicat de presă al Autorității Monetare din Hong Kong</w:t>
      </w:r>
      <w:r>
        <w:t>.</w:t>
      </w:r>
    </w:p>
    <w:p>
      <w:pPr>
        <w:pStyle w:val="FootnoteText1"/>
        <w:rPr>
          <w:rFonts w:ascii="Times New Roman" w:hAnsi="Times New Roman"/>
          <w:sz w:val="16"/>
          <w:szCs w:val="16"/>
        </w:rPr>
      </w:pPr>
      <w:hyperlink r:id="rId13" w:history="1">
        <w:r>
          <w:rPr>
            <w:rStyle w:val="Hyperlink1"/>
            <w:rFonts w:ascii="Times New Roman" w:hAnsi="Times New Roman"/>
            <w:sz w:val="16"/>
          </w:rPr>
          <w:t>https://www.hkma.gov.hk/eng/news-and-media/press-releases/2025/01/20250121-3/</w:t>
        </w:r>
      </w:hyperlink>
      <w:r>
        <w:t>.</w:t>
      </w:r>
    </w:p>
  </w:footnote>
  <w:footnote w:id="12">
    <w:p>
      <w:pPr>
        <w:pStyle w:val="FootnoteText1"/>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Comunicat de presă al Guvernului Regiunii Administrative Speciale Macao</w:t>
      </w:r>
      <w:r>
        <w:t>.</w:t>
      </w:r>
    </w:p>
    <w:p>
      <w:pPr>
        <w:pStyle w:val="FootnoteText1"/>
        <w:rPr>
          <w:rFonts w:ascii="Times New Roman" w:hAnsi="Times New Roman"/>
          <w:sz w:val="18"/>
          <w:szCs w:val="18"/>
        </w:rPr>
      </w:pPr>
      <w:hyperlink r:id="rId14" w:history="1">
        <w:r>
          <w:rPr>
            <w:rStyle w:val="Hyperlink1"/>
            <w:rFonts w:ascii="Times New Roman" w:hAnsi="Times New Roman"/>
            <w:sz w:val="16"/>
          </w:rPr>
          <w:t>https://www.gov.mo/en/news/391480/</w:t>
        </w:r>
      </w:hyperlink>
      <w:r>
        <w:t>.</w:t>
      </w:r>
    </w:p>
  </w:footnote>
  <w:footnote w:id="13">
    <w:p>
      <w:pPr>
        <w:spacing w:after="0"/>
        <w:rPr>
          <w:rFonts w:ascii="Times New Roman" w:hAnsi="Times New Roman" w:cs="Times New Roman"/>
          <w:color w:val="000000"/>
          <w:sz w:val="16"/>
          <w:szCs w:val="16"/>
        </w:rPr>
      </w:pPr>
      <w:r>
        <w:rPr>
          <w:rStyle w:val="FootnoteReference"/>
          <w:rFonts w:ascii="Times New Roman" w:hAnsi="Times New Roman" w:cs="Times New Roman"/>
          <w:sz w:val="16"/>
          <w:szCs w:val="16"/>
        </w:rPr>
        <w:footnoteRef/>
      </w:r>
      <w:r>
        <w:rPr>
          <w:rFonts w:ascii="Times New Roman" w:hAnsi="Times New Roman"/>
          <w:color w:val="000000"/>
          <w:sz w:val="16"/>
        </w:rPr>
        <w:t> Buletinul oficial al Guvernului Regiunii Administrative Speciale Macao</w:t>
      </w:r>
      <w:r>
        <w:t>.</w:t>
      </w:r>
    </w:p>
    <w:p>
      <w:pPr>
        <w:spacing w:after="0"/>
        <w:rPr>
          <w:rFonts w:ascii="Times New Roman" w:hAnsi="Times New Roman" w:cs="Times New Roman"/>
          <w:color w:val="000000"/>
          <w:sz w:val="16"/>
          <w:szCs w:val="16"/>
        </w:rPr>
      </w:pPr>
      <w:hyperlink r:id="rId15" w:history="1">
        <w:r>
          <w:rPr>
            <w:rStyle w:val="Hyperlink1"/>
            <w:rFonts w:ascii="Times New Roman" w:hAnsi="Times New Roman"/>
            <w:sz w:val="16"/>
          </w:rPr>
          <w:t>https://bo.dsaj.gov.mo/bo/i/2024/33/lei15.asp</w:t>
        </w:r>
      </w:hyperlink>
      <w:r>
        <w:t>.</w:t>
      </w:r>
    </w:p>
  </w:footnote>
  <w:footnote w:id="14">
    <w:p>
      <w:pPr>
        <w:spacing w:after="0"/>
        <w:rPr>
          <w:rFonts w:ascii="Times New Roman" w:hAnsi="Times New Roman" w:cs="Times New Roman"/>
          <w:color w:val="000000"/>
          <w:sz w:val="16"/>
          <w:szCs w:val="16"/>
        </w:rPr>
      </w:pPr>
      <w:r>
        <w:rPr>
          <w:rStyle w:val="FootnoteReference"/>
          <w:rFonts w:ascii="Times New Roman" w:hAnsi="Times New Roman" w:cs="Times New Roman"/>
          <w:sz w:val="16"/>
          <w:szCs w:val="16"/>
        </w:rPr>
        <w:footnoteRef/>
      </w:r>
      <w:r>
        <w:rPr>
          <w:rFonts w:ascii="Times New Roman" w:hAnsi="Times New Roman"/>
          <w:color w:val="000000"/>
          <w:sz w:val="16"/>
        </w:rPr>
        <w:t> Buletinul oficial al Guvernului Regiunii Administrative Speciale Macao</w:t>
      </w:r>
      <w:r>
        <w:t>.</w:t>
      </w:r>
    </w:p>
    <w:p>
      <w:pPr>
        <w:pStyle w:val="FootnoteText1"/>
        <w:rPr>
          <w:rFonts w:ascii="Times New Roman" w:hAnsi="Times New Roman"/>
          <w:sz w:val="16"/>
          <w:szCs w:val="16"/>
        </w:rPr>
      </w:pPr>
      <w:hyperlink r:id="rId16" w:anchor="4" w:history="1">
        <w:r>
          <w:rPr>
            <w:rStyle w:val="Hyperlink1"/>
            <w:rFonts w:ascii="Times New Roman" w:hAnsi="Times New Roman"/>
            <w:sz w:val="16"/>
          </w:rPr>
          <w:t>https://bo.dsaj.gov.mo/bo/i/2025/27/lei04.asp#4</w:t>
        </w:r>
      </w:hyperlink>
      <w:r>
        <w:t>.</w:t>
      </w:r>
    </w:p>
  </w:footnote>
  <w:footnote w:id="15">
    <w:p>
      <w:pPr>
        <w:spacing w:after="0"/>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Comunicat de presă al Guvernului Regiunii Administrative Speciale Macao</w:t>
      </w:r>
      <w:r>
        <w:t>.</w:t>
      </w:r>
    </w:p>
    <w:p>
      <w:pPr>
        <w:rPr>
          <w:sz w:val="18"/>
          <w:szCs w:val="18"/>
        </w:rPr>
      </w:pPr>
      <w:hyperlink r:id="rId17" w:history="1">
        <w:r>
          <w:rPr>
            <w:rStyle w:val="Hyperlink1"/>
            <w:rFonts w:ascii="Times New Roman" w:hAnsi="Times New Roman"/>
            <w:sz w:val="16"/>
          </w:rPr>
          <w:t>https://www.gov.mo/en/news/392648/</w:t>
        </w:r>
      </w:hyperlink>
      <w:r>
        <w:t>.</w:t>
      </w:r>
    </w:p>
  </w:footnote>
  <w:footnote w:id="16">
    <w:p>
      <w:pPr>
        <w:pStyle w:val="FootnoteText1"/>
        <w:rPr>
          <w:rFonts w:ascii="Times New Roman" w:hAnsi="Times New Roman"/>
          <w:sz w:val="16"/>
          <w:szCs w:val="16"/>
        </w:rPr>
      </w:pPr>
      <w:r>
        <w:rPr>
          <w:rStyle w:val="FootnoteReference"/>
          <w:rFonts w:ascii="Times New Roman" w:hAnsi="Times New Roman"/>
          <w:sz w:val="16"/>
          <w:szCs w:val="16"/>
        </w:rPr>
        <w:footnoteRef/>
      </w:r>
      <w:r>
        <w:rPr>
          <w:rStyle w:val="FootnoteReference"/>
          <w:rFonts w:ascii="Times New Roman" w:hAnsi="Times New Roman"/>
          <w:sz w:val="16"/>
        </w:rPr>
        <w:t xml:space="preserve"> </w:t>
      </w:r>
      <w:r>
        <w:rPr>
          <w:rFonts w:ascii="Times New Roman" w:hAnsi="Times New Roman"/>
          <w:sz w:val="16"/>
        </w:rPr>
        <w:t xml:space="preserve">Amenajarea teritorială globală a zonei de cooperare aprofundată Hengqin Guangdong-Macao (2021-2035) </w:t>
      </w:r>
      <w:hyperlink r:id="rId18" w:history="1">
        <w:r>
          <w:rPr>
            <w:rStyle w:val="Hyperlink1"/>
            <w:rFonts w:ascii="Times New Roman" w:hAnsi="Times New Roman"/>
            <w:sz w:val="16"/>
          </w:rPr>
          <w:t>https://www.hengqin.gov.cn/macao_zh_hans/zwgk/zcfg/zyzc/content/post_3836370.html</w:t>
        </w:r>
      </w:hyperlink>
      <w:r>
        <w:t>.</w:t>
      </w:r>
      <w:r>
        <w:rPr>
          <w:rFonts w:ascii="Times New Roman" w:hAnsi="Times New Roman"/>
          <w:sz w:val="16"/>
        </w:rPr>
        <w:t xml:space="preserve"> </w:t>
      </w:r>
    </w:p>
    <w:p>
      <w:pPr>
        <w:pStyle w:val="FootnoteText1"/>
        <w:rPr>
          <w:rFonts w:ascii="Times New Roman" w:hAnsi="Times New Roman"/>
          <w:sz w:val="16"/>
          <w:szCs w:val="16"/>
        </w:rPr>
      </w:pPr>
      <w:r>
        <w:rPr>
          <w:rFonts w:ascii="Times New Roman" w:hAnsi="Times New Roman"/>
          <w:sz w:val="16"/>
        </w:rPr>
        <w:t xml:space="preserve">Planul de dezvoltare industrială a zonei de cooperare aprofundată Hengqin Guangdong-Macao (2025-2029) </w:t>
      </w:r>
      <w:hyperlink r:id="rId19" w:history="1">
        <w:r>
          <w:rPr>
            <w:rStyle w:val="Hyperlink1"/>
            <w:rFonts w:ascii="Times New Roman" w:hAnsi="Times New Roman"/>
            <w:sz w:val="16"/>
          </w:rPr>
          <w:t>https://www.hengqin.gov.cn/macao_zh_hans/zwgk/tzgg/gg/content/post_3810641.html</w:t>
        </w:r>
      </w:hyperlink>
      <w:r>
        <w:rPr>
          <w:rFonts w:asciiTheme="minorHAnsi" w:hAnsiTheme="minorHAnsi"/>
        </w:rPr>
        <w:t>.</w:t>
      </w:r>
    </w:p>
  </w:footnote>
  <w:footnote w:id="17">
    <w:p>
      <w:pPr>
        <w:pStyle w:val="FootnoteText1"/>
        <w:rPr>
          <w:rFonts w:ascii="Times New Roman" w:hAnsi="Times New Roman"/>
          <w:sz w:val="16"/>
          <w:szCs w:val="16"/>
        </w:rPr>
      </w:pPr>
      <w:r>
        <w:rPr>
          <w:rStyle w:val="FootnoteReference"/>
          <w:rFonts w:ascii="Times New Roman" w:hAnsi="Times New Roman"/>
          <w:sz w:val="16"/>
          <w:szCs w:val="16"/>
        </w:rPr>
        <w:footnoteRef/>
      </w:r>
      <w:r>
        <w:rPr>
          <w:rStyle w:val="FootnoteReference"/>
          <w:rFonts w:ascii="Times New Roman" w:hAnsi="Times New Roman"/>
          <w:sz w:val="16"/>
        </w:rPr>
        <w:t> </w:t>
      </w:r>
      <w:r>
        <w:rPr>
          <w:rFonts w:ascii="Times New Roman" w:hAnsi="Times New Roman"/>
          <w:sz w:val="16"/>
        </w:rPr>
        <w:t>Site-ul web al Biroului de dezvoltare economică din Hengqin</w:t>
      </w:r>
      <w:r>
        <w:t>.</w:t>
      </w:r>
      <w:r>
        <w:rPr>
          <w:rFonts w:ascii="Times New Roman" w:hAnsi="Times New Roman"/>
          <w:sz w:val="16"/>
        </w:rPr>
        <w:t xml:space="preserve"> </w:t>
      </w:r>
    </w:p>
    <w:p>
      <w:pPr>
        <w:pStyle w:val="FootnoteText1"/>
        <w:rPr>
          <w:rFonts w:ascii="Times New Roman" w:hAnsi="Times New Roman"/>
          <w:sz w:val="16"/>
          <w:szCs w:val="16"/>
        </w:rPr>
      </w:pPr>
      <w:hyperlink r:id="rId20" w:history="1">
        <w:r>
          <w:rPr>
            <w:rStyle w:val="Hyperlink1"/>
            <w:rFonts w:ascii="Times New Roman" w:hAnsi="Times New Roman"/>
            <w:sz w:val="16"/>
          </w:rPr>
          <w:t>https://www.hengqin.gov.cn/invest-hengqin-en/tshq/tjsj/index.html</w:t>
        </w:r>
      </w:hyperlink>
      <w:r>
        <w:t>.</w:t>
      </w:r>
      <w:r>
        <w:rPr>
          <w:rFonts w:ascii="Times New Roman" w:hAnsi="Times New Roman"/>
          <w:sz w:val="16"/>
        </w:rPr>
        <w:t xml:space="preserve"> </w:t>
      </w:r>
    </w:p>
  </w:footnote>
  <w:footnote w:id="18">
    <w:p>
      <w:pPr>
        <w:pStyle w:val="FootnoteText1"/>
        <w:rPr>
          <w:rFonts w:ascii="Times New Roman" w:hAnsi="Times New Roman"/>
          <w:sz w:val="18"/>
          <w:szCs w:val="18"/>
        </w:rPr>
      </w:pPr>
      <w:r>
        <w:rPr>
          <w:rStyle w:val="FootnoteReference"/>
          <w:rFonts w:ascii="Times New Roman" w:hAnsi="Times New Roman"/>
          <w:sz w:val="16"/>
          <w:szCs w:val="16"/>
        </w:rPr>
        <w:footnoteRef/>
      </w:r>
      <w:r>
        <w:rPr>
          <w:rStyle w:val="FootnoteReference"/>
          <w:rFonts w:ascii="Times New Roman" w:hAnsi="Times New Roman"/>
          <w:sz w:val="16"/>
        </w:rPr>
        <w:t xml:space="preserve"> </w:t>
      </w:r>
      <w:r>
        <w:rPr>
          <w:rFonts w:ascii="Times New Roman" w:hAnsi="Times New Roman"/>
          <w:sz w:val="16"/>
        </w:rPr>
        <w:t xml:space="preserve">Comunicat de presă al Biroului de dezvoltare economică din Hengqin </w:t>
      </w:r>
      <w:hyperlink r:id="rId21" w:history="1">
        <w:r>
          <w:rPr>
            <w:rStyle w:val="Hyperlink1"/>
            <w:rFonts w:ascii="Times New Roman" w:hAnsi="Times New Roman"/>
            <w:sz w:val="16"/>
          </w:rPr>
          <w:t>https://www.hengqin.gov.cn/macao_en/xwbb/content/post_3831188.html</w:t>
        </w:r>
      </w:hyperlink>
      <w:r>
        <w:t>.</w:t>
      </w:r>
      <w:r>
        <w:rPr>
          <w:rFonts w:asciiTheme="minorHAnsi" w:hAnsiTheme="minorHAn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A123A"/>
    <w:multiLevelType w:val="hybridMultilevel"/>
    <w:tmpl w:val="EC564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E55C0E"/>
    <w:multiLevelType w:val="hybridMultilevel"/>
    <w:tmpl w:val="207A70F2"/>
    <w:lvl w:ilvl="0" w:tplc="42EE1CF4">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2D179DCF-33AF-4831-9AB1-119FDE731B9E"/>
    <w:docVar w:name="LW_COVERPAGE_TYPE" w:val="1"/>
    <w:docVar w:name="LW_CROSSREFERENCE" w:val="&lt;UNUSED&gt;"/>
    <w:docVar w:name="LW_DocType" w:val="NORMAL"/>
    <w:docVar w:name="LW_EMISSION" w:val="22.9.2026"/>
    <w:docVar w:name="LW_EMISSION_ISODATE" w:val="2026-09-22"/>
    <w:docVar w:name="LW_EMISSION_LOCATION" w:val="BRX"/>
    <w:docVar w:name="LW_EMISSION_PREFIX" w:val="Bruxelles, "/>
    <w:docVar w:name="LW_EMISSION_SUFFIX" w:val=" "/>
    <w:docVar w:name="LW_ID_DOCTYPE_NONLW" w:val="CP-018"/>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26) 2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 _x0009__x000d_Regiunea Administrativ\u259? Special\u259? Macao_x000d__x000d__x000d__x000d__x000b_       _x000d__x000d__x000d__x000d__x000b_        Raport anual pentru 2025_x000d__x000d__x000d__x000d__x000d__x000d__x000d__x000d__x000b_"/>
    <w:docVar w:name="LW_TYPE.DOC.CP" w:val="RAPORT COMUN C\u258?TRE PARLAMENTUL EUROPEAN \u536?I CONSILIU"/>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42F9CDCD-5966-47B5-85C7-E6752B360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yperlink1">
    <w:name w:val="Hyperlink1"/>
    <w:basedOn w:val="DefaultParagraphFont"/>
    <w:uiPriority w:val="99"/>
    <w:unhideWhenUsed/>
    <w:rPr>
      <w:color w:val="0000FF"/>
      <w:u w:val="single"/>
    </w:rPr>
  </w:style>
  <w:style w:type="paragraph" w:customStyle="1" w:styleId="FootnoteText1">
    <w:name w:val="Footnote Text1"/>
    <w:basedOn w:val="Normal"/>
    <w:next w:val="FootnoteText"/>
    <w:link w:val="FootnoteTextChar"/>
    <w:uiPriority w:val="99"/>
    <w:unhideWhenUsed/>
    <w:pPr>
      <w:spacing w:after="0" w:line="240" w:lineRule="auto"/>
    </w:pPr>
    <w:rPr>
      <w:rFonts w:ascii="Cambria" w:eastAsia="SimSun" w:hAnsi="Cambria" w:cs="Times New Roman"/>
      <w:sz w:val="20"/>
      <w:szCs w:val="20"/>
    </w:rPr>
  </w:style>
  <w:style w:type="character" w:customStyle="1" w:styleId="FootnoteTextChar">
    <w:name w:val="Footnote Text Char"/>
    <w:basedOn w:val="DefaultParagraphFont"/>
    <w:link w:val="FootnoteText1"/>
    <w:uiPriority w:val="99"/>
    <w:rPr>
      <w:rFonts w:ascii="Cambria" w:eastAsia="SimSun" w:hAnsi="Cambria" w:cs="Times New Roman"/>
      <w:sz w:val="20"/>
      <w:szCs w:val="20"/>
    </w:rPr>
  </w:style>
  <w:style w:type="character" w:styleId="FootnoteReference">
    <w:name w:val="footnote reference"/>
    <w:basedOn w:val="DefaultParagraphFont"/>
    <w:uiPriority w:val="99"/>
    <w:unhideWhenUsed/>
    <w:rPr>
      <w:vertAlign w:val="superscript"/>
    </w:rPr>
  </w:style>
  <w:style w:type="character" w:styleId="Hyperlink">
    <w:name w:val="Hyperlink"/>
    <w:basedOn w:val="DefaultParagraphFont"/>
    <w:uiPriority w:val="99"/>
    <w:semiHidden/>
    <w:unhideWhenUsed/>
    <w:rPr>
      <w:color w:val="467886" w:themeColor="hyperlink"/>
      <w:u w:val="single"/>
    </w:rPr>
  </w:style>
  <w:style w:type="paragraph" w:styleId="FootnoteText">
    <w:name w:val="footnote text"/>
    <w:basedOn w:val="Normal"/>
    <w:uiPriority w:val="99"/>
    <w:semiHidden/>
    <w:unhideWhenUsed/>
    <w:pPr>
      <w:spacing w:after="0" w:line="240" w:lineRule="auto"/>
    </w:pPr>
    <w:rPr>
      <w:sz w:val="20"/>
      <w:szCs w:val="20"/>
    </w:rPr>
  </w:style>
  <w:style w:type="character" w:customStyle="1" w:styleId="FootnoteTextChar1">
    <w:name w:val="Footnote Text Char1"/>
    <w:basedOn w:val="DefaultParagraphFont"/>
    <w:uiPriority w:val="99"/>
    <w:semiHidden/>
    <w:rPr>
      <w:sz w:val="20"/>
      <w:szCs w:val="20"/>
    </w:rPr>
  </w:style>
  <w:style w:type="paragraph" w:styleId="Revision">
    <w:name w:val="Revision"/>
    <w:hidden/>
    <w:uiPriority w:val="99"/>
    <w:semiHidden/>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szCs w:val="22"/>
      <w14:ligatures w14:val="none"/>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s://www.gov.mo/en/news/374828/" TargetMode="External"/><Relationship Id="rId13" Type="http://schemas.openxmlformats.org/officeDocument/2006/relationships/hyperlink" Target="https://www.hkma.gov.hk/eng/news-and-media/press-releases/2025/01/20250121-3/" TargetMode="External"/><Relationship Id="rId18" Type="http://schemas.openxmlformats.org/officeDocument/2006/relationships/hyperlink" Target="https://www.hengqin.gov.cn/macao_zh_hans/zwgk/zcfg/zyzc/content/post_3836370.html" TargetMode="External"/><Relationship Id="rId3" Type="http://schemas.openxmlformats.org/officeDocument/2006/relationships/hyperlink" Target="https://www.dsec.gov.mo/en-US/" TargetMode="External"/><Relationship Id="rId21" Type="http://schemas.openxmlformats.org/officeDocument/2006/relationships/hyperlink" Target="https://www.hengqin.gov.cn/macao_en/xwbb/content/post_3831188.html" TargetMode="External"/><Relationship Id="rId7" Type="http://schemas.openxmlformats.org/officeDocument/2006/relationships/hyperlink" Target="https://www.fdct.gov.mo/en/fund_information_detail/article/mhsugm5e.html" TargetMode="External"/><Relationship Id="rId12" Type="http://schemas.openxmlformats.org/officeDocument/2006/relationships/hyperlink" Target="https://www.gov.mo/en/news/367989/" TargetMode="External"/><Relationship Id="rId17" Type="http://schemas.openxmlformats.org/officeDocument/2006/relationships/hyperlink" Target="https://www.gov.mo/en/news/392648/" TargetMode="External"/><Relationship Id="rId2" Type="http://schemas.openxmlformats.org/officeDocument/2006/relationships/hyperlink" Target="https://www.gov.mo/en/news/392652/" TargetMode="External"/><Relationship Id="rId16" Type="http://schemas.openxmlformats.org/officeDocument/2006/relationships/hyperlink" Target="https://bo.dsaj.gov.mo/bo/i/2025/27/lei04.asp" TargetMode="External"/><Relationship Id="rId20" Type="http://schemas.openxmlformats.org/officeDocument/2006/relationships/hyperlink" Target="https://www.hengqin.gov.cn/invest-hengqin-en/tshq/tjsj/index.html" TargetMode="External"/><Relationship Id="rId1" Type="http://schemas.openxmlformats.org/officeDocument/2006/relationships/hyperlink" Target="https://www.eeas.europa.eu/eeas/macao-statement-spokesperson-arrest-au-kam-san_en" TargetMode="External"/><Relationship Id="rId6" Type="http://schemas.openxmlformats.org/officeDocument/2006/relationships/hyperlink" Target="https://www.al.gov.mo/pt/law/lawcase/615" TargetMode="External"/><Relationship Id="rId11" Type="http://schemas.openxmlformats.org/officeDocument/2006/relationships/hyperlink" Target="https://www.gov.mo/en/news/366975/" TargetMode="External"/><Relationship Id="rId5" Type="http://schemas.openxmlformats.org/officeDocument/2006/relationships/hyperlink" Target="https://www.gov.mo/en/news/360247/" TargetMode="External"/><Relationship Id="rId15" Type="http://schemas.openxmlformats.org/officeDocument/2006/relationships/hyperlink" Target="https://bo.dsaj.gov.mo/bo/i/2024/33/lei15.asp" TargetMode="External"/><Relationship Id="rId10" Type="http://schemas.openxmlformats.org/officeDocument/2006/relationships/hyperlink" Target="https://www.gov.mo/en/news/363318/" TargetMode="External"/><Relationship Id="rId19" Type="http://schemas.openxmlformats.org/officeDocument/2006/relationships/hyperlink" Target="https://www.hengqin.gov.cn/macao_zh_hans/zwgk/tzgg/gg/content/post_3810641.html" TargetMode="External"/><Relationship Id="rId4" Type="http://schemas.openxmlformats.org/officeDocument/2006/relationships/hyperlink" Target="https://commission.europa.eu/funding-tenders/procedures-guidelines-tenders/information-contractors-and-beneficiaries/exchange-rate-inforeuro_ro" TargetMode="External"/><Relationship Id="rId9" Type="http://schemas.openxmlformats.org/officeDocument/2006/relationships/hyperlink" Target="https://www.hengqin.gov.cn/invest-hengqin-en/hqzx/news/zcdt/content/post_3862629.html" TargetMode="External"/><Relationship Id="rId14" Type="http://schemas.openxmlformats.org/officeDocument/2006/relationships/hyperlink" Target="https://www.gov.mo/en/news/3914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5192</Words>
  <Characters>29596</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7</cp:revision>
  <dcterms:created xsi:type="dcterms:W3CDTF">2026-08-28T10:14:00Z</dcterms:created>
  <dcterms:modified xsi:type="dcterms:W3CDTF">2026-09-15T08:30:00Z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2026-05-06T15:24:55Z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3030bb0d-a022-4a4e-97ea-a66e7d1a38fa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CP-018</vt:lpwstr>
  </property>
</Properties>
</file>