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F41F84D-59D9-437D-BC7C-B841A991ABE1" style="width:455.25pt;height:300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lastRenderedPageBreak/>
        <w:t>RAPORT COMUN CĂTRE PARLAMENTUL EUROPEAN ȘI CONSILIU</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t>REGIUNEA ADMINISTRATIVĂ SPECIALĂ HONG KONG:</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14:ligatures w14:val="none"/>
        </w:rPr>
      </w:pPr>
      <w:r>
        <w:rPr>
          <w:rFonts w:ascii="Times New Roman" w:hAnsi="Times New Roman"/>
          <w:b/>
          <w:noProof/>
        </w:rPr>
        <w:t>RAPORT ANUAL PENTRU 2025</w:t>
      </w:r>
    </w:p>
    <w:p>
      <w:pPr>
        <w:rPr>
          <w:noProof/>
        </w:rPr>
      </w:pPr>
    </w:p>
    <w:p>
      <w:pPr>
        <w:spacing w:after="0" w:line="240" w:lineRule="auto"/>
        <w:jc w:val="both"/>
        <w:rPr>
          <w:rFonts w:ascii="Times New Roman" w:hAnsi="Times New Roman" w:cs="Times New Roman"/>
          <w:b/>
          <w:noProof/>
        </w:rPr>
      </w:pPr>
      <w:r>
        <w:rPr>
          <w:rFonts w:ascii="Times New Roman" w:hAnsi="Times New Roman"/>
          <w:b/>
          <w:noProof/>
        </w:rPr>
        <w:t>Rezumat</w:t>
      </w:r>
    </w:p>
    <w:p>
      <w:pPr>
        <w:spacing w:after="0" w:line="240" w:lineRule="auto"/>
        <w:jc w:val="both"/>
        <w:rPr>
          <w:rFonts w:ascii="Times New Roman" w:hAnsi="Times New Roman" w:cs="Times New Roman"/>
          <w:b/>
          <w:noProof/>
        </w:rPr>
      </w:pPr>
    </w:p>
    <w:p>
      <w:pPr>
        <w:spacing w:after="0" w:line="240" w:lineRule="auto"/>
        <w:jc w:val="both"/>
        <w:rPr>
          <w:rFonts w:ascii="Times New Roman" w:hAnsi="Times New Roman" w:cs="Times New Roman"/>
          <w:noProof/>
        </w:rPr>
      </w:pPr>
      <w:r>
        <w:rPr>
          <w:rFonts w:ascii="Times New Roman" w:hAnsi="Times New Roman"/>
          <w:noProof/>
        </w:rPr>
        <w:t>De la retrocedarea Hong Kongului către Republica Populară Chineză în 1997, Uniunea Europeană (UE) și statele membre ale acesteia au urmărit îndeaproape evoluțiile politice și economice din Regiunea Administrativă Specială (RAS)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conformitate cu angajamentul asumat în 1997 față de Parlamentul European, Comisia și Înaltul Reprezentant al Uniunii pentru afaceri externe și politica de securitate/Vicepreședintele publică în fiecare an un raport privind evoluția situației din Hong Kong. De-a lungul anilor, acesta a pus accentul în special pe punerea în aplicare a principiului „o țară, două sisteme” și pe autonomia Hong Kongului, astfel cum este afirmată de Legea fundamentală a Hong Kongului.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Prezentul raport, care se referă la anul 2025, este cel de al 28-lea de acest tip. În 2025, Hong Kongul a rămas al treilea centru financiar ca mărime din lume (și cel mai mare din Asia) și un important centru comercial și logistic. În jur de 1 770 de societăți din UE își desfășurau activitatea în Hong Kong, UE înregistrând cea mai mare prezență comercială străină, cu excepția Chinei, în Regiunea Administrativă Specială. Aproximativ jumătate dintre aceste societăți desfășurau operațiuni regionale din Hong Kong. Cetățenii statelor membre ale UE au continuat să ofere contribuții semnificative la economia și societatea RAS, inclusiv în domeniul științei, educației și culturii. Sistemul de drept comun din Hong Kong și un sistem fiscal simplu și cu taxe reduse sunt caracteristici care contribuie la menținerea atractivității sale pentru întreprinderile internaționale.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Din punct de vedere politic, anul 2025 a fost marcat de: (i) o legislație secundară suplimentară în materie de securitate națională, (ii) a doua rundă de alegeri pentru Consiliul Legislativ „doar pentru patrioți”, cu un mecanism de verificare politică, (iii) respingerea de către Consiliul Legislativ a unui proiect de lege de recunoaștere a parteneriatelor între persoane de același sex și (iv) un accent permanent pe securitatea națională în al cincilea an de la impunerea Legii privind securitatea națională, inclusiv cauze importante în instanță. Erodarea gradului ridicat de autonomie al Hong Kongului și a libertăților și drepturilor fundamentale ale cetățenilor din Hong Kong a continuat, în pofida obligației legale a Chinei de a le menține cel puțin până în 2047.</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2025, au continuat procesele intentate împotriva activiștilor, a susținătorilor și a politicienilor prodemocrație în temeiul Legii privind securitatea națională (LSN) din 2020 și al altor acte legislative. În decembrie, instanța l-a condamnat pe antreprenorul din domeniul mass-mediei și pe susținătorul prodemocrației Jimmy Lai pentru acuzații de securitate națională și rebeliune. Procesul a înregistrat întârzieri substanțiale și a durat doi ani. Lai se află în detenție fără întrerupere începând cu 31 decembrie 2020, în principal în regim de izolare.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cauza intentată împotriva liderilor Alianței din Hong Kong de sprijin pentru mișcările patriotice democratice din China, care organiza manifestații de comemorare a represiunii din </w:t>
      </w:r>
      <w:r>
        <w:rPr>
          <w:rFonts w:ascii="Times New Roman" w:hAnsi="Times New Roman"/>
          <w:noProof/>
        </w:rPr>
        <w:lastRenderedPageBreak/>
        <w:t>Piața Tiananmen din 1989 împotriva protestelor prodemocrație din China, procesul a fost amânat pentru a doua oară și reprogramat să înceapă la 21 ianuarie 2026. Mulți dintre inculpați se află în detenție din septembrie 2021, în unele cazuri în regim de izolare pentru perioade lungi de timp.</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bookmarkStart w:id="1" w:name="_Hlk220077506"/>
      <w:r>
        <w:rPr>
          <w:rFonts w:ascii="Times New Roman" w:hAnsi="Times New Roman"/>
          <w:noProof/>
        </w:rPr>
        <w:t>Procedurile de recurs pentru 12 politicieni și activiști prodemocrație condamnați în temeiul LSN pentru participarea la alegerile primare din 2020 au avut loc între 14 iulie și 17 iulie. În mai 2024, instanța a condamnat 45 dintre cei 47 de inculpați în cauza inițială, cunoscută sub denumirea de „Hong Kong 47”.</w:t>
      </w:r>
    </w:p>
    <w:bookmarkEnd w:id="1"/>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 asemenea, autoritățile au inițiat noi urmăriri penale atât în temeiul LSN, cât și al Ordonanței privind protejarea securității naționale (</w:t>
      </w:r>
      <w:r>
        <w:rPr>
          <w:rFonts w:ascii="Times New Roman" w:hAnsi="Times New Roman"/>
          <w:i/>
          <w:noProof/>
        </w:rPr>
        <w:t>Safeguarding National Security Ordinance</w:t>
      </w:r>
      <w:r>
        <w:rPr>
          <w:rFonts w:ascii="Times New Roman" w:hAnsi="Times New Roman"/>
          <w:noProof/>
        </w:rPr>
        <w:t xml:space="preserve"> – SNSO). La 6 iunie, activistul Joshua Wong a primit o nouă acuzație de „conspirație la coluziune cu forțe străine”. În prezent, Wong execută o pedeapsă cu închisoarea de 4 ani și 8 luni, ca parte a cauzei având ca obiect acte de subminare „Hong Kong 47”. Inițial, se preconiza că acesta va fi eliberat în ianuarie 2027. În decembrie 2025, autoritățile au invocat infracțiunile de „prejudiciere a investigării infracțiunilor care pun în pericol securitatea națională” și de „instruire paramilitară neautorizată” create în temeiul SNSO, cunoscute și sub denumirea de legislația în temeiul articolului 23, adoptată în 2024. Kwok Yin-sang, tatăl activistei exilate Anna Kwok, a fost urmărit penal pentru tentativa de administrare a activelor financiare ale fiicei sale, o altă infracțiune nouă creată în temeiul SNSO. Acesta este primul caz în care o rudă a unui activist căutat este acuzată de o infracțiune contra securității naționale.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baza aplicării extrateritoriale a Legii privind securitatea națională, autoritățile din Hong Kong au emis mandate de arestare cu oferirea de recompense împotriva altor 15 activiști de peste mări pentru presupusa lor implicare în organizația „Parlamentul din Hong Kong”, printre care un cetățean european cu reședința în Germania. În total, poliția a emis mandate de arestare care vizează 34 de persoane cu reședința în străinătate.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 asemenea, în 2025 s-au pronunțat hotărâri judecătorești care sprijină promovarea drepturilor persoanelor LGBTIQ+. Cu toate acestea, Consiliul Legislativ a respins un proiect de lege menit să stabilească un cadru alternativ pentru parteneriatele între persoane de același sex, cerință impusă de Înalta Curte de Apel din Hong Kong în septembrie 2023; măsurile administrative de remediere nu au fost încă anunțate.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UE și-a exprimat în repetate rânduri îngrijorarea cu privire la erodarea gradului ridicat de autonomie al Hong Kongului și a libertăților fundamentale, atât în cadrul declarațiilor publice, cât și al schimburilor private cu oficiali din Hong Kong și din administrația centrală.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Declarațiile făcute de purtătorul de cuvânt al UE cu privire la Hong Kong au vizat următoarele aspecte:</w:t>
      </w:r>
    </w:p>
    <w:p>
      <w:pPr>
        <w:spacing w:after="0" w:line="240" w:lineRule="auto"/>
        <w:jc w:val="both"/>
        <w:rPr>
          <w:rFonts w:ascii="Times New Roman" w:hAnsi="Times New Roman" w:cs="Times New Roman"/>
          <w:b/>
          <w:noProof/>
        </w:rPr>
      </w:pPr>
    </w:p>
    <w:p>
      <w:pPr>
        <w:pStyle w:val="ListParagraph"/>
        <w:numPr>
          <w:ilvl w:val="0"/>
          <w:numId w:val="16"/>
        </w:numPr>
        <w:spacing w:after="0" w:line="240" w:lineRule="auto"/>
        <w:jc w:val="both"/>
        <w:rPr>
          <w:rFonts w:ascii="Times New Roman" w:hAnsi="Times New Roman" w:cs="Times New Roman"/>
          <w:b/>
          <w:bCs/>
          <w:noProof/>
        </w:rPr>
      </w:pPr>
      <w:r>
        <w:rPr>
          <w:rFonts w:ascii="Times New Roman" w:hAnsi="Times New Roman"/>
          <w:noProof/>
        </w:rPr>
        <w:t>30 iunie 2025 – Declarația purtătorului de cuvânt la împlinirea a cinci ani de la intrarea în vigoare a Legii privind securitatea națională (</w:t>
      </w:r>
      <w:r>
        <w:rPr>
          <w:rStyle w:val="FootnoteReference"/>
          <w:noProof/>
        </w:rPr>
        <w:footnoteReference w:id="1"/>
      </w:r>
      <w:r>
        <w:rPr>
          <w:rFonts w:ascii="Times New Roman" w:hAnsi="Times New Roman"/>
          <w:noProof/>
        </w:rPr>
        <w:t>);</w:t>
      </w:r>
    </w:p>
    <w:p>
      <w:pPr>
        <w:pStyle w:val="ListParagraph"/>
        <w:spacing w:after="0" w:line="240" w:lineRule="auto"/>
        <w:jc w:val="both"/>
        <w:rPr>
          <w:rFonts w:ascii="Times New Roman" w:hAnsi="Times New Roman" w:cs="Times New Roman"/>
          <w:b/>
          <w:bCs/>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lastRenderedPageBreak/>
        <w:t>31 iulie 2025 – Declarația purtătorului de cuvânt privind mandatele de arestare extrateritoriale (</w:t>
      </w:r>
      <w:r>
        <w:rPr>
          <w:rStyle w:val="FootnoteReference"/>
          <w:noProof/>
        </w:rPr>
        <w:footnoteReference w:id="2"/>
      </w:r>
      <w:r>
        <w:rPr>
          <w:rFonts w:ascii="Times New Roman" w:hAnsi="Times New Roman"/>
          <w:noProof/>
        </w:rPr>
        <w:t>)</w:t>
      </w:r>
    </w:p>
    <w:p>
      <w:pPr>
        <w:pStyle w:val="ListParagrap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15 decembrie 2025 – Declarația purtătorului de cuvânt cu privire la verdictul din cauza „Jimmy Lai” (</w:t>
      </w:r>
      <w:r>
        <w:rPr>
          <w:rStyle w:val="FootnoteReference"/>
          <w:noProof/>
        </w:rPr>
        <w:footnoteReference w:id="3"/>
      </w:r>
      <w:r>
        <w:rPr>
          <w:rFonts w:ascii="Times New Roman" w:hAnsi="Times New Roman"/>
          <w:noProof/>
        </w:rPr>
        <w:t>)</w:t>
      </w:r>
    </w:p>
    <w:p>
      <w:pPr>
        <w:pStyle w:val="ListParagraph"/>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noProof/>
        </w:rPr>
        <w:t>Postarea de pe X (fostul Twitter) a purtătorului de cuvânt al UE despre Hong Kong a vizat următoarele aspecte:</w:t>
      </w:r>
    </w:p>
    <w:p>
      <w:pPr>
        <w:spacing w:after="0" w:line="240" w:lineRule="auto"/>
        <w:jc w:val="bot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b/>
          <w:bCs/>
          <w:noProof/>
        </w:rPr>
      </w:pPr>
      <w:r>
        <w:rPr>
          <w:rFonts w:ascii="Times New Roman" w:hAnsi="Times New Roman"/>
          <w:noProof/>
        </w:rPr>
        <w:t>22 februarie 2025 – Postarea purtătorului de cuvânt al UE privind restrângerea în continuare a spațiului destinat societății civile (</w:t>
      </w:r>
      <w:r>
        <w:rPr>
          <w:rStyle w:val="FootnoteReference"/>
          <w:noProof/>
        </w:rPr>
        <w:footnoteReference w:id="4"/>
      </w:r>
      <w:r>
        <w:rPr>
          <w:rFonts w:ascii="Times New Roman" w:hAnsi="Times New Roman"/>
          <w:noProof/>
        </w:rPr>
        <w:t>)</w:t>
      </w:r>
    </w:p>
    <w:p>
      <w:pPr>
        <w:pStyle w:val="ListParagraph"/>
        <w:spacing w:after="0" w:line="240" w:lineRule="auto"/>
        <w:jc w:val="both"/>
        <w:rPr>
          <w:rFonts w:ascii="Times New Roman" w:hAnsi="Times New Roman" w:cs="Times New Roman"/>
          <w:b/>
          <w:bCs/>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4 iunie 2025 – Postarea purtătorului de cuvânt al UE cu privire la cea de a 36-a aniversare a evenimentelor din Piața Tiananmen (</w:t>
      </w:r>
      <w:r>
        <w:rPr>
          <w:rStyle w:val="FootnoteReference"/>
          <w:noProof/>
        </w:rPr>
        <w:footnoteReference w:id="5"/>
      </w:r>
      <w:r>
        <w:rPr>
          <w:rFonts w:ascii="Times New Roman" w:hAnsi="Times New Roman"/>
          <w:noProof/>
        </w:rPr>
        <w:t>)</w:t>
      </w:r>
    </w:p>
    <w:p>
      <w:pPr>
        <w:pStyle w:val="ListParagraph"/>
        <w:spacing w:after="0" w:line="240" w:lineRule="auto"/>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29 noiembrie 2025 – Postarea purtătorului de cuvânt al UE privind tragedia provocată de incendiul din Tai Po (</w:t>
      </w:r>
      <w:r>
        <w:rPr>
          <w:rStyle w:val="FootnoteReference"/>
          <w:noProof/>
        </w:rPr>
        <w:footnoteReference w:id="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Postarea de pe X (fostul Twitter) a Biroului UE despre Hong Kong a vizat următoarele aspecte legate de drepturile omului:</w:t>
      </w:r>
    </w:p>
    <w:p>
      <w:pPr>
        <w:spacing w:after="0" w:line="240" w:lineRule="auto"/>
        <w:jc w:val="bot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11 septembrie 2025 – Postarea privind angajamentul UE față de drepturile persoanelor LGBTIQ+ (</w:t>
      </w:r>
      <w:r>
        <w:rPr>
          <w:rStyle w:val="FootnoteReference"/>
          <w:noProof/>
        </w:rPr>
        <w:footnoteReference w:id="7"/>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Declarațiile G7 privind Hong Kongul au vizat următoarele aspecte:</w:t>
      </w:r>
    </w:p>
    <w:p>
      <w:pPr>
        <w:spacing w:after="0" w:line="240" w:lineRule="auto"/>
        <w:jc w:val="bot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8 august 2025 – Declarația mecanismului de răspuns rapid (RRM) al G7 privind mandatele de arestare emise de Hong Kong (</w:t>
      </w:r>
      <w:r>
        <w:rPr>
          <w:rStyle w:val="FootnoteReference"/>
          <w:noProof/>
        </w:rPr>
        <w:footnoteReference w:id="8"/>
      </w:r>
      <w:r>
        <w:rPr>
          <w:rFonts w:ascii="Times New Roman" w:hAnsi="Times New Roman"/>
          <w:noProof/>
        </w:rPr>
        <w:t>)</w:t>
      </w:r>
    </w:p>
    <w:p>
      <w:pPr>
        <w:pStyle w:val="ListParagraph"/>
        <w:spacing w:after="0" w:line="240" w:lineRule="auto"/>
        <w:jc w:val="both"/>
        <w:rPr>
          <w:rFonts w:ascii="Times New Roman" w:hAnsi="Times New Roman" w:cs="Times New Roman"/>
          <w:noProof/>
        </w:rPr>
      </w:pP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17 decembrie 2025 – Declarația miniștrilor de externe ai G7 privind verdictul pronunțat în cauza „Jimmy Lai” în Hong Kong (</w:t>
      </w:r>
      <w:r>
        <w:rPr>
          <w:rStyle w:val="FootnoteReference"/>
          <w:noProof/>
        </w:rPr>
        <w:footnoteReference w:id="9"/>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bookmarkStart w:id="2" w:name="_Hlk219474246"/>
      <w:r>
        <w:rPr>
          <w:rFonts w:ascii="Times New Roman" w:hAnsi="Times New Roman"/>
          <w:noProof/>
        </w:rPr>
        <w:t xml:space="preserve">UE și-a subliniat îngrijorarea cu privire la evoluțiile din Hong Kong în declarația citită în cadrul celei de a 80-a sesiuni a Comisiei a III-a a Adunării Generale a ONU: Dezbatere generală la </w:t>
      </w:r>
      <w:r>
        <w:rPr>
          <w:rFonts w:ascii="Times New Roman" w:hAnsi="Times New Roman"/>
          <w:noProof/>
        </w:rPr>
        <w:lastRenderedPageBreak/>
        <w:t>3 octombrie (</w:t>
      </w:r>
      <w:r>
        <w:rPr>
          <w:rStyle w:val="FootnoteReference"/>
          <w:noProof/>
        </w:rPr>
        <w:footnoteReference w:id="10"/>
      </w:r>
      <w:r>
        <w:rPr>
          <w:rFonts w:ascii="Times New Roman" w:hAnsi="Times New Roman"/>
          <w:noProof/>
        </w:rPr>
        <w:t>). În cadrul celei de a 60-a sesiuni a Consiliului Națiunilor Unite pentru Drepturile Omului, UE și-a exprimat îngrijorarea cu privire la situația din Hong Kong la punctul 4 în cadrul dezbaterii generale privind situația drepturilor omului, care necesită atenția Consiliului și care a avut loc la 23 septembrie (</w:t>
      </w:r>
      <w:r>
        <w:rPr>
          <w:rStyle w:val="FootnoteReference"/>
          <w:noProof/>
        </w:rPr>
        <w:footnoteReference w:id="11"/>
      </w:r>
      <w:r>
        <w:rPr>
          <w:rFonts w:ascii="Times New Roman" w:hAnsi="Times New Roman"/>
          <w:noProof/>
        </w:rPr>
        <w:t>). UE a reiterat faptul că este în continuare „preocupată de situația drepturilor omului și de restrângerea spațiului civic în Hong Kong”. UE a îndemnat „guvernul chinez și autoritățile din Hong Kong să restabilească respectarea deplină a statului de drept, a libertăților fundamentale și a principiilor democratice”.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 asemenea, UE și-a exprimat îngrijorarea cu privire la „utilizarea represivă a legislației în materie de securitate națională care continuă să submineze drepturile omului și libertățile fundamentale” în cadrul celei de a 40-a sesiuni a dialogului UE-China privind drepturile omului, care a avut loc la 13 iunie la Bruxelles. UE a solicitat, de asemenea, eliberarea imediată și necondiționată a cetățeanului britanic Jimmy Lai și a apărătorului drepturilor omului Chow Hang-tung.</w:t>
      </w:r>
    </w:p>
    <w:p>
      <w:pPr>
        <w:spacing w:after="0" w:line="240" w:lineRule="auto"/>
        <w:jc w:val="both"/>
        <w:rPr>
          <w:rFonts w:ascii="Times New Roman" w:hAnsi="Times New Roman" w:cs="Times New Roman"/>
          <w:noProof/>
        </w:rPr>
      </w:pPr>
    </w:p>
    <w:bookmarkEnd w:id="2"/>
    <w:p>
      <w:pPr>
        <w:spacing w:after="0" w:line="240" w:lineRule="auto"/>
        <w:jc w:val="both"/>
        <w:rPr>
          <w:rFonts w:ascii="Times New Roman" w:hAnsi="Times New Roman" w:cs="Times New Roman"/>
          <w:noProof/>
          <w:sz w:val="23"/>
          <w:szCs w:val="23"/>
        </w:rPr>
      </w:pPr>
      <w:r>
        <w:rPr>
          <w:rFonts w:ascii="Times New Roman" w:hAnsi="Times New Roman"/>
          <w:noProof/>
        </w:rPr>
        <w:t>În 2025, economia Hong Kongului a crescut pentru al treilea an consecutiv, înregistrând o creștere de 3,5 % a PIB-ului de la an la an și o creștere economică susținută de serviciile financiare, precum și de comerț și logistică. Sectorul construcțiilor, sectorul imobiliar și sectorul turismului s-au confruntat cu provocări în cursul anului. În 2025, UE a rămas cea mai mare comunitate străină de afaceri din Hong Kong, cu excepția Chinei, măsurată în funcție de numărul de societăți. Hong Kongul a fost al zecelea partener ca mărime al UE la nivel mondial pentru comerțul cu servicii, a noua cea mai mare sursă de stocuri de investiții străine directe (ISD) în UE și a paisprezecea cea mai mare destinație a stocului de ISD al UE, potrivit Eurostat (în 2024, ultimul an pentru care sunt disponibile date la momentul redactării prezentului document). Hong Kongul joacă un rol de centru pentru comerț, logistică și servicii comerciale și financiare, inclusiv pentru întreprinderile din UE.</w:t>
      </w:r>
    </w:p>
    <w:p>
      <w:pPr>
        <w:spacing w:after="0" w:line="240" w:lineRule="auto"/>
        <w:jc w:val="both"/>
        <w:rPr>
          <w:rFonts w:ascii="Times New Roman" w:hAnsi="Times New Roman" w:cs="Times New Roman"/>
          <w:b/>
          <w:noProof/>
        </w:rPr>
      </w:pPr>
    </w:p>
    <w:p>
      <w:pPr>
        <w:pStyle w:val="ListParagraph"/>
        <w:numPr>
          <w:ilvl w:val="0"/>
          <w:numId w:val="15"/>
        </w:numPr>
        <w:spacing w:after="0" w:line="240" w:lineRule="auto"/>
        <w:jc w:val="both"/>
        <w:rPr>
          <w:rFonts w:ascii="Times New Roman" w:hAnsi="Times New Roman" w:cs="Times New Roman"/>
          <w:b/>
          <w:noProof/>
        </w:rPr>
      </w:pPr>
      <w:r>
        <w:rPr>
          <w:rFonts w:ascii="Times New Roman" w:hAnsi="Times New Roman"/>
          <w:b/>
          <w:noProof/>
        </w:rPr>
        <w:t>Evoluții politice și sociale</w:t>
      </w:r>
    </w:p>
    <w:p>
      <w:pPr>
        <w:spacing w:after="0" w:line="240" w:lineRule="auto"/>
        <w:jc w:val="both"/>
        <w:rPr>
          <w:rFonts w:ascii="Times New Roman" w:hAnsi="Times New Roman" w:cs="Times New Roman"/>
          <w:b/>
          <w:noProof/>
        </w:rPr>
      </w:pPr>
    </w:p>
    <w:p>
      <w:pPr>
        <w:spacing w:after="0" w:line="240" w:lineRule="auto"/>
        <w:ind w:firstLine="720"/>
        <w:rPr>
          <w:rFonts w:ascii="Times New Roman" w:hAnsi="Times New Roman" w:cs="Times New Roman"/>
          <w:b/>
          <w:bCs/>
          <w:noProof/>
        </w:rPr>
      </w:pPr>
      <w:bookmarkStart w:id="3" w:name="_Hlk218548361"/>
      <w:r>
        <w:rPr>
          <w:rFonts w:ascii="Times New Roman" w:hAnsi="Times New Roman"/>
          <w:b/>
          <w:noProof/>
        </w:rPr>
        <w:t>Alegerile pentru Consiliul Legislativ</w:t>
      </w:r>
    </w:p>
    <w:bookmarkEnd w:id="3"/>
    <w:p>
      <w:pPr>
        <w:spacing w:after="0" w:line="240" w:lineRule="auto"/>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A doua rundă de alegeri generale pentru Consiliul Legislativ din 2025 „doar pentru patrioți” a avut loc la 7 decembrie, trimițând 90 de legiuitori la cel de al optulea Consiliu Legislativ. Toți candidații au fost supuși în mod obligatoriu unui proces de verificare politică impus de lege. Din cei 90, 40 au avut pentru prima dată calitatea de membri ai Consiliului Legislativ, iar 27, un nivel record, au fost, de asemenea, membri fie ai Congresului Național al Poporului (15), fie ai Conferinței politice consultative a poporului chinez (12), ceea ce reprezintă o creștere față de alegerile din 2021. Separat, cel puțin jumătate dintre legiuitorii aleși erau angajați sau directori ai consiliilor de administrație ale societăților din China continentală, ceea ce reprezintă o creștere de 60 % față de acum patru ani.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Prezența la vot pentru cele 20 de locuri alese în mod direct în circumscripția geografică a ajuns la 31,9 %, adică 1,3 milioane de alegători. Rata a depășit procentul de 30,2 % înregistrat la ultimele alegeri, dar a rămas a doua cea mai scăzută rată înregistrată vreodată. În timp ce rata </w:t>
      </w:r>
      <w:r>
        <w:rPr>
          <w:rFonts w:ascii="Times New Roman" w:hAnsi="Times New Roman"/>
          <w:noProof/>
        </w:rPr>
        <w:lastRenderedPageBreak/>
        <w:t>de participare la vot a crescut cu 1,7 puncte procentuale, numărul total de alegători efectivi a scăzut cu aproximativ 33 000, pe măsură ce baza electoratului s-a redus cu 340 000. Numărul voturilor nule a crescut cu 50 % și a ajuns la 41 147, un nivel record.</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Pentru circumscripția funcțională, care reprezintă în principal sectorul industrial și grupurile de interese și în care 30 de locuri sunt atribuite prin alegeri indirecte, prezența cumulată la vot a ajuns la 40,09 % – o creștere de 7,87 puncte procentuale – reprezentând 76 942 de alegători. În circumscripția Comisiei Electorale, 1 458 din 1 466 de alegători înregistrați și-au exprimat votul, ceea ce a dus la o prezență la vot de 99,45 % – depășind procentul de 98,48 % înregistrat în 2021.</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Guvernul a prevăzut un buget cu 70 % mai mare pentru activitățile de promovare electorală față de acum patru ani, ceea ce reprezintă o cheltuială de 180 de milioane HKD (20 de milioane EUR). Guvernul a prelungit, de asemenea, programul obișnuit de vot de la 08:30-22:30 la 07:30-23:30. Au fost înființate patru noi tipuri de secții de votare desemnate pentru a facilita votul funcționarilor publici, al personalului medical, al grupurilor etnice minoritare și al rezidenților în vârstă și cu handicap. Directorul executiv a afirmat că votul este o „îndatorire” a funcționarilor publici. Guvernul a preluat, de asemenea, inițiativa în ceea ce privește organizarea forumurilor electorale – în timpul campaniilor anterioare, astfel de forumuri au fost organizate de canale mass-media.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același timp, Comisia independentă împotriva corupției a arestat 11 persoane pentru că ar fi îndemnat alte persoane să nu voteze sau să exprime voturi nule în cadrul alegerilor și a dat în judecată trei dintre acestea. Agenția anticorupție, care este responsabilă și de urmărirea penală a infracțiunilor legate de alegeri, a emis mandate de arestare pentru două persoane rezidente în străinătate suspectate de a face astfel de postări online pe platformele de comunicare socială. În plus, poliția a arestat cel puțin 29 de persoane pentru presupuse infracțiuni de distrugere a afișelor de promovare a alegerilor, printre care un cetățean spaniol în vârstă de 66 de ani. Cel puțin două cauze au făcut obiectul unor acțiuni în instanță.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Organismul guvernamental central cu sediul în Hong Kong, Biroul pentru protejarea securității naționale, a dezvăluit la 6 decembrie – cu o zi înainte de alegeri – că a „citat” canale mass-media și jurnaliști străini pentru ceea ce numea „atacarea alegerilor pentru Consiliul Legislativ și ingerința în acestea”. Aceasta a fost o acțiune fără precedent.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Observatorii au adresat întrebări cu privire la coordonarea candidaturilor de către autoritățile centrale. În total, 161 de candidați s-au înscris la alegeri, concurând pentru toate locurile. Niciunul dintre cei 12 legiuitori cu vârsta de cel puțin 70 de ani și niciunul dintre legiuitorii considerați prea critici nu a candidat pentru un nou mandat. Biroul de lucru din Hong Kong și Macao, cu sediul la Beijing, a negat existența unei „liste binecuvântate” de candidați în cel puțin trei editoriale republicate pe site-ul său web.</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În perioada premergătoare alegerilor pentru Consiliul Legislativ, spațiul rămas pentru pluralismul politic a continuat să scadă.</w:t>
      </w:r>
      <w:r>
        <w:rPr>
          <w:rFonts w:ascii="Times New Roman" w:hAnsi="Times New Roman"/>
          <w:noProof/>
        </w:rPr>
        <w:t xml:space="preserve"> Restul partidelor politice de opoziție din Hong Kong s-au desființat în contextul presiunii politice ridicate. Partidul Democrat, odată cel mai mare partid din legislatura RAS, a început procesul de desființare la 13 aprilie și l-a încheiat cu votul adunării generale a partidului la 14 decembrie. La 29 iunie, Liga Social-Democrată a anunțat desființarea sa, invocând „imensa presiune politică”.</w:t>
      </w:r>
    </w:p>
    <w:p>
      <w:pPr>
        <w:spacing w:after="0" w:line="240" w:lineRule="auto"/>
        <w:jc w:val="both"/>
        <w:rPr>
          <w:rFonts w:ascii="Times New Roman" w:hAnsi="Times New Roman" w:cs="Times New Roman"/>
          <w:noProof/>
        </w:rPr>
      </w:pPr>
    </w:p>
    <w:p>
      <w:pPr>
        <w:spacing w:after="0" w:line="240" w:lineRule="auto"/>
        <w:jc w:val="both"/>
        <w:rPr>
          <w:rFonts w:ascii="Times New Roman" w:eastAsia="DengXian" w:hAnsi="Times New Roman" w:cs="Times New Roman"/>
          <w:noProof/>
        </w:rPr>
      </w:pPr>
      <w:r>
        <w:rPr>
          <w:rFonts w:ascii="Times New Roman" w:hAnsi="Times New Roman"/>
          <w:noProof/>
        </w:rPr>
        <w:lastRenderedPageBreak/>
        <w:t xml:space="preserve">În cursul mandatului de patru ani al celui de al șaptelea Consiliu Legislativ, au fost adoptate 130 de proiecte de lege ale guvernului, ceea ce reprezintă o creștere de 60 % față de mandatul anterior. Singurul proiect legislativ introdus de guvern care a fost respins de Consiliul Legislativ a fost Legea privind înregistrarea parteneriatelor între persoane de același sex. </w:t>
      </w:r>
      <w:r>
        <w:rPr>
          <w:rFonts w:ascii="Times New Roman" w:hAnsi="Times New Roman"/>
          <w:noProof/>
          <w:color w:val="000000"/>
        </w:rPr>
        <w:t>Organul legislativ nu a trimis nicio delegație în Europa sau America de Nord în actualul său mandat de patru ani, o premieră din 1997.</w:t>
      </w:r>
    </w:p>
    <w:p>
      <w:pPr>
        <w:spacing w:after="0" w:line="240" w:lineRule="auto"/>
        <w:jc w:val="both"/>
        <w:rPr>
          <w:rFonts w:ascii="Times New Roman" w:eastAsia="DengXi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iulie 2025, legiuitorii au aprobat în unanimitate un nou „Cod pentru membrii Consiliului Legislativ”, care prevedea cerințe privind participarea la reuniuni, votul și alte atribuții, introducând totodată sancțiuni mai severe pentru abateri. Noul cod de conduită prevedea, de asemenea, că „[m]embrii trebuie să preia conducerea exemplară în îndeplinirea cu conștiinciozitate a obligației de a proteja securitatea națională și de a-și spori gradul de conștientizare și capacitățile de protejare a securității naționale”. Codul prevede și faptul că parlamentarii nu ar trebui „să denigreze în mod intenționat credibilitatea în materie de guvernanță a șefului executivului și a guvernului RAS”.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Comisia Electorală din 2025 – Subsectorul Alegeri parțiale a avut loc la 7 septembrie. Aproximativ 3 534 de alegători înregistrați – reprezentând o rată de participare la vot de 97,33 % – și-au exprimat votul pentru 21 de locuri în comisia formată din 1 500 de membri, care este responsabilă de alegerea șefului executivului, și pentru 40 de locuri în Consiliul Legislativ.</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noProof/>
        </w:rPr>
        <w:tab/>
      </w:r>
      <w:r>
        <w:rPr>
          <w:rFonts w:ascii="Times New Roman" w:hAnsi="Times New Roman"/>
          <w:b/>
          <w:noProof/>
        </w:rPr>
        <w:t>Punerea în aplicare a legislației privind securitatea națională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2025 a marcat împlinirea a trei ani de la impunerea Legii privind securitatea națională. Funcționarii guvernamentali au reiterat faptul că „securitatea națională este un angajament continuu și fără sfârșit”.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1 decembrie, poliția efectuase 365 de arestări în temeiul LSN, al SNSO și al altor acte legislative în materie de securitate națională. În iunie, secretarul pentru securitate a anunțat că linia telefonică de urgență pentru securitate națională a înregistrat peste 920 000 de raportări în ultimii patru ani.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luna mai, guvernul a adoptat două acte legislative secundare în temeiul SNSO, în cadrul unui proces care a durat doar trei zile: informarea legiuitorilor cu privire la planul legislativ la 11 mai, consultarea legiuitorilor la 12 mai și publicarea proiectului de lege la 13 mai.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Unul dintre cele două acte legislative secundare a stabilit detaliile de punere în aplicare a SNSO. Au fost constituite cinci infracțiuni în legătură cu activitatea Biroului din China continentală pentru protejarea securității naționale (OSNS) în Hong Kong, și anume:</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nerespectarea unui document legal emis de OSNS fără o justificare rezonabilă;</w:t>
      </w:r>
    </w:p>
    <w:p>
      <w:pPr>
        <w:pStyle w:val="ListParagraph"/>
        <w:numPr>
          <w:ilvl w:val="0"/>
          <w:numId w:val="10"/>
        </w:numPr>
        <w:spacing w:after="0" w:line="240" w:lineRule="auto"/>
        <w:jc w:val="both"/>
        <w:rPr>
          <w:rFonts w:ascii="Times New Roman" w:hAnsi="Times New Roman" w:cs="Times New Roman"/>
          <w:noProof/>
        </w:rPr>
      </w:pPr>
      <w:r>
        <w:rPr>
          <w:rFonts w:ascii="Times New Roman" w:hAnsi="Times New Roman"/>
          <w:noProof/>
        </w:rPr>
        <w:t>furnizarea de declarații false sau înșelătoare către OSNS;</w:t>
      </w:r>
    </w:p>
    <w:p>
      <w:pPr>
        <w:pStyle w:val="ListParagraph"/>
        <w:numPr>
          <w:ilvl w:val="0"/>
          <w:numId w:val="10"/>
        </w:numPr>
        <w:spacing w:after="0" w:line="240" w:lineRule="auto"/>
        <w:jc w:val="both"/>
        <w:rPr>
          <w:rFonts w:ascii="Times New Roman" w:hAnsi="Times New Roman" w:cs="Times New Roman"/>
          <w:noProof/>
        </w:rPr>
      </w:pPr>
      <w:r>
        <w:rPr>
          <w:rFonts w:ascii="Times New Roman" w:hAnsi="Times New Roman"/>
          <w:noProof/>
        </w:rPr>
        <w:t>divulgarea investigației efectuate de OSNS;</w:t>
      </w:r>
    </w:p>
    <w:p>
      <w:pPr>
        <w:pStyle w:val="ListParagraph"/>
        <w:numPr>
          <w:ilvl w:val="0"/>
          <w:numId w:val="10"/>
        </w:numPr>
        <w:spacing w:after="0" w:line="240" w:lineRule="auto"/>
        <w:jc w:val="both"/>
        <w:rPr>
          <w:rFonts w:ascii="Times New Roman" w:hAnsi="Times New Roman" w:cs="Times New Roman"/>
          <w:noProof/>
        </w:rPr>
      </w:pPr>
      <w:r>
        <w:rPr>
          <w:rFonts w:ascii="Times New Roman" w:hAnsi="Times New Roman"/>
          <w:noProof/>
        </w:rPr>
        <w:t>opunerea de rezistență sau obstrucționarea cu bună știință a activității OSNS și</w:t>
      </w:r>
    </w:p>
    <w:p>
      <w:pPr>
        <w:pStyle w:val="ListParagraph"/>
        <w:numPr>
          <w:ilvl w:val="0"/>
          <w:numId w:val="10"/>
        </w:numPr>
        <w:spacing w:after="0" w:line="240" w:lineRule="auto"/>
        <w:jc w:val="both"/>
        <w:rPr>
          <w:rFonts w:ascii="Times New Roman" w:hAnsi="Times New Roman" w:cs="Times New Roman"/>
          <w:noProof/>
        </w:rPr>
      </w:pPr>
      <w:r>
        <w:rPr>
          <w:rFonts w:ascii="Times New Roman" w:hAnsi="Times New Roman"/>
          <w:noProof/>
        </w:rPr>
        <w:t>uzurparea identității unui membru al personalului OSNS.</w:t>
      </w:r>
    </w:p>
    <w:p>
      <w:pPr>
        <w:spacing w:after="0" w:line="240" w:lineRule="auto"/>
        <w:ind w:left="360"/>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Legislația secundară a introdus o nouă pedeapsă maximă cu închisoarea de șapte ani și o amendă de 500 000 HKD (56 700 EUR).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La 15 mai, secretarul pentru justiție a subliniat că orice persoană care primește o cerere din partea OSNS de a transmite informații este obligată să se conformeze, chiar și atunci când informațiile fac obiectul unui acord de confidențialitate.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Celălalt act al legislației secundare a declarat șase sedii desemnate ale OSNS ca locuri interzise.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12 iunie, OSNS și Departamentul de securitate națională al forțelor de poliție din Hong Kong au desfășurat prima lor operațiune comună cunoscută public. Potrivit autorităților, șase persoane și o organizație au fost suspectate de săvârșirea infracțiunii de „coluziune cu o țară străină sau cu elemente externe în scopul periclitării securității naționale” în temeiul Legii privind securitatea națională în perioada noiembrie 2020-iunie 2024. Poliția din Hong Kong a percheziționat locuințele suspecților și un birou al organizației și a confiscat documentele de călătorie ale suspecților.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14 iunie, secretarul pentru securitate a explicat că Biroul Național de Securitate al Guvernului Central din Hong Kong a solicitat asistență din partea poliției din Hong Kong pentru a stabili dacă există circumstanțe în care Biroul Național de Securitate să își exercite jurisdicția asupra unui caz de securitate națională din Hong Kong cu aprobarea guvernului central al Republicii Populare Chineze – competență consacrată la articolul 55 din LSN. La sfârșitul anului 2025, cazul nu a făcut obiectul urmăririi penale, iar identitatea persoanelor și a organizațiilor în cauză a rămas necunoscută.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Procedurile judiciare în procesele intentate în temeiul LSN, al SNSO și al altor acte legislative conexe au continuat în 2025</w:t>
      </w:r>
      <w:r>
        <w:rPr>
          <w:rFonts w:ascii="Times New Roman" w:hAnsi="Times New Roman"/>
          <w:noProof/>
        </w:rPr>
        <w:t>, în unele cazuri înregistrându-se întârzieri considerabile. Mulți dintre inculpați se află în detenție de la jumătatea anului 2021, în unele cazuri în regim de izolare prelungită.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Procedurile de recurs pentru 12 politicieni și activiști prodemocrație condamnați în temeiul LSN pentru participarea la alegerile primare din 2020</w:t>
      </w:r>
      <w:r>
        <w:rPr>
          <w:rFonts w:ascii="Times New Roman" w:hAnsi="Times New Roman"/>
          <w:noProof/>
        </w:rPr>
        <w:t xml:space="preserve"> au avut loc în perioada 14</w:t>
      </w:r>
      <w:r>
        <w:rPr>
          <w:rFonts w:ascii="Times New Roman" w:hAnsi="Times New Roman" w:cs="Times New Roman"/>
          <w:noProof/>
        </w:rPr>
        <w:t>­</w:t>
      </w:r>
      <w:r>
        <w:rPr>
          <w:rFonts w:ascii="Times New Roman" w:hAnsi="Times New Roman"/>
          <w:noProof/>
        </w:rPr>
        <w:t>17 iulie. În mai 2024, instanța a condamnat 45 dintre cei 47 de inculpați în cauza inițială, cunoscută sub denumirea de „Hong Kong 47” și a achitat 2 dintre aceștia. 12 inculpați condamnați pentru „conspirație în vederea săvârșirii actelor de subminare” au solicitat pedepse mai ușoare cu închisoarea sau anularea condamnărilor lor, în timp ce procurorul a contestat hotărârea de achitare a unui inculpat. Ministerul Public a declarat apel împotriva unei hotărâri de achitare. Decizia instanței de apel a fost pronunțată în februarie 2026.</w:t>
      </w:r>
    </w:p>
    <w:p>
      <w:pPr>
        <w:spacing w:after="0" w:line="240" w:lineRule="auto"/>
        <w:jc w:val="both"/>
        <w:rPr>
          <w:rFonts w:ascii="Times New Roman" w:hAnsi="Times New Roman" w:cs="Times New Roman"/>
          <w:b/>
          <w:noProof/>
        </w:rPr>
      </w:pPr>
    </w:p>
    <w:p>
      <w:pPr>
        <w:spacing w:after="0" w:line="240" w:lineRule="auto"/>
        <w:jc w:val="both"/>
        <w:rPr>
          <w:rFonts w:ascii="Times New Roman" w:hAnsi="Times New Roman" w:cs="Times New Roman"/>
          <w:noProof/>
        </w:rPr>
      </w:pPr>
      <w:r>
        <w:rPr>
          <w:rFonts w:ascii="Times New Roman" w:hAnsi="Times New Roman"/>
          <w:noProof/>
        </w:rPr>
        <w:t>Între timp, 14 dintre cei 45 de inculpați au fost eliberați la încetarea pedepsei cu închisoarea. Printre aceștia, Andrew Chiu a devenit primul infractor din domeniul securității naționale care a fost absolvit de pedeapsă de Departamentul pentru servicii corecționale și a fost eliberat la 28 octombrie. Chiu a colaborat cu procurorii pentru a depune mărturie împotriva a 16 dintre foștii săi tovarăși care pledaseră nevinovați, obținând absolvirea de pedeapsa sa inițială de condamnare la șapte ani de închisoare (</w:t>
      </w:r>
      <w:r>
        <w:rPr>
          <w:rStyle w:val="FootnoteReference"/>
          <w:noProof/>
        </w:rPr>
        <w:footnoteReference w:id="12"/>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Procesul intentat în temeiul LSN împotriva Alianței din Hong Kong de sprijin pentru mișcările patriotice democratice din China</w:t>
      </w:r>
      <w:r>
        <w:rPr>
          <w:rFonts w:ascii="Times New Roman" w:hAnsi="Times New Roman"/>
          <w:noProof/>
        </w:rPr>
        <w:t xml:space="preserve"> (Alianța din Hong Kong), programat să înceapă la 11 noiembrie 2025, a fost amânat pentru a doua oară și reprogramat să înceapă la </w:t>
      </w:r>
      <w:r>
        <w:rPr>
          <w:rFonts w:ascii="Times New Roman" w:hAnsi="Times New Roman"/>
          <w:noProof/>
        </w:rPr>
        <w:lastRenderedPageBreak/>
        <w:t>22 ianuarie 2026. Durata prevăzută a procesului este de 75 de zile. Grupul societății civile acum desființat organiza ceremonia anuală cu lumânări din Hong Kong pentru a comemora represiunea din Piața Tiananmen, care a avut loc în 1989. Procurorul a acuzat Alianța din Hong Kong și membrii principali ai acesteia de „incitare la subminare”. Pedeapsa maximă este închisoarea pe viață. Albert Ho, unul dintre inculpați, a decis să pledeze vinovat în această cauză.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Într-o cauză conexă, la 6 martie, Înalta Curte de Apel a anulat condamnările a trei foști membri ai Alianței din Hong Kong, inclusiv a vicepreședintelui Chow Hang-tung, pentru nerespectarea cererilor poliției în temeiul LSN.</w:t>
      </w:r>
    </w:p>
    <w:p>
      <w:pPr>
        <w:spacing w:after="0" w:line="240" w:lineRule="auto"/>
        <w:rPr>
          <w:rFonts w:ascii="Times New Roman" w:hAnsi="Times New Roman" w:cs="Times New Roman"/>
          <w:bCs/>
          <w:noProof/>
          <w:color w:val="000000"/>
          <w:highlight w:val="green"/>
        </w:rPr>
      </w:pPr>
    </w:p>
    <w:p>
      <w:pPr>
        <w:spacing w:after="0" w:line="240" w:lineRule="auto"/>
        <w:jc w:val="both"/>
        <w:rPr>
          <w:rFonts w:ascii="Times New Roman" w:hAnsi="Times New Roman" w:cs="Times New Roman"/>
          <w:b/>
          <w:noProof/>
        </w:rPr>
      </w:pPr>
      <w:r>
        <w:rPr>
          <w:rFonts w:ascii="Times New Roman" w:hAnsi="Times New Roman"/>
          <w:b/>
          <w:noProof/>
        </w:rPr>
        <w:t>În cadrul procesului în temeiul LSN și privind rebeliunea intentat împotriva lui Jimmy Lai, antreprenor în domeniul mass-media și activist prodemocrație</w:t>
      </w:r>
      <w:r>
        <w:rPr>
          <w:rFonts w:ascii="Times New Roman" w:hAnsi="Times New Roman"/>
          <w:noProof/>
        </w:rPr>
        <w:t>, Înalta Curte a pronunțat o hotărâre de condamnare cu privire la două infracțiuni prevăzute de Legea privind securitatea națională la 15 decembrie („conspirație la coluziune cu o țară străină sau cu elemente externe în scopul periclitării securității naționale”) și a unei infracțiuni prevăzute de Legea privind rebeliunea, care datează din perioada colonială, („conspirație în vederea tipăririi, publicării, vânzării, oferirii spre vânzare, distribuirii, afișării și/sau reproducerii de publicații care instigă la rebeliune”). Alături de Lai au mai fost puse sub acuzare trei societăți afiliate publicației Apple Daily, actualmente desființat. Șase foști jurnaliști ai publicației Apple Daily pledaseră vinovați în noiembrie 2022.</w:t>
      </w:r>
    </w:p>
    <w:p>
      <w:pPr>
        <w:spacing w:after="0" w:line="240" w:lineRule="auto"/>
        <w:jc w:val="both"/>
        <w:rPr>
          <w:rFonts w:ascii="Times New Roman" w:hAnsi="Times New Roman" w:cs="Times New Roman"/>
          <w:b/>
          <w:noProof/>
        </w:rPr>
      </w:pPr>
    </w:p>
    <w:p>
      <w:pPr>
        <w:spacing w:after="0" w:line="240" w:lineRule="auto"/>
        <w:jc w:val="both"/>
        <w:rPr>
          <w:rFonts w:ascii="Times New Roman" w:hAnsi="Times New Roman" w:cs="Times New Roman"/>
          <w:bCs/>
          <w:noProof/>
        </w:rPr>
      </w:pPr>
      <w:r>
        <w:rPr>
          <w:rFonts w:ascii="Times New Roman" w:hAnsi="Times New Roman"/>
          <w:noProof/>
        </w:rPr>
        <w:t>Procesul a înregistrat întârzieri semnificative. Acesta a durat 156 de zile, în loc de 83, cum era prevăzut inițial. Hotărârea a inclus trimiteri substanțiale la declarații și acțiuni ale lui Lai, anterioare intrării în vigoare a LSN în iunie 2020. Procesul de atenuare și hotărârea de condamnare vor fi incluse în raportul anual pe 2026, dat fiind faptul că au avut loc în 2026.</w:t>
      </w:r>
    </w:p>
    <w:p>
      <w:pPr>
        <w:spacing w:after="0" w:line="240" w:lineRule="auto"/>
        <w:jc w:val="both"/>
        <w:rPr>
          <w:rFonts w:ascii="Times New Roman" w:hAnsi="Times New Roman" w:cs="Times New Roman"/>
          <w:bCs/>
          <w:noProof/>
        </w:rPr>
      </w:pPr>
    </w:p>
    <w:p>
      <w:pPr>
        <w:spacing w:after="0" w:line="240" w:lineRule="auto"/>
        <w:jc w:val="both"/>
        <w:rPr>
          <w:rFonts w:ascii="Times New Roman" w:hAnsi="Times New Roman" w:cs="Times New Roman"/>
          <w:bCs/>
          <w:noProof/>
        </w:rPr>
      </w:pPr>
      <w:r>
        <w:rPr>
          <w:rFonts w:ascii="Times New Roman" w:hAnsi="Times New Roman"/>
          <w:noProof/>
        </w:rPr>
        <w:t>Familia lui Lai și-a exprimat în mod constant îngrijorarea cu privire la condițiile de detenție și la starea de sănătate a persoanei în vârstă de 78 de ani.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urma verdictului, o serie de înalți funcționari din Hong Kong și-au exprimat sprijinul pentru hotărâre, care a avut un caracter fără precedent în contextul unei acțiuni în justiție în Hong Kong. Biroul Comisarului Ministerului Afacerilor Externe al Republicii Populare Chineze din Hong Kong a publicat nouă articole în perioada 15-23 decembrie, reafirmându-și sprijinul pentru hotărâre și respingând criticile.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plus, în 2025, Lai a făcut apel împotriva condamnărilor și sentințelor pronunțate împotriva lui, având ca obiect participarea sa la ceremonia cu lumânări din 4 iunie 2020, precum și un caz separat de fraudă legat de Apple Daily.</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La 6 iunie, activistul </w:t>
      </w:r>
      <w:r>
        <w:rPr>
          <w:rFonts w:ascii="Times New Roman" w:hAnsi="Times New Roman"/>
          <w:b/>
          <w:noProof/>
        </w:rPr>
        <w:t>Joshua Wong a primit o nouă acuzație de „conspirație la coluziune cu forțe străine</w:t>
      </w:r>
      <w:r>
        <w:rPr>
          <w:rFonts w:ascii="Times New Roman" w:hAnsi="Times New Roman"/>
          <w:noProof/>
        </w:rPr>
        <w:t>” în temeiul LSN. Wong a fost adus în fața instanței la 6 iunie, procurorii susținând că a conspirat cu fostul legiuitor exilat Nathan Law și cu alte persoane în perioada 1 iulie-23 noiembrie 2020 pentru a solicita organizațiilor străine să impună sancțiuni sau să ia măsuri ostile împotriva RAS Hong Kong sau a Republicii Populare Chineze. În prezent, Wong execută o pedeapsă cu închisoarea de 4 ani și 8 luni, ca parte a cauzei având ca obiect acte de subminare „Hong Kong 47” și se preconiza că va fi eliberat în ianuarie 2027. El ar putea primi o pedeapsă suplimentară de la trei ani la închisoare pe viață.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 xml:space="preserve">În septembrie, Curtea de Apel a respins o cerere din partea lui </w:t>
      </w:r>
      <w:r>
        <w:rPr>
          <w:rFonts w:ascii="Times New Roman" w:hAnsi="Times New Roman"/>
          <w:b/>
          <w:noProof/>
        </w:rPr>
        <w:t>Wong Kin-chung, cunoscut și sub numele de Joseph John</w:t>
      </w:r>
      <w:r>
        <w:rPr>
          <w:rFonts w:ascii="Times New Roman" w:hAnsi="Times New Roman"/>
          <w:noProof/>
        </w:rPr>
        <w:t>, cetățean portughez și rezident britanic, condamnat pentru „incitare la secesiune”, având ca obiect introducerea unei căi de atac la Înalta Curte de Apel împotriva condamnării sale la cinci ani de închisoare. Ulterior, acesta a depus o cerere direct la Înalta Curte de Apel, care a fost, de asemenea, respinsă în noiembrie.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15 decembrie, un adolescent în vârstă de 16 ani a fost condamnat la trei ani și jumătate de închisoare după ce a pledat vinovat de conspirație pentru săvârșirea secesiunii.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cursul anului, autoritățile au inițiat noi urmăriri penale invocând infracțiuni în temeiul </w:t>
      </w:r>
      <w:r>
        <w:rPr>
          <w:rFonts w:ascii="Times New Roman" w:hAnsi="Times New Roman"/>
          <w:b/>
          <w:noProof/>
        </w:rPr>
        <w:t>SNSO</w:t>
      </w:r>
      <w:r>
        <w:rPr>
          <w:rFonts w:ascii="Times New Roman" w:hAnsi="Times New Roman"/>
          <w:noProof/>
        </w:rPr>
        <w:t>. Zece persoane au fost arestate pentru „</w:t>
      </w:r>
      <w:r>
        <w:rPr>
          <w:rFonts w:ascii="Times New Roman" w:hAnsi="Times New Roman"/>
          <w:b/>
          <w:noProof/>
        </w:rPr>
        <w:t>instruire paramilitară neautorizată</w:t>
      </w:r>
      <w:r>
        <w:rPr>
          <w:rFonts w:ascii="Times New Roman" w:hAnsi="Times New Roman"/>
          <w:noProof/>
        </w:rPr>
        <w:t>” – o infracțiune în temeiul articolului 13 din SNSO care indică antrenament în domeniul militar – la începutul lunii decembrie; două dintre acestea au fost acuzate de „conspirație în vederea săvârșirii actelor de subminare” la 15 decembrie. Wong Kwok-ngon, cunoscut sub pseudonimul Wong On-yin, a fost acuzat de infracțiunea de „</w:t>
      </w:r>
      <w:r>
        <w:rPr>
          <w:rFonts w:ascii="Times New Roman" w:hAnsi="Times New Roman"/>
          <w:b/>
          <w:noProof/>
        </w:rPr>
        <w:t>prejudiciere a investigării infracțiunilor care pun în pericol securitatea națională</w:t>
      </w:r>
      <w:r>
        <w:rPr>
          <w:rFonts w:ascii="Times New Roman" w:hAnsi="Times New Roman"/>
          <w:noProof/>
        </w:rPr>
        <w:t>” (prin divulgarea detaliilor anchetelor efectuate de poliție în cursul unei investigații privind securitatea națională) – o infracțiune în temeiul articolului 88 din SNSO – precum și de rebeliune la 9 decembrie.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cazul lui </w:t>
      </w:r>
      <w:r>
        <w:rPr>
          <w:rFonts w:ascii="Times New Roman" w:hAnsi="Times New Roman"/>
          <w:b/>
          <w:noProof/>
        </w:rPr>
        <w:t>Kwok Yin-sang</w:t>
      </w:r>
      <w:r>
        <w:rPr>
          <w:rFonts w:ascii="Times New Roman" w:hAnsi="Times New Roman"/>
          <w:noProof/>
        </w:rPr>
        <w:t xml:space="preserve">, tatăl activistei „căutate” Anna Kwok, care a fost acuzat că </w:t>
      </w:r>
      <w:r>
        <w:rPr>
          <w:rFonts w:ascii="Times New Roman" w:hAnsi="Times New Roman"/>
          <w:b/>
          <w:noProof/>
        </w:rPr>
        <w:t>a administrat „fonduri sau alte active financiare”</w:t>
      </w:r>
      <w:r>
        <w:rPr>
          <w:rFonts w:ascii="Times New Roman" w:hAnsi="Times New Roman"/>
          <w:noProof/>
        </w:rPr>
        <w:t xml:space="preserve"> aparținând fiicei sale, procesul de patru zile s-a încheiat la 23 decembrie, hotărârea fiind prevăzută a se pronunța la 11 februarie 2026. </w:t>
      </w:r>
      <w:bookmarkStart w:id="4" w:name="_Hlk220079830"/>
      <w:r>
        <w:rPr>
          <w:rFonts w:ascii="Times New Roman" w:hAnsi="Times New Roman"/>
          <w:noProof/>
        </w:rPr>
        <w:t>Acesta este primul caz în care o rudă a unui activist căutat este acuzată de o infracțiune contra securității naționale.</w:t>
      </w:r>
      <w:bookmarkEnd w:id="4"/>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În cauza Stand News</w:t>
      </w:r>
      <w:r>
        <w:rPr>
          <w:rFonts w:ascii="Times New Roman" w:hAnsi="Times New Roman"/>
          <w:noProof/>
        </w:rPr>
        <w:t>, în care au fost pronunțate condamnări pentru doi foști redactori-șefi în septembrie 2024 în temeiul legii privind rebeliunea, care datează din perioada colonială, unul dintre redactori a făcut recurs în iunie 2025. Recursul este programat în septembrie 2026. Într</w:t>
      </w:r>
      <w:r>
        <w:rPr>
          <w:rFonts w:ascii="Times New Roman" w:hAnsi="Times New Roman" w:cs="Times New Roman"/>
          <w:noProof/>
        </w:rPr>
        <w:t>­</w:t>
      </w:r>
      <w:r>
        <w:rPr>
          <w:rFonts w:ascii="Times New Roman" w:hAnsi="Times New Roman"/>
          <w:noProof/>
        </w:rPr>
        <w:t>o altă cauză privind rebeliunea, Înalta Curte de Apel a confirmat condamnarea activistului Tam Tak-chi la 6 martie.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Instanțele au continuat să instrumenteze cauze legate de protestele din 2019.</w:t>
      </w:r>
      <w:r>
        <w:rPr>
          <w:rFonts w:ascii="Times New Roman" w:hAnsi="Times New Roman"/>
          <w:noProof/>
        </w:rPr>
        <w:t xml:space="preserve"> Potrivit sistemului judiciar din Hong Kong, în aprilie 2025, instanțele prelucraseră 96 % din cauzele pendinte legate de protestele din 2019.</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Fostul legiuitor prodemocrație Lam Cheuk-ting a fost achitat la 6 noiembrie de „atacarea sau obstrucționarea” legiuitorilor pro-Beijing în timpul unei reuniuni haotice legate de controversata lege privind extrădarea din 2019. La 27 februarie, acesta a fost condamnat la 37 de luni de închisoare pentru participarea la o „revoltă” la stația MTR Yuen Long la 21 iulie 2019, unde o mulțime îmbrăcată în alb a atacat protestatari prodemocrație.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martie, Curtea de Apel a menținut hotărârea de achitare a președintelui Partidului Democrat, Lo Kin-hei, care fusese acuzat de participarea la o adunare ilegală în 2019, înainte de a îndeplini funcția de președinte de partid.</w:t>
      </w:r>
    </w:p>
    <w:p>
      <w:pPr>
        <w:tabs>
          <w:tab w:val="left" w:pos="1652"/>
        </w:tabs>
        <w:spacing w:after="0" w:line="240" w:lineRule="auto"/>
        <w:jc w:val="both"/>
        <w:rPr>
          <w:rFonts w:ascii="Times New Roman" w:hAnsi="Times New Roman" w:cs="Times New Roman"/>
          <w:noProof/>
        </w:rPr>
      </w:pPr>
    </w:p>
    <w:p>
      <w:pPr>
        <w:tabs>
          <w:tab w:val="left" w:pos="1652"/>
        </w:tabs>
        <w:spacing w:after="0" w:line="240" w:lineRule="auto"/>
        <w:jc w:val="both"/>
        <w:rPr>
          <w:rFonts w:ascii="Times New Roman" w:hAnsi="Times New Roman" w:cs="Times New Roman"/>
          <w:noProof/>
        </w:rPr>
      </w:pPr>
      <w:r>
        <w:rPr>
          <w:rFonts w:ascii="Times New Roman" w:hAnsi="Times New Roman"/>
          <w:b/>
          <w:noProof/>
        </w:rPr>
        <w:t>În cadrul celui de al doilea proces derulat în temeiul Ordonanței Organizației Națiunilor Unite (măsuri de combatere a terorismului)</w:t>
      </w:r>
      <w:r>
        <w:rPr>
          <w:rFonts w:ascii="Times New Roman" w:hAnsi="Times New Roman"/>
          <w:noProof/>
        </w:rPr>
        <w:t xml:space="preserve">, în urma unui proces de 163 de zile, juriul a achitat toți cei șapte inculpați de acuzații de terorism la 4 septembrie, însă a condamnat trei persoane pentru conspirație în vederea desfășurării de atacuri cu bombă în timpul protestelor din 2019 în temeiul Legii privind securitatea națională. Instanța i-a condamnat pe </w:t>
      </w:r>
      <w:r>
        <w:rPr>
          <w:rFonts w:ascii="Times New Roman" w:hAnsi="Times New Roman"/>
          <w:noProof/>
        </w:rPr>
        <w:lastRenderedPageBreak/>
        <w:t>cei trei la pedepse cu închisoarea cuprinse între 16 ani și opt luni și 18 ani. Una dintre persoanele achitate a fost acuzată la 30 octombrie de conspirație pentru incitarea altor persoane la revoltă în 2019.</w:t>
      </w:r>
    </w:p>
    <w:p>
      <w:pPr>
        <w:tabs>
          <w:tab w:val="left" w:pos="1652"/>
        </w:tabs>
        <w:spacing w:after="0" w:line="240" w:lineRule="auto"/>
        <w:jc w:val="both"/>
        <w:rPr>
          <w:rFonts w:ascii="Times New Roman" w:hAnsi="Times New Roman" w:cs="Times New Roman"/>
          <w:noProof/>
        </w:rPr>
      </w:pPr>
    </w:p>
    <w:p>
      <w:pPr>
        <w:tabs>
          <w:tab w:val="left" w:pos="1652"/>
        </w:tabs>
        <w:spacing w:after="0" w:line="240" w:lineRule="auto"/>
        <w:jc w:val="both"/>
        <w:rPr>
          <w:rFonts w:ascii="Times New Roman" w:hAnsi="Times New Roman" w:cs="Times New Roman"/>
          <w:noProof/>
        </w:rPr>
      </w:pPr>
      <w:r>
        <w:rPr>
          <w:rFonts w:ascii="Times New Roman" w:hAnsi="Times New Roman"/>
          <w:noProof/>
        </w:rPr>
        <w:t xml:space="preserve">În aprilie, </w:t>
      </w:r>
      <w:r>
        <w:rPr>
          <w:rFonts w:ascii="Times New Roman" w:hAnsi="Times New Roman"/>
          <w:b/>
          <w:noProof/>
        </w:rPr>
        <w:t>asistentul social Jackie Chen</w:t>
      </w:r>
      <w:r>
        <w:rPr>
          <w:rFonts w:ascii="Times New Roman" w:hAnsi="Times New Roman"/>
          <w:noProof/>
        </w:rPr>
        <w:t xml:space="preserve"> a fost condamnat și încarcerat timp de 45 de luni în urma rejudecării unui proces; ulterior, în luna iunie, Comisia de înregistrare a activităților de asistență socială i-a anulat licența profesională.</w:t>
      </w:r>
    </w:p>
    <w:p>
      <w:pPr>
        <w:tabs>
          <w:tab w:val="left" w:pos="1652"/>
        </w:tabs>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Mulți dintre cei aproximativ </w:t>
      </w:r>
      <w:r>
        <w:rPr>
          <w:rFonts w:ascii="Times New Roman" w:hAnsi="Times New Roman"/>
          <w:b/>
          <w:noProof/>
        </w:rPr>
        <w:t>6 000 de protestatari care au fost arestați în timpul protestelor din 2019, dar care nu au fost încă puși sub acuzare</w:t>
      </w:r>
      <w:r>
        <w:rPr>
          <w:rFonts w:ascii="Times New Roman" w:hAnsi="Times New Roman"/>
          <w:noProof/>
        </w:rPr>
        <w:t>, sunt în continuare eliberați pe cauțiune, până la finalizarea anchetelor poliției și pronunțarea deciziilor de către autoritățile de urmărire penală. În 2025, autoritățile ar fi început să acorde unora dintre persoanele afectate reabilitarea juridică pe baza unui acord semnat de recunoaștere a vinovăției și a unui angajament de respectare a legii.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În ceea ce privește aspectele legate de securitatea națională, statul de drept în Hong Kong este în continuare supus unor presiuni puternice.</w:t>
      </w:r>
      <w:r>
        <w:rPr>
          <w:rFonts w:ascii="Times New Roman" w:hAnsi="Times New Roman"/>
          <w:noProof/>
        </w:rPr>
        <w:t xml:space="preserve"> Autoritățile continuă să urmărească în justiție opoziția politică și activiștii în temeiul legislației naționale în materie de securitate. Întârzierile considerabile înregistrate în contextul proceselor privind securitatea națională, arestarea preventivă prelungită și utilizarea repetată a regimului de izolare au reprezentat alte motive de îngrijorare. Există în continuare preocupări cu privire la respectarea dreptului la un proces echitabil în cauzele legate de securitatea națională, care sunt soluționate de judecători aleși și, până în prezent, se desfășoară fără jurați, la cererea Ministerului Public. În plus, autoritățile au recurs din ce în ce mai mult la măsuri administrative și de reglementare (inclusiv revocarea licențelor și a acreditărilor profesionale, restricții privind locul de desfășurare, inspecții sau audituri fiscale) pentru a exercita presiuni asupra activiștilor, jurnaliștilor și societății civile. Aceste acțiuni au un impact semnificativ asupra sistemului judiciar de drept comun din Hong Kong. Deși statul de drept rămâne în mare măsură intact în afara cazurilor de securitate națională, există riscul de propagare.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Hong Kongul se situează pe locul 24 din 143 de țări și jurisdicții la nivel mondial în conformitate cu Indicele privind statul de drept din 2025 publicat de World Justice Project, cu sediul în SUA, la 28 octombrie, în scădere cu un loc comparativ cu anul anterior. Poziția Hong Kongului în ceea ce privește drepturile fundamentale a scăzut de pe locul 62 pe locul 67.</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Până la sfârșitul anului 2025, în cadrul Înaltei Curți de Apel din Hong Kong își desfășurau activitatea șase judecători nepermanenți din străinătate – trei din Australia, doi din Regatul Unit și unul din Noua Zeelandă. Judecătorul neozeelandez William Gillow Gibbes Austen Young a fost numit judecător nepermanent. Mandatul judecătorului Lord Hoffmann a fost prelungit cu trei ani. Judecătorului Roberto Ribeiro i-a fost reînnoit mandatul de judecător permanent la Înalta Curte de Apel.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Judecătorul australian Robert French a decis să demisioneze din funcția de judecător nepermanent în luna aprilie. Explicându-și decizia, el a subliniat că „rolul judecătorilor nepermanenți în cadrul Înaltei Curți de Apel a devenit din ce în ce mai anacronic și fără îndoială superficial”. În mod separat, în iulie, fostul președinte al Curții Supreme a Regatului Unit, Lady Hale, a declarat că „acum este cu atât mai convinsă că a luat decizia corectă” de a demisiona din funcția de judecător nepermanent din străinătate în cadrul Înaltei Curți de Apel din Hong Kong în 2021. Hale a susținut că „Legea privind securitatea națională primează în raport cu Legea fundamentală”.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Hong Kongul permite în continuare avocaților pledanți care își desfășoară activitatea în alte jurisdicții de drept comun să participe la proceduri judiciare. Cu toate acestea, în cursul anului, Departamentul de Justiție s-a opus ca avocatul britanic Tim Owen să reprezinte un inculpat într-un proces care intră sub incidența Ordonanței privind criminalitatea gravă și organizată. Se pare că aceasta a fost prima dată când a fost emisă o astfel de interdicție, iar Baroul și-a exprimat deja lipsa de obiecții.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rFonts w:ascii="Times New Roman" w:hAnsi="Times New Roman"/>
          <w:b/>
          <w:noProof/>
        </w:rPr>
        <w:t>În 2025 s-a pus în continuare accentul pe integrarea „securității naționale” în guvernanța RAS.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La 25 iulie, autoritățile din Hong Kong au emis </w:t>
      </w:r>
      <w:r>
        <w:rPr>
          <w:rFonts w:ascii="Times New Roman" w:hAnsi="Times New Roman"/>
          <w:b/>
          <w:noProof/>
        </w:rPr>
        <w:t>mandate de arestare cu oferirea de recompense împotriva a 19 activiști din Hong Kong de peste mări</w:t>
      </w:r>
      <w:r>
        <w:rPr>
          <w:rFonts w:ascii="Times New Roman" w:hAnsi="Times New Roman"/>
          <w:noProof/>
        </w:rPr>
        <w:t>, inclusiv, pentru prima dată, un cetățean al UE. La 4 august, guvernul i-a numit în mod oficial pe 16 din cei 19 drept „persoane care se sustrag procedurii”, implicând restricții suplimentare: Unui număr de 12 persoane li s-au revocat pașapoartele din RAS Hong Kong, iar unui fost funcționar public i s-a anulat pensia. Până la sfârșitul anului, poliția a emis mandate de arestare pentru un număr total de 34 de persoane cu reședința în străinătate.</w:t>
      </w:r>
    </w:p>
    <w:p>
      <w:pPr>
        <w:spacing w:after="0" w:line="240" w:lineRule="auto"/>
        <w:jc w:val="both"/>
        <w:rPr>
          <w:rFonts w:ascii="Times New Roman" w:hAnsi="Times New Roman" w:cs="Times New Roman"/>
          <w:noProof/>
        </w:rPr>
      </w:pPr>
    </w:p>
    <w:p>
      <w:pPr>
        <w:tabs>
          <w:tab w:val="left" w:pos="1652"/>
        </w:tabs>
        <w:spacing w:after="0" w:line="240" w:lineRule="auto"/>
        <w:jc w:val="both"/>
        <w:rPr>
          <w:rFonts w:ascii="Times New Roman" w:hAnsi="Times New Roman" w:cs="Times New Roman"/>
          <w:noProof/>
        </w:rPr>
      </w:pPr>
      <w:r>
        <w:rPr>
          <w:rFonts w:ascii="Times New Roman" w:hAnsi="Times New Roman"/>
          <w:noProof/>
        </w:rPr>
        <w:t>În februarie, Consiliul pentru Democrație din Hong Kong, cu sediul în SUA, a subliniat că 38 de rude și 12 persoane asociate din Hong Kong au fost reținute de poliție pentru a sprijini anchetele în temeiul legislației privind securitatea națională începând cu sfârșitul anului 2024, din cauza relațiilor lor personale cu activiști „căutați” de peste mări.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2 decembrie, secretarul pentru securitate a interzis funcționarea organizației cu sediul în Canada „Parlamentul din Hong Kong” și a organizației cu sediul în Taiwan „Uniunea pentru independența democratică a Hong Kongului” în Hong Kong. A fost pentru prima dată când guvernul Hong Kongului și-a invocat competențele în temeiul SNSO pentru a interzice organizațiile considerate subversive.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septembrie, Biroul de securitate a transmis un ghid tuturor funcționarilor publici pentru a-i sensibiliza cu privire la protejarea securității naționale.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Împlinirea a cinci ani de la intrarea în vigoare a Legii privind securitatea națională a fost marcată printr-o expoziție deschisă la Galeria pentru educație în domeniul securității naționale din cadrul Muzeului de Istorie din Hong Kong.</w:t>
      </w:r>
    </w:p>
    <w:p>
      <w:pPr>
        <w:spacing w:after="0" w:line="240" w:lineRule="auto"/>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18 iulie, „Normele generale de administrare a penitenciarelor” revizuite au intrat în vigoare, împuternicind Departamentul pentru servicii corecționale să restricționeze accesul deținuților la avocați și la alți vizitatori din motive de securitate națională.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25 iunie, Consiliul legislativ a adoptat Ordonanța (de modificare) privind sindicatele din 2025 – programată să intre în vigoare la 5 ianuarie 2026. Actul legislativ interzice, printre alte dispoziții, persoanelor condamnate pentru infracțiuni în materie de securitate națională să dețină funcții de conducere în cadrul sindicatelor.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Ghidul privind administrarea școlilor, publicat în luna mai, impune bibliotecarilor școlari să elimine resursele care conțin „elemente ce pun în pericol securitatea națională sau contravin intereselor în materie de securitate națională”. După o actualizare în luna august, ghidul prevede, în plus, că activitățile școlare cu organizații externe „nu ar trebui să implice conținuturi </w:t>
      </w:r>
      <w:r>
        <w:rPr>
          <w:rFonts w:ascii="Times New Roman" w:hAnsi="Times New Roman"/>
          <w:noProof/>
        </w:rPr>
        <w:lastRenderedPageBreak/>
        <w:t>care pun în pericol securitatea națională și nici să promoveze propaganda politică și valorile necorespunzătoare”.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Cs/>
          <w:noProof/>
          <w:color w:val="000000"/>
        </w:rPr>
      </w:pPr>
      <w:r>
        <w:rPr>
          <w:rFonts w:ascii="Times New Roman" w:hAnsi="Times New Roman"/>
          <w:noProof/>
          <w:color w:val="000000"/>
        </w:rPr>
        <w:t>În cadrul inițiativei privind camerele de supraveghere „SmartView”, camerele CCTV deja instalate în stațiile MTR și în imobilele publice erau conectate la o rețea polițienească centralizată.</w:t>
      </w:r>
    </w:p>
    <w:p>
      <w:pPr>
        <w:spacing w:after="0" w:line="240" w:lineRule="auto"/>
        <w:jc w:val="both"/>
        <w:rPr>
          <w:rFonts w:ascii="Times New Roman" w:hAnsi="Times New Roman" w:cs="Times New Roman"/>
          <w:bCs/>
          <w:noProof/>
          <w:color w:val="000000"/>
        </w:rPr>
      </w:pPr>
    </w:p>
    <w:p>
      <w:pPr>
        <w:spacing w:after="0" w:line="240" w:lineRule="auto"/>
        <w:jc w:val="both"/>
        <w:rPr>
          <w:rFonts w:ascii="Times New Roman" w:hAnsi="Times New Roman" w:cs="Times New Roman"/>
          <w:noProof/>
        </w:rPr>
      </w:pPr>
      <w:r>
        <w:rPr>
          <w:rFonts w:ascii="Times New Roman" w:hAnsi="Times New Roman"/>
          <w:b/>
          <w:noProof/>
        </w:rPr>
        <w:t xml:space="preserve">S-a pus problema propagării crescânde a accentului pus pe securitatea națională în mediul de afaceri. </w:t>
      </w:r>
      <w:r>
        <w:rPr>
          <w:rFonts w:ascii="Times New Roman" w:hAnsi="Times New Roman"/>
          <w:noProof/>
        </w:rPr>
        <w:t>În iunie, Departamentul de igienă a produselor alimentare și a mediului înconjurător a adăugat condiții de securitate națională la aproape 20 de tipuri de licențe și autorizații, inclusiv restaurante, brutării, măcelării, piscine și saloane de masaj. Aceste autorizații pot fi revocate în cazul în care titularii sau angajații și subcontractanții acestora se angajează într-un „comportament infracțional”.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Activiștii care locuiesc în străinătate au continuat să se confrunte cu acte de hărțuire.</w:t>
      </w:r>
      <w:r>
        <w:rPr>
          <w:rFonts w:ascii="Times New Roman" w:hAnsi="Times New Roman"/>
          <w:noProof/>
        </w:rPr>
        <w:t xml:space="preserve"> În decembrie, scrisori despre care se susținea că provin de la Carmen Lau, o activistă exilată, conținând imagini falsificate digital ale acesteia în calitate de lucrătoare sexuală, au fost trimise foștilor săi vecini din Regatul Unit.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2025, canalele mass-media din Hong Kong controlate de Beijing, Wen Wei Po și Ta Kung Pao au exercitat în mod activ presiuni asupra mai multor entități, acuzându-le de „rezistență ușoară”: Comunitatea de Cercetare Liber, târgul independent de carte și Institutul de Studii Asia-Pacific din cadrul Universității Chineze din Hong Kong pentru publicarea unui sondaj privind gradul de încredere de care se bucură șeful executivului.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 xml:space="preserve">Eforturile de consolidare a securității naționale și a educației patriotice au continuat în 2025. </w:t>
      </w:r>
      <w:r>
        <w:rPr>
          <w:rFonts w:ascii="Times New Roman" w:hAnsi="Times New Roman"/>
          <w:noProof/>
        </w:rPr>
        <w:t>Cu ocazia Zilei educației în domeniul securității naționale, care a avut loc la 15 aprilie, peste 300 de grădinițe, școli primare și gimnaziale, la care au participat aproape 160 000 de elevi, au organizat ceremonii de arborare a drapelului național. Biroul pentru educație a solicitat grădinițelor să organizeze ceremonii de arborare a drapelului pentru a marca împlinirea a cinci ani de la intrarea în vigoare a Legii privind securitatea națională impuse de Beijing la 30 iunie și a pus la dispoziția educatorilor discursuri recomandate cu privire la importanța securității naționale. La 1 iulie, toate cele opt universități finanțate din fonduri publice au organizat ceremonii de arborare a drapelului pentru a marca aniversarea retrocedării.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Biroul pentru educație a publicat, la 10 iunie, pentru prima dată în opt ani, un nou ghid pentru actualizarea programei de învățământ în limba engleză pentru școala primară. În timp ce ghidul anterior a pus accentul pe posibilitatea oferită elevilor de a „explora aspecte cu valoare ridicată, printre care drepturile omului și egalitatea de șanse”, noul „Ghid de programă pentru ariile cheie de învățare în limba engleză pentru învățământul primar clasele I-VI” s-a axat pe „consolidarea educației privind valorile, vizând educația națională, care include educația patriotică, educația în materie de securitate națională și educația pentru viață”.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3 octombrie, Biroul pentru educație a anunțat modificări ale programelor școlare pentru învățământul gimnazial la disciplinele istorie și istoria Chinei. De exemplu, elevii ar acumula mai multe cunoștințe în ceea ce privește înființarea Partidului Comunist. Autoritatea pentru Examinări și Evaluare din Hong Kong – responsabilă de organizarea examenului de admitere la universitatea locală – a evidențiat faptul că studenții care au susținut testul la istoria Chinei nu au reușit să menționeze impactul pozitiv al campaniei Marele Salt Înainte (</w:t>
      </w:r>
      <w:r>
        <w:rPr>
          <w:rFonts w:ascii="Times New Roman" w:hAnsi="Times New Roman"/>
          <w:i/>
          <w:noProof/>
        </w:rPr>
        <w:t>Great Leap Forward)</w:t>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21 august, a fost deschisă prima bază de educație patriotică pentru studenții din Hong Kong și Macao la Beijing. Universitatea Politehnică din Hong Kong a deschis „Baza de educație patriotică a Universității Politehnice din Hong Kong (Xi’an)” la 10 decembrie, în colaborare cu Universitatea Xi’an Jiaotong.</w:t>
      </w:r>
    </w:p>
    <w:p>
      <w:pPr>
        <w:spacing w:after="0" w:line="240" w:lineRule="auto"/>
        <w:rPr>
          <w:rFonts w:ascii="Times New Roman" w:hAnsi="Times New Roman" w:cs="Times New Roman"/>
          <w:noProof/>
          <w:highlight w:val="yellow"/>
        </w:rPr>
      </w:pPr>
    </w:p>
    <w:p>
      <w:pPr>
        <w:spacing w:after="0" w:line="240" w:lineRule="auto"/>
        <w:ind w:left="720"/>
        <w:rPr>
          <w:rFonts w:ascii="Times New Roman" w:hAnsi="Times New Roman" w:cs="Times New Roman"/>
          <w:b/>
          <w:bCs/>
          <w:noProof/>
        </w:rPr>
      </w:pPr>
      <w:r>
        <w:rPr>
          <w:rFonts w:ascii="Times New Roman" w:hAnsi="Times New Roman"/>
          <w:b/>
          <w:noProof/>
        </w:rPr>
        <w:t>Alte aspecte importante în materie de guvernanță</w:t>
      </w:r>
    </w:p>
    <w:p>
      <w:pPr>
        <w:spacing w:after="0" w:line="240" w:lineRule="auto"/>
        <w:rPr>
          <w:rFonts w:ascii="Times New Roman" w:hAnsi="Times New Roman" w:cs="Times New Roman"/>
          <w:noProof/>
          <w:highlight w:val="yellow"/>
        </w:rPr>
      </w:pPr>
    </w:p>
    <w:p>
      <w:pPr>
        <w:spacing w:after="0" w:line="240" w:lineRule="auto"/>
        <w:jc w:val="both"/>
        <w:rPr>
          <w:rFonts w:ascii="Times New Roman" w:hAnsi="Times New Roman" w:cs="Times New Roman"/>
          <w:noProof/>
        </w:rPr>
      </w:pPr>
      <w:r>
        <w:rPr>
          <w:rFonts w:ascii="Times New Roman" w:hAnsi="Times New Roman"/>
          <w:noProof/>
        </w:rPr>
        <w:t>La 17 septembrie, șeful executivului, John Lee, a anunțat penultimul plan anual de guvernanță pentru actualul său mandat de cinci ani, punând accentul pe dezvoltarea economică. În octombrie, guvernul a publicat proiectul de lege privind unitățile locative de bază, care viza eliminarea treptată a apartamentelor compartimentate fără respectarea standardelor.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26 noiembrie, tragedia provocată de incendiul din Tai Po a provocat decesul a 168 de persoane, printre care rezidenți din Hong Kong, lucrători casnici străini și un pompier. Orașul a marcat pierderea de vieți omenești cu declararea doliului național pentru o perioadă de trei zile, între 29 noiembrie și 1 decembrie. Purtătorul de cuvânt al UE și șeful Biroului UE în Hong Kong și, respectiv, Macao au emis comunicări pe platformele de comunicare socială prin care își exprimă solidaritatea cu persoanele afectate de tragedie (</w:t>
      </w:r>
      <w:r>
        <w:rPr>
          <w:rStyle w:val="FootnoteReference"/>
          <w:noProof/>
        </w:rPr>
        <w:footnoteReference w:id="13"/>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color w:val="000000"/>
        </w:rPr>
        <w:t>Super Typhoon Ragasa a lovit Hong Kongul la 24 septembrie, determinând Observatorul din Hong Kong să emită Avertizarea de uragan nr. 10, deoarece viteza medie a vântului depășea 118 km pe oră. Această furtună a fost cel mai puternic ciclon tropical din regiunea Pacificului de Nord și de Vest în 2025. Datorită profesionalismului autorităților locale implicate și a rezilienței remarcabile a populației din Hong Kong, orașul a revenit rapid la normalitate.</w:t>
      </w:r>
    </w:p>
    <w:p>
      <w:pPr>
        <w:spacing w:after="0" w:line="240" w:lineRule="auto"/>
        <w:rPr>
          <w:rFonts w:ascii="Times New Roman" w:hAnsi="Times New Roman" w:cs="Times New Roman"/>
          <w:noProof/>
        </w:rPr>
      </w:pPr>
    </w:p>
    <w:p>
      <w:pPr>
        <w:spacing w:after="0" w:line="240" w:lineRule="auto"/>
        <w:ind w:left="720"/>
        <w:rPr>
          <w:rFonts w:ascii="Times New Roman" w:hAnsi="Times New Roman" w:cs="Times New Roman"/>
          <w:b/>
          <w:bCs/>
          <w:noProof/>
        </w:rPr>
      </w:pPr>
      <w:r>
        <w:rPr>
          <w:rFonts w:ascii="Times New Roman" w:hAnsi="Times New Roman"/>
          <w:b/>
          <w:noProof/>
        </w:rPr>
        <w:t>Relațiile externe ale Hong Kongului</w:t>
      </w:r>
    </w:p>
    <w:p>
      <w:pPr>
        <w:spacing w:after="0" w:line="240" w:lineRule="auto"/>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Relațiile externe ale Hong Kongului în 2025 au fost marcate de eforturile depuse pentru a diversifica relațiile comerciale și economice cu țările din Asia de Sud-Est, Orientul Mijlociu și alte piețe emergente. În luna mai, șeful executivului a condus o delegație pentru o vizită de șase zile în Qatar și Kuweit. Între timp, secretarul financiar Paul Chan a vizitat Arabia Saudită în luna octombrie. Acesta a anulat o vizită în Japonia programată pentru jumătatea lunii decembrie, pe fondul tensiunilor tot mai mari dintre Tokyo și Beijing.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Guvernul a trimis o echipă de salvare în Myanmar în urma unui cutremur cu magnitudinea de 7,6 grade care s-a produs în luna martie.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30 mai, ministrul chinez al afacerilor externe, Wang Yi, a participat la ceremonia de semnare a Convenției privind înființarea Organizației Internaționale de Mediere. La sfârșitul anului 2025, convenția avea 38 de semnatari, inclusiv China. Wang Yi a explicat că înființarea organismului de mediere oferă o „nouă opțiune pentru comunitatea internațională de a soluționa litigiile și de a realiza reconcilierea.” Organizația și-a lansat oficial operațiunile la 20 octombrie. Teresa Cheng, fost secretar pentru justiție în Hong Kong, a fost numită primul secretar general.</w:t>
      </w:r>
    </w:p>
    <w:p>
      <w:pPr>
        <w:spacing w:after="0" w:line="240" w:lineRule="auto"/>
        <w:rPr>
          <w:rFonts w:ascii="Times New Roman" w:hAnsi="Times New Roman" w:cs="Times New Roman"/>
          <w:noProof/>
          <w:highlight w:val="yellow"/>
        </w:rPr>
      </w:pPr>
    </w:p>
    <w:p>
      <w:pPr>
        <w:spacing w:after="0" w:line="240" w:lineRule="auto"/>
        <w:jc w:val="both"/>
        <w:rPr>
          <w:rFonts w:ascii="Times New Roman" w:hAnsi="Times New Roman" w:cs="Times New Roman"/>
          <w:noProof/>
          <w:highlight w:val="yellow"/>
        </w:rPr>
      </w:pPr>
      <w:r>
        <w:rPr>
          <w:rFonts w:ascii="Times New Roman" w:hAnsi="Times New Roman"/>
          <w:noProof/>
        </w:rPr>
        <w:lastRenderedPageBreak/>
        <w:t>Ceremonia de deschidere a Academiei Internaționale a Ombudsmanului din Hong Kong a avut loc la 25 august. Academia are ca scop promovarea schimburilor și a cooperării internaționale, îmbunătățind totodată calitatea administrației publice locale.</w:t>
      </w:r>
    </w:p>
    <w:p>
      <w:pPr>
        <w:spacing w:after="0" w:line="240" w:lineRule="auto"/>
        <w:rPr>
          <w:rFonts w:ascii="Times New Roman" w:hAnsi="Times New Roman" w:cs="Times New Roman"/>
          <w:noProof/>
          <w:highlight w:val="yellow"/>
        </w:rPr>
      </w:pPr>
    </w:p>
    <w:p>
      <w:pPr>
        <w:spacing w:after="0" w:line="240" w:lineRule="auto"/>
        <w:jc w:val="both"/>
        <w:rPr>
          <w:rFonts w:ascii="Times New Roman" w:hAnsi="Times New Roman" w:cs="Times New Roman"/>
          <w:bCs/>
          <w:noProof/>
        </w:rPr>
      </w:pPr>
      <w:r>
        <w:rPr>
          <w:rFonts w:ascii="Times New Roman" w:hAnsi="Times New Roman"/>
          <w:noProof/>
        </w:rPr>
        <w:t>Asociația pentru prietenie externă din Hong Kong, sub îndrumarea Asociației de prietenie a poporului chinez cu țările străine, a organizat ceremonia de inaugurare la 5 iulie.</w:t>
      </w:r>
    </w:p>
    <w:p>
      <w:pPr>
        <w:spacing w:after="0" w:line="240" w:lineRule="auto"/>
        <w:jc w:val="both"/>
        <w:rPr>
          <w:rFonts w:ascii="Times New Roman" w:hAnsi="Times New Roman" w:cs="Times New Roman"/>
          <w:bCs/>
          <w:noProof/>
          <w:lang w:eastAsia="zh-TW"/>
        </w:rPr>
      </w:pPr>
    </w:p>
    <w:p>
      <w:pPr>
        <w:spacing w:after="0" w:line="240" w:lineRule="auto"/>
        <w:jc w:val="both"/>
        <w:rPr>
          <w:rFonts w:ascii="Times New Roman" w:hAnsi="Times New Roman" w:cs="Times New Roman"/>
          <w:noProof/>
        </w:rPr>
      </w:pPr>
      <w:r>
        <w:rPr>
          <w:rFonts w:ascii="Times New Roman" w:hAnsi="Times New Roman"/>
          <w:noProof/>
        </w:rPr>
        <w:t>Populația a continuat să emigreze din Hong Kong. În septembrie 2025, Ministerul de Interne al Regatului Unit a anunțat că a primit peste 230 000 de cereri din partea titularilor de pașapoarte naționale britanice (de peste mări) din Hong Kong pentru regimul special de vize care poate deschide calea către obținerea cetățeniei. Aproximativ 150 000 de persoane au sosit în Regatul Unit în cadrul regimului respectiv. Canada și Australia au primit în continuare cereri de viză în cadrul unor sisteme de imigrare individualizate pentru rezidenții din Hong Kong.</w:t>
      </w:r>
    </w:p>
    <w:p>
      <w:pPr>
        <w:spacing w:after="0" w:line="240" w:lineRule="auto"/>
        <w:jc w:val="both"/>
        <w:rPr>
          <w:rFonts w:ascii="Times New Roman" w:hAnsi="Times New Roman" w:cs="Times New Roman"/>
          <w:bCs/>
          <w:noProof/>
          <w:lang w:eastAsia="zh-TW"/>
        </w:rPr>
      </w:pPr>
    </w:p>
    <w:p>
      <w:pPr>
        <w:spacing w:after="0" w:line="240" w:lineRule="auto"/>
        <w:jc w:val="both"/>
        <w:rPr>
          <w:rFonts w:ascii="Times New Roman" w:hAnsi="Times New Roman" w:cs="Times New Roman"/>
          <w:noProof/>
        </w:rPr>
      </w:pPr>
      <w:r>
        <w:rPr>
          <w:rFonts w:ascii="Times New Roman" w:hAnsi="Times New Roman"/>
          <w:noProof/>
        </w:rPr>
        <w:t>La 10 iulie, președintele SUA a prelungit statutul de „urgență națională” pentru Hong Kong, continuând revocarea privilegiilor comerciale speciale pe care SUA le-a acordat Hong Kongului. Statutul interzice, de asemenea, exportul de tehnologie sensibilă către oraș.</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Cs/>
          <w:noProof/>
        </w:rPr>
      </w:pPr>
      <w:r>
        <w:rPr>
          <w:rFonts w:ascii="Times New Roman" w:hAnsi="Times New Roman"/>
          <w:noProof/>
        </w:rPr>
        <w:t>La 31 martie, SUA a anunțat instituirea de sancțiuni împotriva a șase funcționari din Hong Kong și din China continentală pentru „represiunea transnațională” a activiștilor opoziției în temeiul legislației privind securitatea națională. Cei șase funcționari sunt: Secretarul pentru justiție Paul Lam; Comisarul de poliție Raymond Siu (care s-a pensionat la 1 aprilie); Secretarul general al Comitetului pentru salvgardarea securității naționale în Hong Kong, Sonny Au; Directorul OSNS din cadrul guvernului central Dong Jingwei și comisarii adjuncți de poliție (securitate națională) Dick Wong și Margaret Chiu. Este a cincea oară când SUA impune sancțiuni funcționarilor din Hong Kong.</w:t>
      </w:r>
    </w:p>
    <w:p>
      <w:pPr>
        <w:spacing w:after="0" w:line="240" w:lineRule="auto"/>
        <w:jc w:val="both"/>
        <w:rPr>
          <w:rFonts w:ascii="Times New Roman" w:hAnsi="Times New Roman" w:cs="Times New Roman"/>
          <w:bCs/>
          <w:noProof/>
          <w:lang w:eastAsia="zh-TW"/>
        </w:rPr>
      </w:pPr>
    </w:p>
    <w:p>
      <w:pPr>
        <w:spacing w:after="0" w:line="240" w:lineRule="auto"/>
        <w:jc w:val="both"/>
        <w:rPr>
          <w:rFonts w:ascii="Times New Roman" w:hAnsi="Times New Roman" w:cs="Times New Roman"/>
          <w:noProof/>
        </w:rPr>
      </w:pPr>
      <w:r>
        <w:rPr>
          <w:rFonts w:ascii="Times New Roman" w:hAnsi="Times New Roman"/>
          <w:noProof/>
        </w:rPr>
        <w:t>La 10 aprilie, legiuitorului britanic Wera Hobhouse i s-a refuzat intrarea în Hong Kong, aceasta aflându-se într-o deplasare în interes personal. Se pare că a fost primul membru al parlamentului britanic căruia i s-a refuzat intrarea la sosirea în Hong Kong după 1997.</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august, secretarul de stat pentru afaceri interne al Regatului Unit a confirmat amendamentele juridice pentru prelucrarea cererilor de extrădare din Hong Kong, de la caz la caz.</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noProof/>
        </w:rPr>
      </w:pPr>
      <w:r>
        <w:rPr>
          <w:rFonts w:ascii="Times New Roman" w:hAnsi="Times New Roman"/>
          <w:noProof/>
        </w:rPr>
        <w:t>În cursul anului, un activist rezident în Regatul Unit și un fost legiuitor din Australia au confirmat că au primit statutul de solicitanți de azil din țările-gazdă respective.</w:t>
      </w:r>
    </w:p>
    <w:p>
      <w:pPr>
        <w:spacing w:after="0" w:line="240" w:lineRule="auto"/>
        <w:jc w:val="both"/>
        <w:rPr>
          <w:rFonts w:ascii="Times New Roman" w:hAnsi="Times New Roman" w:cs="Times New Roman"/>
          <w:b/>
          <w:noProof/>
        </w:rPr>
      </w:pPr>
    </w:p>
    <w:p>
      <w:pPr>
        <w:spacing w:after="0" w:line="240" w:lineRule="auto"/>
        <w:jc w:val="both"/>
        <w:rPr>
          <w:rFonts w:ascii="Times New Roman" w:hAnsi="Times New Roman" w:cs="Times New Roman"/>
          <w:b/>
          <w:bCs/>
          <w:noProof/>
        </w:rPr>
      </w:pPr>
      <w:r>
        <w:rPr>
          <w:noProof/>
        </w:rPr>
        <w:tab/>
      </w:r>
      <w:r>
        <w:rPr>
          <w:rFonts w:ascii="Times New Roman" w:hAnsi="Times New Roman"/>
          <w:b/>
          <w:noProof/>
        </w:rPr>
        <w:t>Drepturi, libertăți și egalitatea de șanse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În 2025, Hong Kongul a continuat să înregistreze rezultate slabe în diverse clasamente mondiale legate de drepturi.</w:t>
      </w:r>
      <w:r>
        <w:rPr>
          <w:rFonts w:ascii="Times New Roman" w:hAnsi="Times New Roman"/>
          <w:noProof/>
        </w:rPr>
        <w:t xml:space="preserve"> Potrivit unui raport al ONG-ului Freedom House, Hong Kongul a fost un teritoriu „parțial liber” în 2025, cu un punctaj de 40 din 100. Potrivit Indicelui democrației 2024 elaborat de Economist Intelligence Unit și publicat în februarie 2025, Hong Kongul s-a situat pe locul 87 din 167 de țări sau teritorii. Indicele a clasificat din nou Hong Kongul ca fiind un „regim hibrid”, cu un punctaj global de 5,09 din 10.</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Potrivit raportului intitulat „</w:t>
      </w:r>
      <w:r>
        <w:rPr>
          <w:rFonts w:ascii="Times New Roman" w:hAnsi="Times New Roman"/>
          <w:b/>
          <w:noProof/>
        </w:rPr>
        <w:t>Cooperarea cu Organizația Națiunilor Unite, cu reprezentanții și mecanismele acesteia în domeniul drepturilor omului</w:t>
      </w:r>
      <w:r>
        <w:rPr>
          <w:rFonts w:ascii="Times New Roman" w:hAnsi="Times New Roman"/>
          <w:noProof/>
        </w:rPr>
        <w:t>” (</w:t>
      </w:r>
      <w:r>
        <w:rPr>
          <w:rStyle w:val="FootnoteReference"/>
          <w:noProof/>
        </w:rPr>
        <w:footnoteReference w:id="14"/>
      </w:r>
      <w:r>
        <w:rPr>
          <w:rFonts w:ascii="Times New Roman" w:hAnsi="Times New Roman"/>
          <w:noProof/>
        </w:rPr>
        <w:t xml:space="preserve">), emis de Secretarul General al </w:t>
      </w:r>
      <w:r>
        <w:rPr>
          <w:rFonts w:ascii="Times New Roman" w:hAnsi="Times New Roman"/>
          <w:noProof/>
        </w:rPr>
        <w:lastRenderedPageBreak/>
        <w:t>ONU și transmis Consiliului pentru Drepturile Omului la 17 septembrie, două membre ale personalului Consiliului pentru Democrație din Hong Kong, cu sediul în SUA, Anna Kwok și Carmen Lau, „ar fi fost supuse unor represalii pentru cooperarea lor anterioară și actuală cu Organizația Națiunilor Unite, inclusiv în contextul celui de al patrulea ciclu al evaluării periodice universale a Chinei de către Consiliul pentru Drepturile Omului”. Raportul a făcut referire, de asemenea, la represaliile împotriva lui Chow Hang-tung și a celor doi membri ai echipei juridice internaționale care îi sprijină pe Jimmy Lai și pe fiul său, Sebastien.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3 februarie, guvernele Chinei și Hong Kongului și-au prezentat raportul periodic Comitetului împotriva torturii al Organizației Națiunilor Unite, prevăzut inițial pentru 2019, cu o întârziere de șase ani.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8 septembrie, raportorul special al ONU privind independența judecătorilor și a avocaților și raportorul special privind promovarea și apărarea dreptului la libertatea de opinie și de exprimare (</w:t>
      </w:r>
      <w:r>
        <w:rPr>
          <w:rStyle w:val="FootnoteReference"/>
          <w:noProof/>
        </w:rPr>
        <w:footnoteReference w:id="15"/>
      </w:r>
      <w:r>
        <w:rPr>
          <w:rFonts w:ascii="Times New Roman" w:hAnsi="Times New Roman"/>
          <w:noProof/>
        </w:rPr>
        <w:t>) au formulat preocupări „serioase” cu privire la faptul că avocatul Kevin Yam, care locuiește în prezent în Australia, a fost șters de pe lista avocaților consultanți „fără să fi încălcat niciunul dintre statutele Societății de Drept sau Codul de conduită”.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9 decembrie, Înaltul Comisar al ONU pentru drepturile omului, Volker Türk, și-a exprimat îngrijorarea cu privire la relatările potrivit cărora SNSO a fost utilizată pentru „represiuni împotriva persoanelor care solicită cercetări privind incendiul soldat cu decese [din Tai Po]” (</w:t>
      </w:r>
      <w:r>
        <w:rPr>
          <w:rStyle w:val="FootnoteReference"/>
          <w:noProof/>
        </w:rPr>
        <w:footnoteReference w:id="1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Libertatea presei este în continuare supusă presiunilor.</w:t>
      </w:r>
      <w:r>
        <w:rPr>
          <w:rFonts w:ascii="Times New Roman" w:hAnsi="Times New Roman"/>
          <w:noProof/>
        </w:rPr>
        <w:t xml:space="preserve"> În clasamentul anual al libertății presei întocmit de organizația Reporteri fără Frontiere (RSF) și publicat în luna mai, Hong Kongul a coborât încă cinci locuri, ajungând pe locul 140. Orașul a intrat pentru prima dată în „zona roșie” a clasamentului – indicând o situație „foarte gravă”. Declinul a fost atribuit condamnării redactorilor Stand News pentru săvârșirea infracțiunii de „rebeliune” în septembrie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Jurnaliștilor internaționali li s-a refuzat intrarea în mai multe rânduri. Cererile de viză de muncă au fost respinse, inclusiv pentru jurnalista Bloomberg, Rebecca Choong Wilkins.</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Autocenzura era un fenomen larg răspândit: În sondajul 2024/25 privind libertatea presei realizat de Clubul corespondenților străini din Hong Kong (FCC), publicat în aprilie, 65 % dintre membrii chestionați au indicat că practică autocenzura, în timp ce 33 % luau în calcul părăsirea orașului din cauza libertății presei. Clasamentul libertății presei, întocmit de Asociația Jurnaliștilor din Hong Kong și prezentat în octombrie, a înregistrat 28,9 puncte pe o scară de o sută de puncte, ceea ce reprezintă o îmbunătățire față de cele 25 de puncte înregistrate în anul precedent. Asociația a susținut că „redresarea clasamentului nu a indicat o îmbunătățire semnificativă, ci a reflectat mai degrabă reziliența jurnaliștilor din Hong Kong în peisajul actual”.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highlight w:val="yellow"/>
        </w:rPr>
      </w:pPr>
      <w:r>
        <w:rPr>
          <w:rFonts w:ascii="Times New Roman" w:hAnsi="Times New Roman"/>
          <w:noProof/>
        </w:rPr>
        <w:t xml:space="preserve">În 2025, canalele mass-media independente și jurnaliștii independenți au continuat să se confrunte cu acte de hărțuire administrativă, inclusiv cu controale fiscale, în mod clar motivate politic. Asociația Jurnaliștilor din Hong Kong a dezvăluit în luna mai că cel puțin șase canale mass-media independente – printre acestea Hong Kong Free Press (HKFP), Hong Kong </w:t>
      </w:r>
      <w:r>
        <w:rPr>
          <w:rFonts w:ascii="Times New Roman" w:hAnsi="Times New Roman"/>
          <w:noProof/>
        </w:rPr>
        <w:lastRenderedPageBreak/>
        <w:t>Inmedia și The Witness – s-au confruntat cu audituri fiscale simultane și cu cereri retroactive din partea Departamentului de Administrare Fiscală. În plus, au fost afectate 20 de persoane care au legături cu canale mass-media independente, inclusiv noul președinte reales în funcție al Asociației Jurnaliștilor din Hong Kong, Selina Cheng.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highlight w:val="yellow"/>
        </w:rPr>
      </w:pPr>
      <w:r>
        <w:rPr>
          <w:rFonts w:ascii="Times New Roman" w:hAnsi="Times New Roman"/>
          <w:noProof/>
        </w:rPr>
        <w:t>Asociațiile jurnaliștilor s-au confruntat în mod repetat cu dificultăți în ceea ce privește asigurarea locurilor de desfășurare a evenimentelor. Prin urmare, Asociația Jurnaliștilor din Hong Kong a fost nevoită să anuleze un meci de fotbal în ianuarie și dineul său anual în februarie, în timp ce Asociația Fotografilor de Presă din Hong Kong a fost împiedicată să organizeze o expoziție în noiembrie, marcând împlinirea a 35 de ani de la înființare.</w:t>
      </w:r>
    </w:p>
    <w:p>
      <w:pPr>
        <w:spacing w:after="0" w:line="240" w:lineRule="auto"/>
        <w:jc w:val="both"/>
        <w:rPr>
          <w:rFonts w:ascii="Times New Roman" w:hAnsi="Times New Roman" w:cs="Times New Roman"/>
          <w:noProof/>
          <w:highlight w:val="yellow"/>
        </w:rPr>
      </w:pPr>
    </w:p>
    <w:p>
      <w:pPr>
        <w:spacing w:after="0" w:line="240" w:lineRule="auto"/>
        <w:jc w:val="both"/>
        <w:rPr>
          <w:rFonts w:ascii="Times New Roman" w:hAnsi="Times New Roman" w:cs="Times New Roman"/>
          <w:noProof/>
        </w:rPr>
      </w:pPr>
      <w:r>
        <w:rPr>
          <w:rFonts w:ascii="Times New Roman" w:hAnsi="Times New Roman"/>
          <w:noProof/>
        </w:rPr>
        <w:t>În acest context din ce în ce mai dificil, Asociația Jurnaliștilor din Hong Kong a organizat în luna iunie alegeri pentru un nou comitet executiv, fără a publica numele membrilor nou aleși.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septembrie, Consiliul Legislativ a adoptat Legea din 2025 privind înregistrarea titlurilor și a terenurilor (modificări diverse), care nu mai permitea jurnaliștilor să aibă acces la registrele funciare oficiale, limitând domeniul de aplicare al jurnalismului de investigație.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După cum se relatează, reporterul specializat în politica externă și de apărare a Chinei la Morning Post din China de Sud, Minnie Chan, care se află în detenție din octombrie 2023, era încă încarcerată pe continent la sfârșitul anului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Radio Free Asia a încetat furnizarea de conținut în limba cantoneză începând cu 1 iulie, în urma sistării finanțării de către Agenția Statelor Unite pentru Mass-Media Globală. Înființat în 1996, canalul de știri privat și non-profit a produs adesea conținut care a fost criticat de guvernul Hong Kongului.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2025, sistemul judiciar din Hong Kong a asigurat, de asemenea, respectarea libertății presei și a libertății de exprimare. La 7 august, Înalta Curte de Apel a respins cererea Autorității pentru comunicații de a anula o hotărâre anterioară conform căreia o satiră politică difuzată de postul de radiodifuziune din Hong Kong (RTHK) finanțat de guvern nu constituie o încălcare a codului său. Aceasta a fost în favoarea Sindicatului personalului programului RTHK și a Asociației Jurnaliștilor din Hong Kong, care au introdus prima contestație în urmă cu cinci ani împotriva unui avertisment din partea „câinelui de pază” cu privire la emisiunea satirică de actualități.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De asemenea, în 2025 a fost înregistrată o presiune suplimentară asupra libertății de exprimare și a spațiului pentru opinii pluraliste.</w:t>
      </w:r>
      <w:r>
        <w:rPr>
          <w:rFonts w:ascii="Times New Roman" w:hAnsi="Times New Roman"/>
          <w:noProof/>
        </w:rPr>
        <w:t xml:space="preserve"> În urma incendiului de la Tai Po, care s-a soldat cu decesul a 168 de persoane, poliția de securitate națională i-a arestat pe studentul Miles Kwan și pe fostul membru al consiliului districtual Cheung Kam-hung, acuzându-i de rebeliune. Kwan solicitase o anchetă independentă cu privire la incendiu, în timp ce Kam-hung se oferise voluntar la fața locului să organizeze proviziile donate pentru persoanele afectate de incendiu.</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februarie 2025, Institutul independent de sondare a opiniei publice din Hong Kong (</w:t>
      </w:r>
      <w:r>
        <w:rPr>
          <w:rFonts w:ascii="Times New Roman" w:hAnsi="Times New Roman"/>
          <w:i/>
          <w:noProof/>
        </w:rPr>
        <w:t>Public Opinion Research Institute</w:t>
      </w:r>
      <w:r>
        <w:rPr>
          <w:rFonts w:ascii="Times New Roman" w:hAnsi="Times New Roman"/>
          <w:noProof/>
        </w:rPr>
        <w:t xml:space="preserve"> – PORI) și-a întrerupt activitățile de sondare a opiniei politice în contextul unor presiuni puternice. Președintele său, Robert Chung, a fost reținut de două ori de poliția de securitate națională pentru a sprijini o anchetă privind ajutorul acordat unuia dintre „fugari” – Chung Kim-wah, fost director executiv adjunct al institutului, care s-a mutat în Regatul Unit în 2022. Chung a fost ulterior eliberat.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Institutul de Studii Asia-Pacific din Hong Kong din cadrul Universității Chineze din Hong Kong nu a publicat niciun rezultat al sondajelor din luna iunie și niciun raport privind gradul de încredere de care se bucură guvernul din Hong Kong și șeful executivului.</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b/>
          <w:noProof/>
        </w:rPr>
        <w:t>De asemenea, presiunea politică a afectat în continuare activitățile culturale.</w:t>
      </w:r>
      <w:r>
        <w:rPr>
          <w:rFonts w:ascii="Times New Roman" w:hAnsi="Times New Roman"/>
          <w:noProof/>
        </w:rPr>
        <w:t xml:space="preserve"> Practica anulării anumitor proiecții de filme și spectacole culturale considerate ca având caracter critic a continuat și în 2025. Festivalul Filmului Francez din Hong Kong a avut două proiecții înscrise anulate, printre acestea „Cazul 137”, care evidențiază gestionarea protestelor de către poliția franceză. Producătorul local de film Kiwi Chow a acuzat în luna noiembrie că a așteptat patru luni pentru a fi informat că cea mai recentă producție dramatică a sa, „Deadline” nu a primit aprobare pentru a fi proiectată în Hong Kong; în mod normal, procesul ar dura aproximativ 14 zile.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După consultarea Biroului pentru cultură, sport și turism, Autoritatea districtului cultural Kowloon de Vest a anulat repunerea în scenă a piesei „We Are Gay”, regizată de Candace Chong, dramaturg laureat al unui premiu, la 18 octombrie, cu puțin timp înainte de data prevăzută pentru punerea în vânzare a biletelor. Autoritatea a explicat că a primit plângeri potrivit cărora piesa – care are în prim plan o poveste de dragoste între homosexuali – „promovează confruntarea” și „defăimează Hong Kongul”.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30 mai, cantautoarea Sunny Lam, cunoscută pentru rescrierea versurilor cântecelor în mod satiric la adresa actualităților, a anunțat anularea celor două concerte ale sale programate pentru 1 și 2 iunie în districtul cultural Kowloon de Vest, invocând „evaluarea atentă”.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Criticile oficiale la adresa „rezistenței ușoare” pentru activitățile culturale au continuat, de exemplu la un târg de cărți independent organizat în luna iulie.</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b/>
          <w:noProof/>
        </w:rPr>
        <w:t>Cu toate acestea, accesul la informații și libertatea de exprimare în Hong Kong s-au menținut la un nivel mult mai liber decât în China continentală.</w:t>
      </w:r>
      <w:r>
        <w:rPr>
          <w:rFonts w:ascii="Times New Roman" w:hAnsi="Times New Roman"/>
          <w:noProof/>
        </w:rPr>
        <w:t xml:space="preserve"> Accesul în mare parte deschis la internet a permis în continuare locuitorilor din Hong Kong să beneficieze de presă online independentă. Autoritatea guvernamentală competentă a aprobat Clubului corespondenților străini reînnoirea contractului de închiriere a locației actuale până la sfârșitul anului pentru încă trei ani.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Libertatea religioasă a rămas în mare măsură intactă în Hong Kong.</w:t>
      </w:r>
      <w:r>
        <w:rPr>
          <w:rFonts w:ascii="Times New Roman" w:hAnsi="Times New Roman"/>
          <w:noProof/>
        </w:rPr>
        <w:t xml:space="preserve"> Cu toate acestea, spațiul de care dispun grupurile sau liderii religioși pentru a exprima opinii contrare este în continuare foarte limitat. Pentru al patrulea an consecutiv, Dioceza Catolică din Hong Kong nu a oficiat slujbe religioase publice pentru a comemora represiunea din Piața Tiananmen.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aprilie, instanța locală a permis Cardinalului Catolic Joseph Zen Ze-Kiun, în vârstă de 93 de ani – eliberat pe cauțiune de la arestarea sa în 2022 sub acuzația de coluziune străină, pașaportul său fiind confiscat de poliția de securitate națională – să se deplaseze la Vatican pentru a participa la funeraliile Papei Francisc. Potrivit relatărilor, i s-a interzis să dea interviuri în mass-media în timpul călătoriei sale.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Nu există niciun semn de restabilire a libertății de întrunire pentru proteste pașnice.</w:t>
      </w:r>
      <w:r>
        <w:rPr>
          <w:rFonts w:ascii="Times New Roman" w:hAnsi="Times New Roman"/>
          <w:noProof/>
        </w:rPr>
        <w:t xml:space="preserve"> Nu a avut loc ceremonia cu lumânări de mare amploare care se organiza anterior în Parcul Victoria la 4 iunie pentru comemorarea represiunii din Piața Tiananmen din 1989, organizată inițial de grupul societății civile Alianța din Hong Kong de sprijin pentru mișcările patriotice </w:t>
      </w:r>
      <w:r>
        <w:rPr>
          <w:rFonts w:ascii="Times New Roman" w:hAnsi="Times New Roman"/>
          <w:noProof/>
        </w:rPr>
        <w:lastRenderedPageBreak/>
        <w:t>democratice, situație care se repetă în al șaselea an consecutiv. În semn de comemorare, Biroul UE a amplasat din nou lumânări la ferestrele biroului în ziua respectivă.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4 iunie, poliția a arestat două persoane în apropierea Parcului Victoria și a reținut alte zece persoane. Cele două persoane au fost arestate pentru neprezentarea unui document de identitate și, respectiv, pentru suspiciunea de obstrucționare a agenților de poliție.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legătură cu comemorarea, proprietarul mașinii cu numărul de înmatriculare „US 8964” – o serie de cifre asociate cu data represiunii din Piața Tiananmen din 1989 – a decis să se mute în Regatul Unit, în contextul faptului că familia sa a fost ținta hărțuirilor la locul de muncă și la școală. Proprietarul a constatat, de asemenea, „blocarea” contului său de la Departamentul Transporturilor, însemnând că orice tranzacții legate de numerele sale de înmatriculare și de autovehicule necesitau aprobarea poliției.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Zonele destinate demonstrațiilor tradiționale din apropierea clădirii Consiliului Legislativ rămân închise. Cu toate acestea, au avut loc demonstrații de mică amploare, sub supravegherea strictă a poliției, cu ocazia împlinirii a trei ani de la invadarea pe scară largă a Ucrainei de către Rusia. Polițiști în haine civile au verificat la fața locului documentele de identitate ale participanților și ale jurnaliștilor. De asemenea, au fost înregistrate o serie de proteste în sprijinul Palestinei desfășurate în fața Consulatului SUA, fără intervenția autorităților.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Autoritățile au continuat să descurajeze demonstrațiile pentru marcarea Zilei Muncii la 1 mai, extinzând totodată presiunea asupra grupurilor pro-sistem, cum ar fi Federația Organizațiilor Sindicale și Federația Organizațiilor Lucrătorilor din Hong Kong și Kowloon, care sărbătoreau Ziua Muncii la 1 mai înainte de 2020. Potrivit declarațiilor, în aprilie 2025, poliția și-a exprimat îngrijorarea cu privire la menținerea ordinii în timpul unui potențial protest, ceea ce a dus la anularea evenimentului de către sindicat.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februarie, Asociația Tele-call Taxi din Hong Kong a anulat o grevă planificată de cinci zile după ce șeful executivului din Hong Kong a avertizat că o astfel de acțiune ar putea dăuna „intereselor populației”. Sindicatul a solicitat luarea de măsuri împotriva serviciilor neautorizate de curse la comandă.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același timp, autoritățile au continuat să ofere o marjă largă de manevră cu privire la protestele organizate de grupuri pro-sistem care critică UE, precum și țările care împărtășesc aceeași viziune. În 2025, în fața clădirii Biroului UE au avut loc patru astfel de demonstrații ca reacție la declarațiile UE legate de drepturile omului.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Libertatea de asociere a continuat să fie supusă unor presiuni puternice în 2025.</w:t>
      </w:r>
      <w:r>
        <w:rPr>
          <w:rFonts w:ascii="Times New Roman" w:hAnsi="Times New Roman"/>
          <w:noProof/>
        </w:rPr>
        <w:t xml:space="preserve"> Mai multe grupuri importante ale societății civile s-au desființat. La 28 februarie, organizația non-profit Unison din Hong Kong, care s-a axat pe drepturile minorităților etnice, a decis să se desființeze după 24 de ani de funcționare. La 12 iunie, Registrul Muncii din China, cu sediul în Hong Kong, înființat de activistul în domeniul muncii Han Dongfang în 1994, și-a anunțat decizia de desființare, invocând dificultățile legate de finanțare și datorii. Grupul a sprijinit mișcările forței de muncă din Hong Kong în China continentală. La 30 iunie, grupul susținătorilor </w:t>
      </w:r>
      <w:r>
        <w:rPr>
          <w:rFonts w:ascii="Times New Roman" w:hAnsi="Times New Roman"/>
          <w:i/>
          <w:noProof/>
        </w:rPr>
        <w:t>Riders’ Rights</w:t>
      </w:r>
      <w:r>
        <w:rPr>
          <w:rFonts w:ascii="Times New Roman" w:hAnsi="Times New Roman"/>
          <w:noProof/>
        </w:rPr>
        <w:t>, înființat în 2021 și axat pe drepturile lucrătorilor care efectuează livrări, a anunțat că își va înceta de îndată activitatea.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La 1 august, Societatea pentru protejarea portului, cu o vechime de 29 de ani, un important grup de conservare care a militat cu succes pentru protecția juridică a portului Victoria în 1997, </w:t>
      </w:r>
      <w:r>
        <w:rPr>
          <w:rFonts w:ascii="Times New Roman" w:hAnsi="Times New Roman"/>
          <w:noProof/>
        </w:rPr>
        <w:lastRenderedPageBreak/>
        <w:t>a anunțat că se desființează, invocând recentele modificări legislative care facilitează îmbunătățirile funciare și care i-au subminat misiunea. În timp ce grupul a beneficiat de sprijin din partea foștilor șefi ai administrației locale, Tung Chee-hwa și Carrie Lam, Ta Kung Pao, sprijinit de Beijing, a acuzat grupul de „rezistență ușoară”.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22 august, guvernul a publicat anunțuri de eliminare a aproape 300 de grupuri din registrul societăților, susținând că se consideră că organizațiile „și-au încetat existența”. Printre grupuri se numără șase grupuri pro-democrație care nu mai există în prezent, inclusiv Scholarism – înființat de activistul Joshua Wong aflat în închisoare și de grupul politic pro-democrație People Power.</w:t>
      </w:r>
    </w:p>
    <w:p>
      <w:pPr>
        <w:spacing w:after="0" w:line="240" w:lineRule="auto"/>
        <w:jc w:val="both"/>
        <w:rPr>
          <w:rFonts w:ascii="Times New Roman" w:hAnsi="Times New Roman" w:cs="Times New Roman"/>
          <w:noProof/>
          <w:highlight w:val="yellow"/>
        </w:rPr>
      </w:pPr>
    </w:p>
    <w:p>
      <w:pPr>
        <w:spacing w:after="0" w:line="240" w:lineRule="auto"/>
        <w:jc w:val="both"/>
        <w:rPr>
          <w:rFonts w:ascii="Times New Roman" w:hAnsi="Times New Roman" w:cs="Times New Roman"/>
          <w:noProof/>
        </w:rPr>
      </w:pPr>
      <w:r>
        <w:rPr>
          <w:rFonts w:ascii="Times New Roman" w:hAnsi="Times New Roman"/>
          <w:noProof/>
        </w:rPr>
        <w:t>Pe parcursul anului trecut, mai multe grupuri ale societății civile s-au confruntat cu anulări de ultim moment ale locurilor de desfășurare. De exemplu, cu o zi înainte de forumul privind ecoturismul din 22 iunie, Universitatea Chineză din Hong Kong a informat Greenpeace că locul său de desfășurare necesită reparații, impunând mutarea evenimentului în online.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highlight w:val="yellow"/>
        </w:rPr>
      </w:pPr>
      <w:r>
        <w:rPr>
          <w:rFonts w:ascii="Times New Roman" w:hAnsi="Times New Roman"/>
          <w:noProof/>
        </w:rPr>
        <w:t>Membrii corpului diplomatic s-au confruntat cu aceeași situație. Într-un interviu publicat în iulie, Consulul General al SUA, Gregory May, aflat la sfârșit de mandat, a declarat că misiunea diplomatică s-a confruntat cu dificultăți „din ce în ce mai mari” în ceea ce privește stabilirea locurilor de desfășurare, patronii de localuri renunțând în ultimul moment în mai multe rânduri, unii invocând chiar presiuni din partea autorităților.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15 aprilie, Amnesty International a anunțat înființarea unei noi unități pentru Hong Kong, cu sediul în străinătate, în urma închiderii birourilor sale din oraș în 2021. Biroul este condus de activiști din Hong Kong care își desfășoară activitatea în Australia, Canada, Taiwan, Regatul Unit și Statele Unite.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Libertatea academică este în continuare supusă presiunilor</w:t>
      </w:r>
      <w:r>
        <w:rPr>
          <w:rFonts w:ascii="Times New Roman" w:hAnsi="Times New Roman"/>
          <w:noProof/>
        </w:rPr>
        <w:t>, autocenzura fiind un fenomen larg răspândit, în special în domeniul științelor umaniste și sociale. În 2025, cele opt universități finanțate din fonduri publice au fost obligate să semneze un nou acord privind asumarea răspunderii, cuprinzând clauze care impun universităților să urmeze „recomandările și orientările” guvernului central și să se conformeze declarațiilor liderului chinez Xi Jinping.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Institutul de Studii Asia-Pacific din Hong Kong din cadrul Universității Chineze din Hong Kong a renunțat la contractele încheiate cu doi cercetători științifici principali onorifici – fostul diplomat american Morton Holbrook și omul de știință taiwanez Hsin-Huang Hsiao – în contextul criticilor formulate de cotidianul Ta Kung Pao, controlat de Beijing, la 30 iulie.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august, Universitatea din Hong Kong și Universitatea de Știință și Tehnologie din Hong Kong s-au alăturat Universității Tsinghua pentru a organiza în comun o conferință intitulată „Perspective comparative globale privind regiunea Xinjiang”.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Toți oamenii de știință din cadrul instituțiilor academice cu sediul în Hong Kong și-au retras participarea la „Cea de a treia conferință internațională privind studiile globale despre Hong Kong: reziliență și transformare”, organizată de Institutul de Sociologie la Academia Sinica din Taiwan la începutul lunii decembrie – potrivit declarațiilor din cauza presiunii politice.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Cu toate acestea, sectorul învățământului superior din Hong Kong a primit o recunoaștere pozitivă în baza clasamentelor din ultimul an.</w:t>
      </w:r>
      <w:r>
        <w:rPr>
          <w:rFonts w:ascii="Times New Roman" w:hAnsi="Times New Roman"/>
          <w:noProof/>
        </w:rPr>
        <w:t xml:space="preserve"> În clasamentul mondial al universităților (</w:t>
      </w:r>
      <w:r>
        <w:rPr>
          <w:rFonts w:ascii="Times New Roman" w:hAnsi="Times New Roman"/>
          <w:i/>
          <w:noProof/>
        </w:rPr>
        <w:t>QS World University Rankings</w:t>
      </w:r>
      <w:r>
        <w:rPr>
          <w:rFonts w:ascii="Times New Roman" w:hAnsi="Times New Roman"/>
          <w:noProof/>
        </w:rPr>
        <w:t xml:space="preserve">) din 2026, publicat în iunie, cinci universități </w:t>
      </w:r>
      <w:r>
        <w:rPr>
          <w:rFonts w:ascii="Times New Roman" w:hAnsi="Times New Roman"/>
          <w:noProof/>
        </w:rPr>
        <w:lastRenderedPageBreak/>
        <w:t xml:space="preserve">din Hong Kong se situau printre primele 100 din lume. O instituție a urcat șase locuri, ajungând pe locul 11 la nivel mondial, cea mai bună performanță înregistrată vreodată. În clasamentul mondial al universităților din 2026 </w:t>
      </w:r>
      <w:r>
        <w:rPr>
          <w:rFonts w:ascii="Times New Roman" w:hAnsi="Times New Roman"/>
          <w:i/>
          <w:noProof/>
        </w:rPr>
        <w:t>Times Higher Education</w:t>
      </w:r>
      <w:r>
        <w:rPr>
          <w:rFonts w:ascii="Times New Roman" w:hAnsi="Times New Roman"/>
          <w:noProof/>
        </w:rPr>
        <w:t>, publicat în octombrie, șase instituții din Hong Kong s-au clasat printre primele 200 de universități din lume, un record pentru oraș.</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În 2025 imaginea a fost eterogenă în cazul drepturilor persoanelor LGBTIQ+.</w:t>
      </w:r>
      <w:r>
        <w:rPr>
          <w:rFonts w:ascii="Times New Roman" w:hAnsi="Times New Roman"/>
          <w:noProof/>
        </w:rPr>
        <w:t xml:space="preserve"> La 10 septembrie, Consiliul Legislativ a respins proiectul de lege privind parteneriatele între persoane de același sex, care ar fi stabilit un cadru alternativ de recunoaștere a parteneriatelor homosexuale în conformitate cu o hotărâre a Înaltei Curți de Apel din septembrie 2023. 71 din 87 de legiuitori au votat împotriva proiectului legislativ, înregistrându-se totodată 14 voturi pentru și 1 abținere. Acesta a fost primul și singurul proiect de lege propus de guvern care a fost respins de organul legislativ de la momentul respectiv în cursul mandatului său de patru ani.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conformitate cu proiectul de lege propus, cuplurile de același sex ar fi trebuit mai întâi să își oficializeze relațiile în afara Hong Kongului. În acest caz, mecanismul ar fi acordat cuplurilor un număr limitat de drepturi în raport cu chestiuni de natură medicală și post-mortem. Documentul preciza în mod expres că acest cadru nu ar fi echivalent cu căsătoria.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Cu toate acestea, proiectul de lege a primit critici atât din partea principalelor partide politice ale orașului, cât și a comunității LGBTIQ+. Pentru grupurile conservatoare, cadrul ar fi recunoscut, de fapt, relațiile între persoane de același sex drept căsătorii, în timp ce pentru unii membri ai comunității LGBTIQ+, cadrul nu era în măsură să ofere o protecție suficientă a drepturilor lor. Comisia pentru proiecte de lege care a examinat propunerea de lege a invitat publicul să prezinte observații. S-au primit peste 10 000 de observații. Potrivit autorităților, doar 19 % erau în sprijinul proiectului de lege.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urma exercitării dreptului de veto asupra proiectului de lege de către Consiliul Legislativ, șeful executivului și-a luat angajamentul, la 16 septembrie, să anunțe măsuri administrative ca soluție pentru a îndeplini cerința constituțională înainte de termenul prevăzut pentru 17 octombrie, astfel cum a dispus Înalta Curte de Apel. Până la sfârșitul anului, nu au fost furnizate detalii cu privire la măsurile anunțate. Specialiștii în domeniul juridic au emis avertismente cu privire la prejudiciile aduse statului de drept în Hong Kong în cazul unui răspuns insuficient la obligația legală impusă de Înalta Curte de Apel.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Deși au existat solicitări de a invita Comitetul permanent al Congresului Național al Poporului să interpreteze Legea fundamentală cu privire la această chestiune, anulând astfel hotărârea Înaltei Curți de Apel, autoritățile au manifestat reținere. Biroul pentru afaceri din Hong Kong și Macao din cadrul Consiliului de Stat a publicat un document de opinie numai după exercitarea dreptului de veto, susținând că votul s-a aliniat la realitatea socială din Hong Kong și a reflectat valorile dominante ale societății. Articolul menționa, de asemenea, că administrația, organul legislativ și sistemul judiciar au abordat problema în conformitate cu legea.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începutul anului, Consiliul Legislativ adoptase deja o moțiune fără caracter obligatoriu privind „susținerea sistemului de căsătorii monogame și heterosexuale în Hong Kong”. Moțiunea a primit 69 de voturi pentru, 0 împotrivă și 10 abțineri.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 xml:space="preserve">Între timp, grupurile LGBTIQ+ se confruntau cu dificultăți din ce în ce mai mari în ceea ce privește organizarea de evenimente. Organizatorii Pink Dot, un eveniment corporativ la scară largă de susținere a drepturilor persoanelor LGBTIQ+, programat pentru 12 octombrie, au declarat la 31 iulie că partenerul locului de desfășurare inițial al evenimentului a refuzat închirierea spațiului fără explicații suplimentare. Evenimentul a avut loc în cele din urmă sub forma unui concert online. Evenimentul în aer liber </w:t>
      </w:r>
      <w:r>
        <w:rPr>
          <w:rFonts w:ascii="Times New Roman" w:hAnsi="Times New Roman"/>
          <w:i/>
          <w:noProof/>
        </w:rPr>
        <w:t>Rainbow Festival</w:t>
      </w:r>
      <w:r>
        <w:rPr>
          <w:rFonts w:ascii="Times New Roman" w:hAnsi="Times New Roman"/>
          <w:noProof/>
        </w:rPr>
        <w:t>, organizat de Comitetul </w:t>
      </w:r>
      <w:r>
        <w:rPr>
          <w:rFonts w:ascii="Times New Roman" w:hAnsi="Times New Roman"/>
          <w:i/>
          <w:noProof/>
        </w:rPr>
        <w:t>Pride</w:t>
      </w:r>
      <w:r>
        <w:rPr>
          <w:rFonts w:ascii="Times New Roman" w:hAnsi="Times New Roman"/>
          <w:noProof/>
        </w:rPr>
        <w:t xml:space="preserve"> din Hong Kong, nu s-a putut desfășura într-o locație în aer liber, astfel cum fusese programat anterior la 29 noiembrie, deoarece locația a devenit indisponibilă din cauza „lucrărilor de construcții”.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Cu toate acestea, desfășurarea altor evenimente publice a fost posibilă. Un grup de ONG-uri locale sub umbrela Gay Harmony a organizat cu succes un târg public stradal în sprijinul proiectului de lege privind înregistrarea parteneriatelor între persoane de același sex în contextul IDAHOBIT (Ziua Internațională împotriva Homofobiei, Transfobiei și Bifobiei) la 17 mai. Marșul anual </w:t>
      </w:r>
      <w:r>
        <w:rPr>
          <w:rFonts w:ascii="Times New Roman" w:hAnsi="Times New Roman"/>
          <w:i/>
          <w:noProof/>
        </w:rPr>
        <w:t>Pride Bazaar</w:t>
      </w:r>
      <w:r>
        <w:rPr>
          <w:rFonts w:ascii="Times New Roman" w:hAnsi="Times New Roman"/>
          <w:noProof/>
        </w:rPr>
        <w:t>, organizat de ONG-ul Gay Harmony, a revenit pentru a cincea oară și s-a desfășurat în perioada 14-15 iunie într-o locație care nu a fost făcută publică.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Sistemul judiciar din Hong Kong a continuat să promoveze drepturile persoanelor LGBTIQ+. La 23 iulie, Înalta Curte a admis acțiunea introdusă de un justițiabil anonim având ca obiect încălcarea de către guvern a obligației constituționale de a proteja drepturile fundamentale ale rezidenților prin incriminarea utilizării necorespunzătoare a toaletelor publice de către comunitatea transgen. Guvernul a formulat recurs împotriva hotărârii.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Separat, la 9 septembrie, Înalta Curte s-a pronunțat în favoarea unui cuplu de lesbiene care a solicitat includerea numelui partenerei mamei biologice în certificatul de naștere al fiului lor. Cuplul, format dintr-o persoană din Hong Kong și una din Africa de Sud, se căsătorise în străinătate în 2019. Copilul a fost conceput prin fertilizare in vitro.</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În ceea ce privește solicitanții de azil</w:t>
      </w:r>
      <w:r>
        <w:rPr>
          <w:rFonts w:ascii="Times New Roman" w:hAnsi="Times New Roman"/>
          <w:noProof/>
        </w:rPr>
        <w:t>, guvernul și-a consolidat capacitatea de gestionare. În februarie, magistrații au numit primul judecător adjunct la Tribunalul de Primă Instanță care să se ocupe exclusiv de cauzele referitoare la cererile privind nereturnarea.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Lucrătorii casnici străini din Hong Kong reprezintă în continuare un grup vulnerabil.</w:t>
      </w:r>
      <w:r>
        <w:rPr>
          <w:rFonts w:ascii="Times New Roman" w:hAnsi="Times New Roman"/>
          <w:noProof/>
        </w:rPr>
        <w:t xml:space="preserve"> În iunie, Înalta Curte de Apel a respins un control jurisdicțional solicitat de o menajeră străină care susținea că poliția nu a investigat plângerea pe care a depus-o împotriva angajatorului său din cauza inexistenței unei legislații specifice împotriva muncii forțate.</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b/>
          <w:noProof/>
        </w:rPr>
        <w:t>Drepturile deținuților au reprezentat în continuare un motiv de îngrijorare.</w:t>
      </w:r>
      <w:r>
        <w:rPr>
          <w:rFonts w:ascii="Times New Roman" w:hAnsi="Times New Roman"/>
          <w:noProof/>
        </w:rPr>
        <w:t xml:space="preserve"> Normele (de modificare) privind penitenciarele din 2025 au intrat în vigoare la 18 iulie, înăsprind drepturile de vizită. Departamentul pentru servicii corecționale are în prezent posibilitatea de a restricționa sau chiar de a interzice unei persoane – inclusiv avocaților și liderilor religioși – să viziteze un deținut din anumite motive, printre care protejarea securității naționale. În temeiul normelor anterioare, avocații nu se confruntau cu restricții, iar clericii puteau vizita deținuții „în orice moment rezonabil”.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Pe tot parcursul anului, grupuri din afara Hong Kongului și rude ale persoanelor deținute au continuat să își exprime îngrijorarea cu privire la condițiile de detenție, inclusiv cu privire la utilizarea regimului de izolare și la presupusul refuz al accesului la ritualuri religioase. Chow Hang-tung, activist prodemocrație și membru al Alianței din Hong Kong care se află în detenție, a fost ținut în mod repetat în regim de izolare în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Potrivit Raportului anual pe 2024 publicat de Departamentul de servicii corecționale în februarie 2025, numărul mediu zilnic de mandate de arestare preventivă a ajuns la 3 650, ceea ce reprezintă o creștere anuală de 18 %, atingând un nou record după 2000. Până la sfârșitul anului 2024, 591 de persoane se aflau în detenție pentru participarea la infracțiuni legate de protestele din 2019 și de legislația privind securitatea națională, ceea ce reprezintă o scădere de 24 % de la an la an.</w:t>
      </w:r>
    </w:p>
    <w:p>
      <w:pPr>
        <w:spacing w:after="0" w:line="240" w:lineRule="auto"/>
        <w:jc w:val="both"/>
        <w:rPr>
          <w:rFonts w:ascii="Times New Roman" w:hAnsi="Times New Roman" w:cs="Times New Roman"/>
          <w:noProof/>
        </w:rPr>
      </w:pPr>
    </w:p>
    <w:p>
      <w:pPr>
        <w:pStyle w:val="ListParagraph"/>
        <w:numPr>
          <w:ilvl w:val="0"/>
          <w:numId w:val="15"/>
        </w:numPr>
        <w:spacing w:after="0" w:line="240" w:lineRule="auto"/>
        <w:jc w:val="both"/>
        <w:rPr>
          <w:rFonts w:ascii="Times New Roman" w:hAnsi="Times New Roman" w:cs="Times New Roman"/>
          <w:b/>
          <w:bCs/>
          <w:noProof/>
        </w:rPr>
      </w:pPr>
      <w:r>
        <w:rPr>
          <w:rFonts w:ascii="Times New Roman" w:hAnsi="Times New Roman"/>
          <w:b/>
          <w:noProof/>
        </w:rPr>
        <w:t>Evoluția situației economice</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noProof/>
        </w:rPr>
        <w:t>Hong Kongul exercită o autoritate independentă în ceea ce privește punerea în aplicare a acordurilor comerciale și stabilește o politică monetară autonomă față de China continentală. În 2025, Hong Kong a rămas o jurisdicție juridică separată de China continentală, în ceea ce privește chestiunile de politică economică. Acesta și-a menținut o monedă separată, fără limitări privind capitalul, precum și structuri de reglementare separate pentru supravegherea întreprinderilor care își desfășoară activitatea pe teritoriul său.</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Kongul a fost </w:t>
      </w:r>
      <w:r>
        <w:rPr>
          <w:rFonts w:ascii="Times New Roman" w:hAnsi="Times New Roman"/>
          <w:b/>
          <w:noProof/>
        </w:rPr>
        <w:t>a treia destinație de investiții ca mărime din lume pentru investițiile străine directe (ISD)</w:t>
      </w:r>
      <w:r>
        <w:rPr>
          <w:rFonts w:ascii="Times New Roman" w:hAnsi="Times New Roman"/>
          <w:noProof/>
        </w:rPr>
        <w:t xml:space="preserve"> în 2024, conform Raportului privind investițiile mondiale din 2025, publicat de Conferința Organizației Națiunilor Unite pentru Comerț și Dezvoltare (</w:t>
      </w:r>
      <w:r>
        <w:rPr>
          <w:rStyle w:val="FootnoteReference"/>
          <w:noProof/>
        </w:rPr>
        <w:footnoteReference w:id="17"/>
      </w:r>
      <w:r>
        <w:rPr>
          <w:rFonts w:ascii="Times New Roman" w:hAnsi="Times New Roman"/>
          <w:noProof/>
        </w:rPr>
        <w:t xml:space="preserve">). În plus, Hong Kongul este una dintre cele mai mari </w:t>
      </w:r>
      <w:r>
        <w:rPr>
          <w:rFonts w:ascii="Times New Roman" w:hAnsi="Times New Roman"/>
          <w:b/>
          <w:noProof/>
        </w:rPr>
        <w:t>economii comerciale</w:t>
      </w:r>
      <w:r>
        <w:rPr>
          <w:rFonts w:ascii="Times New Roman" w:hAnsi="Times New Roman"/>
          <w:noProof/>
        </w:rPr>
        <w:t xml:space="preserve"> din lume (clasându-se pe locul al șaptelea în 2024) (</w:t>
      </w:r>
      <w:r>
        <w:rPr>
          <w:rStyle w:val="FootnoteReference"/>
          <w:noProof/>
        </w:rPr>
        <w:footnoteReference w:id="18"/>
      </w:r>
      <w:r>
        <w:rPr>
          <w:rFonts w:ascii="Times New Roman" w:hAnsi="Times New Roman"/>
          <w:noProof/>
        </w:rPr>
        <w:t>), exporturile sale constând în mare parte din reexporturi.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Economia Hong Kongului este </w:t>
      </w:r>
      <w:r>
        <w:rPr>
          <w:rFonts w:ascii="Times New Roman" w:hAnsi="Times New Roman"/>
          <w:b/>
          <w:noProof/>
        </w:rPr>
        <w:t>dominată de servicii</w:t>
      </w:r>
      <w:r>
        <w:rPr>
          <w:rFonts w:ascii="Times New Roman" w:hAnsi="Times New Roman"/>
          <w:noProof/>
        </w:rPr>
        <w:t xml:space="preserve"> (reprezentând 94 % din PIB), inclusiv serviciile financiare și logistica, în timp ce industria prelucrătoare reprezintă doar o fracțiune din PIB (1 %).</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Economia Hong Kongului a crescut pentru al treilea an consecutiv în 2025</w:t>
      </w:r>
      <w:r>
        <w:rPr>
          <w:rFonts w:ascii="Times New Roman" w:hAnsi="Times New Roman"/>
          <w:noProof/>
        </w:rPr>
        <w:t>, cu o creștere de 3,5 % a PIB-ului de la an la an (</w:t>
      </w:r>
      <w:r>
        <w:rPr>
          <w:rStyle w:val="FootnoteReference"/>
          <w:noProof/>
        </w:rPr>
        <w:footnoteReference w:id="19"/>
      </w:r>
      <w:r>
        <w:rPr>
          <w:rFonts w:ascii="Times New Roman" w:hAnsi="Times New Roman"/>
          <w:noProof/>
        </w:rPr>
        <w:t>), după o creștere de 2,5 % în 2024. Creșterea economică a fost susținută de performanțele semnificative din sectorul serviciilor financiare, precum și din sectorul comerțului și al logisticii, în timp ce sectorul construcțiilor, sectorul imobiliar și sectorul turismului au continuat să se confrunte cu provocări.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În 2025, inflația a fost în continuare moderată</w:t>
      </w:r>
      <w:r>
        <w:rPr>
          <w:rFonts w:ascii="Times New Roman" w:hAnsi="Times New Roman"/>
          <w:noProof/>
        </w:rPr>
        <w:t xml:space="preserve">, cu o creștere anuală de 1,4 % a indicelui prețurilor de consum în cursul anului. </w:t>
      </w:r>
      <w:r>
        <w:rPr>
          <w:rFonts w:ascii="Times New Roman" w:hAnsi="Times New Roman"/>
          <w:b/>
          <w:noProof/>
        </w:rPr>
        <w:t>Rata șomajului</w:t>
      </w:r>
      <w:r>
        <w:rPr>
          <w:rFonts w:ascii="Times New Roman" w:hAnsi="Times New Roman"/>
          <w:noProof/>
        </w:rPr>
        <w:t xml:space="preserve"> a fost de 3,6 % în decembrie 2025, ceea ce reprezintă o creștere față de 3,0 % în decembrie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Sectorul comerțului și al logisticii</w:t>
      </w:r>
      <w:r>
        <w:rPr>
          <w:rFonts w:ascii="Times New Roman" w:hAnsi="Times New Roman"/>
          <w:noProof/>
        </w:rPr>
        <w:t xml:space="preserve"> a continuat să crească în cursul anului. Valoarea comerțului exterior cu mărfuri al Hong Kongului a crescut cu 15,5 %, ajungând la 10,93 mii de miliarde HKD (1,2 mii de miliarde EUR) (</w:t>
      </w:r>
      <w:r>
        <w:rPr>
          <w:rStyle w:val="FootnoteReference"/>
          <w:noProof/>
        </w:rPr>
        <w:footnoteReference w:id="20"/>
      </w:r>
      <w:r>
        <w:rPr>
          <w:rFonts w:ascii="Times New Roman" w:hAnsi="Times New Roman"/>
          <w:noProof/>
        </w:rPr>
        <w:t>) în anul respectiv (după o creștere de 7,3 % în 2024). Poziția Hong Kongului de centru de comercializare a mărfurilor este susținută în mare măsură de rolul său de centru de tranzit și reexport.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Sectorul financiar</w:t>
      </w:r>
      <w:r>
        <w:rPr>
          <w:rFonts w:ascii="Times New Roman" w:hAnsi="Times New Roman"/>
          <w:noProof/>
        </w:rPr>
        <w:t xml:space="preserve"> a fost sprijinit de o creștere bruscă a ofertelor publice inițiale (OPI). În Hong Kong au fost înregistrate 119 OPI în 2025 (în creștere de la 71 în 2024), iar suma totală colectată prin intermediul OPI a crescut cu 226,8 % de la an la an, ajungând la 285,8 miliarde HKD (31,7 miliarde EUR). Hong Kongul a fost cel mai mare centru mondial ca valoare pentru OPI în 2025. În cursul anului, </w:t>
      </w:r>
      <w:r>
        <w:rPr>
          <w:rFonts w:ascii="Times New Roman" w:hAnsi="Times New Roman"/>
          <w:b/>
          <w:noProof/>
        </w:rPr>
        <w:t>indicele Hong Kong Hang Seng</w:t>
      </w:r>
      <w:r>
        <w:rPr>
          <w:rFonts w:ascii="Times New Roman" w:hAnsi="Times New Roman"/>
          <w:noProof/>
        </w:rPr>
        <w:t xml:space="preserve"> și-a revenit cu 29,7 %, în timp ce </w:t>
      </w:r>
      <w:r>
        <w:rPr>
          <w:rFonts w:ascii="Times New Roman" w:hAnsi="Times New Roman"/>
          <w:b/>
          <w:noProof/>
        </w:rPr>
        <w:t>capitalizarea bursieră</w:t>
      </w:r>
      <w:r>
        <w:rPr>
          <w:rFonts w:ascii="Times New Roman" w:hAnsi="Times New Roman"/>
          <w:noProof/>
        </w:rPr>
        <w:t xml:space="preserve"> la bursa de valori din Hong Kong a crescut cu 34,2 %, ajungând la 47,4 mii de miliarde HKD (5,3 mii de miliarde EUR). Cifra de afaceri medie zilnică pe piață a crescut cu 89,5 % de la an la an, ajungând la 249,8 miliarde HKD (27,7 miliarde EUR). La sfârșitul lunii octombrie a anului 2025, Hong Kongul a fost a șasea piață bursieră ca mărime din lume și a treia piață bursieră ca mărime din Asia în funcție de capitalizarea bursieră, precum și cel mai mare centru de afaceri offshore în renmimbi la nivel mondial.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Turismul și industriile conexe expuse cheltuielilor turistice</w:t>
      </w:r>
      <w:r>
        <w:rPr>
          <w:rFonts w:ascii="Times New Roman" w:hAnsi="Times New Roman"/>
          <w:noProof/>
        </w:rPr>
        <w:t xml:space="preserve"> nu au revenit încă la nivelul din 2018, care a fost ultimul an „normal” pentru fluxurile turistice către Hong Kong înainte de începutul pandemiei de COVID-19. Hong Kongul a primit 49,9 milioane de vizitatori în 2025, ceea ce reprezintă o creștere de 12,1 % de la an la an, dar acesta a reprezentat doar 76,6 % din numărul vizitatorilor în 2018. Vizitatorii din China continentală au reprezentat 75,8 % din total, adică 37,8 milioane. Vizitatorii din Hong Kong au cheltuit, de asemenea, mai puțin pe cap de locuitor în cursul anului și, prin urmare, cheltuielile totale pentru turism în primele nouă luni ale anului 2025 (ultima perioadă pentru care sunt disponibile date) au crescut cu 5,8 % de la an la an (în comparație cu o creștere cu 12,1 % a numărului de sosiri). Valoarea </w:t>
      </w:r>
      <w:r>
        <w:rPr>
          <w:rFonts w:ascii="Times New Roman" w:hAnsi="Times New Roman"/>
          <w:b/>
          <w:noProof/>
        </w:rPr>
        <w:t>vânzărilor cu amănuntul</w:t>
      </w:r>
      <w:r>
        <w:rPr>
          <w:rFonts w:ascii="Times New Roman" w:hAnsi="Times New Roman"/>
          <w:noProof/>
        </w:rPr>
        <w:t xml:space="preserve"> (care sunt influențate de cheltuielile legate de turism) a înregistrat doar o creștere moderată, cu 1,0 % de la an la an, ajungând la 380 de miliarde HKD (42,2 miliarde EUR) în cursul anului, ceea ce a reprezentat doar 78 % din nivelul lor înregistrat în 2018. Performanța slabă a comerțului cu amănuntul a fost, de asemenea, exacerbată de faptul că rezidenții din Hong Kong călătoreau în orașul învecinat Shenzhen pentru cumpărături și activități recreative.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Sectorul aviației</w:t>
      </w:r>
      <w:r>
        <w:rPr>
          <w:rFonts w:ascii="Times New Roman" w:hAnsi="Times New Roman"/>
          <w:noProof/>
        </w:rPr>
        <w:t xml:space="preserve"> și industriile conexe au continuat să se redreseze în 2025, dar numărul de zboruri și de pasageri pe Aeroportul Internațional din Hong Kong a rămas sub nivelurile anterioare pandemiei. În 2025, numărul zborurilor înspre și dinspre Hong Kong a crescut cu 8,7 %, ajungând la 394 732, iar numărul de pasageri a crescut cu 15,0 %, ajungând la 60,8 milioane, dar au fost în continuare cu 6,0 % și, respectiv, cu 14,6 % mai mici decât în 2019. Transportul aerian de mărfuri a crescut cu 2,8 % de la an la an, ajungând la 5,0 milioane de tone în 2025 (de asemenea, cu 7,1 % peste nivelul din 2019). Hong Kongul și-a menținut poziția de cel mai aglomerat centru de transport aerian de mărfuri din lume în cursul anului. Beneficiind de o a treia pistă operațională în prezent, Hong Kongul are o capacitate de 120 de milioane de pasageri și 10 milioane de tone de mărfuri.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Sistemul cursului de schimb fix</w:t>
      </w:r>
      <w:r>
        <w:rPr>
          <w:rFonts w:ascii="Times New Roman" w:hAnsi="Times New Roman"/>
          <w:noProof/>
        </w:rPr>
        <w:t xml:space="preserve"> al RAS a fost menținut în cursul anului, cu o rată situată în intervalul 7,75-7,85 HKD la un dolar american. Activele de rezervă valutare au fost în cea mai mare parte stabile, ajungând la 427,9 miliarde USD în 2025, ceea ce reprezintă o ușoară creștere față de 421,5 miliarde USD la sfârșitul anului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Bugetul prezentat în februarie 2025 prevedea un deficit consolidat pentru exercițiul financiar 2025-2026 (care se încheie la 31 martie 2026) de 163 de miliarde HKD (18,1 miliarde EUR), excluzând încasările din emisiunea de obligațiuni de stat. Situația fiscală s-a îmbunătățit în cursul anului. Potrivit previziunilor analiștilor, contul de exploatare al bugetului guvernului se va transforma într-un excedent la sfârșitul exercițiului financiar care se încheie în martie 2026, </w:t>
      </w:r>
      <w:r>
        <w:rPr>
          <w:rFonts w:ascii="Times New Roman" w:hAnsi="Times New Roman"/>
          <w:noProof/>
        </w:rPr>
        <w:lastRenderedPageBreak/>
        <w:t>în timp ce contul consolidat (contul de exploatare + contul de capital) va înregistra în continuare un deficit (al șaselea deficit al Hong Kongului în decurs de șapte ani). Deficitele au fost finanțate prin emiterea de obligațiuni de stat și prin valorificarea rezervelor fiscale ale Hong Kongului. În decembrie 2025, datoria publică guvernamentală se ridica la aproximativ 12,4 % din PIB, ceea ce reprezintă o creștere de la nicio datorie practic în 2019.</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rFonts w:ascii="Times New Roman" w:hAnsi="Times New Roman"/>
          <w:b/>
          <w:noProof/>
        </w:rPr>
        <w:t>Mediul de afaceri</w:t>
      </w:r>
    </w:p>
    <w:p>
      <w:pPr>
        <w:spacing w:after="0" w:line="240" w:lineRule="auto"/>
        <w:jc w:val="both"/>
        <w:rPr>
          <w:rFonts w:ascii="Times New Roman" w:hAnsi="Times New Roman" w:cs="Times New Roman"/>
          <w:b/>
          <w:bCs/>
          <w:noProof/>
        </w:rPr>
      </w:pPr>
    </w:p>
    <w:p>
      <w:pPr>
        <w:spacing w:after="0" w:line="240" w:lineRule="auto"/>
        <w:jc w:val="both"/>
        <w:rPr>
          <w:rFonts w:ascii="Times New Roman" w:hAnsi="Times New Roman" w:cs="Times New Roman"/>
          <w:noProof/>
        </w:rPr>
      </w:pPr>
      <w:r>
        <w:rPr>
          <w:rFonts w:ascii="Times New Roman" w:hAnsi="Times New Roman"/>
          <w:b/>
          <w:noProof/>
        </w:rPr>
        <w:t>Percepția asupra mediului de afaceri din Hong Kong în cadrul comunității de afaceri europene a înregistrat o îmbunătățire moderată în 2025</w:t>
      </w:r>
      <w:r>
        <w:rPr>
          <w:rFonts w:ascii="Times New Roman" w:hAnsi="Times New Roman"/>
          <w:noProof/>
        </w:rPr>
        <w:t>. Acest fapt a fost demonstrat într-un sondaj privind climatul de afaceri în rândul întreprinderilor suedeze, care a fost publicat în mai 2025 (</w:t>
      </w:r>
      <w:r>
        <w:rPr>
          <w:rStyle w:val="FootnoteReference"/>
          <w:noProof/>
        </w:rPr>
        <w:footnoteReference w:id="21"/>
      </w:r>
      <w:r>
        <w:rPr>
          <w:rFonts w:ascii="Times New Roman" w:hAnsi="Times New Roman"/>
          <w:noProof/>
        </w:rPr>
        <w:t>) (sondaj realizat în rândul întreprinderilor suedeze), și într-un sondaj privind încrederea în mediul de afaceri din Germania, care a fost realizat în august 2025 (sondaj realizat în rândul întreprinderilor germane) (</w:t>
      </w:r>
      <w:r>
        <w:rPr>
          <w:rStyle w:val="FootnoteReference"/>
          <w:noProof/>
        </w:rPr>
        <w:footnoteReference w:id="22"/>
      </w:r>
      <w:r>
        <w:rPr>
          <w:rFonts w:ascii="Times New Roman" w:hAnsi="Times New Roman"/>
          <w:noProof/>
        </w:rPr>
        <w:t>). În sondajul realizat în rândul întreprinderilor din Germania, încrederea în mediul de afaceri a atins cel mai înalt nivel de la începutul sondajului, în 2019. Nivelul de încredere a fost de 3,84 (pe o scară de la 1 la 5), în creștere de la 3,36 în 2024 și de la 2,30 în 2022 (cel mai scăzut nivel înregistrat vreodată). În sondajul realizat în rândul întreprinderilor din Suedia, climatul de afaceri din Hong Kong a fost evaluat la un punctaj de 3,3 (din 5), în creștere de la 3,1 în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mare măsură, întreprinderile continuă să perceapă Hong Kongul ca pe un </w:t>
      </w:r>
      <w:r>
        <w:rPr>
          <w:rFonts w:ascii="Times New Roman" w:hAnsi="Times New Roman"/>
          <w:b/>
          <w:noProof/>
        </w:rPr>
        <w:t>centru de afaceri competitiv</w:t>
      </w:r>
      <w:r>
        <w:rPr>
          <w:rFonts w:ascii="Times New Roman" w:hAnsi="Times New Roman"/>
          <w:noProof/>
        </w:rPr>
        <w:t>, cu o solidă propunere de valoare. Printre avantajele stabilirii în Hong Kong se numără: un sistem de impozitare simplu și redus; poziția sa geografică, conectivitatea și accesul la China continentală; ușurința cu care pot fi desfășurate activități economice; libera circulație a capitalurilor și convertibilitatea deplină a dolarului din Hong Kong; sistemul de drept comun; siguranța datelor, un nivel scăzut de corupție și un nivel ridicat de siguranță publică. Întreprinderile consideră că este important ca aceste avantaje să se mențină și în viitor. Deschiderea economică percepută a Hong Kongului s-a reflectat în sondajul realizat în rândul întreprinderilor din Suedia, care a clasificat Hong Kongul ca fiind piața cu cele mai puține bariere pe piață la nivel mondial. În sondajul realizat în rândul întreprinderilor din Germania, 92,4 % dintre respondenți nu au luat în considerare relocarea în următoarele 12 luni (față de 7,6 % care au luat în considerare relocarea parțială), iar 31,9 % au indicat planuri de investiții suplimentare în Hong Kong (restul respondenților declarând că nu au astfel de planuri sau că sunt indeciși).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Întreprinderile din Hong Kong au raportat, de asemenea, o serie de provocări</w:t>
      </w:r>
      <w:r>
        <w:rPr>
          <w:rFonts w:ascii="Times New Roman" w:hAnsi="Times New Roman"/>
          <w:noProof/>
        </w:rPr>
        <w:t xml:space="preserve">. Printre principalele provocări se numără </w:t>
      </w:r>
      <w:r>
        <w:rPr>
          <w:rFonts w:ascii="Times New Roman" w:hAnsi="Times New Roman"/>
          <w:b/>
          <w:noProof/>
        </w:rPr>
        <w:t>costurile ridicate</w:t>
      </w:r>
      <w:r>
        <w:rPr>
          <w:rFonts w:ascii="Times New Roman" w:hAnsi="Times New Roman"/>
          <w:noProof/>
        </w:rPr>
        <w:t xml:space="preserve"> de exploatare a unei întreprinderi în Hong Kong (inclusiv costurile cu forța de muncă și proprietățile), recrutarea și disponibilitatea </w:t>
      </w:r>
      <w:r>
        <w:rPr>
          <w:rFonts w:ascii="Times New Roman" w:hAnsi="Times New Roman"/>
          <w:b/>
          <w:noProof/>
        </w:rPr>
        <w:t>specialiștilor</w:t>
      </w:r>
      <w:r>
        <w:rPr>
          <w:rFonts w:ascii="Times New Roman" w:hAnsi="Times New Roman"/>
          <w:noProof/>
        </w:rPr>
        <w:t xml:space="preserve"> și modificările în ceea ce privește rezerva de talente din Hong Kong. O altă preocupare a întreprinderilor străine și din UE este reprezentată de </w:t>
      </w:r>
      <w:r>
        <w:rPr>
          <w:rFonts w:ascii="Times New Roman" w:hAnsi="Times New Roman"/>
          <w:b/>
          <w:noProof/>
        </w:rPr>
        <w:t xml:space="preserve">evoluțiile politice și juridice începând din 2019 </w:t>
      </w:r>
      <w:r>
        <w:rPr>
          <w:rFonts w:ascii="Times New Roman" w:hAnsi="Times New Roman"/>
          <w:noProof/>
        </w:rPr>
        <w:t xml:space="preserve">la nivel local, inclusiv punerea în aplicare a legislației privind securitatea națională și preocupările legate de libertatea de exprimare și de informare. În sondajul realizat în rândul întreprinderilor din Germania, climatul politic a fost evaluat ca fiind al doilea cel mai important domeniu care afectează competitivitatea Hong Kongului (după </w:t>
      </w:r>
      <w:r>
        <w:rPr>
          <w:rFonts w:ascii="Times New Roman" w:hAnsi="Times New Roman"/>
          <w:noProof/>
        </w:rPr>
        <w:lastRenderedPageBreak/>
        <w:t>aspectele legate de costuri). În sondajul suedez, 38 % dintre respondenți au considerat că evoluțiile politice au avut un impact negativ sau în foarte mare măsură negativ asupra climatului de afaceri din Hong Kong (în scădere de la 51 % în 2024) – principala preocupare fiind că aceste evoluții pun în pericol statutul Hong Kongului de centru internațional de afaceri și afectează libertatea de exprimare și libertatea mass-mediei – în timp ce 43 % au raportat un impact neutru, iar 6 % un impact pozitiv. Cele două sondaje au relevat, de asemenea, preocupările existente cu privire la sistemul juridic și la sistemul judiciar. Impactul tarifelor impuse de SUA asupra funcționării întreprinderilor din UE în Hong Kong a reprezentat, de asemenea, un motiv de îngrijorare.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Măsurile menite să atragă talentele în Hong Kong</w:t>
      </w:r>
      <w:r>
        <w:rPr>
          <w:rFonts w:ascii="Times New Roman" w:hAnsi="Times New Roman"/>
          <w:noProof/>
        </w:rPr>
        <w:t xml:space="preserve"> au rămas o politică esențială a guvernului. În cursul anului, majoritatea lucrătorilor atrași în Hong Kong în cadrul diferitelor sisteme guvernamentale de atragere a talentelor erau resortisanți din China continentală (de exemplu, în prima jumătate a anului 2025, cele mai recente date disponibile la momentul redactării prezentului document, 97 % din cererile aprobate în cadrul sistemului de admitere a migranților de calitate; 87 % în cadrul sistemului de admitere a talentelor tehnologice și 94 % în cadrul sistemului „</w:t>
      </w:r>
      <w:r>
        <w:rPr>
          <w:rFonts w:ascii="Times New Roman" w:hAnsi="Times New Roman"/>
          <w:i/>
          <w:noProof/>
        </w:rPr>
        <w:t>Top Talent Pass Scheme</w:t>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Un sondaj anual recent privind societățile străine din Hong Kong, realizat de Departamentul de Recensământ și Statistică din Hong Kong, </w:t>
      </w:r>
      <w:r>
        <w:rPr>
          <w:rFonts w:ascii="Times New Roman" w:hAnsi="Times New Roman"/>
          <w:b/>
          <w:noProof/>
        </w:rPr>
        <w:t>a indicat că numărul societăților străine (cu excepția societăților din China continentală) a crescut</w:t>
      </w:r>
      <w:r>
        <w:rPr>
          <w:rFonts w:ascii="Times New Roman" w:hAnsi="Times New Roman"/>
          <w:noProof/>
        </w:rPr>
        <w:t xml:space="preserve"> în 2025 cu 8,7 % față de 2024, ajungând la un nivel record de 7 980. Aceasta reprezintă, de asemenea, o creștere față de nivelurile anterioare pandemiei, cu o majorare de 10,2 % față de 2019. Cu toate acestea, întreprinderile străine au fost, de asemenea, mai mici, cu o medie de 46,0 membri ai personalului per întreprindere, în scădere cu 7,1 % față de 2024 (49,5 membri ai personalului) și 15,7 % față de 2019 (54,5). În plus, numărul societăților străine (cu excepția societăților din China) care au sediul regional și birourile regionale în RAS a rămas mai mic, cu o scădere de 8,6 % față de 2019 (în pofida unei creșteri de 3,9 % de la an la an în 2025). Între timp, </w:t>
      </w:r>
      <w:r>
        <w:rPr>
          <w:rFonts w:ascii="Times New Roman" w:hAnsi="Times New Roman"/>
          <w:b/>
          <w:noProof/>
        </w:rPr>
        <w:t>numărul societăților din China continentală</w:t>
      </w:r>
      <w:r>
        <w:rPr>
          <w:rFonts w:ascii="Times New Roman" w:hAnsi="Times New Roman"/>
          <w:noProof/>
        </w:rPr>
        <w:t xml:space="preserve"> cu sediul în Hong Kong a crescut cu 17,9 % de la an la an în 2025 și cu 71,8 % în comparație cu 2019 (acestea reprezintă în prezent 27,8 % din societățile din afara Hong Kongului, în creștere de la 19,9 % în 2019).</w:t>
      </w:r>
    </w:p>
    <w:p>
      <w:pPr>
        <w:spacing w:after="0" w:line="240" w:lineRule="auto"/>
        <w:jc w:val="both"/>
        <w:rPr>
          <w:rFonts w:ascii="Times New Roman" w:hAnsi="Times New Roman" w:cs="Times New Roman"/>
          <w:noProof/>
        </w:rPr>
      </w:pPr>
    </w:p>
    <w:p>
      <w:pPr>
        <w:spacing w:after="120" w:line="240" w:lineRule="auto"/>
        <w:jc w:val="both"/>
        <w:rPr>
          <w:rFonts w:ascii="Times New Roman" w:hAnsi="Times New Roman" w:cs="Times New Roman"/>
          <w:noProof/>
        </w:rPr>
      </w:pPr>
      <w:r>
        <w:rPr>
          <w:rFonts w:ascii="Times New Roman" w:hAnsi="Times New Roman"/>
          <w:noProof/>
        </w:rPr>
        <w:t xml:space="preserve">În </w:t>
      </w:r>
      <w:r>
        <w:rPr>
          <w:rFonts w:ascii="Times New Roman" w:hAnsi="Times New Roman"/>
          <w:b/>
          <w:noProof/>
        </w:rPr>
        <w:t>martie 2025</w:t>
      </w:r>
      <w:r>
        <w:rPr>
          <w:rFonts w:ascii="Times New Roman" w:hAnsi="Times New Roman"/>
          <w:noProof/>
        </w:rPr>
        <w:t xml:space="preserve">, conglomeratul </w:t>
      </w:r>
      <w:r>
        <w:rPr>
          <w:rFonts w:ascii="Times New Roman" w:hAnsi="Times New Roman"/>
          <w:b/>
          <w:noProof/>
        </w:rPr>
        <w:t>CK Hutchison Holdings Ltd (CK Hutchison)</w:t>
      </w:r>
      <w:r>
        <w:rPr>
          <w:rFonts w:ascii="Times New Roman" w:hAnsi="Times New Roman"/>
          <w:noProof/>
        </w:rPr>
        <w:t>, cu sediul în Hong Kong, a anunțat o tranzacție strategică majoră pentru a vinde cea mai mare parte a activităților sale portuare la nivel mondial (43 de porturi/terminale) în 23 de țări (excluzând porturile din China continentală și Hong Kong), inclusiv participația sa de control în Panama Ports Company (PPC), care exploatează terminale la fiecare capăt al Canalului Panama (</w:t>
      </w:r>
      <w:r>
        <w:rPr>
          <w:rStyle w:val="FootnoteReference"/>
          <w:noProof/>
        </w:rPr>
        <w:footnoteReference w:id="23"/>
      </w:r>
      <w:r>
        <w:rPr>
          <w:rFonts w:ascii="Times New Roman" w:hAnsi="Times New Roman"/>
          <w:noProof/>
        </w:rPr>
        <w:t xml:space="preserve">). Afacerea, evaluată la aproximativ 22,8 miliarde USD, a fost convenită în principiu cu un consorțiu condus de administratorul de active din SUA, BlackRock Inc. împreună cu parteneri, printre care Terminal Investment Limited (TiL) din cadrul Mediterranean Shipping Co. (MSC). Tranzacția a fost anunțată de CK Hutchison în contextul tensiunilor geopolitice. În cursul anului, mai multe rapoarte au indicat critici la adresa vânzării din partea funcționarilor din Hong Kong și China continentală și presiuni din partea Beijingului pentru ca un investitor strategic chinez, potrivit declarațiilor COSCO Shipping, să dețină o cotă din afacere. În iulie 2025, </w:t>
      </w:r>
      <w:r>
        <w:rPr>
          <w:rFonts w:ascii="Times New Roman" w:hAnsi="Times New Roman"/>
          <w:b/>
          <w:noProof/>
        </w:rPr>
        <w:t>CK Hutchison a anunțat</w:t>
      </w:r>
      <w:r>
        <w:rPr>
          <w:rFonts w:ascii="Times New Roman" w:hAnsi="Times New Roman"/>
          <w:noProof/>
        </w:rPr>
        <w:t xml:space="preserve"> organizarea de discuții cu scopul de a invita un investitor strategic major din China continentală să se alăture în calitate de membru important al </w:t>
      </w:r>
      <w:r>
        <w:rPr>
          <w:rFonts w:ascii="Times New Roman" w:hAnsi="Times New Roman"/>
          <w:noProof/>
        </w:rPr>
        <w:lastRenderedPageBreak/>
        <w:t>consorțiului (</w:t>
      </w:r>
      <w:r>
        <w:rPr>
          <w:rStyle w:val="FootnoteReference"/>
          <w:noProof/>
        </w:rPr>
        <w:footnoteReference w:id="24"/>
      </w:r>
      <w:r>
        <w:rPr>
          <w:rFonts w:ascii="Times New Roman" w:hAnsi="Times New Roman"/>
          <w:noProof/>
        </w:rPr>
        <w:t>). La sfârșitul anului 2025, afacerea nu era încheiată, având în continuare un caracter sensibil din punct de vedere politic. În plus, o hotărâre a Curții Supreme de Justiție din Panama a anulat contractul de concesiune al CK Hutchinson, iar Maersk a preluat temporar exploatarea celor două terminale din Panama (Balboa și Cristóbal). Acest aspect poate complica în egală măsură orice afacere viitoare în domeniul portuar.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rFonts w:ascii="Times New Roman" w:hAnsi="Times New Roman"/>
          <w:b/>
          <w:noProof/>
        </w:rPr>
        <w:t>Politici economice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w:t>
      </w:r>
      <w:r>
        <w:rPr>
          <w:rFonts w:ascii="Times New Roman" w:hAnsi="Times New Roman"/>
          <w:b/>
          <w:noProof/>
        </w:rPr>
        <w:t xml:space="preserve">discursul său </w:t>
      </w:r>
      <w:r>
        <w:rPr>
          <w:rFonts w:ascii="Times New Roman" w:hAnsi="Times New Roman"/>
          <w:noProof/>
        </w:rPr>
        <w:t xml:space="preserve">anual </w:t>
      </w:r>
      <w:r>
        <w:rPr>
          <w:rFonts w:ascii="Times New Roman" w:hAnsi="Times New Roman"/>
          <w:b/>
          <w:noProof/>
        </w:rPr>
        <w:t>privind politica generală din 17 septembrie 2025</w:t>
      </w:r>
      <w:r>
        <w:rPr>
          <w:rFonts w:ascii="Times New Roman" w:hAnsi="Times New Roman"/>
          <w:noProof/>
        </w:rPr>
        <w:t xml:space="preserve">, șeful executivului Hong Kongului s-a axat în mare măsură pe dezvoltarea economică și pe politicile economice. În cadrul discursului a fost anunțată inițiativa de a valorifica avantajele Hong Kongului ca centru de afaceri și platformă de export pentru a </w:t>
      </w:r>
      <w:r>
        <w:rPr>
          <w:rFonts w:ascii="Times New Roman" w:hAnsi="Times New Roman"/>
          <w:b/>
          <w:noProof/>
        </w:rPr>
        <w:t>sprijini extinderea întreprinderilor din China continentală în străinătate</w:t>
      </w:r>
      <w:r>
        <w:rPr>
          <w:rFonts w:ascii="Times New Roman" w:hAnsi="Times New Roman"/>
          <w:noProof/>
        </w:rPr>
        <w:t>. Discursul privind politica generală se referă la o schimbare a orientării strategice, întreprinderile din China continentală explorând în mod proactiv piețele emergente. În octombrie 2025, guvernul din Hong Kong a lansat Grupul operativ pentru sprijinirea întreprinderilor din China continentală în extinderea globală (grupul operativ GoGlobal) (</w:t>
      </w:r>
      <w:r>
        <w:rPr>
          <w:rStyle w:val="FootnoteReference"/>
          <w:noProof/>
        </w:rPr>
        <w:footnoteReference w:id="25"/>
      </w:r>
      <w:r>
        <w:rPr>
          <w:rFonts w:ascii="Times New Roman" w:hAnsi="Times New Roman"/>
          <w:noProof/>
        </w:rPr>
        <w:t>), cu scopul de a mobiliza birourile din străinătate ale Hong Kongului, precum și birourile Hong Kongului din China continentală,</w:t>
      </w:r>
      <w:r>
        <w:rPr>
          <w:rFonts w:ascii="PalatinoLTStd-Roman" w:hAnsi="PalatinoLTStd-Roman"/>
          <w:noProof/>
        </w:rPr>
        <w:t xml:space="preserve"> </w:t>
      </w:r>
      <w:r>
        <w:rPr>
          <w:rFonts w:ascii="Times New Roman" w:hAnsi="Times New Roman"/>
          <w:noProof/>
        </w:rPr>
        <w:t>în direcția încurajării întreprinderilor din China continentală să aibă în vedere Hong Kongul atunci când își extind activitățile în străinătate. Discursul privind politica generală menționează, de asemenea, următoarele obiective: (1) încurajarea întreprinderilor din China continentală să înființeze centre de trezorerie corporativă (CTC) și sedii regionale în Hong Kong; (2) sprijinirea băncilor din China continentală să se extindă pe piețe precum Asia de Sud-Est și Orientul Mijlociu; (3) valorificarea sectorului expozițional din Hong Kong ca platformă ideală pentru extinderea globală a mărcilor din China continentală; (4) dezvoltarea de servicii de audit în domeniul emisiilor de dioxid de carbon pentru a ajuta întreprinderile care se extind la nivel global să îndeplinească cerințele internaționale și (5) mobilizarea serviciilor juridice din Hong Kong pentru a sprijini extinderea întreprinderilor din China continentală.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Accelerarea dezvoltării </w:t>
      </w:r>
      <w:r>
        <w:rPr>
          <w:rFonts w:ascii="Times New Roman" w:hAnsi="Times New Roman"/>
          <w:b/>
          <w:noProof/>
        </w:rPr>
        <w:t>regiunii metropolitane din Nord</w:t>
      </w:r>
      <w:r>
        <w:rPr>
          <w:rFonts w:ascii="Times New Roman" w:hAnsi="Times New Roman"/>
          <w:noProof/>
        </w:rPr>
        <w:t xml:space="preserve"> (suprafața terestră planificată și statistica populației reprezentând aproximativ o treime din valorile caracteristice Hong Kongului) în „noul motor al dezvoltării economice a Hong Kongului” a constituit o politică esențială în discursul privind politica generală.</w:t>
      </w:r>
      <w:r>
        <w:rPr>
          <w:rFonts w:ascii="Times New Roman" w:hAnsi="Times New Roman"/>
          <w:b/>
          <w:noProof/>
        </w:rPr>
        <w:t xml:space="preserve"> </w:t>
      </w:r>
      <w:r>
        <w:rPr>
          <w:rFonts w:ascii="Times New Roman" w:hAnsi="Times New Roman"/>
          <w:noProof/>
        </w:rPr>
        <w:t>Printre inițiativele menționate în discursul privind politica generală menite să accelereze dezvoltarea și să promoveze participarea pe piață se numără (i) introducerea unei abordări de „dezvoltare etapizată” inspirată de China continentală; (ii) reducerea subvenției pentru terenuri prin autorizarea plății subvenției în etape și/sau pe baza suprafeței reale construite (mai degrabă decât pe baza suprafeței maxime) și (iii) adoptarea cesiunilor de terenuri la scară largă (o primă cesiune de terenuri la scară largă a fost lansată în decembrie) (</w:t>
      </w:r>
      <w:r>
        <w:rPr>
          <w:rStyle w:val="FootnoteReference"/>
          <w:noProof/>
        </w:rPr>
        <w:footnoteReference w:id="26"/>
      </w:r>
      <w:r>
        <w:rPr>
          <w:rFonts w:ascii="Times New Roman" w:hAnsi="Times New Roman"/>
          <w:noProof/>
        </w:rPr>
        <w:t xml:space="preserve">). Un obiectiv declarat este, de asemenea, reducerea costurilor și a termenelor de construcție prin integrarea tehnologiilor, materialelor și echipamentelor de construcție din China continentală și din străinătate. În discursul privind politica generală au fost anunțate, de asemenea, proceduri simplificate pentru înființarea de societăți de reglementare a parcurilor industriale (în decembrie, a fost înființată o societate de </w:t>
      </w:r>
      <w:r>
        <w:rPr>
          <w:rFonts w:ascii="Times New Roman" w:hAnsi="Times New Roman"/>
          <w:noProof/>
        </w:rPr>
        <w:lastRenderedPageBreak/>
        <w:t>reglementare a parcurilor industriale, deținută integral de guvern, pentru a dezvolta parcul industrial Hung Shui Kiu în regiunea metropolitană din Nord) (</w:t>
      </w:r>
      <w:r>
        <w:rPr>
          <w:rStyle w:val="FootnoteReference"/>
          <w:noProof/>
        </w:rPr>
        <w:footnoteReference w:id="27"/>
      </w:r>
      <w:r>
        <w:rPr>
          <w:rFonts w:ascii="Times New Roman" w:hAnsi="Times New Roman"/>
          <w:noProof/>
        </w:rPr>
        <w:t>). Consolidarea guvernanței a fost, de asemenea, un obiectiv declarat al discursului privind politica generală, iar Comisia pentru dezvoltarea regiunii metropolitane din Nord, prezidată de șeful executivului, a fost lansată și s-a reunit pentru prima dată la 29 septembrie. În cadrul comisiei au fost înființate trei grupuri de lucru, prezidate de secretarul financiar, secretarul principal pentru administrație și, respectiv, secretarul financiar adjunct. Grupul operativ pentru colaborare privind strategia de dezvoltare a regiunii metropolitane din Nord, format din autoritățile din Hong Kong și Shenzhen, a organizat cea de a șasea și cea de a șaptea reuniune în cursul anului.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cursul anului, dezvoltarea regiunii metropolitane din Nord a continuat. Guvernul a lansat cereri de exprimare a interesului, inclusiv pentru căile ferate, ecoturism și cesionarea de terenuri la scară largă. Regiunea metropolitană din Nord joacă un rol important în strategia guvernului de consolidare a Hong Kongului ca centru internațional de inovare și tehnologie (I&amp;T). Guvernul a preluat un prim lot de terenuri (</w:t>
      </w:r>
      <w:r>
        <w:rPr>
          <w:rStyle w:val="FootnoteReference"/>
          <w:noProof/>
        </w:rPr>
        <w:footnoteReference w:id="28"/>
      </w:r>
      <w:r>
        <w:rPr>
          <w:rFonts w:ascii="Times New Roman" w:hAnsi="Times New Roman"/>
          <w:noProof/>
        </w:rPr>
        <w:t>) (și anume, preluarea de către guvern a dreptului de proprietate asupra terenurilor de la proprietari privați în temeiul Ordonanței privind exproprierea terenurilor) în parcul tehnologic San Tin – o nouă zonă I&amp;T din regiunea metropolitană din Nord – și a fost elaborat un plan de dezvoltare pentru parcul tehnologic (</w:t>
      </w:r>
      <w:r>
        <w:rPr>
          <w:rStyle w:val="FootnoteReference"/>
          <w:noProof/>
        </w:rPr>
        <w:footnoteReference w:id="29"/>
      </w:r>
      <w:r>
        <w:rPr>
          <w:rFonts w:ascii="Times New Roman" w:hAnsi="Times New Roman"/>
          <w:noProof/>
        </w:rPr>
        <w:t xml:space="preserve">). O procedură de licitație deschisă a fost lansată la clusterul </w:t>
      </w:r>
      <w:r>
        <w:rPr>
          <w:rFonts w:ascii="Times New Roman" w:hAnsi="Times New Roman"/>
          <w:i/>
          <w:noProof/>
        </w:rPr>
        <w:t>Sandy Ridge Data Facility</w:t>
      </w:r>
      <w:r>
        <w:rPr>
          <w:rFonts w:ascii="Times New Roman" w:hAnsi="Times New Roman"/>
          <w:noProof/>
        </w:rPr>
        <w:t xml:space="preserve"> (pentru instalații de putere de calcul, date, inteligență artificială și industrii digitale) (</w:t>
      </w:r>
      <w:r>
        <w:rPr>
          <w:rStyle w:val="FootnoteReference"/>
          <w:noProof/>
        </w:rPr>
        <w:footnoteReference w:id="30"/>
      </w:r>
      <w:r>
        <w:rPr>
          <w:rFonts w:ascii="Times New Roman" w:hAnsi="Times New Roman"/>
          <w:noProof/>
        </w:rPr>
        <w:t>). Construcția primelor trei clădiri ale Parcului Hong Kong – care face parte din Zona de cooperare pentru inovare științifică și tehnologică Shenzhen-Hong Kong – situată de ambele părți ale râului Shenzhen, a fost finalizată, iar șeful executivului a deschis oficial parcul la 22 decembrie (</w:t>
      </w:r>
      <w:r>
        <w:rPr>
          <w:rStyle w:val="FootnoteReference"/>
          <w:noProof/>
        </w:rPr>
        <w:footnoteReference w:id="31"/>
      </w:r>
      <w:r>
        <w:rPr>
          <w:rFonts w:ascii="Times New Roman" w:hAnsi="Times New Roman"/>
          <w:noProof/>
        </w:rPr>
        <w:t>). Un oraș universitar va fi, de asemenea, construit în cadrul regiunii metropolitane din Nord.</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Întreprinderile UE din Hong Kong care își desfășoară activitatea în sectoarele construcțiilor, ingineriei și infrastructurii consideră că dezvoltarea regiunii metropolitane din Nord va oferi oportunități de afaceri, însă au raportat totodată o concurență sporită din partea întreprinderilor chineze în aceste domenii.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Pentru a consolida rolul RAS de </w:t>
      </w:r>
      <w:r>
        <w:rPr>
          <w:rFonts w:ascii="Times New Roman" w:hAnsi="Times New Roman"/>
          <w:b/>
          <w:noProof/>
        </w:rPr>
        <w:t>centru comercial internațional</w:t>
      </w:r>
      <w:r>
        <w:rPr>
          <w:rFonts w:ascii="Times New Roman" w:hAnsi="Times New Roman"/>
          <w:noProof/>
        </w:rPr>
        <w:t xml:space="preserve"> în contextul unui peisaj geopolitic în continuă evoluție, discursul privind politica generală a anunțat că Hong Kongul își propune să își extindă rețelele de acorduri comerciale și de investiții și să deschidă noi birouri economice și comerciale. Comerțul digital va fi promovat în continuare pentru a reduce costurile și a încuraja eficiența, inclusiv în ceea ce privește comerțul electronic, finanțarea comerțului și accesul IMM-urilor la credite. Sunt incluse, de asemenea, planuri de extindere în continuare a ghișeului unic pentru comerț din Hong Kong (pentru depunerea digitală a documentelor comerciale) și de conectare a acestuia cu ghișeele unice ale Asociației Națiunilor din Asia de Sud-Est (ASEAN) și ale Chinei continentale. În decembrie, guvernul a publicat </w:t>
      </w:r>
      <w:r>
        <w:rPr>
          <w:rFonts w:ascii="Times New Roman" w:hAnsi="Times New Roman"/>
          <w:noProof/>
        </w:rPr>
        <w:lastRenderedPageBreak/>
        <w:t>consultările cu sectorul industrial având ca obiect modificări legislative privind digitalizarea documentelor comerciale între întreprinderi (</w:t>
      </w:r>
      <w:r>
        <w:rPr>
          <w:rStyle w:val="FootnoteReference"/>
          <w:noProof/>
        </w:rPr>
        <w:footnoteReference w:id="32"/>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Kongul a înregistrat progrese în ceea ce privește obiectivul său de a se dezvolta ca un </w:t>
      </w:r>
      <w:r>
        <w:rPr>
          <w:rFonts w:ascii="Times New Roman" w:hAnsi="Times New Roman"/>
          <w:b/>
          <w:noProof/>
        </w:rPr>
        <w:t>centru de comercializare și depozitare a mărfurilor</w:t>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Discursul privind politica generală a anunțat obiective de creștere a capacității de stocare a aurului la peste 2 000 de tone, de dezvoltare a comerțului cu aur, de compensare și gestionare a riscurilor, de acordare de avantaje fiscale comercianților de mărfuri și de intensificare a legăturilor cu piețele de mărfuri din China continentală. În cursul anului, </w:t>
      </w:r>
      <w:r>
        <w:rPr>
          <w:rFonts w:ascii="Times New Roman" w:hAnsi="Times New Roman"/>
          <w:i/>
          <w:noProof/>
        </w:rPr>
        <w:t>London Metal Exchange</w:t>
      </w:r>
      <w:r>
        <w:rPr>
          <w:rFonts w:ascii="Times New Roman" w:hAnsi="Times New Roman"/>
          <w:noProof/>
        </w:rPr>
        <w:t xml:space="preserve"> – deținută integral de Bursa de Valori din Hong Kong – a aprobat mai multe depozite de mărfuri în Hong Kong (ajungând la 13 în total în decembrie) ca parte a rețelei sale globale de antrepozite (</w:t>
      </w:r>
      <w:r>
        <w:rPr>
          <w:rStyle w:val="FootnoteReference"/>
          <w:noProof/>
        </w:rPr>
        <w:footnoteReference w:id="33"/>
      </w:r>
      <w:r>
        <w:rPr>
          <w:rFonts w:ascii="Times New Roman" w:hAnsi="Times New Roman"/>
          <w:noProof/>
        </w:rPr>
        <w:t xml:space="preserve">). În cursul anului în care Hong Kong și Shenzhen au semnat un memorandum de înțelegere pentru cooperare în domeniul comerțului cu aur, </w:t>
      </w:r>
      <w:r>
        <w:rPr>
          <w:rFonts w:ascii="Times New Roman" w:hAnsi="Times New Roman"/>
          <w:i/>
          <w:noProof/>
        </w:rPr>
        <w:t>Shanghai Gold Exchange</w:t>
      </w:r>
      <w:r>
        <w:rPr>
          <w:rFonts w:ascii="Times New Roman" w:hAnsi="Times New Roman"/>
          <w:noProof/>
        </w:rPr>
        <w:t xml:space="preserve"> a lansat primul său spațiu de stocare securizat offshore în Hong Kong și a fost anunțat un sistem central de compensare a tranzacțiilor cu aur în Hong Kong (prevăzut să devină operațional în 2026) (</w:t>
      </w:r>
      <w:r>
        <w:rPr>
          <w:rStyle w:val="FootnoteReference"/>
          <w:noProof/>
        </w:rPr>
        <w:footnoteReference w:id="34"/>
      </w:r>
      <w:r>
        <w:rPr>
          <w:rFonts w:ascii="Times New Roman" w:hAnsi="Times New Roman"/>
          <w:noProof/>
        </w:rPr>
        <w:t>). Comitetul strategic pentru mărfuri, prezidat de secretarul financiar, a convocat prima sa reuniune în decembrie (</w:t>
      </w:r>
      <w:r>
        <w:rPr>
          <w:rStyle w:val="FootnoteReference"/>
          <w:noProof/>
        </w:rPr>
        <w:footnoteReference w:id="35"/>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Potrivit discursului privind politica generală, navele deținute, gestionate sau exploatate de armatorii din Hong Kong reprezintă aproape 10 % din tonajul flotei comerciale mondiale. Pentru a consolida </w:t>
      </w:r>
      <w:r>
        <w:rPr>
          <w:rFonts w:ascii="Times New Roman" w:hAnsi="Times New Roman"/>
          <w:b/>
          <w:noProof/>
        </w:rPr>
        <w:t>statutul Hong Kongului de centru de transport maritim</w:t>
      </w:r>
      <w:r>
        <w:rPr>
          <w:rFonts w:ascii="Times New Roman" w:hAnsi="Times New Roman"/>
          <w:noProof/>
        </w:rPr>
        <w:t xml:space="preserve"> în contextul scăderii volumului de mărfuri transportate în portul Hong Kong, discursul privind politica generală a anunțat continuarea politicii de dezvoltare a serviciilor maritime cu valoare adăugată ridicată (de exemplu, administrarea și închirierea navelor, asigurarea maritimă, dreptul maritim și arbitrajul în domeniul maritim). Acesta a anunțat totodată că sistemul comunității portuare (</w:t>
      </w:r>
      <w:r>
        <w:rPr>
          <w:rStyle w:val="FootnoteReference"/>
          <w:rFonts w:eastAsia="Times New Roman"/>
          <w:noProof/>
          <w:lang w:eastAsia="en-GB"/>
        </w:rPr>
        <w:footnoteReference w:id="36"/>
      </w:r>
      <w:r>
        <w:rPr>
          <w:rFonts w:ascii="Times New Roman" w:hAnsi="Times New Roman"/>
          <w:noProof/>
        </w:rPr>
        <w:t>) dezvoltat în cursul anului va fi lansat la începutul anului 2026, cu scopul de a promova digitalizarea, un port inteligent și interconectivitatea transsectorială. Guvernul își propune, de asemenea, să extindă legăturile intermodale cu China continentală (feroviare, maritime, terestre și fluviale). În ceea ce privește legăturile internaționale, în noiembrie, șeful executivului a anunțat stabilirea unor „relații portuare de parteneriat” cu două porturi din China continentală și cu portul San Antonio din Chile (</w:t>
      </w:r>
      <w:r>
        <w:rPr>
          <w:rStyle w:val="FootnoteReference"/>
          <w:noProof/>
        </w:rPr>
        <w:footnoteReference w:id="37"/>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Kongul intenționează, de asemenea, să se dezvolte ca un </w:t>
      </w:r>
      <w:r>
        <w:rPr>
          <w:rFonts w:ascii="Times New Roman" w:hAnsi="Times New Roman"/>
          <w:b/>
          <w:noProof/>
        </w:rPr>
        <w:t>centru de transport maritim ecologic și de buncheraj cu combustibili maritimi ecologici</w:t>
      </w:r>
      <w:r>
        <w:rPr>
          <w:rFonts w:ascii="Times New Roman" w:hAnsi="Times New Roman"/>
          <w:noProof/>
        </w:rPr>
        <w:t xml:space="preserve">. Discursul privind politica generală menționează mai multe inițiative, cum ar fi (i) dezvoltarea unui coridor de transport maritim ecologic; (ii) impunerea obligației ca navele să instaleze debitmetre masice; (iii) un studiu de fezabilitate privind buncherajul cu amoniac și hidrogen verde și (iv) facilitarea comercializării combustibililor maritimi ecologici, inclusiv din China continentală. În cursul anului a intrat în vigoare legislația privind utilizarea în condiții de siguranță a combustibililor </w:t>
      </w:r>
      <w:r>
        <w:rPr>
          <w:rFonts w:ascii="Times New Roman" w:hAnsi="Times New Roman"/>
          <w:noProof/>
        </w:rPr>
        <w:lastRenderedPageBreak/>
        <w:t>maritimi ecologici de către nave (</w:t>
      </w:r>
      <w:r>
        <w:rPr>
          <w:rStyle w:val="FootnoteReference"/>
          <w:noProof/>
        </w:rPr>
        <w:footnoteReference w:id="38"/>
      </w:r>
      <w:r>
        <w:rPr>
          <w:rFonts w:ascii="Times New Roman" w:hAnsi="Times New Roman"/>
          <w:noProof/>
        </w:rPr>
        <w:t>); a fost emis un cod de bune practici pentru buncherajul cu combustibili alternativi (</w:t>
      </w:r>
      <w:r>
        <w:rPr>
          <w:rStyle w:val="FootnoteReference"/>
          <w:noProof/>
        </w:rPr>
        <w:footnoteReference w:id="39"/>
      </w:r>
      <w:r>
        <w:rPr>
          <w:rFonts w:ascii="Times New Roman" w:hAnsi="Times New Roman"/>
          <w:noProof/>
        </w:rPr>
        <w:t>) și a fost lansat un sistem de stimulente pentru buncherajul cu combustibili maritimi ecologici (</w:t>
      </w:r>
      <w:r>
        <w:rPr>
          <w:rStyle w:val="FootnoteReference"/>
          <w:noProof/>
        </w:rPr>
        <w:footnoteReference w:id="40"/>
      </w:r>
      <w:r>
        <w:rPr>
          <w:rFonts w:ascii="Times New Roman" w:hAnsi="Times New Roman"/>
          <w:noProof/>
        </w:rPr>
        <w:t>). Sectorul industrial a fost invitat să răspundă la o cerere de exprimare a interesului pentru dezvoltarea instalațiilor de stocare a combustibililor maritimi ecologici (</w:t>
      </w:r>
      <w:r>
        <w:rPr>
          <w:rStyle w:val="FootnoteReference"/>
          <w:noProof/>
        </w:rPr>
        <w:footnoteReference w:id="41"/>
      </w:r>
      <w:r>
        <w:rPr>
          <w:rFonts w:ascii="Times New Roman" w:hAnsi="Times New Roman"/>
          <w:noProof/>
        </w:rPr>
        <w:t>). A fost adoptată o scutire de la plata accizelor pentru alcoolul metilic destinat utilizării drept combustibil maritim (</w:t>
      </w:r>
      <w:r>
        <w:rPr>
          <w:rStyle w:val="FootnoteReference"/>
          <w:noProof/>
        </w:rPr>
        <w:footnoteReference w:id="42"/>
      </w:r>
      <w:r>
        <w:rPr>
          <w:rFonts w:ascii="Times New Roman" w:hAnsi="Times New Roman"/>
          <w:noProof/>
        </w:rPr>
        <w:t>). A fost creată o platformă de comunicare privind dezvoltarea combustibililor maritimi ecologici pentru a facilita colaborarea între părțile interesate din sectorul industrial (</w:t>
      </w:r>
      <w:r>
        <w:rPr>
          <w:rStyle w:val="FootnoteReference"/>
          <w:noProof/>
        </w:rPr>
        <w:footnoteReference w:id="43"/>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2025, aeroportul din Hong Kong a fost cel mai aglomerat aeroport de marfă din lume, iar șeful executivului a anunțat planuri de consolidare în continuare a </w:t>
      </w:r>
      <w:r>
        <w:rPr>
          <w:rFonts w:ascii="Times New Roman" w:hAnsi="Times New Roman"/>
          <w:b/>
          <w:noProof/>
        </w:rPr>
        <w:t>Hong Kongului ca centru aerian internațional</w:t>
      </w:r>
      <w:r>
        <w:rPr>
          <w:rFonts w:ascii="Times New Roman" w:hAnsi="Times New Roman"/>
          <w:noProof/>
        </w:rPr>
        <w:t>. Obiectivele sunt (i) exploatarea celei de a treia piste deschise în 2024 pentru a crește numărul de pasageri și volumul de mărfuri care tranzitează Aeroportul Internațional din Hong Kong (HKIA); (ii) consolidarea rețelei de transport intermodal cu Zona Marelui Golf (</w:t>
      </w:r>
      <w:r>
        <w:rPr>
          <w:rFonts w:ascii="Times New Roman" w:hAnsi="Times New Roman"/>
          <w:i/>
          <w:noProof/>
        </w:rPr>
        <w:t>Greater Bay Area</w:t>
      </w:r>
      <w:r>
        <w:rPr>
          <w:rFonts w:ascii="Times New Roman" w:hAnsi="Times New Roman"/>
          <w:noProof/>
        </w:rPr>
        <w:t xml:space="preserve"> – GBA) și (iii) dezvoltarea orașului aeroportuar (desfășurarea de activități în materie de comerț, expoziții și convenții, cultură și agrement în cadrul HKIA). În decembrie, secretarul pentru transport și logistică a anunțat încheierea de acorduri bilaterale privind serviciile aeriene cu șapte țări, printre care un stat membru al UE (</w:t>
      </w:r>
      <w:r>
        <w:rPr>
          <w:rStyle w:val="FootnoteReference"/>
          <w:noProof/>
        </w:rPr>
        <w:footnoteReference w:id="44"/>
      </w:r>
      <w:r>
        <w:rPr>
          <w:rFonts w:ascii="Times New Roman" w:hAnsi="Times New Roman"/>
          <w:noProof/>
        </w:rPr>
        <w:t xml:space="preserve">). În ceea ce privește </w:t>
      </w:r>
      <w:r>
        <w:rPr>
          <w:rFonts w:ascii="Times New Roman" w:hAnsi="Times New Roman"/>
          <w:b/>
          <w:noProof/>
        </w:rPr>
        <w:t>transportul aerian durabil</w:t>
      </w:r>
      <w:r>
        <w:rPr>
          <w:rFonts w:ascii="Times New Roman" w:hAnsi="Times New Roman"/>
          <w:noProof/>
        </w:rPr>
        <w:t>, guvernul a anunțat un obiectiv pentru o rată a consumului de combustibili de aviație durabili (SAF) de 1-2 % până în 2030 pentru zborurile care decolează de pe HKIA (</w:t>
      </w:r>
      <w:r>
        <w:rPr>
          <w:rStyle w:val="FootnoteReference"/>
          <w:noProof/>
        </w:rPr>
        <w:footnoteReference w:id="45"/>
      </w:r>
      <w:r>
        <w:rPr>
          <w:rFonts w:ascii="Times New Roman" w:hAnsi="Times New Roman"/>
          <w:noProof/>
        </w:rPr>
        <w:t>). Discursul privind politica generală a prezentat obiective pentru dezvoltarea unui lanț industrial al SAF, pentru a permite furnizorilor locali de SAF să crească producția de SAF în GBA și pentru construirea unui mecanism de amestecare în Hong Kong. În octombrie, Airbus și compania aeriană emblematică Cathay din Hong Kong au anunțat o investiție comună pentru dezvoltarea producției de SAF (</w:t>
      </w:r>
      <w:r>
        <w:rPr>
          <w:rStyle w:val="FootnoteReference"/>
          <w:noProof/>
        </w:rPr>
        <w:footnoteReference w:id="4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2025, Hong Kongul s-a clasat pe primul loc din lume în ceea ce privește locul de desfășurare a ofertelor publice inițiale. Pentru a consolida Hong Kongul ca un </w:t>
      </w:r>
      <w:r>
        <w:rPr>
          <w:rFonts w:ascii="Times New Roman" w:hAnsi="Times New Roman"/>
          <w:b/>
          <w:noProof/>
        </w:rPr>
        <w:t>centru financiar internațional</w:t>
      </w:r>
      <w:r>
        <w:rPr>
          <w:rFonts w:ascii="Times New Roman" w:hAnsi="Times New Roman"/>
          <w:noProof/>
        </w:rPr>
        <w:t xml:space="preserve">, în discursul privind politica generală s-au anunțat obiective de </w:t>
      </w:r>
      <w:r>
        <w:rPr>
          <w:rFonts w:ascii="Times New Roman" w:hAnsi="Times New Roman"/>
          <w:b/>
          <w:noProof/>
        </w:rPr>
        <w:t>extindere a pieței de capital din Hong Kong</w:t>
      </w:r>
      <w:r>
        <w:rPr>
          <w:rFonts w:ascii="Times New Roman" w:hAnsi="Times New Roman"/>
          <w:noProof/>
        </w:rPr>
        <w:t xml:space="preserve">, inclusiv prin optimizarea regimului de cotare pentru a promova OPI, inclusiv pentru întreprinderile din domeniul tehnologiei și al biotehnologiei, precum și cotarea secundară a firmelor chineze cotate pe alte piețe. În cursul anului, a fost lansat canalul întreprinderilor tehnologice, care facilitează cererile de cotare pentru firmele </w:t>
      </w:r>
      <w:r>
        <w:rPr>
          <w:rFonts w:ascii="Times New Roman" w:hAnsi="Times New Roman"/>
          <w:noProof/>
        </w:rPr>
        <w:lastRenderedPageBreak/>
        <w:t>specializate în tehnologie și biotehnologie (</w:t>
      </w:r>
      <w:r>
        <w:rPr>
          <w:rStyle w:val="FootnoteReference"/>
          <w:noProof/>
        </w:rPr>
        <w:footnoteReference w:id="47"/>
      </w:r>
      <w:r>
        <w:rPr>
          <w:rFonts w:ascii="Times New Roman" w:hAnsi="Times New Roman"/>
          <w:noProof/>
        </w:rPr>
        <w:t xml:space="preserve">), iar Bursa de Valori din Hong Kong (HKEX) a introdus norme modificate de cotare (oferind mai multă flexibilitate în ceea ce privește acțiunile publice liber tranzacționabile, cu intrare în vigoare de la 1 ianuarie 2026) și noi indici (Hang Seng Biotech Index Futures și HKEX Tech 100 Index). Printre inițiativele de </w:t>
      </w:r>
      <w:r>
        <w:rPr>
          <w:rFonts w:ascii="Times New Roman" w:hAnsi="Times New Roman"/>
          <w:b/>
          <w:noProof/>
        </w:rPr>
        <w:t>consolidare a pieței obligațiunilor din Hong Kong</w:t>
      </w:r>
      <w:r>
        <w:rPr>
          <w:rFonts w:ascii="Times New Roman" w:hAnsi="Times New Roman"/>
          <w:noProof/>
        </w:rPr>
        <w:t xml:space="preserve"> se numără dezvoltarea infrastructurii financiare, construirea de legături în străinătate (discursul privind politica generală menționează Elveția și Emiratele Arabe Unite), promovarea utilizării obligațiunilor guvernamentale chineze offshore ca garanție, introducerea unor contracte futures chineze pe obligațiuni de trezorerie offshore și explorarea lansării unor contracte repo transfrontaliere în RMB. În septembrie, Comisia pentru valori mobiliare și contracte futures (</w:t>
      </w:r>
      <w:r>
        <w:rPr>
          <w:rFonts w:ascii="Times New Roman" w:hAnsi="Times New Roman"/>
          <w:i/>
          <w:noProof/>
        </w:rPr>
        <w:t>Securities and Futures Commission</w:t>
      </w:r>
      <w:r>
        <w:rPr>
          <w:rFonts w:ascii="Times New Roman" w:hAnsi="Times New Roman"/>
          <w:noProof/>
        </w:rPr>
        <w:t xml:space="preserve"> – SFC) și Autoritatea Monetară din Hong Kong (</w:t>
      </w:r>
      <w:r>
        <w:rPr>
          <w:rFonts w:ascii="Times New Roman" w:hAnsi="Times New Roman"/>
          <w:i/>
          <w:noProof/>
        </w:rPr>
        <w:t>Hong Kong Monetary Authority</w:t>
      </w:r>
      <w:r>
        <w:rPr>
          <w:rFonts w:ascii="Times New Roman" w:hAnsi="Times New Roman"/>
          <w:noProof/>
        </w:rPr>
        <w:t xml:space="preserve"> – HKMA) au prezentat o foaie de parcurs pentru dezvoltarea Hong Kongului ca centru mondial valutar cu venituri fixe (</w:t>
      </w:r>
      <w:r>
        <w:rPr>
          <w:rStyle w:val="FootnoteReference"/>
          <w:noProof/>
        </w:rPr>
        <w:footnoteReference w:id="48"/>
      </w:r>
      <w:r>
        <w:rPr>
          <w:rFonts w:ascii="Times New Roman" w:hAnsi="Times New Roman"/>
          <w:noProof/>
        </w:rPr>
        <w:t xml:space="preserve">). Pentru a consolida rolul Hong Kongului ca cel mai mare </w:t>
      </w:r>
      <w:r>
        <w:rPr>
          <w:rFonts w:ascii="Times New Roman" w:hAnsi="Times New Roman"/>
          <w:b/>
          <w:noProof/>
        </w:rPr>
        <w:t>centru de afaceri offshore în RMB</w:t>
      </w:r>
      <w:r>
        <w:rPr>
          <w:rFonts w:ascii="Times New Roman" w:hAnsi="Times New Roman"/>
          <w:noProof/>
        </w:rPr>
        <w:t xml:space="preserve"> din lume, a fost lansată o nouă facilitate de afaceri în RMB (care oferă băncilor și întreprinderilor cote sporite de finanțare în RMB) (</w:t>
      </w:r>
      <w:r>
        <w:rPr>
          <w:rStyle w:val="FootnoteReference"/>
          <w:noProof/>
        </w:rPr>
        <w:footnoteReference w:id="49"/>
      </w:r>
      <w:r>
        <w:rPr>
          <w:rFonts w:ascii="Times New Roman" w:hAnsi="Times New Roman"/>
          <w:noProof/>
        </w:rPr>
        <w:t>), iar în discursul privind politica generală s-a anunțat emiterea mai multor obligațiuni în RMB și luarea în considerare a decontării cheltuielilor guvernamentale în RMB. Guvernul a urmărit să încurajeze creșterea numărului de produse de asigurare și să promoveze gestionarea activelor și a averii – inclusiv consolidarea regimurilor fiscale preferențiale pentru a atrage mai multe fonduri; raționalizarea procesului de autorizare a fondurilor de investiții imobiliare (REIT) (</w:t>
      </w:r>
      <w:r>
        <w:rPr>
          <w:rStyle w:val="FootnoteReference"/>
          <w:noProof/>
        </w:rPr>
        <w:footnoteReference w:id="50"/>
      </w:r>
      <w:r>
        <w:rPr>
          <w:rFonts w:ascii="Times New Roman" w:hAnsi="Times New Roman"/>
          <w:noProof/>
        </w:rPr>
        <w:t>) și investițiile (directe sau prin coinvestiții) în fonduri de investiții în societăți necotate și fonduri speculative la nivel local. În cursul anului, HKEX a deschis o nouă filială în Dubai, a deschis un nou birou la Riad, a adăugat Bursa de Valori din Thailanda ca bursă recunoscută și a semnat un memorandum de înțelegere cu Bursa de Valori din Abu Dhabi (</w:t>
      </w:r>
      <w:r>
        <w:rPr>
          <w:rStyle w:val="FootnoteReference"/>
          <w:noProof/>
        </w:rPr>
        <w:footnoteReference w:id="51"/>
      </w:r>
      <w:r>
        <w:rPr>
          <w:rFonts w:ascii="Times New Roman" w:hAnsi="Times New Roman"/>
          <w:noProof/>
        </w:rPr>
        <w:t>). În septembrie, Hong Kong și Emiratele Arabe Unite (EAU) au încheiat un memorandum de înțelegere pentru a extinde accesul transfrontalier pe piață pentru fondurile publice în cadrul unui mecanism de recunoaștere reciprocă a fondurilor (MRF) (</w:t>
      </w:r>
      <w:r>
        <w:rPr>
          <w:rStyle w:val="FootnoteReference"/>
          <w:noProof/>
        </w:rPr>
        <w:footnoteReference w:id="52"/>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discursul privind politica generală s-a anunțat că guvernul va continua să sprijine dezvoltarea </w:t>
      </w:r>
      <w:r>
        <w:rPr>
          <w:rFonts w:ascii="Times New Roman" w:hAnsi="Times New Roman"/>
          <w:b/>
          <w:noProof/>
        </w:rPr>
        <w:t>tehnologiei financiare și a criptoactivelor (</w:t>
      </w:r>
      <w:r>
        <w:rPr>
          <w:rFonts w:ascii="Times New Roman" w:hAnsi="Times New Roman"/>
          <w:noProof/>
        </w:rPr>
        <w:t>virtual assets</w:t>
      </w:r>
      <w:r>
        <w:rPr>
          <w:rFonts w:ascii="Times New Roman" w:hAnsi="Times New Roman"/>
          <w:b/>
          <w:noProof/>
        </w:rPr>
        <w:t xml:space="preserve"> – VA)</w:t>
      </w:r>
      <w:r>
        <w:rPr>
          <w:rFonts w:ascii="Times New Roman" w:hAnsi="Times New Roman"/>
          <w:noProof/>
        </w:rPr>
        <w:t>. SFC a emis o foaie de parcurs în materie de reglementare pentru piața VA din Hong Kong (</w:t>
      </w:r>
      <w:r>
        <w:rPr>
          <w:rStyle w:val="FootnoteReference"/>
          <w:noProof/>
        </w:rPr>
        <w:footnoteReference w:id="53"/>
      </w:r>
      <w:r>
        <w:rPr>
          <w:rFonts w:ascii="Times New Roman" w:hAnsi="Times New Roman"/>
          <w:noProof/>
        </w:rPr>
        <w:t>) și a anunțat relaxarea normelor pentru platformele de tranzacționare a criptoactivelor autorizate la nivel local (permițând comenzi combinate cu platforme din străinătate și relaxând distribuția către investitorii profesionali) (</w:t>
      </w:r>
      <w:r>
        <w:rPr>
          <w:rStyle w:val="FootnoteReference"/>
          <w:noProof/>
        </w:rPr>
        <w:footnoteReference w:id="54"/>
      </w:r>
      <w:r>
        <w:rPr>
          <w:rFonts w:ascii="Times New Roman" w:hAnsi="Times New Roman"/>
          <w:noProof/>
        </w:rPr>
        <w:t xml:space="preserve">). În luna mai, a fost adoptată o lege privind criptomonedele stabile pentru a pune bazele unui regim de acordare a licențelor pentru emitenții de criptomonede stabile </w:t>
      </w:r>
      <w:r>
        <w:rPr>
          <w:rFonts w:ascii="Times New Roman" w:hAnsi="Times New Roman"/>
          <w:noProof/>
        </w:rPr>
        <w:lastRenderedPageBreak/>
        <w:t>ancorate la active fiduciare (</w:t>
      </w:r>
      <w:r>
        <w:rPr>
          <w:rFonts w:ascii="Times New Roman" w:hAnsi="Times New Roman"/>
          <w:i/>
          <w:noProof/>
        </w:rPr>
        <w:t>fiat-referenced stablecoins</w:t>
      </w:r>
      <w:r>
        <w:rPr>
          <w:rFonts w:ascii="Times New Roman" w:hAnsi="Times New Roman"/>
          <w:noProof/>
        </w:rPr>
        <w:t xml:space="preserve"> – FRS) (</w:t>
      </w:r>
      <w:r>
        <w:rPr>
          <w:rStyle w:val="FootnoteReference"/>
          <w:rFonts w:eastAsia="Times New Roman"/>
          <w:noProof/>
          <w:lang w:eastAsia="en-GB"/>
        </w:rPr>
        <w:footnoteReference w:id="55"/>
      </w:r>
      <w:r>
        <w:rPr>
          <w:rFonts w:ascii="Times New Roman" w:hAnsi="Times New Roman"/>
          <w:noProof/>
        </w:rPr>
        <w:t>) (nu au fost emise licențe până la sfârșitul anului 2025) (</w:t>
      </w:r>
      <w:r>
        <w:rPr>
          <w:rStyle w:val="FootnoteReference"/>
          <w:rFonts w:eastAsia="Times New Roman"/>
          <w:noProof/>
          <w:lang w:eastAsia="en-GB"/>
        </w:rPr>
        <w:footnoteReference w:id="56"/>
      </w:r>
      <w:r>
        <w:rPr>
          <w:rFonts w:ascii="Times New Roman" w:hAnsi="Times New Roman"/>
          <w:noProof/>
        </w:rPr>
        <w:t>). Guvernul și-a publicat Declarația de politică 2.0 privind dezvoltarea activelor digitale (</w:t>
      </w:r>
      <w:r>
        <w:rPr>
          <w:rStyle w:val="FootnoteReference"/>
          <w:noProof/>
        </w:rPr>
        <w:footnoteReference w:id="57"/>
      </w:r>
      <w:r>
        <w:rPr>
          <w:rFonts w:ascii="Times New Roman" w:hAnsi="Times New Roman"/>
          <w:noProof/>
        </w:rPr>
        <w:t>). Au avut loc consultări cu privire la propunerile legislative de stabilire a regimurilor de acordare a licențelor pentru furnizorii de servicii de tranzacționare și de custodie a criptoactivelor și pentru furnizorii de servicii de consiliere și de gestionare (în vederea formulării de propuneri legislative în 2026) (</w:t>
      </w:r>
      <w:r>
        <w:rPr>
          <w:rStyle w:val="FootnoteReference"/>
          <w:rFonts w:eastAsia="Times New Roman"/>
          <w:noProof/>
          <w:lang w:eastAsia="en-GB"/>
        </w:rPr>
        <w:footnoteReference w:id="58"/>
      </w:r>
      <w:r>
        <w:rPr>
          <w:rFonts w:ascii="Times New Roman" w:hAnsi="Times New Roman"/>
          <w:noProof/>
        </w:rPr>
        <w:t>). În cursul anului a fost lansată o conexiune de plăți, care conectează sistemul de plăți pentru operațiuni bancare pe internet (</w:t>
      </w:r>
      <w:r>
        <w:rPr>
          <w:rFonts w:ascii="Times New Roman" w:hAnsi="Times New Roman"/>
          <w:i/>
          <w:noProof/>
        </w:rPr>
        <w:t>internet banking payment system</w:t>
      </w:r>
      <w:r>
        <w:rPr>
          <w:rFonts w:ascii="Times New Roman" w:hAnsi="Times New Roman"/>
          <w:noProof/>
        </w:rPr>
        <w:t xml:space="preserve"> – IBPS) din China continentală cu sistemul de plăți mai rapide (</w:t>
      </w:r>
      <w:r>
        <w:rPr>
          <w:rFonts w:ascii="Times New Roman" w:hAnsi="Times New Roman"/>
          <w:i/>
          <w:noProof/>
        </w:rPr>
        <w:t>faster payment system</w:t>
      </w:r>
      <w:r>
        <w:rPr>
          <w:rFonts w:ascii="Times New Roman" w:hAnsi="Times New Roman"/>
          <w:noProof/>
        </w:rPr>
        <w:t xml:space="preserve"> – FPS) din Hong Kong (</w:t>
      </w:r>
      <w:r>
        <w:rPr>
          <w:rStyle w:val="FootnoteReference"/>
          <w:rFonts w:eastAsia="Times New Roman"/>
          <w:noProof/>
          <w:lang w:eastAsia="en-GB"/>
        </w:rPr>
        <w:footnoteReference w:id="59"/>
      </w:r>
      <w:r>
        <w:rPr>
          <w:rFonts w:ascii="Times New Roman" w:hAnsi="Times New Roman"/>
          <w:noProof/>
        </w:rPr>
        <w:t>). În noiembrie, HKMA și-a publicat strategia Fintech 2030, care vizează infrastructura de date și de plăți; inteligența artificială; introducerea dispozitivelor de autentificare electronică și finanțele digitale (</w:t>
      </w:r>
      <w:r>
        <w:rPr>
          <w:rStyle w:val="FootnoteReference"/>
          <w:noProof/>
        </w:rPr>
        <w:footnoteReference w:id="60"/>
      </w:r>
      <w:r>
        <w:rPr>
          <w:rFonts w:ascii="Times New Roman" w:hAnsi="Times New Roman"/>
          <w:noProof/>
        </w:rPr>
        <w:t>). În cursul anului, HKMA a finalizat etapa a 2-a a programului-pilot e-HKD și a anunțat că va acorda prioritate activității e-HKD în domeniul plăților de mare valoare în viitorul apropiat (inclusiv pentru plățile transfrontaliere), continuând totodată să pună bazele unei potențiale utilizări viitoare a unui program e-HKD pentru persoane fizice și întreprinderi (</w:t>
      </w:r>
      <w:r>
        <w:rPr>
          <w:rStyle w:val="FootnoteReference"/>
          <w:noProof/>
        </w:rPr>
        <w:footnoteReference w:id="61"/>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ceea ce privește </w:t>
      </w:r>
      <w:r>
        <w:rPr>
          <w:rFonts w:ascii="Times New Roman" w:hAnsi="Times New Roman"/>
          <w:b/>
          <w:noProof/>
        </w:rPr>
        <w:t>finanțarea verde</w:t>
      </w:r>
      <w:r>
        <w:rPr>
          <w:rFonts w:ascii="Times New Roman" w:hAnsi="Times New Roman"/>
          <w:noProof/>
        </w:rPr>
        <w:t>, în discursul privind politica generală s-a anunțat activitatea de dezvoltare a unei piețe a carbonului în GBA – inclusiv prin (i) valorificarea climatului de bază (piața carbonului HKEX, care înregistrează tranzacții limitate potrivit analiștilor); (ii) formularea unor standarde voluntare pentru creditele de carbon; (iii) dezvoltarea de servicii de audit în domeniul emisiilor de dioxid de carbon și comercializarea reducerilor de emisii de dioxid de carbon. Un alt obiectiv este de a sprijini întreprinderile care utilizează Hong Kongul pentru a se extinde la nivel global (inclusiv întreprinderile chineze) să îndeplinească cerințele internaționale privind emisiile de dioxid de carbon. În septembrie, HKEX a semnat un memorandum de înțelegere cu bursele de valori din GBA cu privire la dezvoltarea piețelor carbonului și a finanțării verzi (</w:t>
      </w:r>
      <w:r>
        <w:rPr>
          <w:rStyle w:val="FootnoteReference"/>
          <w:noProof/>
        </w:rPr>
        <w:footnoteReference w:id="62"/>
      </w:r>
      <w:r>
        <w:rPr>
          <w:rFonts w:ascii="Times New Roman" w:hAnsi="Times New Roman"/>
          <w:noProof/>
        </w:rPr>
        <w:t>). În septembrie, HKMA a lansat un prototip pentru extinderea taxonomiei Hong Kongului privind finanțarea durabilă (lansat în 2024) (</w:t>
      </w:r>
      <w:r>
        <w:rPr>
          <w:rStyle w:val="FootnoteReference"/>
          <w:noProof/>
        </w:rPr>
        <w:footnoteReference w:id="63"/>
      </w:r>
      <w:r>
        <w:rPr>
          <w:rFonts w:ascii="Times New Roman" w:hAnsi="Times New Roman"/>
          <w:noProof/>
        </w:rPr>
        <w:t>). Prototipul adaugă două noi sectoare (industria prelucrătoare și TIC), criterii pentru activitățile de tranziție și o categorie de „adaptare la schimbările climatice” și face trimitere la taxonomia și standardele UE. În cursul anului, guvernul a continuat să emită obligațiuni verzi (inclusiv denominate în euro) în cadrul programului de obligațiuni de stat durabile lansat în 2018 și să finanțeze scheme de finanțare durabilă (</w:t>
      </w:r>
      <w:r>
        <w:rPr>
          <w:rStyle w:val="FootnoteReference"/>
          <w:noProof/>
        </w:rPr>
        <w:footnoteReference w:id="64"/>
      </w:r>
      <w:r>
        <w:rPr>
          <w:rFonts w:ascii="Times New Roman" w:hAnsi="Times New Roman"/>
          <w:noProof/>
        </w:rPr>
        <w:t xml:space="preserve">). Noile norme ale HKEX </w:t>
      </w:r>
      <w:r>
        <w:rPr>
          <w:rFonts w:ascii="Times New Roman" w:hAnsi="Times New Roman"/>
          <w:noProof/>
        </w:rPr>
        <w:lastRenderedPageBreak/>
        <w:t>care impun entităților cotate la bursă să publice informații privind riscurile legate de climă au intrat în vigoare la 1 ianuarie 2025 și urmează să fie puse în aplicare în etape (</w:t>
      </w:r>
      <w:r>
        <w:rPr>
          <w:rStyle w:val="FootnoteReference"/>
          <w:noProof/>
        </w:rPr>
        <w:footnoteReference w:id="65"/>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cursul anului, guvernul și-a continuat politica de </w:t>
      </w:r>
      <w:r>
        <w:rPr>
          <w:rFonts w:ascii="Times New Roman" w:hAnsi="Times New Roman"/>
          <w:b/>
          <w:noProof/>
        </w:rPr>
        <w:t>promovare a Hong Kongului ca centru de inovare și tehnologie (I&amp;T)</w:t>
      </w:r>
      <w:r>
        <w:rPr>
          <w:rFonts w:ascii="Times New Roman" w:hAnsi="Times New Roman"/>
          <w:noProof/>
        </w:rPr>
        <w:t>. Hong Kongul s-a clasat pe locul 15 la nivel mondial (și pe locul cinci în Asia) potrivit Indicelui Global al Inovării 2025, publicat de Organizația Mondială a Proprietății Intelectuale, iar clusterul Shenzhen-Hong Kong-Guangzhou s-a clasat pe primul loc la nivel mondial în ierarhia clusterelor de inovare (</w:t>
      </w:r>
      <w:r>
        <w:rPr>
          <w:rStyle w:val="FootnoteReference"/>
          <w:noProof/>
        </w:rPr>
        <w:footnoteReference w:id="6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Printre inițiativele prezentate în discursul privind politica generală se numără (i) atragerea de întreprinderi inovatoare și cu valoare ridicată prin politici funciare preferențiale, subvenții financiare și stimulente fiscale; (ii) consolidarea noii scheme de accelerare a industrializării; (iii) sprijinirea IMM-urilor în procesul de evaluare a brevetelor lor și (iv) modificarea Ordonanței privind drepturile de autor. Discursul privind politica generală a subliniat, de asemenea, dezvoltarea în continuare a </w:t>
      </w:r>
      <w:r>
        <w:rPr>
          <w:rFonts w:ascii="Times New Roman" w:hAnsi="Times New Roman"/>
          <w:b/>
          <w:noProof/>
        </w:rPr>
        <w:t>industriei tehnologiilor în domeniul vieții și sănătății</w:t>
      </w:r>
      <w:r>
        <w:rPr>
          <w:rFonts w:ascii="Times New Roman" w:hAnsi="Times New Roman"/>
          <w:noProof/>
        </w:rPr>
        <w:t>, inclusiv atragerea mai multor companii farmaceutice; accelerarea în continuare a aprobărilor de noi medicamente (</w:t>
      </w:r>
      <w:r>
        <w:rPr>
          <w:rStyle w:val="FootnoteReference"/>
          <w:noProof/>
        </w:rPr>
        <w:footnoteReference w:id="67"/>
      </w:r>
      <w:r>
        <w:rPr>
          <w:rFonts w:ascii="Times New Roman" w:hAnsi="Times New Roman"/>
          <w:noProof/>
        </w:rPr>
        <w:t>); sprijinirea întreprinderilor pentru a introduce medicamente inovatoare pe piața Chinei continentale și pe piețele internaționale; standardizarea datelor clinice în cadrul GBA și promovarea studiilor medicale, inclusiv a studiilor transfrontaliere în cadrul GBA (o platformă de colaborare pentru studii clinice în cadrul GBA a fost lansată în decembrie) (</w:t>
      </w:r>
      <w:r>
        <w:rPr>
          <w:rStyle w:val="FootnoteReference"/>
          <w:noProof/>
        </w:rPr>
        <w:footnoteReference w:id="68"/>
      </w:r>
      <w:r>
        <w:rPr>
          <w:rFonts w:ascii="Times New Roman" w:hAnsi="Times New Roman"/>
          <w:noProof/>
        </w:rPr>
        <w:t>). Discursul privind politica generală a anunțat, de asemenea, că va fi instituit un Centru pentru reglementarea produselor medicale din Hong Kong și că a fost elaborată o propunere legislativă privind reglementarea dispozitivelor medicale. În decembrie 2025, Spitalul de medicină tradițională chineză din Hong Kong și-a început activitatea (</w:t>
      </w:r>
      <w:r>
        <w:rPr>
          <w:rStyle w:val="FootnoteReference"/>
          <w:noProof/>
        </w:rPr>
        <w:footnoteReference w:id="69"/>
      </w:r>
      <w:r>
        <w:rPr>
          <w:rFonts w:ascii="Times New Roman" w:hAnsi="Times New Roman"/>
          <w:noProof/>
        </w:rPr>
        <w:t>) și a fost publicat un Plan de dezvoltare a medicinei tradiționale chineze, care cuprinde planuri de stabilire a Hong Kongului ca punte de legătură pentru extinderea medicinei tradiționale chineze la nivel mondial (</w:t>
      </w:r>
      <w:r>
        <w:rPr>
          <w:rStyle w:val="FootnoteReference"/>
          <w:noProof/>
        </w:rPr>
        <w:footnoteReference w:id="70"/>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Un domeniu suplimentar care urmează să fie dezvoltat pentru a sprijini dezvoltarea I&amp;T este reprezentat de </w:t>
      </w:r>
      <w:r>
        <w:rPr>
          <w:rFonts w:ascii="Times New Roman" w:hAnsi="Times New Roman"/>
          <w:b/>
          <w:noProof/>
        </w:rPr>
        <w:t>inteligența artificială (IA) și știința datelor</w:t>
      </w:r>
      <w:r>
        <w:rPr>
          <w:rFonts w:ascii="Times New Roman" w:hAnsi="Times New Roman"/>
          <w:noProof/>
        </w:rPr>
        <w:t>. Legislația va fi revizuită pentru a sprijini implementarea IA pe scară mai largă. IA va fi utilizată, de asemenea, pentru a spori eficiența guvernului și a serviciilor financiare, precum și a industriilor construcțiilor. Guvernul a anunțat că va fi înființat un Institut de cercetare și dezvoltare în domeniul IA (</w:t>
      </w:r>
      <w:r>
        <w:rPr>
          <w:rStyle w:val="FootnoteReference"/>
          <w:noProof/>
        </w:rPr>
        <w:footnoteReference w:id="71"/>
      </w:r>
      <w:r>
        <w:rPr>
          <w:rFonts w:ascii="Times New Roman" w:hAnsi="Times New Roman"/>
          <w:noProof/>
        </w:rPr>
        <w:t>). Cercetarea și inovarea în domeniul IA vor fi promovate în continuare, prin intermediul unei scheme de sprijin pentru cercetarea în domeniul tehnologiilor de frontieră (lansată în septembrie 2025) (</w:t>
      </w:r>
      <w:r>
        <w:rPr>
          <w:rStyle w:val="FootnoteReference"/>
          <w:noProof/>
        </w:rPr>
        <w:footnoteReference w:id="72"/>
      </w:r>
      <w:r>
        <w:rPr>
          <w:rFonts w:ascii="Times New Roman" w:hAnsi="Times New Roman"/>
          <w:noProof/>
        </w:rPr>
        <w:t xml:space="preserve">); prin intermediul programului de cercetare InnoHK și prin intermediul unui centru de supercalcul pentru IA (lansat în decembrie 2024). Guvernul a investit, de asemenea, în mod direct în întreprinderile din domeniul IA, prin intermediul The Hong Kong Investment Corporation Limited. Potrivit guvernului, mecanismele pentru fluxul transfrontalier </w:t>
      </w:r>
      <w:r>
        <w:rPr>
          <w:rFonts w:ascii="Times New Roman" w:hAnsi="Times New Roman"/>
          <w:noProof/>
        </w:rPr>
        <w:lastRenderedPageBreak/>
        <w:t xml:space="preserve">de date din China continentală către Parcul Hong Kong vor sprijini, de asemenea, introducerea IA. Hong Kongul dezvoltă, de asemenea, </w:t>
      </w:r>
      <w:r>
        <w:rPr>
          <w:rFonts w:ascii="Times New Roman" w:hAnsi="Times New Roman"/>
          <w:b/>
          <w:noProof/>
        </w:rPr>
        <w:t>economia la joasă altitudine</w:t>
      </w:r>
      <w:r>
        <w:rPr>
          <w:rFonts w:ascii="Times New Roman" w:hAnsi="Times New Roman"/>
          <w:noProof/>
        </w:rPr>
        <w:t xml:space="preserve"> și </w:t>
      </w:r>
      <w:r>
        <w:rPr>
          <w:rFonts w:ascii="Times New Roman" w:hAnsi="Times New Roman"/>
          <w:b/>
          <w:noProof/>
        </w:rPr>
        <w:t>tehnologia aerospațială</w:t>
      </w:r>
      <w:r>
        <w:rPr>
          <w:rFonts w:ascii="Times New Roman" w:hAnsi="Times New Roman"/>
          <w:noProof/>
        </w:rPr>
        <w:t>, prin proiecte-pilot privind spațiul de testare în materie de reglementare, prin finanțare și prin modificarea legislației și găzduirea de evenimente (</w:t>
      </w:r>
      <w:r>
        <w:rPr>
          <w:rStyle w:val="FootnoteReference"/>
          <w:noProof/>
        </w:rPr>
        <w:footnoteReference w:id="73"/>
      </w:r>
      <w:r>
        <w:rPr>
          <w:rFonts w:ascii="Times New Roman" w:hAnsi="Times New Roman"/>
          <w:noProof/>
        </w:rPr>
        <w:t>). Discursul privind politica generală a anunțat că va fi publicat un plan de acțiune pentru o economie la joasă altitudine, iar un funcționar din Hong Kong a anunțat în decembrie obiectivul de a lansa drone pentru pasageri în doi-trei ani (</w:t>
      </w:r>
      <w:r>
        <w:rPr>
          <w:rStyle w:val="FootnoteReference"/>
          <w:noProof/>
        </w:rPr>
        <w:footnoteReference w:id="74"/>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Pentru consolidarea Hong Kongului ca </w:t>
      </w:r>
      <w:r>
        <w:rPr>
          <w:rFonts w:ascii="Times New Roman" w:hAnsi="Times New Roman"/>
          <w:b/>
          <w:noProof/>
        </w:rPr>
        <w:t>centru juridic și de soluționare a litigiilor</w:t>
      </w:r>
      <w:r>
        <w:rPr>
          <w:rFonts w:ascii="Times New Roman" w:hAnsi="Times New Roman"/>
          <w:noProof/>
        </w:rPr>
        <w:t>, discursul privind politica generală a anunțat cooperarea cu Organizația Internațională de Mediere (IOMed), instituită și având sediul central în Hong Kong în cursul anului (inclusiv construirea clădirii Serviciului Juridic Internațional din Hong Kong, adiacentă IOMed). Guvernul va consolida totodată acreditarea pentru profesia de mediator și va studia necesitatea de a modifica Ordonanța în domeniul arbitrajului. În decembrie 2025, guvernul a anunțat că Institutul Internațional pentru Unificarea Dreptului Privat (UNIDROIT), cu sediul la Roma, a decis să își înființeze biroul de legătură Asia-Pacific în Hong Kong (</w:t>
      </w:r>
      <w:r>
        <w:rPr>
          <w:rStyle w:val="FootnoteReference"/>
          <w:noProof/>
        </w:rPr>
        <w:footnoteReference w:id="75"/>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Industriile culturii, sportului și turismului</w:t>
      </w:r>
      <w:r>
        <w:rPr>
          <w:rFonts w:ascii="Times New Roman" w:hAnsi="Times New Roman"/>
          <w:noProof/>
        </w:rPr>
        <w:t xml:space="preserve"> vor fi promovate în continuare, inclusiv prin găzduirea de evenimente de mare anvergură, dezvoltarea schimburilor culturale și consolidarea poziției Hong Kongului ca centru comercial de artă. Guvernul urmărește să atragă noi vizitatori, inclusiv din Orientul Mijlociu și ASEAN, pentru a dezvolta o „economie a iahturilor” și turismul de croazieră. Parcul sportiv Kai Tak – un stadion de mari dimensiuni– a fost deschis în cursul anului.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De asemenea, guvernul </w:t>
      </w:r>
      <w:r>
        <w:rPr>
          <w:rFonts w:ascii="Times New Roman" w:hAnsi="Times New Roman"/>
          <w:b/>
          <w:noProof/>
        </w:rPr>
        <w:t>va cultiva în continuare talentele locale și va atrage talente din China continentală și din străinătate</w:t>
      </w:r>
      <w:r>
        <w:rPr>
          <w:rFonts w:ascii="Times New Roman" w:hAnsi="Times New Roman"/>
          <w:noProof/>
        </w:rPr>
        <w:t>. Hong Kongul va fi dezvoltat în continuare ca centru internațional de educație și cercetare, inclusiv prin atragerea cercetătorilor, a profesorilor și a studenților, prin promovarea mobilității talentelor, a schimburilor în domeniul educației și a cooperării dintre universități și industrie. În 2025, cinci universități din Hong Kong se situau printre primele 100 din lume. Guvernul va sprijini totodată dezvoltarea școlilor internaționale și va continua să exploreze recunoașterea reciprocă a calificărilor inferioare nivelului universitar între Hong Kong și China continentală.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discursul privind politica generală s-au anunțat inițiative de </w:t>
      </w:r>
      <w:r>
        <w:rPr>
          <w:rFonts w:ascii="Times New Roman" w:hAnsi="Times New Roman"/>
          <w:b/>
          <w:noProof/>
        </w:rPr>
        <w:t>sprijinire a întreprinderilor mici și mijlocii</w:t>
      </w:r>
      <w:r>
        <w:rPr>
          <w:rFonts w:ascii="Times New Roman" w:hAnsi="Times New Roman"/>
          <w:noProof/>
        </w:rPr>
        <w:t xml:space="preserve"> (IMM-uri), inclusiv prin sprijin financiar, contribuind la transformarea digitală a acestora și sprijinindu-le în explorarea piețelor străine. Măsurile vizează, de asemenea, </w:t>
      </w:r>
      <w:r>
        <w:rPr>
          <w:rFonts w:ascii="Times New Roman" w:hAnsi="Times New Roman"/>
          <w:b/>
          <w:noProof/>
        </w:rPr>
        <w:t>îmbunătățirea situației locuințelor</w:t>
      </w:r>
      <w:r>
        <w:rPr>
          <w:rFonts w:ascii="Times New Roman" w:hAnsi="Times New Roman"/>
          <w:noProof/>
        </w:rPr>
        <w:t xml:space="preserve">, inclusiv obiective privind construirea a 189 000 de unități de locuințe publice, reducerea timpului de așteptare pentru locuințe cu chirie subvenționată la 4,5 ani și creșterea ofertei de locuințe private – împreună cu o mai bună reglementare a celor 110 000 de unități compartimentate ale orașului. Discursul privind politica </w:t>
      </w:r>
      <w:r>
        <w:rPr>
          <w:rFonts w:ascii="Times New Roman" w:hAnsi="Times New Roman"/>
          <w:noProof/>
        </w:rPr>
        <w:lastRenderedPageBreak/>
        <w:t xml:space="preserve">generală include, de asemenea, inițiative de abordare a provocărilor legate de </w:t>
      </w:r>
      <w:r>
        <w:rPr>
          <w:rFonts w:ascii="Times New Roman" w:hAnsi="Times New Roman"/>
          <w:b/>
          <w:noProof/>
        </w:rPr>
        <w:t>îmbătrânirea populației Hong Kongului și de sprijinire a fertilității</w:t>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ceea ce privește </w:t>
      </w:r>
      <w:r>
        <w:rPr>
          <w:rFonts w:ascii="Times New Roman" w:hAnsi="Times New Roman"/>
          <w:b/>
          <w:noProof/>
        </w:rPr>
        <w:t>politicile în domeniul mediului și al climei</w:t>
      </w:r>
      <w:r>
        <w:rPr>
          <w:rFonts w:ascii="Times New Roman" w:hAnsi="Times New Roman"/>
          <w:noProof/>
        </w:rPr>
        <w:t>, discursul privind politica generală a reiterat obiectivul Hong Kongului de a atinge neutralitatea emisiilor de dioxid de carbon până în 2050. Au fost anunțate inițiative și politici de dezvoltare a mobilității și energiei verzi, inclusiv dezvoltarea lanțului industrial al SAF și a mecanismelor de amestecare; promovarea în continuare a hidrogenului (discursul privind politica generală se referă la 28 de proiecte experimentale în curs), formularea certificării standardelor privind hidrogenul și dezvoltarea unui coridor de hidrogen în GBA; continuarea introducerii stațiilor de încărcare rapidă pentru vehiculele electrice și construirea primei instalații de mari dimensiuni de reciclare a bateriilor vehiculelor electrice din Hong Kong; precum și extinderea sistemelor de tranzit în masă (inclusiv subteran). În cursul anului a fost construită o nouă instalație de valorificare energetică a deșeurilor. Guvernul a anunțat că va înființa un centru de formare pentru dezvoltarea verde durabilă „O centură, un drum” (</w:t>
      </w:r>
      <w:r>
        <w:rPr>
          <w:rFonts w:ascii="Times New Roman" w:hAnsi="Times New Roman"/>
          <w:i/>
          <w:noProof/>
        </w:rPr>
        <w:t>Belt and Road</w:t>
      </w:r>
      <w:r>
        <w:rPr>
          <w:rFonts w:ascii="Times New Roman" w:hAnsi="Times New Roman"/>
          <w:noProof/>
        </w:rPr>
        <w:t xml:space="preserve"> – B&amp;R), care va oferi formare țărilor din cadrul inițiativei B&amp;R. La 31 decembrie, guvernul a publicat Strategia și planul de acțiune Hong Kong privind biodiversitatea pentru 2035 (</w:t>
      </w:r>
      <w:r>
        <w:rPr>
          <w:rStyle w:val="FootnoteReference"/>
          <w:noProof/>
        </w:rPr>
        <w:footnoteReference w:id="76"/>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b/>
          <w:bCs/>
          <w:noProof/>
        </w:rPr>
      </w:pPr>
      <w:r>
        <w:rPr>
          <w:rFonts w:ascii="Times New Roman" w:hAnsi="Times New Roman"/>
          <w:b/>
          <w:noProof/>
        </w:rPr>
        <w:t>Politica comercială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Kongul a încheiat </w:t>
      </w:r>
      <w:r>
        <w:rPr>
          <w:rFonts w:ascii="Times New Roman" w:hAnsi="Times New Roman"/>
          <w:b/>
          <w:noProof/>
        </w:rPr>
        <w:t>nouă acorduri de liber schimb</w:t>
      </w:r>
      <w:r>
        <w:rPr>
          <w:rFonts w:ascii="Times New Roman" w:hAnsi="Times New Roman"/>
          <w:noProof/>
        </w:rPr>
        <w:t xml:space="preserve"> (ALS) cu China continentală (Acordul de parteneriat economic cu China sau CEPA, în vigoare din iunie 2003, consolidat ulterior), Noua Zeelandă (martie 2010), statele membre ale Asociației Europene a Liberului Schimb (iunie 2011), Chile (septembrie 2012), Macao (octombrie 2017), ASEAN (noiembrie 2017), Georgia (iunie 2018), Australia (martie 2019) și Peru (noiembrie 2024).</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La sfârșitul anului 2025, Hong Kongul încheiase </w:t>
      </w:r>
      <w:r>
        <w:rPr>
          <w:rFonts w:ascii="Times New Roman" w:hAnsi="Times New Roman"/>
          <w:b/>
          <w:noProof/>
        </w:rPr>
        <w:t>23 de acorduri privind promovarea și protejarea investițiilor (IPPA)</w:t>
      </w:r>
      <w:r>
        <w:rPr>
          <w:rFonts w:ascii="Times New Roman" w:hAnsi="Times New Roman"/>
          <w:noProof/>
        </w:rPr>
        <w:t xml:space="preserve"> cu economii străine (inclusiv cu 10 state membre ale UE). Cel mai recent dintre aceste acorduri a fost semnat în 2024 cu Bahrain și a intrat în vigoare în martie 2025. Un acord IPPA a fost semnat cu Turcia în 2023, dar, până la sfârșitul anului 2025, nu intrase încă în vigoare. Au fost încheiate negocierile privind IPPA cu Maldivele și Myanmar/Birmania, însă acordurile nu au fost încă semnate. Site-ul web al Departamentului pentru comerț și industrie din Hong Kong enumeră, de asemenea, acordurile IPPA în curs de consultare/negociere cu Bangladesh, Egipt, Peru, Qatar, Rusia și Arabia Saudită.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Hong Kong și Iordania au semnat un acord de evitare a dublei impuneri în septembrie 2025, în timp ce acordurile de evitare a dublei impuneri au intrat în vigoare cu Armenia în aprilie 2025 și cu Bahrain în martie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discursul său privind politica generală, șeful executivului a afirmat că Hong Kongul își propune în continuare să adere rapid la </w:t>
      </w:r>
      <w:r>
        <w:rPr>
          <w:rFonts w:ascii="Times New Roman" w:hAnsi="Times New Roman"/>
          <w:b/>
          <w:noProof/>
        </w:rPr>
        <w:t>Parteneriatul economic regional cuprinzător</w:t>
      </w:r>
      <w:r>
        <w:rPr>
          <w:rFonts w:ascii="Times New Roman" w:hAnsi="Times New Roman"/>
          <w:noProof/>
        </w:rPr>
        <w:t>, format din 15 țări din regiunea Asia-Pacific. Hong Kongul și-a prezentat cererea de aderare la începutul anului 2022, dar nu aderase la parteneriat la sfârșitul anului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 deține </w:t>
      </w:r>
      <w:r>
        <w:rPr>
          <w:rFonts w:ascii="Times New Roman" w:hAnsi="Times New Roman"/>
          <w:b/>
          <w:noProof/>
        </w:rPr>
        <w:t>15 birouri economice și comerciale (</w:t>
      </w:r>
      <w:r>
        <w:rPr>
          <w:rFonts w:ascii="Times New Roman" w:hAnsi="Times New Roman"/>
          <w:noProof/>
        </w:rPr>
        <w:t>Economic and Trade Office</w:t>
      </w:r>
      <w:r>
        <w:rPr>
          <w:rFonts w:ascii="Times New Roman" w:hAnsi="Times New Roman"/>
          <w:b/>
          <w:noProof/>
        </w:rPr>
        <w:t xml:space="preserve"> – ETO)</w:t>
      </w:r>
      <w:r>
        <w:rPr>
          <w:rFonts w:ascii="Times New Roman" w:hAnsi="Times New Roman"/>
          <w:noProof/>
        </w:rPr>
        <w:t xml:space="preserve"> în străinătate, la Berlin, Bruxelles, Geneva, Londra, Bangkok, Jakarta, Kuala Lumpur, Singapore, Sydney, Tokyo, Dubai, New York, San Francisco, Toronto și Washington DC. ETO din Kuala Lumpur și-a început activitatea în decembrie 2025. În discursul privind politica </w:t>
      </w:r>
      <w:r>
        <w:rPr>
          <w:rFonts w:ascii="Times New Roman" w:hAnsi="Times New Roman"/>
          <w:noProof/>
        </w:rPr>
        <w:lastRenderedPageBreak/>
        <w:t>generală, șeful executivului a declarat că Hong Kongul își propune să deschidă ETO suplimentare în America Latină și Asia Centrală.</w:t>
      </w:r>
    </w:p>
    <w:p>
      <w:pPr>
        <w:spacing w:after="0" w:line="240" w:lineRule="auto"/>
        <w:jc w:val="both"/>
        <w:rPr>
          <w:rFonts w:ascii="Times New Roman" w:hAnsi="Times New Roman" w:cs="Times New Roman"/>
          <w:noProof/>
          <w:highlight w:val="yellow"/>
        </w:rPr>
      </w:pPr>
    </w:p>
    <w:p>
      <w:pPr>
        <w:spacing w:after="0" w:line="240" w:lineRule="auto"/>
        <w:jc w:val="both"/>
        <w:rPr>
          <w:rFonts w:ascii="Times New Roman" w:hAnsi="Times New Roman" w:cs="Times New Roman"/>
          <w:b/>
          <w:bCs/>
          <w:noProof/>
        </w:rPr>
      </w:pPr>
      <w:r>
        <w:rPr>
          <w:rFonts w:ascii="Times New Roman" w:hAnsi="Times New Roman"/>
          <w:b/>
          <w:noProof/>
        </w:rPr>
        <w:t>Integrarea economică cu China continentală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Acordul pentru un parteneriat economic mai strâns între China continentală și Hong Kong (CEPA)</w:t>
      </w:r>
      <w:r>
        <w:rPr>
          <w:rFonts w:ascii="Times New Roman" w:hAnsi="Times New Roman"/>
          <w:noProof/>
        </w:rPr>
        <w:t xml:space="preserve"> prevede tarife zero pentru mărfurile importate originare din Hong Kong exportate către China continentală (în conformitate cu regulile de origine ale CEPA), precum și un tratament preferențial pentru furnizorii de servicii din Hong Kong (HKSS) într-o serie de sectoare de servicii din China continentală și măsuri de protecție a investițiilor.</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ceea ce privește </w:t>
      </w:r>
      <w:r>
        <w:rPr>
          <w:rFonts w:ascii="Times New Roman" w:hAnsi="Times New Roman"/>
          <w:b/>
          <w:noProof/>
        </w:rPr>
        <w:t>integrarea financiară și accesul reciproc</w:t>
      </w:r>
      <w:r>
        <w:rPr>
          <w:rFonts w:ascii="Times New Roman" w:hAnsi="Times New Roman"/>
          <w:noProof/>
        </w:rPr>
        <w:t xml:space="preserve">, Hong Kong și China continentală au pus în aplicare o serie de scheme și mecanisme care oferă Hong Kongului o conectivitate neegalată la piața de capital a Chinei și îi consolidează rolul de centru financiar. Schema „Stock Connect” leagă Bursa de Valori din Hong Kong cu omoloagele sale din Shanghai și Shenzhen. „Bond Connect” este o schemă de acces reciproc la piață pentru piețele de obligațiuni din Hong Kong și China continentală. Sistemul transfrontalier </w:t>
      </w:r>
      <w:r>
        <w:rPr>
          <w:rFonts w:ascii="Times New Roman" w:hAnsi="Times New Roman"/>
          <w:i/>
          <w:noProof/>
        </w:rPr>
        <w:t>Wealth Management Connect</w:t>
      </w:r>
      <w:r>
        <w:rPr>
          <w:rFonts w:ascii="Times New Roman" w:hAnsi="Times New Roman"/>
          <w:noProof/>
        </w:rPr>
        <w:t xml:space="preserve"> (Conectarea gestionării patrimoniului) în Zona Marelui Golf Guangdong-Hong Kong-Macao („WMC transfrontalier”) permite rezidenților eligibili din China continentală, Hong Kong și Macao să investească în produse pentru gestionarea patrimoniului pe piețele celorlalte părți. </w:t>
      </w:r>
      <w:r>
        <w:rPr>
          <w:rFonts w:ascii="Times New Roman" w:hAnsi="Times New Roman"/>
          <w:i/>
          <w:noProof/>
        </w:rPr>
        <w:t>Swap Connect</w:t>
      </w:r>
      <w:r>
        <w:rPr>
          <w:rFonts w:ascii="Times New Roman" w:hAnsi="Times New Roman"/>
          <w:noProof/>
        </w:rPr>
        <w:t xml:space="preserve"> este un program de acces reciproc pe piață pentru instrumente financiare derivate care permite investitorilor din Hong Kong să tranzacționeze și să compenseze swapuri pe rata dobânzii în regim onshore în RMB, fără a-și modifica practicile existente în materie de tranzacționare și decontare. În cursul anului, au fost dezvoltate „Swap Connect” (</w:t>
      </w:r>
      <w:r>
        <w:rPr>
          <w:rStyle w:val="FootnoteReference"/>
          <w:noProof/>
        </w:rPr>
        <w:footnoteReference w:id="77"/>
      </w:r>
      <w:r>
        <w:rPr>
          <w:rFonts w:ascii="Times New Roman" w:hAnsi="Times New Roman"/>
          <w:noProof/>
        </w:rPr>
        <w:t>), „Bond Connect” (</w:t>
      </w:r>
      <w:r>
        <w:rPr>
          <w:rStyle w:val="FootnoteReference"/>
          <w:noProof/>
        </w:rPr>
        <w:footnoteReference w:id="78"/>
      </w:r>
      <w:r>
        <w:rPr>
          <w:rFonts w:ascii="Times New Roman" w:hAnsi="Times New Roman"/>
          <w:noProof/>
        </w:rPr>
        <w:t>) și WMC transfrontalier (</w:t>
      </w:r>
      <w:r>
        <w:rPr>
          <w:rStyle w:val="FootnoteReference"/>
          <w:noProof/>
        </w:rPr>
        <w:footnoteReference w:id="79"/>
      </w:r>
      <w:r>
        <w:rPr>
          <w:rFonts w:ascii="Times New Roman" w:hAnsi="Times New Roman"/>
          <w:noProof/>
        </w:rPr>
        <w:t xml:space="preserve">). În discursul privind politica generală, șeful executivului a declarat că guvernul va promova includerea unui ghișeu de tranzacționare în RMB în cadrul </w:t>
      </w:r>
      <w:r>
        <w:rPr>
          <w:rFonts w:ascii="Times New Roman" w:hAnsi="Times New Roman"/>
          <w:i/>
          <w:noProof/>
        </w:rPr>
        <w:t>Southbound Stock Connect</w:t>
      </w:r>
      <w:r>
        <w:rPr>
          <w:rFonts w:ascii="Times New Roman" w:hAnsi="Times New Roman"/>
          <w:noProof/>
        </w:rPr>
        <w:t>. În iunie, HKMA și Banca Populară a Chinei au lansat o nouă „conexiune de plăți”. În septembrie, Banca Populară a Chinei (</w:t>
      </w:r>
      <w:r>
        <w:rPr>
          <w:rFonts w:ascii="Times New Roman" w:hAnsi="Times New Roman"/>
          <w:i/>
          <w:noProof/>
        </w:rPr>
        <w:t>People’s Bank of China</w:t>
      </w:r>
      <w:r>
        <w:rPr>
          <w:rFonts w:ascii="Times New Roman" w:hAnsi="Times New Roman"/>
          <w:noProof/>
        </w:rPr>
        <w:t xml:space="preserve"> – PBoC) și-a anunțat sprijinul pentru consolidarea accesului reciproc între piețele financiare din China continentală și Hong Kong (</w:t>
      </w:r>
      <w:r>
        <w:rPr>
          <w:rStyle w:val="FootnoteReference"/>
          <w:noProof/>
        </w:rPr>
        <w:footnoteReference w:id="80"/>
      </w:r>
      <w:r>
        <w:rPr>
          <w:rFonts w:ascii="Times New Roman" w:hAnsi="Times New Roman"/>
          <w:noProof/>
        </w:rPr>
        <w:t>).</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ceea ce privește </w:t>
      </w:r>
      <w:r>
        <w:rPr>
          <w:rFonts w:ascii="Times New Roman" w:hAnsi="Times New Roman"/>
          <w:b/>
          <w:noProof/>
        </w:rPr>
        <w:t>Zona Marelui Golf</w:t>
      </w:r>
      <w:r>
        <w:rPr>
          <w:rFonts w:ascii="Times New Roman" w:hAnsi="Times New Roman"/>
          <w:noProof/>
        </w:rPr>
        <w:t>, șeful executivului a declarat în discursul privind politica generală că Hong Kongul va continua să consolideze în mod proactiv cooperarea reciproc avantajoasă în cadrul GBA pentru a îmbunătăți fluxul de persoane, bunuri, date și capital. El a anunțat că parcul logistic al Aeroportului Internațional Hong Kong (HKIA) din orașul provincial Guangdong din Dongguan – menit să faciliteze exporturile de mărfuri din China continentală – va fi dezvoltat în continuare. De asemenea, șeful executivului a subliniat cooperarea medicală transfrontalieră, inclusiv sprijinirea studiilor clinice (</w:t>
      </w:r>
      <w:r>
        <w:rPr>
          <w:rStyle w:val="FootnoteReference"/>
          <w:noProof/>
        </w:rPr>
        <w:footnoteReference w:id="81"/>
      </w:r>
      <w:r>
        <w:rPr>
          <w:rFonts w:ascii="Times New Roman" w:hAnsi="Times New Roman"/>
          <w:noProof/>
        </w:rPr>
        <w:t xml:space="preserve">) și standardizarea datelor clinice, inovarea și dezvoltarea lanțului industrial. În cursul anului, guvernul din </w:t>
      </w:r>
      <w:r>
        <w:rPr>
          <w:rFonts w:ascii="Times New Roman" w:hAnsi="Times New Roman"/>
          <w:noProof/>
        </w:rPr>
        <w:lastRenderedPageBreak/>
        <w:t>Hong Kong a continuat să dezvolte legături feroviare transfrontaliere (</w:t>
      </w:r>
      <w:r>
        <w:rPr>
          <w:rStyle w:val="FootnoteReference"/>
          <w:noProof/>
        </w:rPr>
        <w:footnoteReference w:id="82"/>
      </w:r>
      <w:r>
        <w:rPr>
          <w:rFonts w:ascii="Times New Roman" w:hAnsi="Times New Roman"/>
          <w:noProof/>
        </w:rPr>
        <w:t>), a facilitat și mai mult aranjamentele transfrontaliere pentru autoturisme (</w:t>
      </w:r>
      <w:r>
        <w:rPr>
          <w:rStyle w:val="FootnoteReference"/>
          <w:noProof/>
        </w:rPr>
        <w:footnoteReference w:id="83"/>
      </w:r>
      <w:r>
        <w:rPr>
          <w:rFonts w:ascii="Times New Roman" w:hAnsi="Times New Roman"/>
          <w:noProof/>
        </w:rPr>
        <w:t>) și a promovat mobilitatea forței de muncă în rândul tinerilor (</w:t>
      </w:r>
      <w:r>
        <w:rPr>
          <w:rStyle w:val="FootnoteReference"/>
          <w:noProof/>
        </w:rPr>
        <w:footnoteReference w:id="84"/>
      </w:r>
      <w:r>
        <w:rPr>
          <w:rFonts w:ascii="Times New Roman" w:hAnsi="Times New Roman"/>
          <w:noProof/>
        </w:rPr>
        <w:t>). În ceea ce privește serviciile financiare și juridice, discursul privind politica generală a anunțat orientări pentru corelarea avansată a creditelor transfrontaliere (</w:t>
      </w:r>
      <w:r>
        <w:rPr>
          <w:rStyle w:val="FootnoteReference"/>
          <w:noProof/>
        </w:rPr>
        <w:footnoteReference w:id="85"/>
      </w:r>
      <w:r>
        <w:rPr>
          <w:rFonts w:ascii="Times New Roman" w:hAnsi="Times New Roman"/>
          <w:noProof/>
        </w:rPr>
        <w:t>), dezvoltarea în continuare a comercializării mărfurilor și a cotelor de emisii de dioxid de carbon cu GBA; îmbunătățirea conexiunii de plăți și promovarea arbitrajului comercial în GBA (</w:t>
      </w:r>
      <w:r>
        <w:rPr>
          <w:rStyle w:val="FootnoteReference"/>
          <w:noProof/>
        </w:rPr>
        <w:footnoteReference w:id="86"/>
      </w:r>
      <w:r>
        <w:rPr>
          <w:rFonts w:ascii="Times New Roman" w:hAnsi="Times New Roman"/>
          <w:noProof/>
        </w:rPr>
        <w:t>).</w:t>
      </w:r>
    </w:p>
    <w:p>
      <w:pPr>
        <w:spacing w:after="0" w:line="240" w:lineRule="auto"/>
        <w:jc w:val="both"/>
        <w:rPr>
          <w:rFonts w:ascii="Times New Roman" w:hAnsi="Times New Roman" w:cs="Times New Roman"/>
          <w:b/>
          <w:bCs/>
          <w:noProof/>
        </w:rPr>
      </w:pPr>
    </w:p>
    <w:p>
      <w:pPr>
        <w:pStyle w:val="ListParagraph"/>
        <w:numPr>
          <w:ilvl w:val="0"/>
          <w:numId w:val="15"/>
        </w:numPr>
        <w:spacing w:after="0" w:line="240" w:lineRule="auto"/>
        <w:jc w:val="both"/>
        <w:rPr>
          <w:rFonts w:ascii="Times New Roman" w:hAnsi="Times New Roman" w:cs="Times New Roman"/>
          <w:b/>
          <w:bCs/>
          <w:noProof/>
        </w:rPr>
      </w:pPr>
      <w:r>
        <w:rPr>
          <w:rFonts w:ascii="Times New Roman" w:hAnsi="Times New Roman"/>
          <w:b/>
          <w:noProof/>
        </w:rPr>
        <w:t>Relațiile dintre Hong Kong și China continentală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u w:val="single"/>
        </w:rPr>
      </w:pPr>
      <w:r>
        <w:rPr>
          <w:rFonts w:ascii="Times New Roman" w:hAnsi="Times New Roman"/>
          <w:noProof/>
        </w:rPr>
        <w:t>Cel de al 20-lea Comitet Central al Partidului Comunist Chinez a organizat cea de a patra adunare plenară a sa în perioada 20-23 octombrie. Adunarea s-a axat pe formularea celui de al 15-lea plan cincinal al Chinei, care va ghida dezvoltarea țării în perioada 2026-2030. În „Recomandările Comitetului Central al Partidului Comunist Chinez în ceea ce privește formularea celui de al 15-lea plan cincinal pentru dezvoltarea economică și socială națională”, publicate la 28 octombrie, partidul s-a angajat să sprijine „prosperitatea și stabilitatea pe termen lung a Hong Kongului și a regiunii Macao”.</w:t>
      </w:r>
    </w:p>
    <w:p>
      <w:pPr>
        <w:spacing w:after="0" w:line="240" w:lineRule="auto"/>
        <w:jc w:val="both"/>
        <w:rPr>
          <w:rFonts w:ascii="Times New Roman" w:hAnsi="Times New Roman" w:cs="Times New Roman"/>
          <w:noProof/>
          <w:u w:val="single"/>
        </w:rPr>
      </w:pPr>
    </w:p>
    <w:p>
      <w:pPr>
        <w:spacing w:after="0" w:line="240" w:lineRule="auto"/>
        <w:jc w:val="both"/>
        <w:rPr>
          <w:rFonts w:ascii="Times New Roman" w:hAnsi="Times New Roman" w:cs="Times New Roman"/>
          <w:noProof/>
        </w:rPr>
      </w:pPr>
      <w:r>
        <w:rPr>
          <w:rFonts w:ascii="Times New Roman" w:hAnsi="Times New Roman"/>
          <w:noProof/>
        </w:rPr>
        <w:t>La 23 octombrie, șeful executivului din Hong Kong a subliniat că „Hong Kongul va identifica și se va concentra asupra poziționării sale avantajoase în planul de dezvoltare al țării, se va alinia în mod proactiv la capitolele privind Hong Kongul și Macao din cel de al 15-lea plan cincinal, va profita de oportunitățile semnificative generate de dezvoltarea țării și își va valorifica propriile avantaje unice în dezvoltarea națională”.</w:t>
      </w:r>
    </w:p>
    <w:p>
      <w:pPr>
        <w:spacing w:after="0" w:line="240" w:lineRule="auto"/>
        <w:jc w:val="both"/>
        <w:rPr>
          <w:rFonts w:ascii="Times New Roman" w:hAnsi="Times New Roman" w:cs="Times New Roman"/>
          <w:noProof/>
          <w:u w:val="single"/>
        </w:rPr>
      </w:pPr>
    </w:p>
    <w:p>
      <w:pPr>
        <w:spacing w:after="0" w:line="240" w:lineRule="auto"/>
        <w:jc w:val="both"/>
        <w:rPr>
          <w:rFonts w:ascii="Times New Roman" w:hAnsi="Times New Roman" w:cs="Times New Roman"/>
          <w:noProof/>
        </w:rPr>
      </w:pPr>
      <w:r>
        <w:rPr>
          <w:rFonts w:ascii="Times New Roman" w:hAnsi="Times New Roman"/>
          <w:noProof/>
        </w:rPr>
        <w:t>O delegație formată din președintele Academiei Chineze de Științe și directorul adjunct al Biroului Comisiei Centrale pentru Afaceri Financiare și Economice, care îndeplinește, de asemenea, funcția de director adjunct al Biroului Grupului Director Central pentru Afaceri Rurale al Partidului Comunist Chinez, a vizitat Hong Kongul în perioada 24-25 noiembrie pentru a discuta cel de al 15-lea plan cincinal și implicațiile acestuia pentru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Directorul Biroului de lucru din Hong Kong și Macao din cadrul Comitetului Central al Partidului Comunist Chinez (PCC) și al Consiliului de Stat al Republicii Populare Chineze a vizitat Hong Kongul în perioada 18-22 iunie. Acesta s-a axat pe dezvoltarea economică a orașului, în special pe proiectul din regiunea metropolitană din Nord. Directorul a ținut totodată un discurs la 21 iunie în cadrul unui forum de comemorare a împlinirii a cinci ani de la intrarea în vigoare a LSN, subliniind importanța depunerii în continuare a eforturilor de protejare a securității naționale.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Referindu-se la discursul directorului, șeful executivului din Hong Kong a avertizat, la 24 iunie, cu privire la existența în continuare a „rezistenței ușoare”. Într-o abordare la nivelul întregii administrații, toți cei 18 secretari și șapte lideri ai forțelor disciplinare – printre care </w:t>
      </w:r>
      <w:r>
        <w:rPr>
          <w:rFonts w:ascii="Times New Roman" w:hAnsi="Times New Roman"/>
          <w:noProof/>
        </w:rPr>
        <w:lastRenderedPageBreak/>
        <w:t>poliția, autoritățile vamale și pompierii – au urmat exemplul și au subliniat public, în interviurile din mass-media și în postările de pe platformele de comunicare socială, eforturile depuse în materie de protejare a securității naționale.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perioada 8-10 februarie, directorul Biroului de lucru din Hong Kong și Macao a vizitat orașul chinez învecinat Shenzhen. La 9 februarie, directorul a găzduit o reuniune cu funcționari din Hong Kong cu privire la integrarea în continuare a GBA.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11 februarie, Eric Chan, la vremea respectivă șef al executivului în exercițiu al Hong Kongului, a subliniat că directorul a furnizat „instrucțiuni foarte clare” cu privire la modul în care Hong Kongul ar trebui să se alinieze la strategiile naționale în ceea ce privește evoluțiile economice și financiare, în special cu privire la modul de integrare cu China continentală „cât mai curând posibil”.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La 30 mai, Consiliul de Stat al Chinei l-a numit pe Zhou Ji, fost director executiv adjunct al Biroului de lucru din Hong Kong și Macao din cadrul Comitetului Central al PCC, în calitate de nou director al Biroului de legătură al guvernului central la nivel local și consilier pe probleme de securitate națională al Comitetului pentru protejarea securității naționale la nivel local, înlocuindu-l pe Zheng Yanxiong.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color w:val="000000"/>
        </w:rPr>
        <w:t>La 14 iulie, Beijing l-a numit pe Xu Qifang, fost director adjunct al Departamentului de organizare al Comitetului Central al PCC, ca succesor al lui Zhou în cadrul Biroului de lucru din Hong Kong și Macao.</w:t>
      </w:r>
    </w:p>
    <w:p>
      <w:pPr>
        <w:spacing w:after="0" w:line="240" w:lineRule="auto"/>
        <w:rPr>
          <w:rFonts w:ascii="Times New Roman" w:hAnsi="Times New Roman" w:cs="Times New Roman"/>
          <w:bCs/>
          <w:noProof/>
          <w:color w:val="000000"/>
        </w:rPr>
      </w:pPr>
    </w:p>
    <w:p>
      <w:pPr>
        <w:spacing w:after="0" w:line="240" w:lineRule="auto"/>
        <w:jc w:val="both"/>
        <w:rPr>
          <w:rFonts w:ascii="Times New Roman" w:hAnsi="Times New Roman" w:cs="Times New Roman"/>
          <w:bCs/>
          <w:noProof/>
        </w:rPr>
      </w:pPr>
      <w:r>
        <w:rPr>
          <w:rFonts w:ascii="Times New Roman" w:hAnsi="Times New Roman"/>
          <w:noProof/>
        </w:rPr>
        <w:t>La 31 decembrie, directorul adjunct al Biroului de legătură, Qi Bin, a fost înlocuit de Zhang Yong, care a ocupat anterior funcția de vicepreședinte executiv al China COSCO Shipping Corporation.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Șeful executivului din Hong Kong a condus o delegație formată din 360 de persoane din Hong Kong pentru a participa la parada militară de la Beijing la 3 septembrie, marcând victoria Chinei asupra Japoniei în cel de Al Doilea Război Mondial.</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Portavionul chinez Shandong a vizitat Hong Kongul în perioada 3-7 iulie. Flota a inclus distrugătoarele de rachete Yan’an și Zhanjiang și fregata de rachete Yuncheng. În timpul turului de cinci zile, peste 30 000 de persoane au urcat la bordul navelor militare Shandong, Zhanjiang și Yuncheng pentru a le vizita.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Cea de a 15-a ediție a Jocurilor Naționale și cea de a 12-a ediție a Jocurilor Naționale pentru Persoanele cu Handicap, precum și cea de a noua ediție a Jocurilor Olimpice Speciale Naționale au fost găzduite în comun de Guangdong, Hong Kong și Macao în noiembrie și, respectiv, în decembrie 2025. Este pentru prima dată când jocurile naționale au fost găzduite în comun de GBA.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De la 23 decembrie, șoferilor din Guangdong li s-a permis să conducă către Hong Kong în cadrul noului sistem „Southbound Travel for Guangdong Vehicles”. Inițiativa a început cu 100 de vehicule pe zi pentru o ședere de până la trei zile per vehicul din Guangdong.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China continentală este </w:t>
      </w:r>
      <w:r>
        <w:rPr>
          <w:rFonts w:ascii="Times New Roman" w:hAnsi="Times New Roman"/>
          <w:b/>
          <w:noProof/>
        </w:rPr>
        <w:t>principalul partener comercial al Hong Kongului</w:t>
      </w:r>
      <w:r>
        <w:rPr>
          <w:rFonts w:ascii="Times New Roman" w:hAnsi="Times New Roman"/>
          <w:noProof/>
        </w:rPr>
        <w:t xml:space="preserve"> în ceea ce privește comerțul cu mărfuri, reprezentând 51,4 % din totalul schimburilor comerciale ale Hong </w:t>
      </w:r>
      <w:r>
        <w:rPr>
          <w:rFonts w:ascii="Times New Roman" w:hAnsi="Times New Roman"/>
          <w:noProof/>
        </w:rPr>
        <w:lastRenderedPageBreak/>
        <w:t>Kongului în 2025. La rândul său, Hong Kongul este un centru comercial important pentru China continentală și al treilea partener comercial ca importanță al Chinei în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Hong Kong este </w:t>
      </w:r>
      <w:r>
        <w:rPr>
          <w:rFonts w:ascii="Times New Roman" w:hAnsi="Times New Roman"/>
          <w:b/>
          <w:noProof/>
        </w:rPr>
        <w:t>principalul centru financiar offshore și principalul centru de investiții pentru China continentală</w:t>
      </w:r>
      <w:r>
        <w:rPr>
          <w:rFonts w:ascii="Times New Roman" w:hAnsi="Times New Roman"/>
          <w:noProof/>
        </w:rPr>
        <w:t>.</w:t>
      </w:r>
      <w:r>
        <w:rPr>
          <w:rFonts w:ascii="Times New Roman" w:hAnsi="Times New Roman"/>
          <w:b/>
          <w:noProof/>
        </w:rPr>
        <w:t xml:space="preserve"> </w:t>
      </w:r>
      <w:r>
        <w:rPr>
          <w:rFonts w:ascii="Times New Roman" w:hAnsi="Times New Roman"/>
          <w:noProof/>
        </w:rPr>
        <w:t>În 2024 (ultimul an pentru care sunt disponibile date), China continentală a fost cea mai mare sursă de investiții străine directe interne (ISD) pentru Hong Kong, cu excepția centrelor offshore, precum și prima destinație pentru investițiile străine directe externe ale Hong Kongului, reprezentând 33 % din stocul de ISD interne și 52 % din stocul total de ISD externe (</w:t>
      </w:r>
      <w:r>
        <w:rPr>
          <w:rStyle w:val="FootnoteReference"/>
          <w:noProof/>
        </w:rPr>
        <w:footnoteReference w:id="87"/>
      </w:r>
      <w:r>
        <w:rPr>
          <w:rFonts w:ascii="Times New Roman" w:hAnsi="Times New Roman"/>
          <w:noProof/>
        </w:rPr>
        <w:t>). La rândul său, Hong Kongul este cea mai mare sursă de ISD în China continentală și principala destinație pentru ISD externe ale Chinei continentale, reprezentând 56,8 % din ISD interne ale Chinei continentale și 61,2 % din ISD externe ale Chinei (2024) (</w:t>
      </w:r>
      <w:r>
        <w:rPr>
          <w:rStyle w:val="FootnoteReference"/>
          <w:noProof/>
        </w:rPr>
        <w:footnoteReference w:id="88"/>
      </w:r>
      <w:r>
        <w:rPr>
          <w:rFonts w:ascii="Times New Roman" w:hAnsi="Times New Roman"/>
          <w:noProof/>
        </w:rPr>
        <w:t>). La sfârșitul lunii decembrie 2025, 1 552 de întreprinderi din China continentală erau cotate la Bursa din Hong Kong, reprezentând 79,3 % din capitalizarea bursieră totală.</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p>
    <w:p>
      <w:pPr>
        <w:pStyle w:val="ListParagraph"/>
        <w:numPr>
          <w:ilvl w:val="0"/>
          <w:numId w:val="15"/>
        </w:numPr>
        <w:spacing w:after="0" w:line="240" w:lineRule="auto"/>
        <w:jc w:val="both"/>
        <w:rPr>
          <w:rFonts w:ascii="Times New Roman" w:hAnsi="Times New Roman" w:cs="Times New Roman"/>
          <w:b/>
          <w:bCs/>
          <w:noProof/>
        </w:rPr>
      </w:pPr>
      <w:r>
        <w:rPr>
          <w:rFonts w:ascii="Times New Roman" w:hAnsi="Times New Roman"/>
          <w:b/>
          <w:noProof/>
        </w:rPr>
        <w:t>Relațiile bilaterale și cooperarea dintre UE și Hong Kong</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2025, Biroul UE din Hong Kong a organizat reuniuni periodice cu autoritățile din Hong Kong, inclusiv cu șeful executivului, în cursul cărora a discutat chestiuni de interes bilateral și și-a exprimat îngrijorarea cu privire la erodarea democrației și a drepturilor omului în Hong Kong și la punerea în aplicare a LSN. Biroul UE a fost, de asemenea, în contact frecvent cu Biroul Comisarului Ministerului Afacerilor Externe din China (OCMFA). Biroul UE a colaborat, de asemenea, cu înalți funcționari ai guvernului din Hong Kong, precum și cu principalele părți interesate de la nivel local din mediul de afaceri, cu privire la dosare relevante pentru comerț, afaceri, servicii financiare și alte aspecte legate de economie.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2025, Biroul UE a facilitat și a sprijinit vizitele în Hong Kong ale oficialilor UE. În ianuarie, Dr. Philip Lane, economist-șef și membru al Comitetului executiv al Băncii Centrale Europene, a vizitat Hong Kongul și a participat la evenimente. În iulie, Karen Braun-Munzinger, membru al Comitetului unic de rezoluție, s-a întâlnit cu reprezentanți ai sectorului, cu HKMA și cu SFC. În septembrie, dl Siegfried Ruhl, consilier de specialitate, și dna Lara Pavanello, șefă de echipă – Relații cu investitorii și gestionarea rețelei de dealeri primari – din cadrul Direcției Generale Buget a Comisiei Europene s-au întâlnit cu HKMA și cu instituțiile de servicii financiare. Funcționari din domeniul comerțului și al serviciilor financiare din cadrul Delegației UE în Republica Populară Chineză la Beijing au călătorit, de asemenea, în Hong Kong și s-au întâlnit cu părțile interesate de la nivel local. La rândul său, o serie de funcționari din Hong Kong au vizitat statele membre ale UE în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conformitate cu mandatul acordat prin Concluziile Consiliului din iulie 2020 privind Hong Kongul, Biroul UE din Hong Kong și consulatele generale ale statelor membre ale UE din Hong Kong au monitorizat în continuare procesele intentate împotriva apărătorilor democrației din Hong Kong și au participat la peste 50 de procese în calitate de observatori în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lastRenderedPageBreak/>
        <w:t>În 2025, Biroul UE a continuat să organizeze evenimente culturale pentru a promova respectarea drepturilor omului. În decembrie 2025, Biroul UE a coorganizat „Premiul anual pentru Culorile artelor umaniste”, cunoscut anterior sub denumirea de Premiul Hong Kong pentru Arte în domeniul drepturilor omului. Biroul UE a continuat, de asemenea, să coorganizeze „Festivalul anual de film documentar UE-Asia” din Hong Kong pentru a evidenția inegalitățile sociale.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În strânsă coordonare cu comunitatea ucraineană din Hong Kong, Biroul UE a organizat, la 24 februarie, o expoziție de fotografie pentru a marca cea de a treia aniversare a invadării Ucrainei de către Rusia. Pentru a crește și mai mult gradul de conștientizare în Hong Kong cu privire la războiul de agresiune în curs al Rusiei împotriva Ucrainei, Biroul UE a prezentat producții legate de acest subiect în cadrul Festivalului de film al UE din Hong Kong și al Festivalului de filme documentare UE-Asia.</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Pentru a exprima angajamentul UE față de principiile egalității și nediscriminării și sprijinul său pentru drepturile persoanelor LGBTIQ+, Biroul UE a ajutat statele membre să organizeze proiecții de film și mese rotunde pentru a reuni societatea civilă, factorii de decizie politică și corpul consular. Biroul UE a participat din nou la evenimentul anual Pride Bazaar din 2025.</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Biroul UE a menținut contacte periodice cu grupurile societății civile din Hong Kong care lucrează pe diverse teme, inclusiv drepturile deținuților și situația lucrătorilor casnici străini.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Biroul UE a organizat mai multe evenimente în cursul anului în cadrul Mecanismului UE pentru dialog politic și diplomație publică pentru Hong Kong și Macao</w:t>
      </w:r>
      <w:r>
        <w:rPr>
          <w:rFonts w:ascii="Times New Roman" w:hAnsi="Times New Roman"/>
          <w:noProof/>
        </w:rPr>
        <w:t>. Cea de a patra ediție a evenimentului „Calea verde” a fost organizată în iunie, împreună cu partenerii locali ai biroului UE. Calea verde este un eveniment emblematic menit să promoveze schimbul de idei și de soluții și politici de afaceri ale UE cu privire la cele mai bune modalități de decarbonizare a economiilor noastre. Evenimentul a reunit aproximativ 200 de participanți și a beneficiat de participarea la cel mai înalt nivel atât a guvernului (a fost inaugurat de șeful executivului John Lee și de șeful Biroului UE Harvey Rouse), cât și a industriei. Au fost formulate recomandări pentru a permite o mai mare participare a industriei UE și a standardelor UE în sprijinul agendei de mediu a Hong Kongului.</w:t>
      </w:r>
    </w:p>
    <w:p>
      <w:pPr>
        <w:spacing w:after="0" w:line="240" w:lineRule="auto"/>
        <w:jc w:val="both"/>
        <w:rPr>
          <w:rFonts w:ascii="Times New Roman" w:hAnsi="Times New Roman" w:cs="Times New Roman"/>
          <w:noProof/>
          <w:highlight w:val="yellow"/>
        </w:rPr>
      </w:pPr>
    </w:p>
    <w:p>
      <w:pPr>
        <w:spacing w:after="0" w:line="240" w:lineRule="auto"/>
        <w:jc w:val="both"/>
        <w:rPr>
          <w:rFonts w:ascii="Times New Roman" w:hAnsi="Times New Roman" w:cs="Times New Roman"/>
          <w:noProof/>
        </w:rPr>
      </w:pPr>
      <w:r>
        <w:rPr>
          <w:rFonts w:ascii="Times New Roman" w:hAnsi="Times New Roman"/>
          <w:noProof/>
        </w:rPr>
        <w:t xml:space="preserve">Potrivit sondajului anual privind întreprinderile străine realizat de Departamentul de Recensământ și Statistică din Hong Kong, în 2025, </w:t>
      </w:r>
      <w:r>
        <w:rPr>
          <w:rFonts w:ascii="Times New Roman" w:hAnsi="Times New Roman"/>
          <w:b/>
          <w:noProof/>
        </w:rPr>
        <w:t>UE a fost în continuare cea mai mare comunitate de afaceri străină din oraș, în afara celei chineze</w:t>
      </w:r>
      <w:r>
        <w:rPr>
          <w:rFonts w:ascii="Times New Roman" w:hAnsi="Times New Roman"/>
          <w:noProof/>
        </w:rPr>
        <w:t>, fiind urmată de Japonia, SUA și Regatul Unit (</w:t>
      </w:r>
      <w:r>
        <w:rPr>
          <w:rStyle w:val="FootnoteReference"/>
          <w:noProof/>
        </w:rPr>
        <w:footnoteReference w:id="89"/>
      </w:r>
      <w:r>
        <w:rPr>
          <w:rFonts w:ascii="Times New Roman" w:hAnsi="Times New Roman"/>
          <w:noProof/>
        </w:rPr>
        <w:t xml:space="preserve">). În 2025, cel puțin 1 770 de întreprinderi din UE își desfășurau activitatea în Hong Kong. Aproximativ jumătate dintre aceste întreprinderi din UE (850) aveau sediile sau birourile regionale în oraș. Întreprinderile din UE au fost prezente într-o gamă largă de sectoare, inclusiv sectoarele serviciilor financiare și de afaceri, comerțului și logisticii, vânzărilor cu amănuntul, produselor alimentare și băuturilor, construcțiilor și ingineriei și gestionării deșeurilor. Sondajul a arătat că numărul întreprinderilor din UE înregistrate a fost cu 7,9 % mai mare decât în 2024 și cu 10,4 % mai mare decât în 2019 (nivelurile anterioare pandemiei de COVID-19 și intrării în vigoare a Legii privind securitatea națională). Cu toate acestea, sondajul arată, de asemenea, că numărul întreprinderilor din UE cu sediul regional și biroul regional în Hong Kong rămâne sub nivelurile din 2019 (-6,2 % în 2025 față de 2019) și că </w:t>
      </w:r>
      <w:r>
        <w:rPr>
          <w:rFonts w:ascii="Times New Roman" w:hAnsi="Times New Roman"/>
          <w:noProof/>
        </w:rPr>
        <w:lastRenderedPageBreak/>
        <w:t>întreprinderile din UE sunt, în medie, mai mici ca dimensiune (cu 37,3 membri ai personalului în medie per întreprindere în 2025, o scădere de 12,6 % față de 2024 și o scădere de 24,3 % față de 2019).</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2025, </w:t>
      </w:r>
      <w:r>
        <w:rPr>
          <w:rFonts w:ascii="Times New Roman" w:hAnsi="Times New Roman"/>
          <w:b/>
          <w:noProof/>
        </w:rPr>
        <w:t>comerțul bilateral cu mărfuri dintre UE și Hong Kong s-a ridicat la 27,7 miliarde EUR</w:t>
      </w:r>
      <w:r>
        <w:rPr>
          <w:rFonts w:ascii="Times New Roman" w:hAnsi="Times New Roman"/>
          <w:noProof/>
        </w:rPr>
        <w:t xml:space="preserve">, ceea ce reprezintă o scădere de 1,8 % față de 2024. Exporturile de mărfuri ale UE către Hong Kong s-au ridicat la 23,3 miliarde EUR, în vreme ce importurile din Hong Kong către UE au totalizat 4,4 miliarde EUR, conducând la un </w:t>
      </w:r>
      <w:r>
        <w:rPr>
          <w:rFonts w:ascii="Times New Roman" w:hAnsi="Times New Roman"/>
          <w:b/>
          <w:noProof/>
        </w:rPr>
        <w:t>excedent de 18,9 miliarde EUR</w:t>
      </w:r>
      <w:r>
        <w:rPr>
          <w:rFonts w:ascii="Times New Roman" w:hAnsi="Times New Roman"/>
          <w:noProof/>
        </w:rPr>
        <w:t xml:space="preserve"> în favoarea UE. </w:t>
      </w:r>
      <w:r>
        <w:rPr>
          <w:rFonts w:ascii="Times New Roman" w:hAnsi="Times New Roman"/>
          <w:b/>
          <w:noProof/>
        </w:rPr>
        <w:t>UE a fost al șaselea partener comercial ca importanță al Hong Kongului în ceea ce privește comerțul cu mărfuri</w:t>
      </w:r>
      <w:r>
        <w:rPr>
          <w:rFonts w:ascii="Times New Roman" w:hAnsi="Times New Roman"/>
          <w:noProof/>
        </w:rPr>
        <w:t xml:space="preserve"> în 2025, după China continentală, Taiwan, SUA, Vietnam și Singapore. Hong Kong a rămas o platformă importantă pentru comerțul dintre China continentală și UE.</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color w:val="000000"/>
        </w:rPr>
        <w:t>În 2025, comerțul Hong Kong-UE s-a concentrat pe câteva categorii de produse, în special produse electronice, utilaje industriale, produse de lux și instrumente de precizie. Exporturile Hong Kongului către UE s-au axat în principal pe mașini electrice și echipamente mecanice, care au înregistrat o creștere semnificativă de 17 % și, respectiv, 62 %. Instrumentele optice și medicale au înregistrat, de asemenea, o creștere cu 17 %. În schimb, exporturile de bijuterii și metale prețioase au înregistrat o scădere semnificativă de 21 %, în vreme ce operele de artă și antichitățile au crescut cu 169 </w:t>
      </w:r>
      <w:r>
        <w:rPr>
          <w:rFonts w:ascii="Times New Roman" w:hAnsi="Times New Roman"/>
          <w:noProof/>
        </w:rPr>
        <w:t>%</w:t>
      </w:r>
      <w:r>
        <w:rPr>
          <w:rFonts w:ascii="Times New Roman" w:hAnsi="Times New Roman"/>
          <w:noProof/>
          <w:color w:val="000000"/>
        </w:rPr>
        <w:t>. În ceea ce privește importurile, Hong Kongul a continuat să se bazeze pe UE pentru produse fabricate de înaltă calitate și produse de lux. Importurile de mașini electrice și de produse de bijuterie au înregistrat o creștere modestă, cu 1 % și 3 %, în timp ce importurile de mașini, articole din piele și instrumente optice și medicale au scăzut cu un procent cuprins între 2 % și 5 %.</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UE a fost </w:t>
      </w:r>
      <w:r>
        <w:rPr>
          <w:rFonts w:ascii="Times New Roman" w:hAnsi="Times New Roman"/>
          <w:b/>
          <w:noProof/>
        </w:rPr>
        <w:t>al patrulea</w:t>
      </w:r>
      <w:r>
        <w:rPr>
          <w:rFonts w:ascii="Times New Roman" w:hAnsi="Times New Roman"/>
          <w:noProof/>
        </w:rPr>
        <w:t xml:space="preserve"> partener comercial ca importanță al Hong Kongului în ceea ce privește serviciile în 2023 (potrivit Departamentului de Recensământ și Statistică din Hong Kong, anul 2023 a fost cel mai recent an complet pentru care datele din Hong Kong erau disponibile la momentul redactării prezentului document). În 2024, Hong Kongul a fost cel de </w:t>
      </w:r>
      <w:r>
        <w:rPr>
          <w:rFonts w:ascii="Times New Roman" w:hAnsi="Times New Roman"/>
          <w:b/>
          <w:noProof/>
        </w:rPr>
        <w:t>al zecelea</w:t>
      </w:r>
      <w:r>
        <w:rPr>
          <w:rFonts w:ascii="Times New Roman" w:hAnsi="Times New Roman"/>
          <w:noProof/>
        </w:rPr>
        <w:t xml:space="preserve"> partener al UE ca importanță în comerțul cu servicii (Eurostat). Potrivit datelor Eurostat, comerțul cu servicii al UE cu Hong Kongul s-a ridicat la 48,6 miliarde EUR în 2024, ceea ce reprezintă o creștere de 25,5 % de la an la an. Exporturile de servicii ale UE către Hong Kong în 2024 s-au ridicat la 33,7 miliarde EUR, în vreme ce importurile din Hong Kong au totalizat 15,0 miliarde EUR, conducând la un excedent de 18,7 miliarde EUR în favoarea UE. Principalele servicii tranzacționate sunt serviciile de transporturi, telecomunicații, serviciile informatice și de informare, serviciile financiare și alte servicii pentru întreprinderi.</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b/>
          <w:noProof/>
        </w:rPr>
        <w:t>UE a fost al șaselea investitor ca importanță în Hong Kong și a șasea destinație ca importanță pentru investițiile străine directe ale Hong Kongului la nivel mondial în 2024</w:t>
      </w:r>
      <w:r>
        <w:rPr>
          <w:rFonts w:ascii="Times New Roman" w:hAnsi="Times New Roman"/>
          <w:noProof/>
        </w:rPr>
        <w:t xml:space="preserve"> (statisticile din Hong Kong, 2024 a fost ultimul an pentru care erau disponibile date la momentul redactării prezentului document). Potrivit Eurostat, </w:t>
      </w:r>
      <w:r>
        <w:rPr>
          <w:rFonts w:ascii="Times New Roman" w:hAnsi="Times New Roman"/>
          <w:b/>
          <w:noProof/>
        </w:rPr>
        <w:t xml:space="preserve">Hong Kongul a fost a noua cea mai mare sursă de stocuri de ISD în UE în 2024 </w:t>
      </w:r>
      <w:r>
        <w:rPr>
          <w:rFonts w:ascii="Times New Roman" w:hAnsi="Times New Roman"/>
          <w:noProof/>
        </w:rPr>
        <w:t>(cu excepția centrelor offshore) în valoare de 114,3 miliarde EUR (o scădere de 28,6 % de la an la an), și cea de a 14-a cea mai mare destinație a stocului de ISD ale UE, situându-se la 93,0 miliarde EUR (+12,2 % de la an la an).</w:t>
      </w:r>
    </w:p>
    <w:p>
      <w:pPr>
        <w:spacing w:after="0" w:line="240" w:lineRule="auto"/>
        <w:jc w:val="both"/>
        <w:rPr>
          <w:rFonts w:ascii="Times New Roman"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 xml:space="preserve">În decembrie 2024, Consiliul UE a modificat Decizia 2014/145/PESC privind măsuri restrictive în raport cu acțiunile care subminează sau amenință integritatea teritorială, suveranitatea și independența Ucrainei și Decizia 2014/512/PESC privind măsuri restrictive având în vedere acțiunile Rusiei de destabilizare a situației în Ucraina. Unul dintre rezultatele acestei modificări a fost adăugarea entităților din Hong Kong pe lista prevăzută în anexa la </w:t>
      </w:r>
      <w:r>
        <w:rPr>
          <w:rFonts w:ascii="Times New Roman" w:hAnsi="Times New Roman"/>
          <w:noProof/>
        </w:rPr>
        <w:lastRenderedPageBreak/>
        <w:t>Decizia 2014/145/PESC și în anexele la Decizia 2014/512/PESC. În plus, UE a inclus pe listă nave deținute sau administrate în Hong Kong ca parte a flotei-fantomă a Rusiei.</w:t>
      </w:r>
    </w:p>
    <w:p>
      <w:pPr>
        <w:spacing w:after="0" w:line="240" w:lineRule="auto"/>
        <w:jc w:val="both"/>
        <w:rPr>
          <w:rFonts w:ascii="Times New Roman" w:hAnsi="Times New Roman" w:cs="Times New Roman"/>
          <w:noProof/>
        </w:rPr>
      </w:pPr>
    </w:p>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PalatinoLTStd-Roman">
    <w:altName w:val="Palatino Linotyp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22"/>
        <w:szCs w:val="22"/>
      </w:rPr>
      <w:id w:val="1251242902"/>
      <w:docPartObj>
        <w:docPartGallery w:val="Page Numbers (Bottom of Page)"/>
        <w:docPartUnique/>
      </w:docPartObj>
    </w:sdtPr>
    <w:sdtContent>
      <w:p>
        <w:pPr>
          <w:pStyle w:val="Footer"/>
          <w:jc w:val="center"/>
          <w:rPr>
            <w:rFonts w:ascii="Calibri" w:hAnsi="Calibri" w:cs="Calibri"/>
            <w:sz w:val="22"/>
            <w:szCs w:val="22"/>
          </w:rPr>
        </w:pPr>
        <w:r>
          <w:rPr>
            <w:rFonts w:ascii="Calibri" w:hAnsi="Calibri" w:cs="Calibri"/>
            <w:sz w:val="22"/>
          </w:rPr>
          <w:fldChar w:fldCharType="begin"/>
        </w:r>
        <w:r>
          <w:rPr>
            <w:rFonts w:ascii="Calibri" w:hAnsi="Calibri" w:cs="Calibri"/>
            <w:sz w:val="22"/>
          </w:rPr>
          <w:instrText>PAGE   \* MERGEFORMAT</w:instrText>
        </w:r>
        <w:r>
          <w:rPr>
            <w:rFonts w:ascii="Calibri" w:hAnsi="Calibri" w:cs="Calibri"/>
            <w:sz w:val="22"/>
          </w:rPr>
          <w:fldChar w:fldCharType="separate"/>
        </w:r>
        <w:r>
          <w:rPr>
            <w:rFonts w:ascii="Calibri" w:hAnsi="Calibri" w:cs="Calibri"/>
            <w:sz w:val="22"/>
          </w:rPr>
          <w:t>2</w:t>
        </w:r>
        <w:r>
          <w:rPr>
            <w:rFonts w:ascii="Calibri" w:hAnsi="Calibri" w:cs="Calibri"/>
            <w:sz w:val="22"/>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Declarația purtătorului de cuvânt la împlinirea a cinci ani de la intrarea în vigoare a Legii privind securitatea națională, 30 iunie 2025, disponibilă la adresa: </w:t>
      </w:r>
      <w:hyperlink r:id="rId1" w:history="1">
        <w:r>
          <w:rPr>
            <w:rStyle w:val="Hyperlink"/>
            <w:rFonts w:ascii="Times New Roman" w:hAnsi="Times New Roman"/>
            <w:sz w:val="16"/>
          </w:rPr>
          <w:t>https://www.eeas.europa.eu/eeas/hong-kong-statement-spokesperson-fifth-anniversary-national-security-law_en</w:t>
        </w:r>
      </w:hyperlink>
      <w:r>
        <w:rPr>
          <w:rFonts w:ascii="Times New Roman" w:hAnsi="Times New Roman"/>
          <w:sz w:val="16"/>
        </w:rPr>
        <w:t>.</w:t>
      </w:r>
    </w:p>
  </w:footnote>
  <w:footnote w:id="2">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Declarația purtătorului de cuvânt privind mandatele de arestare extrateritoriale, 31 iulie 2025, disponibilă la adresa: </w:t>
      </w:r>
      <w:hyperlink r:id="rId2" w:history="1">
        <w:r>
          <w:rPr>
            <w:rStyle w:val="Hyperlink"/>
            <w:rFonts w:ascii="Times New Roman" w:hAnsi="Times New Roman"/>
            <w:sz w:val="16"/>
          </w:rPr>
          <w:t>https://www.eeas.europa.eu/eeas/hong-kong-statement-spokesperson-extraterritorial-arrest-warrants_en</w:t>
        </w:r>
      </w:hyperlink>
      <w:r>
        <w:rPr>
          <w:rFonts w:ascii="Times New Roman" w:hAnsi="Times New Roman"/>
          <w:sz w:val="16"/>
        </w:rPr>
        <w:t>.</w:t>
      </w:r>
    </w:p>
  </w:footnote>
  <w:footnote w:id="3">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Declarația purtătorului de cuvânt cu privire la verdictul din cauza „Jimmy Lai”, 15 decembrie 2025, disponibilă la adresa: https://www.eeas.europa.eu/eeas/hong-kong-statement-spokesperson-verdict-jimmy-lai-case-15-december-2025_en.</w:t>
      </w:r>
    </w:p>
  </w:footnote>
  <w:footnote w:id="4">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Postarea purtătorului de cuvânt al UE privind restrângerea în continuare a spațiului destinat societății civile, 22 februarie 2025, disponibilă la adresa: </w:t>
      </w:r>
      <w:hyperlink r:id="rId3" w:history="1">
        <w:r>
          <w:rPr>
            <w:rStyle w:val="Hyperlink"/>
            <w:rFonts w:ascii="Times New Roman" w:hAnsi="Times New Roman"/>
            <w:sz w:val="16"/>
          </w:rPr>
          <w:t>https://x.com/ExtSpoxEU/status/1893002738272772217</w:t>
        </w:r>
      </w:hyperlink>
      <w:r>
        <w:rPr>
          <w:rFonts w:ascii="Times New Roman" w:hAnsi="Times New Roman"/>
          <w:sz w:val="16"/>
        </w:rPr>
        <w:t>.</w:t>
      </w:r>
    </w:p>
  </w:footnote>
  <w:footnote w:id="5">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Postarea purtătorului de cuvânt al UE cu privire la cea de a 36-a aniversare a evenimentelor din Piața Tiananmen, 4 iunie 2025, disponibilă la adresa: </w:t>
      </w:r>
      <w:hyperlink r:id="rId4" w:history="1">
        <w:r>
          <w:rPr>
            <w:rStyle w:val="Hyperlink"/>
            <w:rFonts w:ascii="Times New Roman" w:hAnsi="Times New Roman"/>
            <w:sz w:val="16"/>
          </w:rPr>
          <w:t>https://x.com/ExtSpoxEU/status/1930307246191239378</w:t>
        </w:r>
      </w:hyperlink>
      <w:r>
        <w:rPr>
          <w:rFonts w:ascii="Times New Roman" w:hAnsi="Times New Roman"/>
          <w:sz w:val="16"/>
        </w:rPr>
        <w:t>.</w:t>
      </w:r>
    </w:p>
  </w:footnote>
  <w:footnote w:id="6">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Postarea purtătorului de cuvânt al UE privind tragedia provocată de incendiul din Tai Po, 29 noiembrie 2025, disponibilă la adresa: </w:t>
      </w:r>
      <w:hyperlink r:id="rId5" w:history="1">
        <w:r>
          <w:rPr>
            <w:rStyle w:val="Hyperlink"/>
            <w:rFonts w:ascii="Times New Roman" w:hAnsi="Times New Roman"/>
            <w:sz w:val="16"/>
          </w:rPr>
          <w:t>https://x.com/ExtSpoxEU/status/1994669852435644471?s=20</w:t>
        </w:r>
      </w:hyperlink>
      <w:r>
        <w:rPr>
          <w:rFonts w:ascii="Times New Roman" w:hAnsi="Times New Roman"/>
          <w:sz w:val="16"/>
        </w:rPr>
        <w:t>.</w:t>
      </w:r>
    </w:p>
  </w:footnote>
  <w:footnote w:id="7">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Postarea privind reafirmarea angajamentului UE față de drepturile persoanelor LGBTIQ+, 11 noiembrie 2025, disponibilă la adresa:</w:t>
      </w:r>
    </w:p>
    <w:p>
      <w:pPr>
        <w:pStyle w:val="FootnoteText"/>
        <w:rPr>
          <w:rFonts w:ascii="Times New Roman" w:hAnsi="Times New Roman" w:cs="Times New Roman"/>
          <w:sz w:val="16"/>
          <w:szCs w:val="16"/>
        </w:rPr>
      </w:pPr>
      <w:hyperlink r:id="rId6" w:history="1">
        <w:r>
          <w:rPr>
            <w:rStyle w:val="Hyperlink"/>
            <w:rFonts w:ascii="Times New Roman" w:hAnsi="Times New Roman"/>
            <w:sz w:val="16"/>
          </w:rPr>
          <w:t>https://www.facebook.com/share/p/1D3SVRQM7a/</w:t>
        </w:r>
      </w:hyperlink>
      <w:r>
        <w:t>.</w:t>
      </w:r>
    </w:p>
  </w:footnote>
  <w:footnote w:id="8">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Declarația mecanismului de răspuns rapid (RRM) al G7 privind mandatele de arestare emise de Hong Kong, 8 august 2025, disponibilă la adresa: </w:t>
      </w:r>
      <w:hyperlink r:id="rId7" w:history="1">
        <w:r>
          <w:rPr>
            <w:rStyle w:val="Hyperlink"/>
            <w:rFonts w:ascii="Times New Roman" w:hAnsi="Times New Roman"/>
            <w:sz w:val="16"/>
          </w:rPr>
          <w:t>https://www.canada.ca/en/global-affairs/news/2025/08/g7-rapid-response-mechanism-rrm-statement-on-hong-kong-arrest-warrants.html?fbclid=IwY2xjawOoqMBleHRuA2FlbQIxMABicmlkETF4NkJOdko2N0VMM0I1UFoyc3J0YwZhcHBfaWQQMjIyMDM5MTc4ODIwMDg5MgABHvQGci1v3q9YANbN4Ys05wBMfLgNRzBXCkR2TqrsQvdo5VOmPxMQAZvIvPdJ_aem_UvVyQSgAGfU8V0bUbZ3KfQ</w:t>
        </w:r>
      </w:hyperlink>
      <w:r>
        <w:rPr>
          <w:rFonts w:ascii="Times New Roman" w:hAnsi="Times New Roman"/>
          <w:sz w:val="16"/>
        </w:rPr>
        <w:t>.</w:t>
      </w:r>
    </w:p>
  </w:footnote>
  <w:footnote w:id="9">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Declarația miniștrilor de externe ai G7 privind verdictul pronunțat în cauza „Jimmy Lai” în Hong Kong, 17 decembrie 2025, disponibilă la adresa: </w:t>
      </w:r>
      <w:hyperlink r:id="rId8" w:history="1">
        <w:r>
          <w:rPr>
            <w:rStyle w:val="Hyperlink"/>
            <w:rFonts w:ascii="Times New Roman" w:hAnsi="Times New Roman"/>
            <w:sz w:val="16"/>
          </w:rPr>
          <w:t>https://g7.canada.ca/en/news-and-media/news/g7-foreign-ministers-statement-on-the-jimmy-lai-verdict-in-hong-kong/</w:t>
        </w:r>
      </w:hyperlink>
      <w:r>
        <w:rPr>
          <w:rFonts w:ascii="Times New Roman" w:hAnsi="Times New Roman"/>
          <w:sz w:val="16"/>
        </w:rPr>
        <w:t>.</w:t>
      </w:r>
    </w:p>
  </w:footnote>
  <w:footnote w:id="10">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Declarația UE – Comisia a III-a a Adunării Generale a ONU: Dezbatere generală, 3 octombrie 2025, disponibilă la adresa: </w:t>
      </w:r>
      <w:hyperlink r:id="rId9" w:history="1">
        <w:r>
          <w:rPr>
            <w:rStyle w:val="Hyperlink"/>
            <w:rFonts w:ascii="Times New Roman" w:hAnsi="Times New Roman"/>
            <w:sz w:val="16"/>
          </w:rPr>
          <w:t>https://www.eeas.europa.eu/delegations/un-new-york/eu-statement-%E2%80%93-un-general-assembly-3rd-committee-general-debate_en?s=63</w:t>
        </w:r>
      </w:hyperlink>
      <w:r>
        <w:t>.</w:t>
      </w:r>
    </w:p>
  </w:footnote>
  <w:footnote w:id="11">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Declarația UE – HRC60 – Punctul 4, Dezbatere generală privind situațiile din domeniul drepturilor omului care necesită atenția Consiliului, 23 septembrie 2025, disponibilă la adresa: </w:t>
      </w:r>
      <w:hyperlink r:id="rId10" w:history="1">
        <w:r>
          <w:rPr>
            <w:rStyle w:val="Hyperlink"/>
            <w:rFonts w:ascii="Times New Roman" w:hAnsi="Times New Roman"/>
            <w:sz w:val="16"/>
          </w:rPr>
          <w:t>https://www.eeas.europa.eu/delegations/un-geneva/eu-statement-hrc60-item-4-general-debate-human-rights-situations-require-council%E2%80%99s-attention_en</w:t>
        </w:r>
      </w:hyperlink>
      <w:r>
        <w:t>.</w:t>
      </w:r>
    </w:p>
  </w:footnote>
  <w:footnote w:id="12">
    <w:p>
      <w:pPr>
        <w:pStyle w:val="FootnoteText"/>
        <w:jc w:val="both"/>
        <w:rPr>
          <w:rFonts w:ascii="Times New Roman" w:hAnsi="Times New Roman" w:cs="Times New Roman"/>
          <w:sz w:val="16"/>
          <w:szCs w:val="16"/>
        </w:rPr>
      </w:pPr>
      <w:r>
        <w:rPr>
          <w:rStyle w:val="FootnoteReference"/>
          <w:sz w:val="16"/>
          <w:szCs w:val="16"/>
        </w:rPr>
        <w:footnoteRef/>
      </w:r>
      <w:r>
        <w:rPr>
          <w:rFonts w:ascii="Times New Roman" w:hAnsi="Times New Roman"/>
          <w:sz w:val="16"/>
        </w:rPr>
        <w:t> Într-o cauză separată, Curtea de Apel a hotărât, la 24 iunie, că Departamentul pentru servicii corecționale nu era obligat să ia în considerare acordarea liberării anticipate lui Adam Ma – un protestatar condamnat pentru secesiune – după ce acesta fusese condamnat la pedeapsa cu închisoarea. Hotărârea a evidențiat faptul că orice reducere a pedepsei este discreționară și că refuzul liberării anticipate a unui deținut nu va încălca dreptul acestuia la libertate.</w:t>
      </w:r>
    </w:p>
  </w:footnote>
  <w:footnote w:id="13">
    <w:p>
      <w:pPr>
        <w:pStyle w:val="FootnoteText"/>
        <w:rPr>
          <w:sz w:val="16"/>
          <w:szCs w:val="16"/>
        </w:rPr>
      </w:pPr>
      <w:r>
        <w:rPr>
          <w:rStyle w:val="FootnoteReference"/>
          <w:rFonts w:hint="eastAsia"/>
          <w:sz w:val="16"/>
          <w:szCs w:val="16"/>
        </w:rPr>
        <w:footnoteRef/>
      </w:r>
      <w:r>
        <w:rPr>
          <w:sz w:val="16"/>
        </w:rPr>
        <w:t xml:space="preserve"> </w:t>
      </w:r>
      <w:hyperlink r:id="rId11" w:history="1">
        <w:r>
          <w:rPr>
            <w:rStyle w:val="Hyperlink"/>
            <w:sz w:val="16"/>
          </w:rPr>
          <w:t>https://www.eeas.europa.eu/delegations/hong-kong/tai-po-fire-eu-office-extends-condolences-and-solidarity_en?s=239</w:t>
        </w:r>
      </w:hyperlink>
      <w:r>
        <w:t>.</w:t>
      </w:r>
    </w:p>
  </w:footnote>
  <w:footnote w:id="14">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w:t>
      </w:r>
      <w:hyperlink r:id="rId12" w:history="1">
        <w:r>
          <w:rPr>
            <w:rStyle w:val="Hyperlink"/>
            <w:rFonts w:ascii="Times New Roman" w:hAnsi="Times New Roman"/>
            <w:sz w:val="16"/>
          </w:rPr>
          <w:t>https://www.ohchr.org/en/documents/thematic-reports/ahrc6062-cooperation-united-nations-its-representatives-and-mechanisms</w:t>
        </w:r>
      </w:hyperlink>
      <w:r>
        <w:t>.</w:t>
      </w:r>
    </w:p>
  </w:footnote>
  <w:footnote w:id="15">
    <w:p>
      <w:pPr>
        <w:pStyle w:val="FootnoteText"/>
      </w:pPr>
      <w:r>
        <w:rPr>
          <w:rStyle w:val="FootnoteReference"/>
          <w:sz w:val="16"/>
          <w:szCs w:val="16"/>
        </w:rPr>
        <w:footnoteRef/>
      </w:r>
      <w:r>
        <w:rPr>
          <w:rFonts w:ascii="Times New Roman" w:hAnsi="Times New Roman"/>
          <w:sz w:val="16"/>
        </w:rPr>
        <w:t xml:space="preserve"> </w:t>
      </w:r>
      <w:hyperlink r:id="rId13" w:history="1">
        <w:r>
          <w:rPr>
            <w:rStyle w:val="Hyperlink"/>
            <w:rFonts w:ascii="Times New Roman" w:hAnsi="Times New Roman"/>
            <w:sz w:val="16"/>
          </w:rPr>
          <w:t>https://spcommreports.ohchr.org/TMResultsBase/DownLoadPublicCommunicationFile?gId=30342</w:t>
        </w:r>
      </w:hyperlink>
      <w:r>
        <w:t>.</w:t>
      </w:r>
    </w:p>
  </w:footnote>
  <w:footnote w:id="16">
    <w:p>
      <w:pPr>
        <w:pStyle w:val="FootnoteText"/>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4" w:history="1">
        <w:r>
          <w:rPr>
            <w:rStyle w:val="Hyperlink"/>
            <w:rFonts w:ascii="Times New Roman" w:hAnsi="Times New Roman"/>
            <w:sz w:val="16"/>
          </w:rPr>
          <w:t>https://news.un.org/en/story/2025/12/1166548</w:t>
        </w:r>
      </w:hyperlink>
      <w:r>
        <w:t>.</w:t>
      </w:r>
    </w:p>
  </w:footnote>
  <w:footnote w:id="1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Site-ul UNCTAD:</w:t>
      </w:r>
    </w:p>
    <w:p>
      <w:pPr>
        <w:pStyle w:val="FootnoteText"/>
        <w:rPr>
          <w:rFonts w:ascii="Times New Roman" w:hAnsi="Times New Roman" w:cs="Times New Roman"/>
          <w:sz w:val="16"/>
          <w:szCs w:val="16"/>
        </w:rPr>
      </w:pPr>
      <w:hyperlink r:id="rId15" w:history="1">
        <w:r>
          <w:rPr>
            <w:rStyle w:val="Hyperlink"/>
            <w:rFonts w:ascii="Times New Roman" w:hAnsi="Times New Roman"/>
            <w:sz w:val="16"/>
          </w:rPr>
          <w:t>https://unctad.org/topic/investment/world-investment-report</w:t>
        </w:r>
      </w:hyperlink>
      <w:r>
        <w:t>.</w:t>
      </w:r>
    </w:p>
  </w:footnote>
  <w:footnote w:id="1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Departamentul de Recensământ și Statistică al RAS Hong Kong</w:t>
      </w:r>
      <w:r>
        <w:t>.</w:t>
      </w:r>
    </w:p>
    <w:p>
      <w:pPr>
        <w:pStyle w:val="FootnoteText"/>
        <w:rPr>
          <w:rFonts w:ascii="Times New Roman" w:hAnsi="Times New Roman" w:cs="Times New Roman"/>
          <w:sz w:val="16"/>
          <w:szCs w:val="16"/>
        </w:rPr>
      </w:pPr>
      <w:hyperlink r:id="rId16" w:history="1">
        <w:r>
          <w:rPr>
            <w:rStyle w:val="Hyperlink"/>
            <w:rFonts w:ascii="Times New Roman" w:hAnsi="Times New Roman"/>
            <w:sz w:val="16"/>
          </w:rPr>
          <w:t>https://www.censtatd.gov.hk/en/web_table.html?id=410-51041</w:t>
        </w:r>
      </w:hyperlink>
      <w:r>
        <w:t>.</w:t>
      </w:r>
    </w:p>
  </w:footnote>
  <w:footnote w:id="1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17" w:history="1">
        <w:r>
          <w:rPr>
            <w:rStyle w:val="Hyperlink"/>
            <w:rFonts w:ascii="Times New Roman" w:hAnsi="Times New Roman"/>
            <w:sz w:val="16"/>
          </w:rPr>
          <w:t>https://www.censtatd.gov.hk/en/press_release_detail.html?id=5724</w:t>
        </w:r>
      </w:hyperlink>
      <w:r>
        <w:rPr>
          <w:rFonts w:ascii="Times New Roman" w:hAnsi="Times New Roman"/>
          <w:sz w:val="16"/>
        </w:rPr>
        <w:t>.</w:t>
      </w:r>
    </w:p>
  </w:footnote>
  <w:footnote w:id="2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Conversie în EUR la valoarea de 1 EUR = 9,01 HKD (la sfârșitul lunii decembrie 2025)</w:t>
      </w:r>
      <w:r>
        <w:t>.</w:t>
      </w:r>
    </w:p>
    <w:p>
      <w:pPr>
        <w:pStyle w:val="FootnoteText"/>
        <w:rPr>
          <w:rFonts w:ascii="Times New Roman" w:hAnsi="Times New Roman" w:cs="Times New Roman"/>
          <w:sz w:val="18"/>
          <w:szCs w:val="18"/>
        </w:rPr>
      </w:pPr>
      <w:hyperlink r:id="rId18" w:history="1">
        <w:r>
          <w:rPr>
            <w:rStyle w:val="Hyperlink"/>
            <w:rFonts w:ascii="Times New Roman" w:hAnsi="Times New Roman"/>
            <w:sz w:val="16"/>
          </w:rPr>
          <w:t>https://commission.europa.eu/funding-tenders/procedures-guidelines-tenders/information-contractors-and-beneficiaries/exchange-rate-inforeuro_ro</w:t>
        </w:r>
      </w:hyperlink>
      <w:r>
        <w:t>.</w:t>
      </w:r>
    </w:p>
  </w:footnote>
  <w:footnote w:id="2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Sondaj privind climatul de afaceri pentru întreprinderile suedeze din RAS Hong Kong în 2025, realizat de Business Sweden, Camera de Comerț a Suediei și Consulatul General al Suediei</w:t>
      </w:r>
      <w:r>
        <w:t>.</w:t>
      </w:r>
    </w:p>
    <w:p>
      <w:pPr>
        <w:pStyle w:val="FootnoteText"/>
        <w:rPr>
          <w:rFonts w:ascii="Times New Roman" w:hAnsi="Times New Roman" w:cs="Times New Roman"/>
        </w:rPr>
      </w:pPr>
      <w:hyperlink r:id="rId19" w:history="1">
        <w:r>
          <w:rPr>
            <w:rStyle w:val="Hyperlink"/>
            <w:rFonts w:ascii="Times New Roman" w:hAnsi="Times New Roman"/>
            <w:sz w:val="16"/>
          </w:rPr>
          <w:t>https://www.business-sweden.com/insights/reports/business-climate-surveys/hong-kong-sar-business-climate-survey-2025/</w:t>
        </w:r>
      </w:hyperlink>
      <w:r>
        <w:t>.</w:t>
      </w:r>
    </w:p>
  </w:footnote>
  <w:footnote w:id="2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Sondaj din 2025 privind încrederea în mediul de afaceri, realizat de Delegația pentru Industrie și Comerț din Germania și de Camera de Comerț germană din Hong Kong</w:t>
      </w:r>
      <w:r>
        <w:t>.</w:t>
      </w:r>
    </w:p>
    <w:p>
      <w:pPr>
        <w:pStyle w:val="FootnoteText"/>
        <w:rPr>
          <w:rFonts w:ascii="Times New Roman" w:hAnsi="Times New Roman" w:cs="Times New Roman"/>
          <w:sz w:val="18"/>
          <w:szCs w:val="18"/>
        </w:rPr>
      </w:pPr>
      <w:hyperlink r:id="rId20" w:history="1">
        <w:r>
          <w:rPr>
            <w:rStyle w:val="Hyperlink"/>
            <w:rFonts w:ascii="Times New Roman" w:hAnsi="Times New Roman"/>
            <w:sz w:val="16"/>
          </w:rPr>
          <w:t>https://hongkong.ahk.de/en/news/german-business-in-hong-kong-2025</w:t>
        </w:r>
      </w:hyperlink>
      <w:r>
        <w:t>.</w:t>
      </w:r>
    </w:p>
  </w:footnote>
  <w:footnote w:id="2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Anunț comun al CK Hutchison Holdings Limited și BlackRock Inc., Global Infrastructure Partners și Terminal Investment Limited</w:t>
      </w:r>
      <w:r>
        <w:t>.</w:t>
      </w:r>
    </w:p>
    <w:p>
      <w:pPr>
        <w:pStyle w:val="FootnoteText"/>
        <w:rPr>
          <w:rFonts w:ascii="Times New Roman" w:hAnsi="Times New Roman" w:cs="Times New Roman"/>
          <w:sz w:val="16"/>
          <w:szCs w:val="16"/>
        </w:rPr>
      </w:pPr>
      <w:r>
        <w:rPr>
          <w:rFonts w:ascii="Times New Roman" w:hAnsi="Times New Roman"/>
          <w:sz w:val="16"/>
        </w:rPr>
        <w:t xml:space="preserve"> </w:t>
      </w:r>
      <w:hyperlink r:id="rId21" w:history="1">
        <w:r>
          <w:rPr>
            <w:rStyle w:val="Hyperlink"/>
            <w:rFonts w:ascii="Times New Roman" w:hAnsi="Times New Roman"/>
            <w:sz w:val="16"/>
          </w:rPr>
          <w:t>https://www.ckh.com.hk/en/media/press_each.php?id=3431</w:t>
        </w:r>
      </w:hyperlink>
      <w:r>
        <w:rPr>
          <w:rFonts w:ascii="Times New Roman" w:hAnsi="Times New Roman"/>
          <w:sz w:val="16"/>
        </w:rPr>
        <w:t>.</w:t>
      </w:r>
    </w:p>
  </w:footnote>
  <w:footnote w:id="2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Anunț al CK Hutchison Holdings Limited</w:t>
      </w:r>
      <w:r>
        <w:t>.</w:t>
      </w:r>
    </w:p>
    <w:p>
      <w:pPr>
        <w:pStyle w:val="FootnoteText"/>
        <w:rPr>
          <w:rFonts w:ascii="Times New Roman" w:hAnsi="Times New Roman" w:cs="Times New Roman"/>
          <w:sz w:val="16"/>
          <w:szCs w:val="16"/>
        </w:rPr>
      </w:pPr>
      <w:hyperlink r:id="rId22" w:history="1">
        <w:r>
          <w:rPr>
            <w:rStyle w:val="Hyperlink"/>
            <w:rFonts w:ascii="Times New Roman" w:hAnsi="Times New Roman"/>
            <w:sz w:val="16"/>
          </w:rPr>
          <w:t>https://www1.hkexnews.hk/listedco/listconews/sehk/2025/0728/2025072800045.pdf</w:t>
        </w:r>
      </w:hyperlink>
      <w:r>
        <w:t>.</w:t>
      </w:r>
    </w:p>
  </w:footnote>
  <w:footnote w:id="25">
    <w:p>
      <w:pPr>
        <w:pStyle w:val="FootnoteText"/>
        <w:rPr>
          <w:rFonts w:ascii="Times New Roman" w:hAnsi="Times New Roman" w:cs="Times New Roman"/>
          <w:sz w:val="18"/>
          <w:szCs w:val="18"/>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23" w:history="1">
        <w:r>
          <w:rPr>
            <w:rStyle w:val="Hyperlink"/>
            <w:rFonts w:ascii="Times New Roman" w:hAnsi="Times New Roman"/>
            <w:sz w:val="16"/>
          </w:rPr>
          <w:t>https://www.info.gov.hk/gia/general/202510/06/P2025100600200.htm</w:t>
        </w:r>
      </w:hyperlink>
      <w:r>
        <w:rPr>
          <w:rFonts w:ascii="Times New Roman" w:hAnsi="Times New Roman"/>
          <w:sz w:val="18"/>
        </w:rPr>
        <w:t>.</w:t>
      </w:r>
    </w:p>
  </w:footnote>
  <w:footnote w:id="2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Guvernului Regiunii Administrative Speciale Hong Kong</w:t>
      </w:r>
      <w:r>
        <w:t>.</w:t>
      </w:r>
    </w:p>
    <w:p>
      <w:pPr>
        <w:pStyle w:val="FootnoteText"/>
        <w:rPr>
          <w:rFonts w:ascii="Times New Roman" w:hAnsi="Times New Roman" w:cs="Times New Roman"/>
          <w:sz w:val="16"/>
          <w:szCs w:val="16"/>
        </w:rPr>
      </w:pPr>
      <w:hyperlink r:id="rId24" w:history="1">
        <w:r>
          <w:rPr>
            <w:rStyle w:val="Hyperlink"/>
            <w:rFonts w:ascii="Times New Roman" w:hAnsi="Times New Roman"/>
            <w:sz w:val="16"/>
          </w:rPr>
          <w:t>https://www.info.gov.hk/gia/general/202512/29/P2025122900705.htm</w:t>
        </w:r>
      </w:hyperlink>
      <w:r>
        <w:t>.</w:t>
      </w:r>
    </w:p>
  </w:footnote>
  <w:footnote w:id="2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25" w:history="1">
        <w:r>
          <w:rPr>
            <w:rStyle w:val="Hyperlink"/>
            <w:rFonts w:ascii="Times New Roman" w:hAnsi="Times New Roman"/>
            <w:sz w:val="16"/>
          </w:rPr>
          <w:t>https://www.news.gov.hk//eng/2025/12/20251229/20251229_145136_027.html</w:t>
        </w:r>
      </w:hyperlink>
      <w:r>
        <w:rPr>
          <w:rFonts w:ascii="Times New Roman" w:hAnsi="Times New Roman"/>
          <w:sz w:val="16"/>
        </w:rPr>
        <w:t>.</w:t>
      </w:r>
    </w:p>
  </w:footnote>
  <w:footnote w:id="28">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26" w:history="1">
        <w:r>
          <w:rPr>
            <w:rStyle w:val="Hyperlink"/>
            <w:rFonts w:ascii="Times New Roman" w:hAnsi="Times New Roman"/>
            <w:sz w:val="16"/>
          </w:rPr>
          <w:t>https://www.news.gov.hk/eng/2025/07/20250710/20250710_174216_088.html</w:t>
        </w:r>
      </w:hyperlink>
      <w:r>
        <w:rPr>
          <w:sz w:val="20"/>
        </w:rPr>
        <w:t>.</w:t>
      </w:r>
    </w:p>
  </w:footnote>
  <w:footnote w:id="2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w:t>
      </w:r>
      <w:r>
        <w:rPr>
          <w:rFonts w:ascii="Times New Roman" w:hAnsi="Times New Roman"/>
          <w:i/>
          <w:sz w:val="16"/>
        </w:rPr>
        <w:t>Conceptual Outline of the Development Plan for the Innovation and Technology Industry in the San Tin Technopole</w:t>
      </w:r>
      <w:r>
        <w:rPr>
          <w:rFonts w:ascii="Times New Roman" w:hAnsi="Times New Roman"/>
          <w:sz w:val="16"/>
        </w:rPr>
        <w:t xml:space="preserve"> (Prezentare conceptuală a Planului de dezvoltare a industriei de inovare și tehnologie în parcul tehnologic San Tin) </w:t>
      </w:r>
      <w:hyperlink r:id="rId27" w:history="1">
        <w:r>
          <w:rPr>
            <w:rStyle w:val="Hyperlink"/>
            <w:rFonts w:ascii="Times New Roman" w:hAnsi="Times New Roman"/>
            <w:sz w:val="16"/>
          </w:rPr>
          <w:t>https://www.info.gov.hk/gia/general/202511/20/P2025112000367.htm</w:t>
        </w:r>
      </w:hyperlink>
      <w:r>
        <w:rPr>
          <w:rFonts w:ascii="Times New Roman" w:hAnsi="Times New Roman"/>
          <w:sz w:val="16"/>
        </w:rPr>
        <w:t>.</w:t>
      </w:r>
    </w:p>
  </w:footnote>
  <w:footnote w:id="3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28" w:history="1">
        <w:r>
          <w:rPr>
            <w:rStyle w:val="Hyperlink"/>
            <w:rFonts w:ascii="Times New Roman" w:hAnsi="Times New Roman"/>
            <w:sz w:val="16"/>
          </w:rPr>
          <w:t>https://www.info.gov.hk/gia/general/202510/10/P2025100900761.htm</w:t>
        </w:r>
      </w:hyperlink>
      <w:r>
        <w:rPr>
          <w:rFonts w:ascii="Times New Roman" w:hAnsi="Times New Roman"/>
          <w:sz w:val="16"/>
        </w:rPr>
        <w:t>.</w:t>
      </w:r>
    </w:p>
  </w:footnote>
  <w:footnote w:id="31">
    <w:p>
      <w:pPr>
        <w:pStyle w:val="FootnoteText"/>
        <w:rPr>
          <w:rFonts w:ascii="Times New Roman" w:hAnsi="Times New Roman" w:cs="Times New Roman"/>
          <w:sz w:val="18"/>
          <w:szCs w:val="18"/>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29" w:history="1">
        <w:r>
          <w:rPr>
            <w:rStyle w:val="Hyperlink"/>
            <w:rFonts w:ascii="Times New Roman" w:hAnsi="Times New Roman"/>
            <w:sz w:val="16"/>
          </w:rPr>
          <w:t>https://www.news.gov.hk//eng/2025/12/20251222/20251222_195653_282.html</w:t>
        </w:r>
      </w:hyperlink>
      <w:r>
        <w:rPr>
          <w:rFonts w:ascii="Times New Roman" w:hAnsi="Times New Roman"/>
          <w:sz w:val="18"/>
        </w:rPr>
        <w:t>.</w:t>
      </w:r>
    </w:p>
  </w:footnote>
  <w:footnote w:id="3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Site-ul web al HKEX</w:t>
      </w:r>
      <w:r>
        <w:t>.</w:t>
      </w:r>
    </w:p>
    <w:p>
      <w:pPr>
        <w:pStyle w:val="FootnoteText"/>
        <w:rPr>
          <w:rFonts w:ascii="Times New Roman" w:hAnsi="Times New Roman" w:cs="Times New Roman"/>
          <w:sz w:val="16"/>
          <w:szCs w:val="16"/>
        </w:rPr>
      </w:pPr>
      <w:hyperlink r:id="rId30" w:history="1">
        <w:r>
          <w:rPr>
            <w:rStyle w:val="Hyperlink"/>
            <w:rFonts w:ascii="Times New Roman" w:hAnsi="Times New Roman"/>
            <w:sz w:val="16"/>
          </w:rPr>
          <w:t>https://www.hkex.com.hk/News/News-Release/2025/251222news?sc_lang=en</w:t>
        </w:r>
      </w:hyperlink>
      <w:r>
        <w:t>.</w:t>
      </w:r>
    </w:p>
  </w:footnote>
  <w:footnote w:id="3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31" w:history="1">
        <w:r>
          <w:rPr>
            <w:rStyle w:val="Hyperlink"/>
            <w:rFonts w:ascii="Times New Roman" w:hAnsi="Times New Roman"/>
            <w:sz w:val="16"/>
          </w:rPr>
          <w:t>https://www.info.gov.hk/gia/general/202509/22/P2025092200492.htm</w:t>
        </w:r>
      </w:hyperlink>
      <w:r>
        <w:rPr>
          <w:rFonts w:ascii="Times New Roman" w:hAnsi="Times New Roman"/>
          <w:sz w:val="16"/>
        </w:rPr>
        <w:t>.</w:t>
      </w:r>
    </w:p>
  </w:footnote>
  <w:footnote w:id="3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32" w:history="1">
        <w:r>
          <w:rPr>
            <w:rStyle w:val="Hyperlink"/>
            <w:rFonts w:ascii="Times New Roman" w:hAnsi="Times New Roman"/>
            <w:sz w:val="16"/>
          </w:rPr>
          <w:t>https://www.info.gov.hk/gia/general/202512/22/P2025122200457.htm</w:t>
        </w:r>
      </w:hyperlink>
      <w:r>
        <w:rPr>
          <w:rFonts w:ascii="Times New Roman" w:hAnsi="Times New Roman"/>
          <w:sz w:val="16"/>
        </w:rPr>
        <w:t>.</w:t>
      </w:r>
    </w:p>
  </w:footnote>
  <w:footnote w:id="3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33" w:history="1">
        <w:r>
          <w:rPr>
            <w:rStyle w:val="Hyperlink"/>
            <w:rFonts w:ascii="Times New Roman" w:hAnsi="Times New Roman"/>
            <w:sz w:val="16"/>
          </w:rPr>
          <w:t>https://www.info.gov.hk/gia/general/202512/22/P2025122200602.htm</w:t>
        </w:r>
      </w:hyperlink>
      <w:r>
        <w:rPr>
          <w:rFonts w:ascii="Times New Roman" w:hAnsi="Times New Roman"/>
          <w:sz w:val="16"/>
        </w:rPr>
        <w:t>.</w:t>
      </w:r>
    </w:p>
  </w:footnote>
  <w:footnote w:id="3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34" w:history="1">
        <w:r>
          <w:rPr>
            <w:rStyle w:val="Hyperlink"/>
            <w:rFonts w:ascii="Times New Roman" w:hAnsi="Times New Roman"/>
            <w:sz w:val="16"/>
          </w:rPr>
          <w:t>https://www.news.gov.hk/eng/2025/05/20250516/20250516_192111_708.html</w:t>
        </w:r>
      </w:hyperlink>
      <w:r>
        <w:rPr>
          <w:rFonts w:ascii="Times New Roman" w:hAnsi="Times New Roman"/>
          <w:sz w:val="16"/>
        </w:rPr>
        <w:t>.</w:t>
      </w:r>
    </w:p>
  </w:footnote>
  <w:footnote w:id="3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Discursul șefului executivului la Conferința asiatică privind logistica, afacerile maritime și aviația din 2025 </w:t>
      </w:r>
      <w:hyperlink r:id="rId35" w:history="1">
        <w:r>
          <w:rPr>
            <w:rStyle w:val="Hyperlink"/>
            <w:rFonts w:ascii="Times New Roman" w:hAnsi="Times New Roman"/>
            <w:sz w:val="16"/>
          </w:rPr>
          <w:t>https://www.info.gov.hk/gia/general/202511/17/P2025111700478.htm</w:t>
        </w:r>
      </w:hyperlink>
      <w:r>
        <w:rPr>
          <w:rFonts w:ascii="Times New Roman" w:hAnsi="Times New Roman"/>
          <w:sz w:val="16"/>
          <w:u w:val="single"/>
        </w:rPr>
        <w:t>.</w:t>
      </w:r>
    </w:p>
  </w:footnote>
  <w:footnote w:id="38">
    <w:p>
      <w:pPr>
        <w:pStyle w:val="FootnoteText"/>
        <w:rPr>
          <w:rFonts w:ascii="Times New Roman" w:hAnsi="Times New Roman" w:cs="Times New Roman"/>
          <w:sz w:val="18"/>
          <w:szCs w:val="18"/>
        </w:rPr>
      </w:pPr>
      <w:r>
        <w:rPr>
          <w:rStyle w:val="FootnoteReference"/>
          <w:rFonts w:ascii="Times New Roman" w:hAnsi="Times New Roman" w:cs="Times New Roman"/>
          <w:sz w:val="16"/>
          <w:szCs w:val="16"/>
        </w:rPr>
        <w:footnoteRef/>
      </w:r>
      <w:r>
        <w:rPr>
          <w:rFonts w:ascii="Times New Roman" w:hAnsi="Times New Roman"/>
          <w:sz w:val="16"/>
        </w:rPr>
        <w:t xml:space="preserve"> Notă de informare din partea Departamentului Maritim către Consiliul Legislativ </w:t>
      </w:r>
      <w:hyperlink r:id="rId36" w:history="1">
        <w:r>
          <w:rPr>
            <w:rStyle w:val="Hyperlink"/>
            <w:rFonts w:ascii="Times New Roman" w:hAnsi="Times New Roman"/>
            <w:sz w:val="16"/>
          </w:rPr>
          <w:t>https://www.legco.gov.hk/yr2025/english/panels/edev/papers/edev20250304cb3-257-2-e.pdf</w:t>
        </w:r>
      </w:hyperlink>
      <w:r>
        <w:rPr>
          <w:rFonts w:ascii="Times New Roman" w:hAnsi="Times New Roman"/>
          <w:sz w:val="18"/>
        </w:rPr>
        <w:t>.</w:t>
      </w:r>
    </w:p>
  </w:footnote>
  <w:footnote w:id="3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Cod de bune practici – Orientări operaționale și de siguranță privind buncherajul cu combustibili alternativi, emise de Departamentul Maritim al RAS Hong Kong</w:t>
      </w:r>
      <w:r>
        <w:t>.</w:t>
      </w:r>
    </w:p>
    <w:p>
      <w:pPr>
        <w:pStyle w:val="FootnoteText"/>
        <w:rPr>
          <w:rFonts w:ascii="Times New Roman" w:hAnsi="Times New Roman" w:cs="Times New Roman"/>
          <w:sz w:val="16"/>
          <w:szCs w:val="16"/>
        </w:rPr>
      </w:pPr>
      <w:hyperlink r:id="rId37" w:history="1">
        <w:r>
          <w:rPr>
            <w:rStyle w:val="Hyperlink"/>
            <w:rFonts w:ascii="Times New Roman" w:hAnsi="Times New Roman"/>
            <w:sz w:val="16"/>
          </w:rPr>
          <w:t>https://www.mardep.gov.hk/filemanager/en/share/pub-services/pdf/lvs_copbun.pdf</w:t>
        </w:r>
      </w:hyperlink>
      <w:r>
        <w:t>.</w:t>
      </w:r>
    </w:p>
  </w:footnote>
  <w:footnote w:id="4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38" w:history="1">
        <w:r>
          <w:rPr>
            <w:rStyle w:val="Hyperlink"/>
            <w:rFonts w:ascii="Times New Roman" w:hAnsi="Times New Roman"/>
            <w:sz w:val="16"/>
          </w:rPr>
          <w:t>https://www.info.gov.hk/gia/general/202506/30/P2025063000367.htm</w:t>
        </w:r>
      </w:hyperlink>
      <w:r>
        <w:rPr>
          <w:rFonts w:ascii="Times New Roman" w:hAnsi="Times New Roman"/>
          <w:sz w:val="16"/>
        </w:rPr>
        <w:t>.</w:t>
      </w:r>
    </w:p>
  </w:footnote>
  <w:footnote w:id="4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39" w:history="1">
        <w:r>
          <w:rPr>
            <w:rStyle w:val="Hyperlink"/>
            <w:rFonts w:ascii="Times New Roman" w:hAnsi="Times New Roman"/>
            <w:sz w:val="16"/>
          </w:rPr>
          <w:t>https://www.info.gov.hk/gia/general/202509/25/P2025092500691.htm</w:t>
        </w:r>
      </w:hyperlink>
      <w:r>
        <w:rPr>
          <w:rFonts w:ascii="Times New Roman" w:hAnsi="Times New Roman"/>
          <w:sz w:val="16"/>
        </w:rPr>
        <w:t>.</w:t>
      </w:r>
    </w:p>
  </w:footnote>
  <w:footnote w:id="4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Modificarea regulamentelor privind mărfurile supuse taxelor vamale </w:t>
      </w:r>
      <w:hyperlink r:id="rId40" w:history="1">
        <w:r>
          <w:rPr>
            <w:rStyle w:val="Hyperlink"/>
            <w:rFonts w:ascii="Times New Roman" w:hAnsi="Times New Roman"/>
            <w:sz w:val="16"/>
          </w:rPr>
          <w:t>https://www.elegislation.gov.hk/hk/cap109A?xpid=ID_1438402566727_003</w:t>
        </w:r>
      </w:hyperlink>
      <w:r>
        <w:rPr>
          <w:rFonts w:ascii="Times New Roman" w:hAnsi="Times New Roman"/>
          <w:sz w:val="16"/>
        </w:rPr>
        <w:t>.</w:t>
      </w:r>
    </w:p>
  </w:footnote>
  <w:footnote w:id="4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Guvernului Regiunii Administrative Speciale Hong Kong </w:t>
      </w:r>
      <w:hyperlink r:id="rId41" w:history="1">
        <w:r>
          <w:rPr>
            <w:rStyle w:val="Hyperlink"/>
            <w:rFonts w:ascii="Times New Roman" w:hAnsi="Times New Roman"/>
            <w:sz w:val="16"/>
          </w:rPr>
          <w:t>https://www.info.gov.hk/gia/general/202511/19/P2025111900627.htm</w:t>
        </w:r>
      </w:hyperlink>
      <w:r>
        <w:rPr>
          <w:rFonts w:ascii="Times New Roman" w:hAnsi="Times New Roman"/>
          <w:sz w:val="16"/>
        </w:rPr>
        <w:t>.</w:t>
      </w:r>
    </w:p>
  </w:footnote>
  <w:footnote w:id="44">
    <w:p>
      <w:pPr>
        <w:spacing w:after="0"/>
        <w:rPr>
          <w:rStyle w:val="Hyperlink"/>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Discursul </w:t>
      </w:r>
      <w:r>
        <w:rPr>
          <w:rFonts w:ascii="Times New Roman" w:hAnsi="Times New Roman"/>
          <w:color w:val="000000" w:themeColor="text1"/>
          <w:sz w:val="16"/>
        </w:rPr>
        <w:t xml:space="preserve">doamnei Mable Chan, secretar pentru transporturi și logistică </w:t>
      </w:r>
      <w:hyperlink r:id="rId42" w:history="1">
        <w:r>
          <w:rPr>
            <w:rStyle w:val="Hyperlink"/>
            <w:rFonts w:ascii="Times New Roman" w:hAnsi="Times New Roman"/>
            <w:sz w:val="16"/>
          </w:rPr>
          <w:t>https://www.tlb.gov.hk/eng/psp/speeches/transport/2025/20251209a.html</w:t>
        </w:r>
      </w:hyperlink>
      <w:r>
        <w:rPr>
          <w:rStyle w:val="Hyperlink"/>
          <w:color w:val="auto"/>
          <w:sz w:val="20"/>
          <w:u w:val="none"/>
        </w:rPr>
        <w:t>.</w:t>
      </w:r>
    </w:p>
  </w:footnote>
  <w:footnote w:id="4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Notă de informare din partea Biroului Logistică și Transporturi către Consiliul Legislativ </w:t>
      </w:r>
      <w:hyperlink r:id="rId43" w:history="1">
        <w:r>
          <w:rPr>
            <w:rStyle w:val="Hyperlink"/>
            <w:rFonts w:ascii="Times New Roman" w:hAnsi="Times New Roman"/>
            <w:sz w:val="16"/>
          </w:rPr>
          <w:t>https://www.legco.gov.hk/yr2025/english/panels/edev/papers/edev20250929cb3-1331-2-e.pdf</w:t>
        </w:r>
      </w:hyperlink>
      <w:r>
        <w:rPr>
          <w:rFonts w:ascii="Times New Roman" w:hAnsi="Times New Roman"/>
          <w:sz w:val="16"/>
        </w:rPr>
        <w:t>.</w:t>
      </w:r>
    </w:p>
  </w:footnote>
  <w:footnote w:id="4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Airbus</w:t>
      </w:r>
      <w:r>
        <w:t>.</w:t>
      </w:r>
    </w:p>
    <w:p>
      <w:pPr>
        <w:pStyle w:val="FootnoteText"/>
        <w:rPr>
          <w:rFonts w:ascii="Times New Roman" w:hAnsi="Times New Roman" w:cs="Times New Roman"/>
          <w:sz w:val="16"/>
          <w:szCs w:val="16"/>
        </w:rPr>
      </w:pPr>
      <w:hyperlink r:id="rId44" w:history="1">
        <w:r>
          <w:rPr>
            <w:rStyle w:val="Hyperlink"/>
            <w:rFonts w:ascii="Times New Roman" w:hAnsi="Times New Roman"/>
            <w:sz w:val="16"/>
          </w:rPr>
          <w:t>https://www.airbus.com/en/newsroom/press-releases/2025-10-airbus-and-cathay-form-co-investment-partnership-for-scaling</w:t>
        </w:r>
      </w:hyperlink>
      <w:r>
        <w:t>.</w:t>
      </w:r>
    </w:p>
  </w:footnote>
  <w:footnote w:id="4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HKEX</w:t>
      </w:r>
      <w:r>
        <w:t>.</w:t>
      </w:r>
    </w:p>
    <w:p>
      <w:pPr>
        <w:pStyle w:val="FootnoteText"/>
        <w:rPr>
          <w:rFonts w:ascii="Times New Roman" w:hAnsi="Times New Roman" w:cs="Times New Roman"/>
          <w:sz w:val="16"/>
          <w:szCs w:val="16"/>
        </w:rPr>
      </w:pPr>
      <w:hyperlink r:id="rId45" w:history="1">
        <w:r>
          <w:rPr>
            <w:rStyle w:val="Hyperlink"/>
            <w:rFonts w:ascii="Times New Roman" w:hAnsi="Times New Roman"/>
            <w:sz w:val="16"/>
          </w:rPr>
          <w:t>https://www.hkex.com.hk/News/Regulatory-Announcements/2025/250506news?sc_lang=en</w:t>
        </w:r>
      </w:hyperlink>
      <w:r>
        <w:t>.</w:t>
      </w:r>
    </w:p>
  </w:footnote>
  <w:footnote w:id="4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HKMA</w:t>
      </w:r>
      <w:r>
        <w:t>.</w:t>
      </w:r>
    </w:p>
    <w:p>
      <w:pPr>
        <w:pStyle w:val="FootnoteText"/>
        <w:rPr>
          <w:rFonts w:ascii="Times New Roman" w:hAnsi="Times New Roman" w:cs="Times New Roman"/>
          <w:sz w:val="16"/>
          <w:szCs w:val="16"/>
        </w:rPr>
      </w:pPr>
      <w:hyperlink r:id="rId46" w:history="1">
        <w:r>
          <w:rPr>
            <w:rStyle w:val="Hyperlink"/>
            <w:rFonts w:ascii="Times New Roman" w:hAnsi="Times New Roman"/>
            <w:sz w:val="16"/>
          </w:rPr>
          <w:t>https://www.hkma.gov.hk/eng/news-and-media/press-releases/2025/09/20250925-3/</w:t>
        </w:r>
      </w:hyperlink>
      <w:r>
        <w:t>.</w:t>
      </w:r>
    </w:p>
  </w:footnote>
  <w:footnote w:id="4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Site-ul web al HKMA</w:t>
      </w:r>
      <w:r>
        <w:t>.</w:t>
      </w:r>
    </w:p>
    <w:p>
      <w:pPr>
        <w:pStyle w:val="FootnoteText"/>
        <w:rPr>
          <w:rFonts w:ascii="Times New Roman" w:hAnsi="Times New Roman" w:cs="Times New Roman"/>
          <w:sz w:val="16"/>
          <w:szCs w:val="16"/>
        </w:rPr>
      </w:pPr>
      <w:hyperlink r:id="rId47" w:history="1">
        <w:r>
          <w:rPr>
            <w:rStyle w:val="Hyperlink"/>
            <w:rFonts w:ascii="Times New Roman" w:hAnsi="Times New Roman"/>
            <w:sz w:val="16"/>
          </w:rPr>
          <w:t>https://www.hkma.gov.hk/eng/key-functions/money/liquidity-facility-framework/rmb-liquidity-facility-and-primary-liquidity-providers/</w:t>
        </w:r>
      </w:hyperlink>
      <w:r>
        <w:t>.</w:t>
      </w:r>
    </w:p>
  </w:footnote>
  <w:footnote w:id="5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SFC</w:t>
      </w:r>
      <w:r>
        <w:t>.</w:t>
      </w:r>
    </w:p>
    <w:p>
      <w:pPr>
        <w:pStyle w:val="FootnoteText"/>
        <w:rPr>
          <w:rFonts w:ascii="Times New Roman" w:hAnsi="Times New Roman" w:cs="Times New Roman"/>
          <w:sz w:val="16"/>
          <w:szCs w:val="16"/>
        </w:rPr>
      </w:pPr>
      <w:hyperlink r:id="rId48" w:history="1">
        <w:r>
          <w:rPr>
            <w:rStyle w:val="Hyperlink"/>
            <w:rFonts w:ascii="Times New Roman" w:hAnsi="Times New Roman"/>
            <w:sz w:val="16"/>
          </w:rPr>
          <w:t>https://apps.sfc.hk/edistributionWeb/gateway/EN/news-and-announcements/news/doc?refNo=25PR164</w:t>
        </w:r>
      </w:hyperlink>
      <w:r>
        <w:t>.</w:t>
      </w:r>
    </w:p>
  </w:footnote>
  <w:footnote w:id="5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Site-ul web al HKEX</w:t>
      </w:r>
      <w:r>
        <w:t>.</w:t>
      </w:r>
    </w:p>
    <w:p>
      <w:pPr>
        <w:pStyle w:val="FootnoteText"/>
        <w:rPr>
          <w:rFonts w:ascii="Times New Roman" w:hAnsi="Times New Roman" w:cs="Times New Roman"/>
          <w:sz w:val="16"/>
          <w:szCs w:val="16"/>
        </w:rPr>
      </w:pPr>
      <w:hyperlink r:id="rId49" w:history="1">
        <w:r>
          <w:rPr>
            <w:rStyle w:val="Hyperlink"/>
            <w:rFonts w:ascii="Times New Roman" w:hAnsi="Times New Roman"/>
            <w:sz w:val="16"/>
          </w:rPr>
          <w:t>https://www.hkex.com.hk/News/News-Release/2025/251222news?sc_lang=en</w:t>
        </w:r>
      </w:hyperlink>
      <w:r>
        <w:t>.</w:t>
      </w:r>
    </w:p>
  </w:footnote>
  <w:footnote w:id="52">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Comisiei pentru valori mobiliare și contracte futures din Hong Kong</w:t>
      </w:r>
      <w:r>
        <w:t>.</w:t>
      </w:r>
    </w:p>
    <w:p>
      <w:pPr>
        <w:pStyle w:val="FootnoteText"/>
        <w:rPr>
          <w:rFonts w:ascii="Times New Roman" w:hAnsi="Times New Roman" w:cs="Times New Roman"/>
          <w:sz w:val="16"/>
          <w:szCs w:val="16"/>
        </w:rPr>
      </w:pPr>
      <w:hyperlink r:id="rId50" w:history="1">
        <w:r>
          <w:rPr>
            <w:rStyle w:val="Hyperlink"/>
            <w:rFonts w:ascii="Times New Roman" w:hAnsi="Times New Roman"/>
            <w:sz w:val="16"/>
          </w:rPr>
          <w:t>https://apps.sfc.hk/edistributionWeb/gateway/EN/news-and-announcements/news/doc?refNo=25PR149</w:t>
        </w:r>
      </w:hyperlink>
      <w:r>
        <w:t>.</w:t>
      </w:r>
    </w:p>
  </w:footnote>
  <w:footnote w:id="53">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Foaia de parcurs în materie de reglementare a SFC pentru piața activelor virtuale din Hong Kong</w:t>
      </w:r>
      <w:r>
        <w:t>.</w:t>
      </w:r>
    </w:p>
    <w:p>
      <w:pPr>
        <w:pStyle w:val="FootnoteText"/>
        <w:rPr>
          <w:rFonts w:ascii="Times New Roman" w:hAnsi="Times New Roman" w:cs="Times New Roman"/>
          <w:sz w:val="16"/>
          <w:szCs w:val="16"/>
        </w:rPr>
      </w:pPr>
      <w:hyperlink r:id="rId51" w:history="1">
        <w:r>
          <w:rPr>
            <w:rStyle w:val="Hyperlink"/>
            <w:rFonts w:ascii="Times New Roman" w:hAnsi="Times New Roman"/>
            <w:sz w:val="16"/>
          </w:rPr>
          <w:t>https://www.sfc.hk/-/media/EN/files/ER/ASPIRe/ASPIRe-roadmap-for-Hong-Kongs-virtual-asset-market-Eng.pdf</w:t>
        </w:r>
      </w:hyperlink>
      <w:r>
        <w:t>.</w:t>
      </w:r>
    </w:p>
  </w:footnote>
  <w:footnote w:id="54">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Comunicat de presă al Comisiei pentru valori mobiliare și contracte futures (SFC) </w:t>
      </w:r>
      <w:hyperlink r:id="rId52" w:history="1">
        <w:r>
          <w:rPr>
            <w:rStyle w:val="Hyperlink"/>
            <w:rFonts w:ascii="Times New Roman" w:hAnsi="Times New Roman"/>
            <w:sz w:val="16"/>
          </w:rPr>
          <w:t>https://apps.sfc.hk/edistributionWeb/gateway/EN/news-and-announcements/news/corporate-news/doc?refNo=25PR182</w:t>
        </w:r>
      </w:hyperlink>
      <w:r>
        <w:rPr>
          <w:rFonts w:ascii="Times New Roman" w:hAnsi="Times New Roman"/>
          <w:sz w:val="16"/>
        </w:rPr>
        <w:t>.</w:t>
      </w:r>
    </w:p>
  </w:footnote>
  <w:footnote w:id="55">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Guvernului Regiunii Administrative Speciale Hong Kong</w:t>
      </w:r>
      <w:r>
        <w:t>.</w:t>
      </w:r>
    </w:p>
    <w:p>
      <w:pPr>
        <w:spacing w:after="0"/>
        <w:rPr>
          <w:rFonts w:ascii="Times New Roman" w:hAnsi="Times New Roman" w:cs="Times New Roman"/>
          <w:sz w:val="16"/>
          <w:szCs w:val="16"/>
        </w:rPr>
      </w:pPr>
      <w:hyperlink r:id="rId53" w:history="1">
        <w:r>
          <w:rPr>
            <w:rStyle w:val="Hyperlink"/>
            <w:rFonts w:ascii="Times New Roman" w:hAnsi="Times New Roman"/>
            <w:sz w:val="16"/>
          </w:rPr>
          <w:t>https://www.news.gov.hk/eng/2025/05/20250521/20250521_170205_430.html</w:t>
        </w:r>
      </w:hyperlink>
      <w:r>
        <w:t>.</w:t>
      </w:r>
    </w:p>
  </w:footnote>
  <w:footnote w:id="56">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Site-ul web al HKMA</w:t>
      </w:r>
      <w:r>
        <w:t>.</w:t>
      </w:r>
    </w:p>
    <w:p>
      <w:pPr>
        <w:pStyle w:val="FootnoteText"/>
        <w:rPr>
          <w:rFonts w:ascii="Times New Roman" w:hAnsi="Times New Roman" w:cs="Times New Roman"/>
          <w:sz w:val="16"/>
          <w:szCs w:val="16"/>
        </w:rPr>
      </w:pPr>
      <w:hyperlink r:id="rId54" w:history="1">
        <w:r>
          <w:rPr>
            <w:rStyle w:val="Hyperlink"/>
            <w:rFonts w:ascii="Times New Roman" w:hAnsi="Times New Roman"/>
            <w:sz w:val="16"/>
          </w:rPr>
          <w:t>https://www.hkma.gov.hk/eng/regulatory-resources/registers/register-of-licensed-stablecoin-issuers/</w:t>
        </w:r>
      </w:hyperlink>
      <w:r>
        <w:t>.</w:t>
      </w:r>
    </w:p>
  </w:footnote>
  <w:footnote w:id="57">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Declarația de politică 2.0 privind dezvoltarea activelor digitale în Hong Kong </w:t>
      </w:r>
      <w:hyperlink r:id="rId55" w:history="1">
        <w:r>
          <w:rPr>
            <w:rStyle w:val="Hyperlink"/>
            <w:rFonts w:ascii="Times New Roman" w:hAnsi="Times New Roman"/>
            <w:sz w:val="16"/>
          </w:rPr>
          <w:t>https://gia.info.gov.hk/general/202506/26/P2025062600269_500089_1_1750909574183.pdf</w:t>
        </w:r>
      </w:hyperlink>
      <w:r>
        <w:rPr>
          <w:rFonts w:ascii="Times New Roman" w:hAnsi="Times New Roman"/>
          <w:sz w:val="16"/>
        </w:rPr>
        <w:t>.</w:t>
      </w:r>
    </w:p>
  </w:footnote>
  <w:footnote w:id="58">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Guvernului Regiunii Administrative Speciale Hong Kong</w:t>
      </w:r>
      <w:r>
        <w:t>.</w:t>
      </w:r>
    </w:p>
    <w:p>
      <w:pPr>
        <w:pStyle w:val="FootnoteText"/>
        <w:rPr>
          <w:rFonts w:ascii="Times New Roman" w:hAnsi="Times New Roman" w:cs="Times New Roman"/>
          <w:sz w:val="16"/>
          <w:szCs w:val="16"/>
        </w:rPr>
      </w:pPr>
      <w:hyperlink r:id="rId56" w:history="1">
        <w:r>
          <w:rPr>
            <w:rStyle w:val="Hyperlink"/>
            <w:rFonts w:ascii="Times New Roman" w:hAnsi="Times New Roman"/>
            <w:sz w:val="16"/>
          </w:rPr>
          <w:t>https://www.info.gov.hk/gia/general/202512/24/P2025122400265.htm</w:t>
        </w:r>
      </w:hyperlink>
      <w:r>
        <w:t>.</w:t>
      </w:r>
    </w:p>
  </w:footnote>
  <w:footnote w:id="59">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HKMA</w:t>
      </w:r>
      <w:r>
        <w:t>.</w:t>
      </w:r>
    </w:p>
    <w:p>
      <w:pPr>
        <w:pStyle w:val="FootnoteText"/>
        <w:rPr>
          <w:rFonts w:ascii="Times New Roman" w:hAnsi="Times New Roman" w:cs="Times New Roman"/>
          <w:sz w:val="16"/>
          <w:szCs w:val="16"/>
        </w:rPr>
      </w:pPr>
      <w:hyperlink r:id="rId57" w:history="1">
        <w:r>
          <w:rPr>
            <w:rStyle w:val="Hyperlink"/>
            <w:rFonts w:ascii="Times New Roman" w:hAnsi="Times New Roman"/>
            <w:sz w:val="16"/>
          </w:rPr>
          <w:t>https://www.hkma.gov.hk/eng/news-and-media/press-releases/2025/06/20250620-4/</w:t>
        </w:r>
      </w:hyperlink>
      <w:r>
        <w:t>.</w:t>
      </w:r>
    </w:p>
  </w:footnote>
  <w:footnote w:id="60">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HKMA</w:t>
      </w:r>
      <w:r>
        <w:t>.</w:t>
      </w:r>
    </w:p>
    <w:p>
      <w:pPr>
        <w:pStyle w:val="FootnoteText"/>
        <w:rPr>
          <w:rFonts w:ascii="Times New Roman" w:hAnsi="Times New Roman" w:cs="Times New Roman"/>
          <w:sz w:val="16"/>
          <w:szCs w:val="16"/>
        </w:rPr>
      </w:pPr>
      <w:hyperlink r:id="rId58" w:history="1">
        <w:r>
          <w:rPr>
            <w:rStyle w:val="Hyperlink"/>
            <w:rFonts w:ascii="Times New Roman" w:hAnsi="Times New Roman"/>
            <w:sz w:val="16"/>
          </w:rPr>
          <w:t>https://www.hkma.gov.hk/eng/news-and-media/press-releases/2025/11/20251103-3/</w:t>
        </w:r>
      </w:hyperlink>
      <w:r>
        <w:t>.</w:t>
      </w:r>
    </w:p>
  </w:footnote>
  <w:footnote w:id="61">
    <w:p>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Comunicat de presă al HKMA</w:t>
      </w:r>
      <w:r>
        <w:t>.</w:t>
      </w:r>
    </w:p>
    <w:p>
      <w:pPr>
        <w:pStyle w:val="FootnoteText"/>
        <w:rPr>
          <w:rFonts w:ascii="Times New Roman" w:hAnsi="Times New Roman" w:cs="Times New Roman"/>
          <w:sz w:val="18"/>
          <w:szCs w:val="18"/>
        </w:rPr>
      </w:pPr>
      <w:hyperlink r:id="rId59" w:history="1">
        <w:r>
          <w:rPr>
            <w:rStyle w:val="Hyperlink"/>
            <w:rFonts w:ascii="Times New Roman" w:hAnsi="Times New Roman"/>
            <w:sz w:val="16"/>
          </w:rPr>
          <w:t>https://www.hkma.gov.hk/eng/news-and-media/press-releases/2025/10/20251028-4/</w:t>
        </w:r>
      </w:hyperlink>
      <w:r>
        <w:t>.</w:t>
      </w:r>
    </w:p>
  </w:footnote>
  <w:footnote w:id="62">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Comunicate de presă ale Guvernului Regiunii Administrative Speciale Hong Kong </w:t>
      </w:r>
      <w:hyperlink r:id="rId60" w:history="1">
        <w:r>
          <w:rPr>
            <w:rStyle w:val="Hyperlink"/>
            <w:rFonts w:ascii="Times New Roman" w:hAnsi="Times New Roman"/>
            <w:sz w:val="16"/>
          </w:rPr>
          <w:t>https://www.news.gov.hk/eng/2025/09/20250923/20250923_193938_385.html</w:t>
        </w:r>
      </w:hyperlink>
      <w:r>
        <w:rPr>
          <w:rFonts w:ascii="Times New Roman" w:hAnsi="Times New Roman"/>
          <w:sz w:val="16"/>
        </w:rPr>
        <w:t>.</w:t>
      </w:r>
    </w:p>
  </w:footnote>
  <w:footnote w:id="63">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Comunicate de presă ale Autorității Monetare din Hong Kong:</w:t>
      </w:r>
    </w:p>
    <w:p>
      <w:pPr>
        <w:pStyle w:val="FootnoteText"/>
        <w:rPr>
          <w:rFonts w:ascii="Times New Roman" w:hAnsi="Times New Roman" w:cs="Times New Roman"/>
          <w:sz w:val="16"/>
          <w:szCs w:val="16"/>
        </w:rPr>
      </w:pPr>
      <w:hyperlink r:id="rId61" w:history="1">
        <w:r>
          <w:rPr>
            <w:rStyle w:val="Hyperlink"/>
            <w:rFonts w:ascii="Times New Roman" w:hAnsi="Times New Roman"/>
            <w:sz w:val="16"/>
          </w:rPr>
          <w:t>https://www.hkma.gov.hk/eng/news-and-media/insight/2025/09/20250908/</w:t>
        </w:r>
      </w:hyperlink>
      <w:r>
        <w:t>.</w:t>
      </w:r>
    </w:p>
  </w:footnote>
  <w:footnote w:id="64">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Care cuprinde Schema de granturi pentru finanțare verde și durabilă, Schema-pilot de sprijin pentru consolidarea capacităților de finanțare verde și durabilă, Schema de sprijin pentru validarea conceptului în domeniul tehnologiei financiare verzi și durabile.</w:t>
      </w:r>
    </w:p>
  </w:footnote>
  <w:footnote w:id="65">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Site-ul web al HKEX: </w:t>
      </w:r>
      <w:hyperlink r:id="rId62" w:history="1">
        <w:r>
          <w:rPr>
            <w:rStyle w:val="Hyperlink"/>
            <w:rFonts w:ascii="Times New Roman" w:hAnsi="Times New Roman"/>
            <w:sz w:val="16"/>
          </w:rPr>
          <w:t>https://www.hkex.com.hk/Listing/Sustainability/ESG-Academy/ESG-in-Practice/Climate-Change?sc_lang=en</w:t>
        </w:r>
      </w:hyperlink>
      <w:r>
        <w:rPr>
          <w:rFonts w:ascii="Times New Roman" w:hAnsi="Times New Roman"/>
          <w:sz w:val="16"/>
        </w:rPr>
        <w:t>.</w:t>
      </w:r>
    </w:p>
  </w:footnote>
  <w:footnote w:id="66">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Indicele Global al Inovării (GII) publicat de Organizația Mondială a Proprietății Intelectuale (OMPI) 2025</w:t>
      </w:r>
      <w:r>
        <w:t>.</w:t>
      </w:r>
    </w:p>
    <w:p>
      <w:pPr>
        <w:pStyle w:val="FootnoteText"/>
        <w:rPr>
          <w:rFonts w:ascii="Times New Roman" w:hAnsi="Times New Roman" w:cs="Times New Roman"/>
          <w:sz w:val="16"/>
          <w:szCs w:val="16"/>
        </w:rPr>
      </w:pPr>
      <w:hyperlink r:id="rId63" w:history="1">
        <w:r>
          <w:rPr>
            <w:rStyle w:val="Hyperlink"/>
            <w:rFonts w:ascii="Times New Roman" w:hAnsi="Times New Roman"/>
            <w:sz w:val="16"/>
          </w:rPr>
          <w:t>https://www.wipo.int/web-publications/global-innovation-index-2025/en/index.html</w:t>
        </w:r>
      </w:hyperlink>
      <w:r>
        <w:t>.</w:t>
      </w:r>
    </w:p>
  </w:footnote>
  <w:footnote w:id="67">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Comunicate de presă ale Guvernului Regiunii Administrative Speciale Hong Kong </w:t>
      </w:r>
      <w:hyperlink r:id="rId64" w:history="1">
        <w:r>
          <w:rPr>
            <w:rStyle w:val="Hyperlink"/>
            <w:rFonts w:ascii="Times New Roman" w:hAnsi="Times New Roman"/>
            <w:sz w:val="16"/>
          </w:rPr>
          <w:t>https://www.info.gov.hk/gia/general/202510/31/P2025103100638.htm</w:t>
        </w:r>
      </w:hyperlink>
      <w:r>
        <w:rPr>
          <w:rFonts w:ascii="Times New Roman" w:hAnsi="Times New Roman"/>
          <w:sz w:val="16"/>
        </w:rPr>
        <w:t>.</w:t>
      </w:r>
    </w:p>
  </w:footnote>
  <w:footnote w:id="68">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Comunicate de presă ale Guvernului Regiunii Administrative Speciale Hong Kong </w:t>
      </w:r>
      <w:hyperlink r:id="rId65" w:history="1">
        <w:r>
          <w:rPr>
            <w:rStyle w:val="Hyperlink"/>
            <w:rFonts w:ascii="Times New Roman" w:hAnsi="Times New Roman"/>
            <w:sz w:val="16"/>
          </w:rPr>
          <w:t>https://www.info.gov.hk/gia/general/202512/22/P2025122200201.htm</w:t>
        </w:r>
      </w:hyperlink>
      <w:r>
        <w:rPr>
          <w:rFonts w:ascii="Times New Roman" w:hAnsi="Times New Roman"/>
          <w:sz w:val="16"/>
        </w:rPr>
        <w:t>.</w:t>
      </w:r>
    </w:p>
  </w:footnote>
  <w:footnote w:id="69">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 de presă al Guvernului Regiunii Administrative Speciale Hong Kong </w:t>
      </w:r>
      <w:hyperlink r:id="rId66" w:history="1">
        <w:r>
          <w:rPr>
            <w:rStyle w:val="Hyperlink"/>
            <w:rFonts w:ascii="Times New Roman" w:hAnsi="Times New Roman"/>
            <w:sz w:val="16"/>
          </w:rPr>
          <w:t>https://www.news.gov.hk/eng/2025/12/20251210/20251210_144222_520.html</w:t>
        </w:r>
      </w:hyperlink>
      <w:r>
        <w:rPr>
          <w:rFonts w:ascii="Times New Roman" w:hAnsi="Times New Roman"/>
          <w:sz w:val="16"/>
        </w:rPr>
        <w:t>.</w:t>
      </w:r>
    </w:p>
  </w:footnote>
  <w:footnote w:id="70">
    <w:p>
      <w:pPr>
        <w:pStyle w:val="FootnoteText"/>
        <w:rPr>
          <w:rFonts w:ascii="Times New Roman" w:hAnsi="Times New Roman" w:cs="Times New Roman"/>
          <w:sz w:val="18"/>
          <w:szCs w:val="18"/>
        </w:rPr>
      </w:pPr>
      <w:r>
        <w:rPr>
          <w:rStyle w:val="FootnoteReference"/>
          <w:sz w:val="16"/>
          <w:szCs w:val="16"/>
        </w:rPr>
        <w:footnoteRef/>
      </w:r>
      <w:r>
        <w:rPr>
          <w:rFonts w:ascii="Times New Roman" w:hAnsi="Times New Roman"/>
          <w:sz w:val="16"/>
        </w:rPr>
        <w:t xml:space="preserve"> Comunicate de presă ale Guvernului Regiunii Administrative Speciale Hong Kong </w:t>
      </w:r>
      <w:hyperlink r:id="rId67" w:history="1">
        <w:r>
          <w:rPr>
            <w:rStyle w:val="Hyperlink"/>
            <w:rFonts w:ascii="Times New Roman" w:hAnsi="Times New Roman"/>
            <w:sz w:val="16"/>
          </w:rPr>
          <w:t>https://www.info.gov.hk/gia/general/202512/18/P2025121800500.htm</w:t>
        </w:r>
      </w:hyperlink>
      <w:r>
        <w:rPr>
          <w:rFonts w:ascii="Times New Roman" w:hAnsi="Times New Roman"/>
          <w:sz w:val="18"/>
        </w:rPr>
        <w:t>.</w:t>
      </w:r>
    </w:p>
  </w:footnote>
  <w:footnote w:id="71">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Comunicate de presă ale Guvernului Regiunii Administrative Speciale Hong Kong </w:t>
      </w:r>
      <w:hyperlink r:id="rId68" w:history="1">
        <w:r>
          <w:rPr>
            <w:rStyle w:val="Hyperlink"/>
            <w:rFonts w:ascii="Times New Roman" w:hAnsi="Times New Roman"/>
            <w:sz w:val="16"/>
          </w:rPr>
          <w:t>https://www.info.gov.hk/gia/general/202510/15/P2025101500264.htm</w:t>
        </w:r>
      </w:hyperlink>
      <w:r>
        <w:rPr>
          <w:rFonts w:ascii="Times New Roman" w:hAnsi="Times New Roman"/>
          <w:sz w:val="16"/>
        </w:rPr>
        <w:t>.</w:t>
      </w:r>
    </w:p>
  </w:footnote>
  <w:footnote w:id="72">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Comunicate de presă ale Guvernului Regiunii Administrative Speciale Hong Kong </w:t>
      </w:r>
      <w:hyperlink r:id="rId69" w:history="1">
        <w:r>
          <w:rPr>
            <w:rStyle w:val="Hyperlink"/>
            <w:rFonts w:ascii="Times New Roman" w:hAnsi="Times New Roman"/>
            <w:sz w:val="16"/>
          </w:rPr>
          <w:t>https://www.info.gov.hk/gia/general/202509/26/P2025092500877.htm</w:t>
        </w:r>
      </w:hyperlink>
      <w:r>
        <w:rPr>
          <w:rFonts w:ascii="Times New Roman" w:hAnsi="Times New Roman"/>
          <w:sz w:val="16"/>
        </w:rPr>
        <w:t>.</w:t>
      </w:r>
    </w:p>
  </w:footnote>
  <w:footnote w:id="73">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Comunicate de presă ale Guvernului Regiunii Administrative Speciale Hong Kong </w:t>
      </w:r>
      <w:hyperlink r:id="rId70" w:history="1">
        <w:r>
          <w:rPr>
            <w:rStyle w:val="Hyperlink"/>
            <w:rFonts w:ascii="Times New Roman" w:hAnsi="Times New Roman"/>
            <w:sz w:val="16"/>
          </w:rPr>
          <w:t>https://www.news.gov.hk/eng/2025/03/20250320/20250320_141320_260.html</w:t>
        </w:r>
      </w:hyperlink>
      <w:r>
        <w:t>.</w:t>
      </w:r>
    </w:p>
    <w:p>
      <w:pPr>
        <w:pStyle w:val="FootnoteText"/>
        <w:rPr>
          <w:rFonts w:ascii="Times New Roman" w:hAnsi="Times New Roman" w:cs="Times New Roman"/>
          <w:sz w:val="16"/>
          <w:szCs w:val="16"/>
        </w:rPr>
      </w:pPr>
      <w:hyperlink r:id="rId71" w:history="1">
        <w:r>
          <w:rPr>
            <w:rStyle w:val="Hyperlink"/>
            <w:rFonts w:ascii="Times New Roman" w:hAnsi="Times New Roman"/>
            <w:sz w:val="16"/>
          </w:rPr>
          <w:t>https://www.news.gov.hk/eng/2025/08/20250825/20250825_171443_511.html</w:t>
        </w:r>
      </w:hyperlink>
      <w:r>
        <w:t>.</w:t>
      </w:r>
    </w:p>
    <w:p>
      <w:pPr>
        <w:pStyle w:val="FootnoteText"/>
        <w:rPr>
          <w:rFonts w:ascii="Times New Roman" w:hAnsi="Times New Roman" w:cs="Times New Roman"/>
          <w:sz w:val="16"/>
          <w:szCs w:val="16"/>
        </w:rPr>
      </w:pPr>
      <w:hyperlink r:id="rId72" w:history="1">
        <w:r>
          <w:rPr>
            <w:rStyle w:val="Hyperlink"/>
            <w:rFonts w:ascii="Times New Roman" w:hAnsi="Times New Roman"/>
            <w:sz w:val="16"/>
          </w:rPr>
          <w:t>https://www.news.gov.hk/eng/2025/10/20251027/20251027_111022_326.html</w:t>
        </w:r>
      </w:hyperlink>
      <w:r>
        <w:t>.</w:t>
      </w:r>
    </w:p>
    <w:p>
      <w:pPr>
        <w:pStyle w:val="FootnoteText"/>
        <w:rPr>
          <w:rFonts w:ascii="Times New Roman" w:hAnsi="Times New Roman" w:cs="Times New Roman"/>
          <w:sz w:val="16"/>
          <w:szCs w:val="16"/>
        </w:rPr>
      </w:pPr>
      <w:hyperlink r:id="rId73" w:history="1">
        <w:r>
          <w:rPr>
            <w:rStyle w:val="Hyperlink"/>
            <w:rFonts w:ascii="Times New Roman" w:hAnsi="Times New Roman"/>
            <w:sz w:val="16"/>
          </w:rPr>
          <w:t>https://www.news.gov.hk/eng/2025/07/20250717/20250717_173355_831.html</w:t>
        </w:r>
      </w:hyperlink>
      <w:r>
        <w:t>.</w:t>
      </w:r>
    </w:p>
    <w:p>
      <w:pPr>
        <w:pStyle w:val="FootnoteText"/>
        <w:rPr>
          <w:rFonts w:ascii="Times New Roman" w:hAnsi="Times New Roman" w:cs="Times New Roman"/>
          <w:sz w:val="16"/>
          <w:szCs w:val="16"/>
        </w:rPr>
      </w:pPr>
      <w:hyperlink r:id="rId74" w:history="1">
        <w:r>
          <w:rPr>
            <w:rStyle w:val="Hyperlink"/>
            <w:rFonts w:ascii="Times New Roman" w:hAnsi="Times New Roman"/>
            <w:sz w:val="16"/>
          </w:rPr>
          <w:t>https://www.news.gov.hk/eng/2025/10/20251009/20251009_174638_112.html</w:t>
        </w:r>
      </w:hyperlink>
      <w:r>
        <w:t>.</w:t>
      </w:r>
    </w:p>
  </w:footnote>
  <w:footnote w:id="74">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Articol semnat de publicația Morning Post din China de Sud</w:t>
      </w:r>
      <w:r>
        <w:t>.</w:t>
      </w:r>
    </w:p>
    <w:p>
      <w:pPr>
        <w:pStyle w:val="FootnoteText"/>
        <w:rPr>
          <w:rFonts w:ascii="Times New Roman" w:hAnsi="Times New Roman" w:cs="Times New Roman"/>
          <w:sz w:val="16"/>
          <w:szCs w:val="16"/>
        </w:rPr>
      </w:pPr>
      <w:hyperlink r:id="rId75" w:history="1">
        <w:r>
          <w:rPr>
            <w:rStyle w:val="Hyperlink"/>
            <w:rFonts w:ascii="Times New Roman" w:hAnsi="Times New Roman"/>
            <w:sz w:val="16"/>
          </w:rPr>
          <w:t>https://www.scmp.com/news/hong-kong/hong-kong-economy/article/3336372/hong-kong-aims-launch-passenger-carrying-drones-2-3-years</w:t>
        </w:r>
      </w:hyperlink>
      <w:r>
        <w:t>.</w:t>
      </w:r>
    </w:p>
  </w:footnote>
  <w:footnote w:id="75">
    <w:p>
      <w:pPr>
        <w:pStyle w:val="FootnoteText"/>
        <w:rPr>
          <w:rFonts w:ascii="Times New Roman" w:hAnsi="Times New Roman" w:cs="Times New Roman"/>
        </w:rPr>
      </w:pPr>
      <w:r>
        <w:rPr>
          <w:rStyle w:val="FootnoteReference"/>
          <w:sz w:val="16"/>
          <w:szCs w:val="16"/>
        </w:rPr>
        <w:footnoteRef/>
      </w:r>
      <w:r>
        <w:rPr>
          <w:rFonts w:ascii="Times New Roman" w:hAnsi="Times New Roman"/>
          <w:sz w:val="16"/>
        </w:rPr>
        <w:t xml:space="preserve"> Comunicat de presă al Guvernului Regiunii Administrative Speciale Hong Kong </w:t>
      </w:r>
      <w:hyperlink r:id="rId76" w:history="1">
        <w:r>
          <w:rPr>
            <w:rStyle w:val="Hyperlink"/>
            <w:rFonts w:ascii="Times New Roman" w:hAnsi="Times New Roman"/>
            <w:sz w:val="16"/>
          </w:rPr>
          <w:t>https://www.news.gov.hk//eng/2025/12/20251224/20251224_103202_383.html</w:t>
        </w:r>
      </w:hyperlink>
      <w:r>
        <w:t>.</w:t>
      </w:r>
    </w:p>
  </w:footnote>
  <w:footnote w:id="76">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Comunicate de presă ale Guvernului Regiunii Administrative Speciale Hong Kong </w:t>
      </w:r>
      <w:hyperlink r:id="rId77" w:history="1">
        <w:r>
          <w:rPr>
            <w:rStyle w:val="Hyperlink"/>
            <w:rFonts w:ascii="Times New Roman" w:hAnsi="Times New Roman"/>
            <w:sz w:val="16"/>
          </w:rPr>
          <w:t>https://www.news.gov.hk//eng/2025/12/20251231/20251231_123058_774.html</w:t>
        </w:r>
      </w:hyperlink>
      <w:r>
        <w:rPr>
          <w:rFonts w:ascii="Times New Roman" w:hAnsi="Times New Roman"/>
          <w:sz w:val="16"/>
        </w:rPr>
        <w:t>.</w:t>
      </w:r>
    </w:p>
  </w:footnote>
  <w:footnote w:id="77">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 de presă al Guvernului Regiunii Administrative Speciale Hong Kong </w:t>
      </w:r>
      <w:hyperlink r:id="rId78" w:history="1">
        <w:r>
          <w:rPr>
            <w:rStyle w:val="Hyperlink"/>
            <w:rFonts w:ascii="Times New Roman" w:hAnsi="Times New Roman"/>
            <w:sz w:val="16"/>
          </w:rPr>
          <w:t>https://www.news.gov.hk/eng/2025/09/20250925/20250925_171614_881.html</w:t>
        </w:r>
      </w:hyperlink>
      <w:r>
        <w:t>.</w:t>
      </w:r>
    </w:p>
    <w:p>
      <w:pPr>
        <w:pStyle w:val="FootnoteText"/>
        <w:rPr>
          <w:rFonts w:ascii="Times New Roman" w:hAnsi="Times New Roman" w:cs="Times New Roman"/>
          <w:sz w:val="16"/>
          <w:szCs w:val="16"/>
        </w:rPr>
      </w:pPr>
      <w:r>
        <w:rPr>
          <w:rFonts w:ascii="Times New Roman" w:hAnsi="Times New Roman"/>
          <w:sz w:val="16"/>
        </w:rPr>
        <w:t>Comunicat de presă al HKMA.</w:t>
      </w:r>
    </w:p>
    <w:p>
      <w:pPr>
        <w:pStyle w:val="FootnoteText"/>
        <w:rPr>
          <w:rFonts w:ascii="Times New Roman" w:hAnsi="Times New Roman" w:cs="Times New Roman"/>
          <w:sz w:val="16"/>
          <w:szCs w:val="16"/>
        </w:rPr>
      </w:pPr>
      <w:hyperlink r:id="rId79" w:history="1">
        <w:r>
          <w:rPr>
            <w:rStyle w:val="Hyperlink"/>
            <w:rFonts w:ascii="Times New Roman" w:hAnsi="Times New Roman"/>
            <w:sz w:val="16"/>
          </w:rPr>
          <w:t>https://www.hkma.gov.hk/eng/news-and-media/press-releases/2025/05/20250515-7/</w:t>
        </w:r>
      </w:hyperlink>
      <w:r>
        <w:t>.</w:t>
      </w:r>
    </w:p>
  </w:footnote>
  <w:footnote w:id="78">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 de presă al Guvernului Regiunii Administrative Speciale Hong Kong </w:t>
      </w:r>
      <w:hyperlink r:id="rId80" w:history="1">
        <w:r>
          <w:rPr>
            <w:rStyle w:val="Hyperlink"/>
            <w:rFonts w:ascii="Times New Roman" w:hAnsi="Times New Roman"/>
            <w:sz w:val="16"/>
          </w:rPr>
          <w:t>https://www.info.gov.hk/gia/general/202507/08/P2025070800606.htm</w:t>
        </w:r>
      </w:hyperlink>
      <w:r>
        <w:rPr>
          <w:rFonts w:ascii="Times New Roman" w:hAnsi="Times New Roman"/>
          <w:sz w:val="16"/>
        </w:rPr>
        <w:t>.</w:t>
      </w:r>
    </w:p>
  </w:footnote>
  <w:footnote w:id="79">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Circulara SFC </w:t>
      </w:r>
      <w:hyperlink r:id="rId81" w:history="1">
        <w:r>
          <w:rPr>
            <w:rStyle w:val="Hyperlink"/>
            <w:rFonts w:ascii="Times New Roman" w:hAnsi="Times New Roman"/>
            <w:sz w:val="16"/>
          </w:rPr>
          <w:t>https://apps.sfc.hk/edistributionWeb/gateway/EN/circular/intermediaries/supervision/doc?refNo=25EC60</w:t>
        </w:r>
      </w:hyperlink>
      <w:r>
        <w:t>.</w:t>
      </w:r>
    </w:p>
    <w:p>
      <w:pPr>
        <w:pStyle w:val="FootnoteText"/>
        <w:rPr>
          <w:rFonts w:ascii="Times New Roman" w:hAnsi="Times New Roman" w:cs="Times New Roman"/>
          <w:sz w:val="16"/>
          <w:szCs w:val="16"/>
        </w:rPr>
      </w:pPr>
      <w:r>
        <w:rPr>
          <w:rFonts w:ascii="Times New Roman" w:hAnsi="Times New Roman"/>
          <w:sz w:val="16"/>
        </w:rPr>
        <w:t>Circulara HKMA.</w:t>
      </w:r>
    </w:p>
    <w:p>
      <w:pPr>
        <w:pStyle w:val="FootnoteText"/>
        <w:rPr>
          <w:rFonts w:ascii="Times New Roman" w:hAnsi="Times New Roman" w:cs="Times New Roman"/>
          <w:sz w:val="16"/>
          <w:szCs w:val="16"/>
        </w:rPr>
      </w:pPr>
      <w:hyperlink r:id="rId82" w:history="1">
        <w:r>
          <w:rPr>
            <w:rStyle w:val="Hyperlink"/>
            <w:rFonts w:ascii="Times New Roman" w:hAnsi="Times New Roman"/>
            <w:sz w:val="16"/>
          </w:rPr>
          <w:t>https://brdr.hkma.gov.hk/eng/doc-ldg/docId/getPdf/20250321-1-EN/20250321-1-EN.pdf</w:t>
        </w:r>
      </w:hyperlink>
      <w:r>
        <w:t>.</w:t>
      </w:r>
    </w:p>
  </w:footnote>
  <w:footnote w:id="80">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 de presă al Guvernului Regiunii Administrative Speciale Hong Kong </w:t>
      </w:r>
      <w:hyperlink r:id="rId83" w:history="1">
        <w:r>
          <w:rPr>
            <w:rStyle w:val="Hyperlink"/>
            <w:rFonts w:ascii="Times New Roman" w:hAnsi="Times New Roman"/>
            <w:sz w:val="16"/>
          </w:rPr>
          <w:t>https://www.info.gov.hk/gia/general/202509/25/P2025092501054.htm</w:t>
        </w:r>
      </w:hyperlink>
      <w:r>
        <w:rPr>
          <w:rFonts w:ascii="Times New Roman" w:hAnsi="Times New Roman"/>
          <w:sz w:val="16"/>
        </w:rPr>
        <w:t>.</w:t>
      </w:r>
    </w:p>
  </w:footnote>
  <w:footnote w:id="81">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Comunicat de presă al Guvernului Regiunii Administrative Speciale Hong Kong</w:t>
      </w:r>
      <w:r>
        <w:t>.</w:t>
      </w:r>
    </w:p>
    <w:p>
      <w:pPr>
        <w:pStyle w:val="FootnoteText"/>
        <w:rPr>
          <w:rFonts w:ascii="Times New Roman" w:hAnsi="Times New Roman" w:cs="Times New Roman"/>
          <w:sz w:val="16"/>
          <w:szCs w:val="16"/>
        </w:rPr>
      </w:pPr>
      <w:hyperlink r:id="rId84" w:history="1">
        <w:r>
          <w:rPr>
            <w:rStyle w:val="Hyperlink"/>
            <w:rFonts w:ascii="Times New Roman" w:hAnsi="Times New Roman"/>
            <w:sz w:val="16"/>
          </w:rPr>
          <w:t>https://www.info.gov.hk/gia/general/202512/22/P2025122200201.htm</w:t>
        </w:r>
      </w:hyperlink>
      <w:r>
        <w:t>.</w:t>
      </w:r>
    </w:p>
  </w:footnote>
  <w:footnote w:id="82">
    <w:p>
      <w:pPr>
        <w:pStyle w:val="FootnoteText"/>
        <w:rPr>
          <w:rFonts w:ascii="Times New Roman" w:hAnsi="Times New Roman" w:cs="Times New Roman"/>
          <w:sz w:val="18"/>
          <w:szCs w:val="18"/>
        </w:rPr>
      </w:pPr>
      <w:r>
        <w:rPr>
          <w:rStyle w:val="FootnoteReference"/>
          <w:sz w:val="16"/>
          <w:szCs w:val="16"/>
        </w:rPr>
        <w:footnoteRef/>
      </w:r>
      <w:r>
        <w:rPr>
          <w:rFonts w:ascii="Times New Roman" w:hAnsi="Times New Roman"/>
          <w:sz w:val="16"/>
        </w:rPr>
        <w:t xml:space="preserve"> Comunicat de presă al Guvernului Regiunii Administrative Speciale Hong Kong </w:t>
      </w:r>
      <w:hyperlink r:id="rId85" w:history="1">
        <w:r>
          <w:rPr>
            <w:rStyle w:val="Hyperlink"/>
            <w:rFonts w:ascii="Times New Roman" w:hAnsi="Times New Roman"/>
            <w:sz w:val="16"/>
          </w:rPr>
          <w:t>https://www.info.gov.hk/gia/general/202510/31/P2025103100322.htm</w:t>
        </w:r>
      </w:hyperlink>
      <w:r>
        <w:rPr>
          <w:rFonts w:ascii="Times New Roman" w:hAnsi="Times New Roman"/>
          <w:sz w:val="18"/>
        </w:rPr>
        <w:t>.</w:t>
      </w:r>
    </w:p>
  </w:footnote>
  <w:footnote w:id="83">
    <w:p>
      <w:pPr>
        <w:spacing w:after="0"/>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Comunicat de presă al Guvernului Regiunii Administrative Speciale Hong Kong </w:t>
      </w:r>
      <w:hyperlink r:id="rId86" w:history="1">
        <w:r>
          <w:rPr>
            <w:rStyle w:val="Hyperlink"/>
            <w:rFonts w:ascii="Times New Roman" w:hAnsi="Times New Roman"/>
            <w:sz w:val="16"/>
          </w:rPr>
          <w:t>https://www.news.gov.hk/eng/2025/10/20251031/20251031_123417_912.html</w:t>
        </w:r>
      </w:hyperlink>
      <w:r>
        <w:rPr>
          <w:sz w:val="20"/>
        </w:rPr>
        <w:t>.</w:t>
      </w:r>
    </w:p>
  </w:footnote>
  <w:footnote w:id="84">
    <w:p>
      <w:pPr>
        <w:pStyle w:val="FootnoteText"/>
        <w:rPr>
          <w:rFonts w:ascii="Times New Roman" w:hAnsi="Times New Roman" w:cs="Times New Roman"/>
          <w:sz w:val="18"/>
          <w:szCs w:val="18"/>
        </w:rPr>
      </w:pPr>
      <w:r>
        <w:rPr>
          <w:rStyle w:val="FootnoteReference"/>
          <w:sz w:val="16"/>
          <w:szCs w:val="16"/>
        </w:rPr>
        <w:footnoteRef/>
      </w:r>
      <w:r>
        <w:rPr>
          <w:rFonts w:ascii="Times New Roman" w:hAnsi="Times New Roman"/>
          <w:sz w:val="16"/>
        </w:rPr>
        <w:t xml:space="preserve"> </w:t>
      </w:r>
      <w:hyperlink r:id="rId87" w:history="1">
        <w:r>
          <w:rPr>
            <w:rStyle w:val="Hyperlink"/>
            <w:rFonts w:ascii="Times New Roman" w:hAnsi="Times New Roman"/>
            <w:sz w:val="16"/>
          </w:rPr>
          <w:t>https://www.youth.gov.hk/en/career-study/stories/194716ec-9c49-4b6e-93f7-705eeb736e55</w:t>
        </w:r>
      </w:hyperlink>
      <w:r>
        <w:t>.</w:t>
      </w:r>
    </w:p>
  </w:footnote>
  <w:footnote w:id="85">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Circulara HKMA</w:t>
      </w:r>
      <w:r>
        <w:t>.</w:t>
      </w:r>
    </w:p>
    <w:p>
      <w:pPr>
        <w:pStyle w:val="FootnoteText"/>
        <w:rPr>
          <w:rFonts w:ascii="Times New Roman" w:hAnsi="Times New Roman" w:cs="Times New Roman"/>
          <w:sz w:val="16"/>
          <w:szCs w:val="16"/>
        </w:rPr>
      </w:pPr>
      <w:hyperlink r:id="rId88" w:history="1">
        <w:r>
          <w:rPr>
            <w:rStyle w:val="Hyperlink"/>
            <w:rFonts w:ascii="Times New Roman" w:hAnsi="Times New Roman"/>
            <w:sz w:val="16"/>
          </w:rPr>
          <w:t>https://brdr.hkma.gov.hk/eng/doc-ldg/docId/getPdf/20251009-2-EN/20251009-2-EN.pdf</w:t>
        </w:r>
      </w:hyperlink>
      <w:r>
        <w:t>.</w:t>
      </w:r>
    </w:p>
  </w:footnote>
  <w:footnote w:id="86">
    <w:p>
      <w:pPr>
        <w:pStyle w:val="FootnoteText"/>
        <w:rPr>
          <w:rFonts w:ascii="Times New Roman" w:hAnsi="Times New Roman" w:cs="Times New Roman"/>
        </w:rPr>
      </w:pPr>
      <w:r>
        <w:rPr>
          <w:rStyle w:val="FootnoteReference"/>
          <w:sz w:val="16"/>
          <w:szCs w:val="16"/>
        </w:rPr>
        <w:footnoteRef/>
      </w:r>
      <w:r>
        <w:rPr>
          <w:rFonts w:ascii="Times New Roman" w:hAnsi="Times New Roman"/>
          <w:sz w:val="16"/>
        </w:rPr>
        <w:t xml:space="preserve"> Comunicat de presă al Guvernului Regiunii Administrative Speciale Hong Kong </w:t>
      </w:r>
      <w:hyperlink r:id="rId89" w:history="1">
        <w:r>
          <w:rPr>
            <w:rStyle w:val="Hyperlink"/>
            <w:rFonts w:ascii="Times New Roman" w:hAnsi="Times New Roman"/>
            <w:sz w:val="16"/>
          </w:rPr>
          <w:t>https://www.info.gov.hk/gia/general/202512/09/P2025120900687p.htm</w:t>
        </w:r>
      </w:hyperlink>
      <w:r>
        <w:rPr>
          <w:rFonts w:ascii="Times New Roman" w:hAnsi="Times New Roman"/>
        </w:rPr>
        <w:t>.</w:t>
      </w:r>
    </w:p>
  </w:footnote>
  <w:footnote w:id="87">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xml:space="preserve"> Raport statistic privind statisticile referitoare la investițiile străine directe externe ale Hong Kongului (ediția din 2024), </w:t>
      </w:r>
      <w:hyperlink r:id="rId90" w:history="1">
        <w:r>
          <w:rPr>
            <w:rStyle w:val="Hyperlink"/>
            <w:rFonts w:ascii="Times New Roman" w:hAnsi="Times New Roman"/>
            <w:sz w:val="16"/>
          </w:rPr>
          <w:t>https://www.censtatd.gov.hk/en/wbr.html?ecode=B10400032024AN24&amp;scode=260</w:t>
        </w:r>
      </w:hyperlink>
      <w:r>
        <w:rPr>
          <w:rFonts w:ascii="Times New Roman" w:hAnsi="Times New Roman"/>
          <w:sz w:val="16"/>
        </w:rPr>
        <w:t>.</w:t>
      </w:r>
    </w:p>
  </w:footnote>
  <w:footnote w:id="88">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Consiliul pentru dezvoltarea comerțului din Hong Kong</w:t>
      </w:r>
      <w:r>
        <w:t>.</w:t>
      </w:r>
    </w:p>
    <w:p>
      <w:pPr>
        <w:pStyle w:val="FootnoteText"/>
      </w:pPr>
      <w:hyperlink r:id="rId91" w:history="1">
        <w:r>
          <w:rPr>
            <w:rStyle w:val="Hyperlink"/>
            <w:rFonts w:ascii="Times New Roman" w:hAnsi="Times New Roman"/>
            <w:sz w:val="16"/>
          </w:rPr>
          <w:t>https://research.hktdc.com/en/article/MzIwNjcyMDYx</w:t>
        </w:r>
      </w:hyperlink>
      <w:r>
        <w:t>.</w:t>
      </w:r>
    </w:p>
  </w:footnote>
  <w:footnote w:id="89">
    <w:p>
      <w:pPr>
        <w:pStyle w:val="FootnoteText"/>
        <w:rPr>
          <w:rFonts w:ascii="Times New Roman" w:hAnsi="Times New Roman" w:cs="Times New Roman"/>
          <w:sz w:val="16"/>
          <w:szCs w:val="16"/>
        </w:rPr>
      </w:pPr>
      <w:r>
        <w:rPr>
          <w:rStyle w:val="FootnoteReference"/>
          <w:sz w:val="16"/>
          <w:szCs w:val="16"/>
        </w:rPr>
        <w:footnoteRef/>
      </w:r>
      <w:r>
        <w:rPr>
          <w:rFonts w:ascii="Times New Roman" w:hAnsi="Times New Roman"/>
          <w:sz w:val="16"/>
        </w:rPr>
        <w:t> Raport privind Studiul anual referitor la societățile comerciale din Hong Kong cu societăți-mamă situate în afara Hong Kongului (ediția 2025)</w:t>
      </w:r>
      <w:r>
        <w:t>.</w:t>
      </w:r>
    </w:p>
    <w:p>
      <w:pPr>
        <w:pStyle w:val="FootnoteText"/>
        <w:rPr>
          <w:rFonts w:ascii="Times New Roman" w:hAnsi="Times New Roman" w:cs="Times New Roman"/>
          <w:sz w:val="18"/>
          <w:szCs w:val="18"/>
        </w:rPr>
      </w:pPr>
      <w:hyperlink r:id="rId92" w:history="1">
        <w:r>
          <w:rPr>
            <w:rStyle w:val="Hyperlink"/>
            <w:rFonts w:ascii="Times New Roman" w:hAnsi="Times New Roman"/>
            <w:sz w:val="16"/>
          </w:rPr>
          <w:t>https://www.censtatd.gov.hk/en/EIndexbySubject.html?scode=360&amp;pcode=B1110004&amp;r=en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23A"/>
    <w:multiLevelType w:val="hybridMultilevel"/>
    <w:tmpl w:val="8BBE9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C671B"/>
    <w:multiLevelType w:val="hybridMultilevel"/>
    <w:tmpl w:val="EB98D0F4"/>
    <w:lvl w:ilvl="0" w:tplc="76E6E856">
      <w:numFmt w:val="bullet"/>
      <w:lvlText w:val="-"/>
      <w:lvlJc w:val="left"/>
      <w:pPr>
        <w:ind w:left="360" w:hanging="360"/>
      </w:pPr>
      <w:rPr>
        <w:rFonts w:ascii="Arial" w:eastAsia="Arial"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C64AF9"/>
    <w:multiLevelType w:val="hybridMultilevel"/>
    <w:tmpl w:val="F718F9F0"/>
    <w:lvl w:ilvl="0" w:tplc="DC788B6A">
      <w:start w:val="1"/>
      <w:numFmt w:val="bullet"/>
      <w:lvlText w:val="-"/>
      <w:lvlJc w:val="left"/>
      <w:pPr>
        <w:ind w:left="720" w:hanging="360"/>
      </w:pPr>
      <w:rPr>
        <w:rFonts w:ascii="Times New Roman" w:eastAsiaTheme="minorEastAsia"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F5D48"/>
    <w:multiLevelType w:val="hybridMultilevel"/>
    <w:tmpl w:val="F05A40A6"/>
    <w:lvl w:ilvl="0" w:tplc="10C25694">
      <w:start w:val="20"/>
      <w:numFmt w:val="bullet"/>
      <w:lvlText w:val="-"/>
      <w:lvlJc w:val="left"/>
      <w:pPr>
        <w:ind w:left="720" w:hanging="360"/>
      </w:pPr>
      <w:rPr>
        <w:rFonts w:ascii="Times New Roman" w:eastAsiaTheme="minorEastAsia"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08541C"/>
    <w:multiLevelType w:val="hybridMultilevel"/>
    <w:tmpl w:val="F266CA7E"/>
    <w:lvl w:ilvl="0" w:tplc="B8DE92E6">
      <w:numFmt w:val="bullet"/>
      <w:lvlText w:val="-"/>
      <w:lvlJc w:val="left"/>
      <w:pPr>
        <w:ind w:left="1065" w:hanging="360"/>
      </w:pPr>
      <w:rPr>
        <w:rFonts w:ascii="Times New Roman" w:eastAsia="Calibri" w:hAnsi="Times New Roman" w:cs="Times New Roman"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5" w15:restartNumberingAfterBreak="0">
    <w:nsid w:val="280740F0"/>
    <w:multiLevelType w:val="hybridMultilevel"/>
    <w:tmpl w:val="06C2A590"/>
    <w:lvl w:ilvl="0" w:tplc="39386DE6">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AE55C0E"/>
    <w:multiLevelType w:val="hybridMultilevel"/>
    <w:tmpl w:val="207A70F2"/>
    <w:lvl w:ilvl="0" w:tplc="42EE1CF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1176FB2"/>
    <w:multiLevelType w:val="hybridMultilevel"/>
    <w:tmpl w:val="9782E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D4ED6"/>
    <w:multiLevelType w:val="hybridMultilevel"/>
    <w:tmpl w:val="12E6533A"/>
    <w:lvl w:ilvl="0" w:tplc="1F962DE4">
      <w:numFmt w:val="bullet"/>
      <w:lvlText w:val="-"/>
      <w:lvlJc w:val="left"/>
      <w:pPr>
        <w:ind w:left="360" w:hanging="360"/>
      </w:pPr>
      <w:rPr>
        <w:rFonts w:ascii="Calibri" w:eastAsia="DengXi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436830D4"/>
    <w:multiLevelType w:val="hybridMultilevel"/>
    <w:tmpl w:val="600063CE"/>
    <w:lvl w:ilvl="0" w:tplc="2EF84F44">
      <w:numFmt w:val="bullet"/>
      <w:lvlText w:val="-"/>
      <w:lvlJc w:val="left"/>
      <w:pPr>
        <w:ind w:left="360" w:hanging="360"/>
      </w:pPr>
      <w:rPr>
        <w:rFonts w:ascii="Times New Roman" w:eastAsiaTheme="minorEastAsia"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2D1108"/>
    <w:multiLevelType w:val="hybridMultilevel"/>
    <w:tmpl w:val="6A50E4C2"/>
    <w:lvl w:ilvl="0" w:tplc="CCE05AB6">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31C318D"/>
    <w:multiLevelType w:val="hybridMultilevel"/>
    <w:tmpl w:val="A3D6F888"/>
    <w:lvl w:ilvl="0" w:tplc="F65856A0">
      <w:numFmt w:val="bullet"/>
      <w:lvlText w:val="-"/>
      <w:lvlJc w:val="left"/>
      <w:pPr>
        <w:ind w:left="720" w:hanging="360"/>
      </w:pPr>
      <w:rPr>
        <w:rFonts w:ascii="Arial" w:eastAsia="PMingLiU" w:hAnsi="Arial" w:cs="Arial"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32E454D"/>
    <w:multiLevelType w:val="hybridMultilevel"/>
    <w:tmpl w:val="DD16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23314E"/>
    <w:multiLevelType w:val="hybridMultilevel"/>
    <w:tmpl w:val="7A663644"/>
    <w:lvl w:ilvl="0" w:tplc="3D240FB2">
      <w:start w:val="2"/>
      <w:numFmt w:val="bullet"/>
      <w:lvlText w:val="-"/>
      <w:lvlJc w:val="left"/>
      <w:pPr>
        <w:ind w:left="1065" w:hanging="360"/>
      </w:pPr>
      <w:rPr>
        <w:rFonts w:ascii="Times New Roman" w:eastAsiaTheme="minorEastAsia" w:hAnsi="Times New Roman" w:cs="Times New Roman"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4" w15:restartNumberingAfterBreak="0">
    <w:nsid w:val="67132311"/>
    <w:multiLevelType w:val="hybridMultilevel"/>
    <w:tmpl w:val="D81EA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7C5838"/>
    <w:multiLevelType w:val="hybridMultilevel"/>
    <w:tmpl w:val="187221A2"/>
    <w:lvl w:ilvl="0" w:tplc="137248E0">
      <w:start w:val="1"/>
      <w:numFmt w:val="bullet"/>
      <w:lvlText w:val="-"/>
      <w:lvlJc w:val="left"/>
      <w:pPr>
        <w:ind w:left="360" w:hanging="360"/>
      </w:pPr>
      <w:rPr>
        <w:rFonts w:ascii="Arial" w:eastAsiaTheme="minorEastAsia"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E43C8D"/>
    <w:multiLevelType w:val="hybridMultilevel"/>
    <w:tmpl w:val="79043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14721C"/>
    <w:multiLevelType w:val="hybridMultilevel"/>
    <w:tmpl w:val="D266086A"/>
    <w:lvl w:ilvl="0" w:tplc="A776EE48">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941325"/>
    <w:multiLevelType w:val="hybridMultilevel"/>
    <w:tmpl w:val="52029008"/>
    <w:lvl w:ilvl="0" w:tplc="CB04D72C">
      <w:start w:val="31"/>
      <w:numFmt w:val="bullet"/>
      <w:lvlText w:val="-"/>
      <w:lvlJc w:val="left"/>
      <w:pPr>
        <w:ind w:left="360" w:hanging="360"/>
      </w:pPr>
      <w:rPr>
        <w:rFonts w:ascii="Aptos" w:eastAsiaTheme="minorEastAsia" w:hAnsi="Aptos"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8"/>
  </w:num>
  <w:num w:numId="2">
    <w:abstractNumId w:val="10"/>
  </w:num>
  <w:num w:numId="3">
    <w:abstractNumId w:val="4"/>
  </w:num>
  <w:num w:numId="4">
    <w:abstractNumId w:val="15"/>
  </w:num>
  <w:num w:numId="5">
    <w:abstractNumId w:val="1"/>
  </w:num>
  <w:num w:numId="6">
    <w:abstractNumId w:val="8"/>
  </w:num>
  <w:num w:numId="7">
    <w:abstractNumId w:val="9"/>
  </w:num>
  <w:num w:numId="8">
    <w:abstractNumId w:val="13"/>
  </w:num>
  <w:num w:numId="9">
    <w:abstractNumId w:val="11"/>
  </w:num>
  <w:num w:numId="10">
    <w:abstractNumId w:val="12"/>
  </w:num>
  <w:num w:numId="11">
    <w:abstractNumId w:val="14"/>
  </w:num>
  <w:num w:numId="12">
    <w:abstractNumId w:val="7"/>
  </w:num>
  <w:num w:numId="13">
    <w:abstractNumId w:val="3"/>
  </w:num>
  <w:num w:numId="14">
    <w:abstractNumId w:val="5"/>
  </w:num>
  <w:num w:numId="15">
    <w:abstractNumId w:val="6"/>
  </w:num>
  <w:num w:numId="16">
    <w:abstractNumId w:val="0"/>
  </w:num>
  <w:num w:numId="17">
    <w:abstractNumId w:val="17"/>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8F41F84D-59D9-437D-BC7C-B841A991ABE1"/>
    <w:docVar w:name="LW_COVERPAGE_TYPE" w:val="1"/>
    <w:docVar w:name="LW_CROSSREFERENCE" w:val="&lt;UNUSED&gt;"/>
    <w:docVar w:name="LW_DocType" w:val="NORMAL"/>
    <w:docVar w:name="LW_EMISSION" w:val="22.9.2026"/>
    <w:docVar w:name="LW_EMISSION_ISODATE" w:val="2026-09-22"/>
    <w:docVar w:name="LW_EMISSION_LOCATION" w:val="BRX"/>
    <w:docVar w:name="LW_EMISSION_PREFIX" w:val="Bruxelles, "/>
    <w:docVar w:name="LW_EMISSION_SUFFIX" w:val=" "/>
    <w:docVar w:name="LW_ID_DOCTYPE_NONLW" w:val="CP-018"/>
    <w:docVar w:name="LW_LANGUE" w:val="RO"/>
    <w:docVar w:name="LW_LEVEL_OF_SENSITIVITY" w:val="Standard treatment"/>
    <w:docVar w:name="LW_NOM.INST" w:val="COMISIA EUROPEAN\u258?"/>
    <w:docVar w:name="LW_NOM.INST_JOINTDOC" w:val="ÎNALTUL REPREZENTANT AL_x000b_UNIUNII PENTRU AFACERI_x000b_ EXTERNE \u536?I POLITICA_x000b_DE SECURITATE"/>
    <w:docVar w:name="LW_PART_NBR" w:val="1"/>
    <w:docVar w:name="LW_PART_NBR_TOTAL" w:val="1"/>
    <w:docVar w:name="LW_REF.INST.NEW" w:val="JOIN"/>
    <w:docVar w:name="LW_REF.INST.NEW_ADOPTED" w:val="final"/>
    <w:docVar w:name="LW_REF.INST.NEW_TEXT" w:val="(2026) 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giunea Administrativ\u259? Special\u259? Hong Kong:_x000d__x000d__x000d__x000b__x000d__x000d__x000d__x000d__x000b_Raport anual pentru 2025"/>
    <w:docVar w:name="LW_TYPE.DOC.CP" w:val="RAPORT COMUN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EF12CD1-80CA-4EBD-B9AE-BCC59146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563C1"/>
      <w:u w:val="single"/>
    </w:rPr>
  </w:style>
  <w:style w:type="paragraph" w:styleId="NoSpacing">
    <w:name w:val="No Spacing"/>
    <w:basedOn w:val="Normal"/>
    <w:uiPriority w:val="1"/>
    <w:qFormat/>
    <w:pPr>
      <w:spacing w:after="0" w:line="240" w:lineRule="auto"/>
    </w:pPr>
    <w:rPr>
      <w:rFonts w:ascii="Calibri" w:eastAsiaTheme="minorEastAsia" w:hAnsi="Calibri" w:cs="Calibri"/>
      <w:kern w:val="0"/>
      <w:sz w:val="22"/>
      <w:szCs w:val="22"/>
      <w:lang w:eastAsia="zh-CN"/>
      <w14:ligatures w14:val="none"/>
    </w:rPr>
  </w:style>
  <w:style w:type="character" w:customStyle="1" w:styleId="x193iq5w">
    <w:name w:val="x193iq5w"/>
    <w:basedOn w:val="DefaultParagraphFont"/>
  </w:style>
  <w:style w:type="character" w:styleId="Emphasis">
    <w:name w:val="Emphasis"/>
    <w:basedOn w:val="DefaultParagraphFont"/>
    <w:uiPriority w:val="20"/>
    <w:qFormat/>
    <w:rPr>
      <w:i/>
      <w:iCs/>
    </w:rPr>
  </w:style>
  <w:style w:type="character" w:styleId="UnresolvedMention">
    <w:name w:val="Unresolved Mention"/>
    <w:basedOn w:val="DefaultParagraphFont"/>
    <w:uiPriority w:val="99"/>
    <w:semiHidden/>
    <w:unhideWhenUsed/>
    <w:rPr>
      <w:color w:val="605E5C"/>
      <w:shd w:val="clear" w:color="auto" w:fill="E1DFDD"/>
    </w:rPr>
  </w:style>
  <w:style w:type="paragraph" w:styleId="FootnoteText">
    <w:name w:val="footnote text"/>
    <w:basedOn w:val="Normal"/>
    <w:uiPriority w:val="99"/>
    <w:unhideWhenUsed/>
    <w:pPr>
      <w:spacing w:after="0" w:line="240" w:lineRule="auto"/>
    </w:pPr>
    <w:rPr>
      <w:rFonts w:eastAsiaTheme="minorEastAsia"/>
      <w:kern w:val="0"/>
      <w:sz w:val="20"/>
      <w:szCs w:val="20"/>
      <w:lang w:eastAsia="zh-CN"/>
      <w14:ligatures w14:val="none"/>
    </w:rPr>
  </w:style>
  <w:style w:type="character" w:customStyle="1" w:styleId="FootnoteTextChar">
    <w:name w:val="Footnote Text Char"/>
    <w:basedOn w:val="DefaultParagraphFont"/>
    <w:uiPriority w:val="99"/>
    <w:rPr>
      <w:rFonts w:eastAsiaTheme="minorEastAsia"/>
      <w:kern w:val="0"/>
      <w:sz w:val="20"/>
      <w:szCs w:val="20"/>
      <w:lang w:eastAsia="zh-CN"/>
      <w14:ligatures w14:val="none"/>
    </w:rPr>
  </w:style>
  <w:style w:type="character" w:styleId="FootnoteReference">
    <w:name w:val="footnote reference"/>
    <w:basedOn w:val="DefaultParagraphFont"/>
    <w:uiPriority w:val="99"/>
    <w:unhideWhenUsed/>
    <w:rPr>
      <w:vertAlign w:val="superscript"/>
    </w:rPr>
  </w:style>
  <w:style w:type="paragraph" w:styleId="Revision">
    <w:name w:val="Revision"/>
    <w:hidden/>
    <w:uiPriority w:val="99"/>
    <w:semiHidden/>
    <w:pPr>
      <w:spacing w:after="0" w:line="240" w:lineRule="auto"/>
    </w:pPr>
    <w:rPr>
      <w:rFonts w:eastAsiaTheme="minorEastAsia"/>
      <w:kern w:val="0"/>
      <w:sz w:val="22"/>
      <w:szCs w:val="22"/>
      <w:lang w:eastAsia="zh-CN"/>
      <w14:ligatures w14:val="non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rFonts w:eastAsiaTheme="minorEastAsia"/>
      <w:kern w:val="0"/>
      <w:sz w:val="20"/>
      <w:szCs w:val="20"/>
      <w:lang w:eastAsia="zh-CN"/>
      <w14:ligatures w14:val="none"/>
    </w:rPr>
  </w:style>
  <w:style w:type="character" w:customStyle="1" w:styleId="CommentTextChar">
    <w:name w:val="Comment Text Char"/>
    <w:basedOn w:val="DefaultParagraphFont"/>
    <w:link w:val="CommentText"/>
    <w:uiPriority w:val="99"/>
    <w:rPr>
      <w:rFonts w:eastAsiaTheme="minorEastAsia"/>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kern w:val="0"/>
      <w:sz w:val="20"/>
      <w:szCs w:val="20"/>
      <w:lang w:eastAsia="zh-CN"/>
      <w14:ligatures w14:val="non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news.gov.hk/eng/2025/07/20250710/20250710_174216_088.html" TargetMode="External"/><Relationship Id="rId21" Type="http://schemas.openxmlformats.org/officeDocument/2006/relationships/hyperlink" Target="https://www.ckh.com.hk/en/media/press_each.php?id=3431" TargetMode="External"/><Relationship Id="rId42" Type="http://schemas.openxmlformats.org/officeDocument/2006/relationships/hyperlink" Target="https://www.tlb.gov.hk/eng/psp/speeches/transport/2025/20251209a.html" TargetMode="External"/><Relationship Id="rId47" Type="http://schemas.openxmlformats.org/officeDocument/2006/relationships/hyperlink" Target="https://www.hkma.gov.hk/eng/key-functions/money/liquidity-facility-framework/rmb-liquidity-facility-and-primary-liquidity-providers/" TargetMode="External"/><Relationship Id="rId63" Type="http://schemas.openxmlformats.org/officeDocument/2006/relationships/hyperlink" Target="https://www.wipo.int/web-publications/global-innovation-index-2025/en/index.html" TargetMode="External"/><Relationship Id="rId68" Type="http://schemas.openxmlformats.org/officeDocument/2006/relationships/hyperlink" Target="https://www.info.gov.hk/gia/general/202510/15/P2025101500264.htm" TargetMode="External"/><Relationship Id="rId84" Type="http://schemas.openxmlformats.org/officeDocument/2006/relationships/hyperlink" Target="https://www.info.gov.hk/gia/general/202512/22/P2025122200201.htm" TargetMode="External"/><Relationship Id="rId89" Type="http://schemas.openxmlformats.org/officeDocument/2006/relationships/hyperlink" Target="https://www.info.gov.hk/gia/general/202512/09/P2025120900687p.htm" TargetMode="External"/><Relationship Id="rId16" Type="http://schemas.openxmlformats.org/officeDocument/2006/relationships/hyperlink" Target="https://www.censtatd.gov.hk/en/web_table.html?id=410-51041" TargetMode="External"/><Relationship Id="rId11" Type="http://schemas.openxmlformats.org/officeDocument/2006/relationships/hyperlink" Target="https://www.eeas.europa.eu/delegations/hong-kong/tai-po-fire-eu-office-extends-condolences-and-solidarity_en?s=239" TargetMode="External"/><Relationship Id="rId32" Type="http://schemas.openxmlformats.org/officeDocument/2006/relationships/hyperlink" Target="https://www.info.gov.hk/gia/general/202512/22/P2025122200457.htm" TargetMode="External"/><Relationship Id="rId37" Type="http://schemas.openxmlformats.org/officeDocument/2006/relationships/hyperlink" Target="https://www.mardep.gov.hk/filemanager/en/share/pub-services/pdf/lvs_copbun.pdf" TargetMode="External"/><Relationship Id="rId53" Type="http://schemas.openxmlformats.org/officeDocument/2006/relationships/hyperlink" Target="https://www.news.gov.hk/eng/2025/05/20250521/20250521_170205_430.html" TargetMode="External"/><Relationship Id="rId58" Type="http://schemas.openxmlformats.org/officeDocument/2006/relationships/hyperlink" Target="https://www.hkma.gov.hk/eng/news-and-media/press-releases/2025/11/20251103-3/" TargetMode="External"/><Relationship Id="rId74" Type="http://schemas.openxmlformats.org/officeDocument/2006/relationships/hyperlink" Target="https://www.news.gov.hk/eng/2025/10/20251009/20251009_174638_112.html" TargetMode="External"/><Relationship Id="rId79" Type="http://schemas.openxmlformats.org/officeDocument/2006/relationships/hyperlink" Target="https://www.hkma.gov.hk/eng/news-and-media/press-releases/2025/05/20250515-7/" TargetMode="External"/><Relationship Id="rId5" Type="http://schemas.openxmlformats.org/officeDocument/2006/relationships/hyperlink" Target="https://x.com/ExtSpoxEU/status/1994669852435644471?s=20" TargetMode="External"/><Relationship Id="rId90" Type="http://schemas.openxmlformats.org/officeDocument/2006/relationships/hyperlink" Target="https://www.censtatd.gov.hk/en/wbr.html?ecode=B10400032024AN24&amp;scode=260" TargetMode="External"/><Relationship Id="rId14" Type="http://schemas.openxmlformats.org/officeDocument/2006/relationships/hyperlink" Target="https://news.un.org/en/story/2025/12/1166548" TargetMode="External"/><Relationship Id="rId22" Type="http://schemas.openxmlformats.org/officeDocument/2006/relationships/hyperlink" Target="https://www1.hkexnews.hk/listedco/listconews/sehk/2025/0728/2025072800045.pdf" TargetMode="External"/><Relationship Id="rId27" Type="http://schemas.openxmlformats.org/officeDocument/2006/relationships/hyperlink" Target="https://www.info.gov.hk/gia/general/202511/20/P2025112000367.htm" TargetMode="External"/><Relationship Id="rId30" Type="http://schemas.openxmlformats.org/officeDocument/2006/relationships/hyperlink" Target="https://www.hkex.com.hk/News/News-Release/2025/251222news?sc_lang=en" TargetMode="External"/><Relationship Id="rId35" Type="http://schemas.openxmlformats.org/officeDocument/2006/relationships/hyperlink" Target="https://www.info.gov.hk/gia/general/202511/17/P2025111700478.htm" TargetMode="External"/><Relationship Id="rId43" Type="http://schemas.openxmlformats.org/officeDocument/2006/relationships/hyperlink" Target="https://www.legco.gov.hk/yr2025/english/panels/edev/papers/edev20250929cb3-1331-2-e.pdf" TargetMode="External"/><Relationship Id="rId48" Type="http://schemas.openxmlformats.org/officeDocument/2006/relationships/hyperlink" Target="https://apps.sfc.hk/edistributionWeb/gateway/EN/news-and-announcements/news/doc?refNo=25PR164" TargetMode="External"/><Relationship Id="rId56" Type="http://schemas.openxmlformats.org/officeDocument/2006/relationships/hyperlink" Target="https://www.info.gov.hk/gia/general/202512/24/P2025122400265.htm" TargetMode="External"/><Relationship Id="rId64" Type="http://schemas.openxmlformats.org/officeDocument/2006/relationships/hyperlink" Target="https://www.info.gov.hk/gia/general/202510/31/P2025103100638.htm" TargetMode="External"/><Relationship Id="rId69" Type="http://schemas.openxmlformats.org/officeDocument/2006/relationships/hyperlink" Target="https://www.info.gov.hk/gia/general/202509/26/P2025092500877.htm" TargetMode="External"/><Relationship Id="rId77" Type="http://schemas.openxmlformats.org/officeDocument/2006/relationships/hyperlink" Target="https://www.news.gov.hk//eng/2025/12/20251231/20251231_123058_774.html" TargetMode="External"/><Relationship Id="rId8" Type="http://schemas.openxmlformats.org/officeDocument/2006/relationships/hyperlink" Target="https://g7.canada.ca/en/news-and-media/news/g7-foreign-ministers-statement-on-the-jimmy-lai-verdict-in-hong-kong/" TargetMode="External"/><Relationship Id="rId51" Type="http://schemas.openxmlformats.org/officeDocument/2006/relationships/hyperlink" Target="https://www.sfc.hk/-/media/EN/files/ER/ASPIRe/ASPIRe-roadmap-for-Hong-Kongs-virtual-asset-market-Eng.pdf" TargetMode="External"/><Relationship Id="rId72" Type="http://schemas.openxmlformats.org/officeDocument/2006/relationships/hyperlink" Target="https://www.news.gov.hk/eng/2025/10/20251027/20251027_111022_326.html" TargetMode="External"/><Relationship Id="rId80" Type="http://schemas.openxmlformats.org/officeDocument/2006/relationships/hyperlink" Target="https://www.info.gov.hk/gia/general/202507/08/P2025070800606.htm" TargetMode="External"/><Relationship Id="rId85" Type="http://schemas.openxmlformats.org/officeDocument/2006/relationships/hyperlink" Target="https://www.info.gov.hk/gia/general/202510/31/P2025103100322.htm" TargetMode="External"/><Relationship Id="rId3" Type="http://schemas.openxmlformats.org/officeDocument/2006/relationships/hyperlink" Target="https://x.com/ExtSpoxEU/status/1893002738272772217" TargetMode="External"/><Relationship Id="rId12" Type="http://schemas.openxmlformats.org/officeDocument/2006/relationships/hyperlink" Target="https://www.ohchr.org/en/documents/thematic-reports/ahrc6062-cooperation-united-nations-its-representatives-and-mechanisms" TargetMode="External"/><Relationship Id="rId17" Type="http://schemas.openxmlformats.org/officeDocument/2006/relationships/hyperlink" Target="https://www.censtatd.gov.hk/en/press_release_detail.html?id=5724" TargetMode="External"/><Relationship Id="rId25" Type="http://schemas.openxmlformats.org/officeDocument/2006/relationships/hyperlink" Target="https://www.news.gov.hk//eng/2025/12/20251229/20251229_145136_027.html" TargetMode="External"/><Relationship Id="rId33" Type="http://schemas.openxmlformats.org/officeDocument/2006/relationships/hyperlink" Target="https://www.info.gov.hk/gia/general/202512/22/P2025122200602.htm" TargetMode="External"/><Relationship Id="rId38" Type="http://schemas.openxmlformats.org/officeDocument/2006/relationships/hyperlink" Target="https://www.info.gov.hk/gia/general/202506/30/P2025063000367.htm" TargetMode="External"/><Relationship Id="rId46" Type="http://schemas.openxmlformats.org/officeDocument/2006/relationships/hyperlink" Target="https://www.hkma.gov.hk/eng/news-and-media/press-releases/2025/09/20250925-3/" TargetMode="External"/><Relationship Id="rId59" Type="http://schemas.openxmlformats.org/officeDocument/2006/relationships/hyperlink" Target="https://www.hkma.gov.hk/eng/news-and-media/press-releases/2025/10/20251028-4/" TargetMode="External"/><Relationship Id="rId67" Type="http://schemas.openxmlformats.org/officeDocument/2006/relationships/hyperlink" Target="https://www.info.gov.hk/gia/general/202512/18/P2025121800500.htm" TargetMode="External"/><Relationship Id="rId20" Type="http://schemas.openxmlformats.org/officeDocument/2006/relationships/hyperlink" Target="https://hongkong.ahk.de/en/news/german-business-in-hong-kong-2025" TargetMode="External"/><Relationship Id="rId41" Type="http://schemas.openxmlformats.org/officeDocument/2006/relationships/hyperlink" Target="https://www.info.gov.hk/gia/general/202511/19/P2025111900627.htm" TargetMode="External"/><Relationship Id="rId54" Type="http://schemas.openxmlformats.org/officeDocument/2006/relationships/hyperlink" Target="https://www.hkma.gov.hk/eng/regulatory-resources/registers/register-of-licensed-stablecoin-issuers/" TargetMode="External"/><Relationship Id="rId62" Type="http://schemas.openxmlformats.org/officeDocument/2006/relationships/hyperlink" Target="https://www.hkex.com.hk/Listing/Sustainability/ESG-Academy/ESG-in-Practice/Climate-Change?sc_lang=en" TargetMode="External"/><Relationship Id="rId70" Type="http://schemas.openxmlformats.org/officeDocument/2006/relationships/hyperlink" Target="https://www.news.gov.hk/eng/2025/03/20250320/20250320_141320_260.html" TargetMode="External"/><Relationship Id="rId75" Type="http://schemas.openxmlformats.org/officeDocument/2006/relationships/hyperlink" Target="https://www.scmp.com/news/hong-kong/hong-kong-economy/article/3336372/hong-kong-aims-launch-passenger-carrying-drones-2-3-years" TargetMode="External"/><Relationship Id="rId83" Type="http://schemas.openxmlformats.org/officeDocument/2006/relationships/hyperlink" Target="https://www.info.gov.hk/gia/general/202509/25/P2025092501054.htm" TargetMode="External"/><Relationship Id="rId88" Type="http://schemas.openxmlformats.org/officeDocument/2006/relationships/hyperlink" Target="https://brdr.hkma.gov.hk/eng/doc-ldg/docId/getPdf/20251009-2-EN/20251009-2-EN.pdf" TargetMode="External"/><Relationship Id="rId91" Type="http://schemas.openxmlformats.org/officeDocument/2006/relationships/hyperlink" Target="https://research.hktdc.com/en/article/MzIwNjcyMDYx" TargetMode="External"/><Relationship Id="rId1" Type="http://schemas.openxmlformats.org/officeDocument/2006/relationships/hyperlink" Target="https://www.eeas.europa.eu/eeas/hong-kong-statement-spokesperson-fifth-anniversary-national-security-law_en" TargetMode="External"/><Relationship Id="rId6" Type="http://schemas.openxmlformats.org/officeDocument/2006/relationships/hyperlink" Target="https://www.facebook.com/share/p/1D3SVRQM7a/" TargetMode="External"/><Relationship Id="rId15" Type="http://schemas.openxmlformats.org/officeDocument/2006/relationships/hyperlink" Target="https://unctad.org/topic/investment/world-investment-report" TargetMode="External"/><Relationship Id="rId23" Type="http://schemas.openxmlformats.org/officeDocument/2006/relationships/hyperlink" Target="https://www.info.gov.hk/gia/general/202510/06/P2025100600200.htm" TargetMode="External"/><Relationship Id="rId28" Type="http://schemas.openxmlformats.org/officeDocument/2006/relationships/hyperlink" Target="https://www.info.gov.hk/gia/general/202510/10/P2025100900761.htm" TargetMode="External"/><Relationship Id="rId36" Type="http://schemas.openxmlformats.org/officeDocument/2006/relationships/hyperlink" Target="https://www.legco.gov.hk/yr2025/english/panels/edev/papers/edev20250304cb3-257-2-e.pdf" TargetMode="External"/><Relationship Id="rId49" Type="http://schemas.openxmlformats.org/officeDocument/2006/relationships/hyperlink" Target="https://www.hkex.com.hk/News/News-Release/2025/251222news?sc_lang=en" TargetMode="External"/><Relationship Id="rId57" Type="http://schemas.openxmlformats.org/officeDocument/2006/relationships/hyperlink" Target="https://www.hkma.gov.hk/eng/news-and-media/press-releases/2025/06/20250620-4/" TargetMode="External"/><Relationship Id="rId10" Type="http://schemas.openxmlformats.org/officeDocument/2006/relationships/hyperlink" Target="https://www.eeas.europa.eu/delegations/un-geneva/eu-statement-hrc60-item-4-general-debate-human-rights-situations-require-council%E2%80%99s-attention_en" TargetMode="External"/><Relationship Id="rId31" Type="http://schemas.openxmlformats.org/officeDocument/2006/relationships/hyperlink" Target="https://www.info.gov.hk/gia/general/202509/22/P2025092200492.htm" TargetMode="External"/><Relationship Id="rId44" Type="http://schemas.openxmlformats.org/officeDocument/2006/relationships/hyperlink" Target="https://www.airbus.com/en/newsroom/press-releases/2025-10-airbus-and-cathay-form-co-investment-partnership-for-scaling" TargetMode="External"/><Relationship Id="rId52" Type="http://schemas.openxmlformats.org/officeDocument/2006/relationships/hyperlink" Target="https://apps.sfc.hk/edistributionWeb/gateway/EN/news-and-announcements/news/corporate-news/doc?refNo=25PR182" TargetMode="External"/><Relationship Id="rId60" Type="http://schemas.openxmlformats.org/officeDocument/2006/relationships/hyperlink" Target="https://www.news.gov.hk/eng/2025/09/20250923/20250923_193938_385.html" TargetMode="External"/><Relationship Id="rId65" Type="http://schemas.openxmlformats.org/officeDocument/2006/relationships/hyperlink" Target="https://www.info.gov.hk/gia/general/202512/22/P2025122200201.htm" TargetMode="External"/><Relationship Id="rId73" Type="http://schemas.openxmlformats.org/officeDocument/2006/relationships/hyperlink" Target="https://www.news.gov.hk/eng/2025/07/20250717/20250717_173355_831.html" TargetMode="External"/><Relationship Id="rId78" Type="http://schemas.openxmlformats.org/officeDocument/2006/relationships/hyperlink" Target="https://www.news.gov.hk/eng/2025/09/20250925/20250925_171614_881.html" TargetMode="External"/><Relationship Id="rId81" Type="http://schemas.openxmlformats.org/officeDocument/2006/relationships/hyperlink" Target="https://apps.sfc.hk/edistributionWeb/gateway/EN/circular/intermediaries/supervision/doc?refNo=25EC60" TargetMode="External"/><Relationship Id="rId86" Type="http://schemas.openxmlformats.org/officeDocument/2006/relationships/hyperlink" Target="https://www.news.gov.hk/eng/2025/10/20251031/20251031_123417_912.html" TargetMode="External"/><Relationship Id="rId4" Type="http://schemas.openxmlformats.org/officeDocument/2006/relationships/hyperlink" Target="https://x.com/ExtSpoxEU/status/1930307246191239378" TargetMode="External"/><Relationship Id="rId9" Type="http://schemas.openxmlformats.org/officeDocument/2006/relationships/hyperlink" Target="https://www.eeas.europa.eu/delegations/un-new-york/eu-statement-%E2%80%93-un-general-assembly-3rd-committee-general-debate_en?s=63" TargetMode="External"/><Relationship Id="rId13" Type="http://schemas.openxmlformats.org/officeDocument/2006/relationships/hyperlink" Target="https://spcommreports.ohchr.org/TMResultsBase/DownLoadPublicCommunicationFile?gId=30342" TargetMode="External"/><Relationship Id="rId18" Type="http://schemas.openxmlformats.org/officeDocument/2006/relationships/hyperlink" Target="https://commission.europa.eu/funding-tenders/procedures-guidelines-tenders/information-contractors-and-beneficiaries/exchange-rate-inforeuro_ro" TargetMode="External"/><Relationship Id="rId39" Type="http://schemas.openxmlformats.org/officeDocument/2006/relationships/hyperlink" Target="https://www.info.gov.hk/gia/general/202509/25/P2025092500691.htm" TargetMode="External"/><Relationship Id="rId34" Type="http://schemas.openxmlformats.org/officeDocument/2006/relationships/hyperlink" Target="https://www.news.gov.hk/eng/2025/05/20250516/20250516_192111_708.html" TargetMode="External"/><Relationship Id="rId50" Type="http://schemas.openxmlformats.org/officeDocument/2006/relationships/hyperlink" Target="https://apps.sfc.hk/edistributionWeb/gateway/EN/news-and-announcements/news/doc?refNo=25PR149" TargetMode="External"/><Relationship Id="rId55" Type="http://schemas.openxmlformats.org/officeDocument/2006/relationships/hyperlink" Target="https://gia.info.gov.hk/general/202506/26/P2025062600269_500089_1_1750909574183.pdf" TargetMode="External"/><Relationship Id="rId76" Type="http://schemas.openxmlformats.org/officeDocument/2006/relationships/hyperlink" Target="https://www.news.gov.hk//eng/2025/12/20251224/20251224_103202_383.html" TargetMode="External"/><Relationship Id="rId7" Type="http://schemas.openxmlformats.org/officeDocument/2006/relationships/hyperlink" Target="https://www.canada.ca/en/global-affairs/news/2025/08/g7-rapid-response-mechanism-rrm-statement-on-hong-kong-arrest-warrants.html?fbclid=IwY2xjawOoqMBleHRuA2FlbQIxMABicmlkETF4NkJOdko2N0VMM0I1UFoyc3J0YwZhcHBfaWQQMjIyMDM5MTc4ODIwMDg5MgABHvQGci1v3q9YANbN4Ys05wBMfLgNRzBXCkR2TqrsQvdo5VOmPxMQAZvIvPdJ_aem_UvVyQSgAGfU8V0bUbZ3KfQ" TargetMode="External"/><Relationship Id="rId71" Type="http://schemas.openxmlformats.org/officeDocument/2006/relationships/hyperlink" Target="https://www.news.gov.hk/eng/2025/08/20250825/20250825_171443_511.html" TargetMode="External"/><Relationship Id="rId92" Type="http://schemas.openxmlformats.org/officeDocument/2006/relationships/hyperlink" Target="https://www.censtatd.gov.hk/en/EIndexbySubject.html?scode=360&amp;pcode=B1110004&amp;r=en" TargetMode="External"/><Relationship Id="rId2" Type="http://schemas.openxmlformats.org/officeDocument/2006/relationships/hyperlink" Target="https://www.eeas.europa.eu/eeas/hong-kong-statement-spokesperson-extraterritorial-arrest-warrants_en" TargetMode="External"/><Relationship Id="rId29" Type="http://schemas.openxmlformats.org/officeDocument/2006/relationships/hyperlink" Target="https://www.news.gov.hk//eng/2025/12/20251222/20251222_195653_282.html" TargetMode="External"/><Relationship Id="rId24" Type="http://schemas.openxmlformats.org/officeDocument/2006/relationships/hyperlink" Target="https://www.info.gov.hk/gia/general/202512/29/P2025122900705.htm" TargetMode="External"/><Relationship Id="rId40" Type="http://schemas.openxmlformats.org/officeDocument/2006/relationships/hyperlink" Target="https://www.elegislation.gov.hk/hk/cap109A?xpid=ID_1438402566727_003" TargetMode="External"/><Relationship Id="rId45" Type="http://schemas.openxmlformats.org/officeDocument/2006/relationships/hyperlink" Target="https://www.hkex.com.hk/News/Regulatory-Announcements/2025/250506news?sc_lang=en" TargetMode="External"/><Relationship Id="rId66" Type="http://schemas.openxmlformats.org/officeDocument/2006/relationships/hyperlink" Target="https://www.news.gov.hk/eng/2025/12/20251210/20251210_144222_520.html" TargetMode="External"/><Relationship Id="rId87" Type="http://schemas.openxmlformats.org/officeDocument/2006/relationships/hyperlink" Target="https://www.youth.gov.hk/en/career-study/stories/194716ec-9c49-4b6e-93f7-705eeb736e55" TargetMode="External"/><Relationship Id="rId61" Type="http://schemas.openxmlformats.org/officeDocument/2006/relationships/hyperlink" Target="https://www.hkma.gov.hk/eng/news-and-media/insight/2025/09/20250908/" TargetMode="External"/><Relationship Id="rId82" Type="http://schemas.openxmlformats.org/officeDocument/2006/relationships/hyperlink" Target="https://brdr.hkma.gov.hk/eng/doc-ldg/docId/getPdf/20250321-1-EN/20250321-1-EN.pdf" TargetMode="External"/><Relationship Id="rId19" Type="http://schemas.openxmlformats.org/officeDocument/2006/relationships/hyperlink" Target="https://www.business-sweden.com/insights/reports/business-climate-surveys/hong-kong-sar-business-climate-survey-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0CF30-2D67-4C57-B965-DA22777CB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19922</Words>
  <Characters>113561</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2026-08-28T09:37:00Z</dcterms:created>
  <dcterms:modified xsi:type="dcterms:W3CDTF">2026-09-11T08:05:00Z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9.2, Build 20250828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CP-018</vt:lpwstr>
  </property>
  <property fmtid="{D5CDD505-2E9C-101B-9397-08002B2CF9AE}" pid="8" name="MSIP_Label_6bd9ddd1-4d20-43f6-abfa-fc3c07406f94_Enabled">
    <vt:lpwstr>true</vt:lpwstr>
  </property>
  <property fmtid="{D5CDD505-2E9C-101B-9397-08002B2CF9AE}" pid="9" name="MSIP_Label_6bd9ddd1-4d20-43f6-abfa-fc3c07406f94_SetDate">
    <vt:lpwstr>2026-08-28T09:37:49Z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ade6b7b9-3ad0-46d2-bdbc-84630ddeb130</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