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8081B" w14:textId="1E1D802C" w:rsidR="00A0722F" w:rsidRPr="00E76282" w:rsidRDefault="00BD1ABC" w:rsidP="00BD1ABC">
      <w:pPr>
        <w:pStyle w:val="Pagedecouverture"/>
        <w:rPr>
          <w:noProof/>
        </w:rPr>
      </w:pPr>
      <w:bookmarkStart w:id="0" w:name="LW_BM_COVERPAGE"/>
      <w:r>
        <w:rPr>
          <w:noProof/>
        </w:rPr>
        <w:pict w14:anchorId="79C72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EBA8BB-7083-4BB4-9663-6D3C29A45ACC" style="width:455.25pt;height:327.75pt">
            <v:imagedata r:id="rId8" o:title=""/>
          </v:shape>
        </w:pict>
      </w:r>
    </w:p>
    <w:bookmarkEnd w:id="0"/>
    <w:p w14:paraId="5C6742EC" w14:textId="17207FB9" w:rsidR="00855BE5" w:rsidRPr="00A15D12" w:rsidRDefault="00855BE5" w:rsidP="00855BE5">
      <w:pPr>
        <w:rPr>
          <w:rFonts w:ascii="Times New Roman" w:hAnsi="Times New Roman" w:cs="Times New Roman"/>
          <w:noProof/>
          <w:color w:val="000000"/>
          <w:kern w:val="0"/>
          <w:lang w:val="en-US"/>
        </w:rPr>
        <w:sectPr w:rsidR="00855BE5" w:rsidRPr="00A15D12" w:rsidSect="00BD1AB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A45BD73" w14:textId="41164EE5" w:rsidR="00456B58" w:rsidRPr="009B0811" w:rsidRDefault="00456B58" w:rsidP="00456B58">
      <w:pPr>
        <w:spacing w:line="240" w:lineRule="auto"/>
        <w:jc w:val="both"/>
        <w:rPr>
          <w:rFonts w:ascii="Times New Roman" w:hAnsi="Times New Roman"/>
          <w:b/>
          <w:noProof/>
        </w:rPr>
      </w:pPr>
      <w:bookmarkStart w:id="1" w:name="_GoBack"/>
      <w:bookmarkEnd w:id="1"/>
      <w:r>
        <w:rPr>
          <w:rFonts w:ascii="Times New Roman" w:hAnsi="Times New Roman"/>
          <w:b/>
          <w:noProof/>
        </w:rPr>
        <w:lastRenderedPageBreak/>
        <w:t>Introduction</w:t>
      </w:r>
    </w:p>
    <w:p w14:paraId="3D1B7DD4" w14:textId="22A134B4" w:rsidR="00456B58" w:rsidRPr="00ED3AE7" w:rsidRDefault="00456B58" w:rsidP="00456B58">
      <w:pPr>
        <w:spacing w:line="240" w:lineRule="auto"/>
        <w:jc w:val="both"/>
        <w:rPr>
          <w:rFonts w:ascii="Times New Roman" w:hAnsi="Times New Roman"/>
          <w:noProof/>
        </w:rPr>
      </w:pPr>
      <w:r>
        <w:rPr>
          <w:rFonts w:ascii="Times New Roman" w:hAnsi="Times New Roman"/>
          <w:b/>
          <w:noProof/>
        </w:rPr>
        <w:t>L’aide humanitaire (</w:t>
      </w:r>
      <w:r>
        <w:rPr>
          <w:rStyle w:val="FootnoteReference"/>
          <w:rFonts w:ascii="Times New Roman" w:hAnsi="Times New Roman"/>
          <w:b/>
          <w:bCs/>
          <w:noProof/>
          <w:lang w:val="en-GB"/>
        </w:rPr>
        <w:footnoteReference w:id="2"/>
      </w:r>
      <w:r>
        <w:rPr>
          <w:rFonts w:ascii="Times New Roman" w:hAnsi="Times New Roman"/>
          <w:b/>
          <w:noProof/>
        </w:rPr>
        <w:t>) sauve des vies. Elle atténue les souffrances et incarne les valeurs fondatrices de l’Union européenne que sont l’humanité, la paix et la solidarité.</w:t>
      </w:r>
      <w:r>
        <w:rPr>
          <w:rFonts w:ascii="Times New Roman" w:hAnsi="Times New Roman"/>
          <w:noProof/>
        </w:rPr>
        <w:t xml:space="preserve"> Depuis 1992, l’UE reste déterminée à fournir une aide humanitaire en adéquation avec les principes humanitaires internationaux </w:t>
      </w:r>
      <w:r>
        <w:rPr>
          <w:rFonts w:ascii="Times New Roman" w:hAnsi="Times New Roman"/>
          <w:b/>
          <w:bCs/>
          <w:noProof/>
        </w:rPr>
        <w:t>d’humanité, d’impartialité, de neutralité et d’indépendance</w:t>
      </w:r>
      <w:r>
        <w:rPr>
          <w:rFonts w:ascii="Times New Roman" w:hAnsi="Times New Roman"/>
          <w:noProof/>
        </w:rPr>
        <w:t>, tels qu’ils sont consacrés à l’article 214, paragraphe 2, du traité sur le fonctionnement de l’Union européenne, dans le règlement concernant l’aide humanitaire (1996) (</w:t>
      </w:r>
      <w:r>
        <w:rPr>
          <w:rStyle w:val="FootnoteReference"/>
          <w:rFonts w:ascii="Times New Roman" w:hAnsi="Times New Roman"/>
          <w:noProof/>
          <w:lang w:val="en-GB"/>
        </w:rPr>
        <w:footnoteReference w:id="3"/>
      </w:r>
      <w:r>
        <w:rPr>
          <w:rFonts w:ascii="Times New Roman" w:hAnsi="Times New Roman"/>
          <w:noProof/>
        </w:rPr>
        <w:t>) et dans le consensus européen sur l’aide humanitaire (2007) (</w:t>
      </w:r>
      <w:r>
        <w:rPr>
          <w:rStyle w:val="FootnoteReference"/>
          <w:rFonts w:ascii="Times New Roman" w:hAnsi="Times New Roman"/>
          <w:noProof/>
          <w:lang w:val="en-GB"/>
        </w:rPr>
        <w:footnoteReference w:id="4"/>
      </w:r>
      <w:r>
        <w:rPr>
          <w:rFonts w:ascii="Times New Roman" w:hAnsi="Times New Roman"/>
          <w:noProof/>
        </w:rPr>
        <w:t xml:space="preserve">). Bien que n’étant pas un objectif en soi, l’aide humanitaire renforce la sécurité humaine et la protection des droits de l’homme; elle contribue à atténuer les vastes conséquences régionales et mondiales des conflits et des catastrophes, favorisant ainsi un </w:t>
      </w:r>
      <w:r>
        <w:rPr>
          <w:rFonts w:ascii="Times New Roman" w:hAnsi="Times New Roman"/>
          <w:b/>
          <w:bCs/>
          <w:noProof/>
        </w:rPr>
        <w:t>environnement plus sûr et plus stable à l’échelle de la planète</w:t>
      </w:r>
      <w:r>
        <w:rPr>
          <w:rFonts w:ascii="Times New Roman" w:hAnsi="Times New Roman"/>
          <w:noProof/>
        </w:rPr>
        <w:t>, conformément aux valeurs et aux intérêts fondamentaux de l’UE (</w:t>
      </w:r>
      <w:r>
        <w:rPr>
          <w:rStyle w:val="FootnoteReference"/>
          <w:rFonts w:ascii="Times New Roman" w:hAnsi="Times New Roman"/>
          <w:noProof/>
          <w:lang w:val="en-GB"/>
        </w:rPr>
        <w:footnoteReference w:id="5"/>
      </w:r>
      <w:r>
        <w:rPr>
          <w:rFonts w:ascii="Times New Roman" w:hAnsi="Times New Roman"/>
          <w:noProof/>
        </w:rPr>
        <w:t>).</w:t>
      </w:r>
    </w:p>
    <w:p w14:paraId="62B706F4" w14:textId="1D6FA2A0" w:rsidR="00456B58" w:rsidRPr="00E76282" w:rsidRDefault="00683898" w:rsidP="00456B58">
      <w:pPr>
        <w:spacing w:line="240" w:lineRule="auto"/>
        <w:jc w:val="both"/>
        <w:rPr>
          <w:rFonts w:ascii="Times New Roman" w:hAnsi="Times New Roman"/>
          <w:noProof/>
        </w:rPr>
      </w:pPr>
      <w:r>
        <w:rPr>
          <w:rFonts w:ascii="Times New Roman" w:hAnsi="Times New Roman"/>
          <w:noProof/>
        </w:rPr>
        <w:t xml:space="preserve">Aujourd’hui, le </w:t>
      </w:r>
      <w:r>
        <w:rPr>
          <w:rFonts w:ascii="Times New Roman" w:hAnsi="Times New Roman"/>
          <w:b/>
          <w:bCs/>
          <w:noProof/>
        </w:rPr>
        <w:t>système humanitaire mondial a atteint un point de rupture</w:t>
      </w:r>
      <w:r>
        <w:rPr>
          <w:rFonts w:ascii="Times New Roman" w:hAnsi="Times New Roman"/>
          <w:noProof/>
        </w:rPr>
        <w:t>. La prolifération des conflits et des catastrophes liées au climat propulse les besoins humanitaires à des niveaux records, tandis que les ressources financières s’amenuisent et que l’espace opérationnel se rétrécit. Les conflits et les risques naturels touchent plus de personnes et de pays que jamais depuis la fin de la guerre froide (</w:t>
      </w:r>
      <w:r>
        <w:rPr>
          <w:rStyle w:val="FootnoteReference"/>
          <w:rFonts w:ascii="Times New Roman" w:hAnsi="Times New Roman"/>
          <w:noProof/>
          <w:lang w:val="en-GB"/>
        </w:rPr>
        <w:footnoteReference w:id="6"/>
      </w:r>
      <w:r>
        <w:rPr>
          <w:rFonts w:ascii="Times New Roman" w:hAnsi="Times New Roman"/>
          <w:noProof/>
        </w:rPr>
        <w:t xml:space="preserve">). On dénombre actuellement </w:t>
      </w:r>
      <w:r>
        <w:rPr>
          <w:rFonts w:ascii="Times New Roman" w:hAnsi="Times New Roman"/>
          <w:b/>
          <w:bCs/>
          <w:noProof/>
        </w:rPr>
        <w:t>environ 130 conflits dans le monde</w:t>
      </w:r>
      <w:r>
        <w:rPr>
          <w:rFonts w:ascii="Times New Roman" w:hAnsi="Times New Roman"/>
          <w:noProof/>
        </w:rPr>
        <w:t>, soit deux fois plus qu’il y a 15 ans à peine (</w:t>
      </w:r>
      <w:r>
        <w:rPr>
          <w:rStyle w:val="FootnoteReference"/>
          <w:rFonts w:ascii="Times New Roman" w:hAnsi="Times New Roman"/>
          <w:noProof/>
          <w:lang w:val="en-GB"/>
        </w:rPr>
        <w:footnoteReference w:id="7"/>
      </w:r>
      <w:r>
        <w:rPr>
          <w:rFonts w:ascii="Times New Roman" w:hAnsi="Times New Roman"/>
          <w:noProof/>
        </w:rPr>
        <w:t xml:space="preserve">) – des conflits qui représentent environ 70 % des besoins humanitaires mondiaux. Parallèlement, </w:t>
      </w:r>
      <w:r>
        <w:rPr>
          <w:rFonts w:ascii="Times New Roman" w:hAnsi="Times New Roman"/>
          <w:b/>
          <w:bCs/>
          <w:noProof/>
        </w:rPr>
        <w:t>le changement climatique et la dégradation de l’environnement</w:t>
      </w:r>
      <w:r>
        <w:rPr>
          <w:rFonts w:ascii="Times New Roman" w:hAnsi="Times New Roman"/>
          <w:noProof/>
        </w:rPr>
        <w:t xml:space="preserve"> accélèrent la fréquence des risques naturels, avec des répercussions disproportionnées sur les contextes les plus fragiles, dans lesquels vivent les communautés les moins à même de résister. S’ensuivent des déplacements, une insécurité alimentaire, une raréfaction de l’eau, des épidémies et un effondrement des moyens de subsistance, qui sapent les avancées réalisées en matière de développement et accroissent l’instabilité dans le monde. </w:t>
      </w:r>
    </w:p>
    <w:p w14:paraId="2292AFC9" w14:textId="67C2B09D"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En conséquence, </w:t>
      </w:r>
      <w:r>
        <w:rPr>
          <w:rFonts w:ascii="Times New Roman" w:hAnsi="Times New Roman"/>
          <w:b/>
          <w:bCs/>
          <w:noProof/>
        </w:rPr>
        <w:t>les besoins humanitaires augmentent</w:t>
      </w:r>
      <w:r>
        <w:rPr>
          <w:rFonts w:ascii="Times New Roman" w:hAnsi="Times New Roman"/>
          <w:noProof/>
        </w:rPr>
        <w:t>. Le nombre de personnes déplacées de force ou demandant l’asile a doublé au cours des dix dernières années, atteignant 117,3 millions de personnes en 2025 (</w:t>
      </w:r>
      <w:r>
        <w:rPr>
          <w:rStyle w:val="FootnoteReference"/>
          <w:rFonts w:ascii="Times New Roman" w:hAnsi="Times New Roman"/>
          <w:noProof/>
          <w:lang w:val="en-GB"/>
        </w:rPr>
        <w:footnoteReference w:id="8"/>
      </w:r>
      <w:r>
        <w:rPr>
          <w:rFonts w:ascii="Times New Roman" w:hAnsi="Times New Roman"/>
          <w:noProof/>
        </w:rPr>
        <w:t xml:space="preserve">). Environ 20 % des </w:t>
      </w:r>
      <w:r>
        <w:rPr>
          <w:rFonts w:ascii="Times New Roman" w:hAnsi="Times New Roman"/>
          <w:b/>
          <w:bCs/>
          <w:noProof/>
        </w:rPr>
        <w:t>enfants</w:t>
      </w:r>
      <w:r>
        <w:rPr>
          <w:rFonts w:ascii="Times New Roman" w:hAnsi="Times New Roman"/>
          <w:noProof/>
        </w:rPr>
        <w:t xml:space="preserve"> dans le monde, soit près d’un demi-milliard, vivent dans des zones de conflit ou fuient celles-ci. Les </w:t>
      </w:r>
      <w:r>
        <w:rPr>
          <w:rFonts w:ascii="Times New Roman" w:hAnsi="Times New Roman"/>
          <w:b/>
          <w:bCs/>
          <w:noProof/>
        </w:rPr>
        <w:t>violences sexuelles et sexistes</w:t>
      </w:r>
      <w:r>
        <w:rPr>
          <w:rFonts w:ascii="Times New Roman" w:hAnsi="Times New Roman"/>
          <w:noProof/>
        </w:rPr>
        <w:t>, y compris les violences sexuelles liées aux conflits, continuent d’augmenter et le nombre de personnes souffrant de faim aiguë atteint des niveaux catastrophiques (</w:t>
      </w:r>
      <w:r>
        <w:rPr>
          <w:rStyle w:val="FootnoteReference"/>
          <w:rFonts w:ascii="Times New Roman" w:hAnsi="Times New Roman"/>
          <w:noProof/>
          <w:lang w:val="en-GB"/>
        </w:rPr>
        <w:footnoteReference w:id="9"/>
      </w:r>
      <w:r>
        <w:rPr>
          <w:rFonts w:ascii="Times New Roman" w:hAnsi="Times New Roman"/>
          <w:noProof/>
        </w:rPr>
        <w:t>). Selon les estimations des Nations unies pour 2026, 239 millions de personnes dans le monde ont besoin d’une aide humanitaire, contre 31 millions en 2006.</w:t>
      </w:r>
    </w:p>
    <w:p w14:paraId="706E7022" w14:textId="55AC06F7" w:rsidR="00456B58" w:rsidRPr="00970492" w:rsidRDefault="00AD115B" w:rsidP="00456B58">
      <w:pPr>
        <w:spacing w:line="240" w:lineRule="auto"/>
        <w:jc w:val="both"/>
        <w:rPr>
          <w:rFonts w:ascii="Times New Roman" w:hAnsi="Times New Roman" w:cs="Times New Roman"/>
          <w:noProof/>
        </w:rPr>
      </w:pPr>
      <w:r>
        <w:rPr>
          <w:rFonts w:ascii="Times New Roman" w:hAnsi="Times New Roman"/>
          <w:b/>
          <w:bCs/>
          <w:noProof/>
        </w:rPr>
        <w:t>Les acteurs humanitaires peinent à répondre à cette vague de besoins croissants et opèrent dans des conditions de plus en plus difficiles et dangereuses</w:t>
      </w:r>
      <w:r>
        <w:rPr>
          <w:rFonts w:ascii="Times New Roman" w:hAnsi="Times New Roman"/>
          <w:noProof/>
        </w:rPr>
        <w:t>. Le droit international humanitaire est bafoué et les auteurs sont rarement amenés à rendre des comptes. Confrontés à une insécurité croissante, à des obstacles administratifs, au prélèvement de droits de passage et à des ingérences politiques qui retardent, détournent ou conditionnent l’assistance, les acteurs humanitaires se voient souvent refuser l’accès nécessaire pour pouvoir distribuer l’aide. Les agressions délibérées à l’encontre du personnel humanitaire ont connu une progression exponentielle et les attaques contre les établissements de santé ont doublé entre 2023 et 2024 (</w:t>
      </w:r>
      <w:r>
        <w:rPr>
          <w:rStyle w:val="FootnoteReference"/>
          <w:rFonts w:ascii="Times New Roman" w:hAnsi="Times New Roman" w:cs="Times New Roman"/>
          <w:noProof/>
          <w:lang w:val="en-GB"/>
        </w:rPr>
        <w:footnoteReference w:id="10"/>
      </w:r>
      <w:r>
        <w:rPr>
          <w:rFonts w:ascii="Times New Roman" w:hAnsi="Times New Roman"/>
          <w:noProof/>
        </w:rPr>
        <w:t xml:space="preserve">). Les </w:t>
      </w:r>
      <w:r>
        <w:rPr>
          <w:rFonts w:ascii="Times New Roman" w:hAnsi="Times New Roman"/>
          <w:b/>
          <w:bCs/>
          <w:noProof/>
        </w:rPr>
        <w:t>groupes vulnérables, marginalisés</w:t>
      </w:r>
      <w:r>
        <w:rPr>
          <w:rFonts w:ascii="Times New Roman" w:hAnsi="Times New Roman"/>
          <w:noProof/>
        </w:rPr>
        <w:t xml:space="preserve"> et exposés au risque de discrimination sont touchés de manière disproportionnée, tandis que les efforts déployés pour garantir l’inclusion et l’accessibilité et offrir des réponses humanitaires qui tiennent compte des disparités entre les genres sont de plus en plus remis en question. L’action humanitaire est également compromise par la recrudescence de la désinformation (</w:t>
      </w:r>
      <w:r>
        <w:rPr>
          <w:rFonts w:ascii="Times New Roman" w:hAnsi="Times New Roman" w:cs="Times New Roman"/>
          <w:noProof/>
          <w:vertAlign w:val="superscript"/>
        </w:rPr>
        <w:footnoteReference w:id="11"/>
      </w:r>
      <w:r>
        <w:rPr>
          <w:rFonts w:ascii="Times New Roman" w:hAnsi="Times New Roman"/>
          <w:noProof/>
        </w:rPr>
        <w:t>).</w:t>
      </w:r>
    </w:p>
    <w:p w14:paraId="57D0B871" w14:textId="7385A7A1" w:rsidR="00456B58" w:rsidRPr="00B42457" w:rsidRDefault="00456B58" w:rsidP="00456B58">
      <w:pPr>
        <w:spacing w:line="240" w:lineRule="auto"/>
        <w:jc w:val="both"/>
        <w:rPr>
          <w:rFonts w:ascii="Times New Roman" w:hAnsi="Times New Roman" w:cs="Times New Roman"/>
          <w:noProof/>
        </w:rPr>
      </w:pPr>
      <w:r>
        <w:rPr>
          <w:rFonts w:ascii="Times New Roman" w:hAnsi="Times New Roman"/>
          <w:noProof/>
        </w:rPr>
        <w:t xml:space="preserve">Les tournants politiques majeurs pris l’année passée, conjugués aux </w:t>
      </w:r>
      <w:r>
        <w:rPr>
          <w:rFonts w:ascii="Times New Roman" w:hAnsi="Times New Roman"/>
          <w:b/>
          <w:bCs/>
          <w:noProof/>
        </w:rPr>
        <w:t>réductions de financement</w:t>
      </w:r>
      <w:r>
        <w:rPr>
          <w:rFonts w:ascii="Times New Roman" w:hAnsi="Times New Roman"/>
          <w:noProof/>
        </w:rPr>
        <w:t xml:space="preserve"> drastiques opérées notamment par les États-Unis et certains autres grands donateurs, ont mis un peu plus encore le système humanitaire à rude épreuve. Cette situation a contraint les organisations humanitaires à effectuer des choix radicaux parmi leurs interventions, n’atteignant plus qu’une fraction des personnes dans le besoin (</w:t>
      </w:r>
      <w:r>
        <w:rPr>
          <w:rFonts w:ascii="Times New Roman" w:hAnsi="Times New Roman" w:cs="Times New Roman"/>
          <w:noProof/>
          <w:vertAlign w:val="superscript"/>
          <w:lang w:val="en-GB"/>
        </w:rPr>
        <w:footnoteReference w:id="12"/>
      </w:r>
      <w:r>
        <w:rPr>
          <w:rFonts w:ascii="Times New Roman" w:hAnsi="Times New Roman"/>
          <w:noProof/>
        </w:rPr>
        <w:t>). Par ailleurs, l’aide est de plus en plus soumise à des considérations politiques ou idéologiques au lieu d’être guidée par les principes d’humanité et d’impartialité, ce qui sape les fondements mêmes du système humanitaire international.</w:t>
      </w:r>
    </w:p>
    <w:p w14:paraId="7D40BD0F" w14:textId="63152481" w:rsidR="00456B58" w:rsidRPr="00EA0BA1" w:rsidRDefault="00A13CF7" w:rsidP="00456B58">
      <w:pPr>
        <w:spacing w:line="240" w:lineRule="auto"/>
        <w:jc w:val="both"/>
        <w:rPr>
          <w:rFonts w:ascii="Times New Roman" w:hAnsi="Times New Roman"/>
          <w:noProof/>
        </w:rPr>
      </w:pPr>
      <w:r>
        <w:rPr>
          <w:rFonts w:ascii="Times New Roman" w:hAnsi="Times New Roman"/>
          <w:noProof/>
        </w:rPr>
        <w:t>Ces évolutions rendent la réforme du système humanitaire multilatéral à la fois urgente et inévitable. La «</w:t>
      </w:r>
      <w:r>
        <w:rPr>
          <w:rFonts w:ascii="Times New Roman" w:hAnsi="Times New Roman"/>
          <w:b/>
          <w:bCs/>
          <w:noProof/>
        </w:rPr>
        <w:t>réinitialisation humanitaire</w:t>
      </w:r>
      <w:r>
        <w:rPr>
          <w:rFonts w:ascii="Times New Roman" w:hAnsi="Times New Roman"/>
          <w:noProof/>
        </w:rPr>
        <w:t xml:space="preserve">» des Nations unies, lancée en mars 2025, vise à renforcer l’action humanitaire collective, à accroître son efficacité, à transférer les pouvoirs décisionnels et les ressources au plus près des populations touchées par les crises et à promouvoir une action guidée par des principes. Partenaire de premier plan fier de ses principes, l’UE soutient résolument les efforts déployés en faveur d’un système humanitaire plus résilient et paré pour l’avenir. Elle continuera en outre de défendre le </w:t>
      </w:r>
      <w:r>
        <w:rPr>
          <w:rFonts w:ascii="Times New Roman" w:hAnsi="Times New Roman"/>
          <w:b/>
          <w:bCs/>
          <w:noProof/>
        </w:rPr>
        <w:t>système multilatéral</w:t>
      </w:r>
      <w:r>
        <w:rPr>
          <w:rFonts w:ascii="Times New Roman" w:hAnsi="Times New Roman"/>
          <w:noProof/>
        </w:rPr>
        <w:t>, de soutenir la charte des Nations unies et d’appuyer l’initiative ONU80, qui vise à réformer en profondeur les Nations unies, afin de veiller à ce que l’ONU reste une organisation efficiente, efficace au regard des coûts et réactive (</w:t>
      </w:r>
      <w:r>
        <w:rPr>
          <w:rStyle w:val="FootnoteReference"/>
          <w:rFonts w:ascii="Times New Roman" w:hAnsi="Times New Roman"/>
          <w:noProof/>
          <w:lang w:val="en-GB"/>
        </w:rPr>
        <w:footnoteReference w:id="13"/>
      </w:r>
      <w:r>
        <w:rPr>
          <w:rFonts w:ascii="Times New Roman" w:hAnsi="Times New Roman"/>
          <w:noProof/>
        </w:rPr>
        <w:t>).</w:t>
      </w:r>
    </w:p>
    <w:p w14:paraId="6AD26218" w14:textId="7A2ED61D" w:rsidR="00ED3AE7" w:rsidRDefault="00456B58" w:rsidP="00687D0F">
      <w:pPr>
        <w:spacing w:line="240" w:lineRule="auto"/>
        <w:jc w:val="both"/>
        <w:rPr>
          <w:rFonts w:ascii="Times New Roman" w:hAnsi="Times New Roman" w:cs="Times New Roman"/>
          <w:noProof/>
        </w:rPr>
      </w:pPr>
      <w:r>
        <w:rPr>
          <w:rFonts w:ascii="Times New Roman" w:hAnsi="Times New Roman"/>
          <w:b/>
          <w:bCs/>
          <w:noProof/>
        </w:rPr>
        <w:t>Ensemble, l’UE et ses États membres restent des donateurs fiables et prévisibles, apportant la plus grosse contribution au financement humanitaire mondial (34 % en 2025)</w:t>
      </w:r>
      <w:r>
        <w:rPr>
          <w:rFonts w:ascii="Times New Roman" w:hAnsi="Times New Roman"/>
          <w:noProof/>
        </w:rPr>
        <w:t> (</w:t>
      </w:r>
      <w:r>
        <w:rPr>
          <w:rStyle w:val="FootnoteReference"/>
          <w:rFonts w:ascii="Times New Roman" w:hAnsi="Times New Roman" w:cs="Times New Roman"/>
          <w:noProof/>
          <w:lang w:val="en-GB"/>
        </w:rPr>
        <w:footnoteReference w:id="14"/>
      </w:r>
      <w:r>
        <w:rPr>
          <w:rFonts w:ascii="Times New Roman" w:hAnsi="Times New Roman"/>
          <w:noProof/>
        </w:rPr>
        <w:t>). L’UE continuera de fournir une aide fondée sur les besoins, inclusive et non discriminatoire (</w:t>
      </w:r>
      <w:r>
        <w:rPr>
          <w:rStyle w:val="FootnoteReference"/>
          <w:rFonts w:ascii="Times New Roman" w:hAnsi="Times New Roman" w:cs="Times New Roman"/>
          <w:noProof/>
          <w:lang w:val="en-GB"/>
        </w:rPr>
        <w:footnoteReference w:id="15"/>
      </w:r>
      <w:r>
        <w:rPr>
          <w:rFonts w:ascii="Times New Roman" w:hAnsi="Times New Roman"/>
          <w:noProof/>
        </w:rPr>
        <w:t xml:space="preserve">), afin de sauver des vies et de préserver la dignité humaine. Elle poursuivra la distribution de l’aide par l’intermédiaire de ses partenaires humanitaires de longue date, en particulier les Nations unies, le Mouvement international de la Croix-Rouge et du Croissant-Rouge ainsi que les organisations non gouvernementales internationales, en s’appuyant sur leurs atouts respectifs. </w:t>
      </w:r>
    </w:p>
    <w:p w14:paraId="37A1EBE0" w14:textId="3FEB7353" w:rsidR="00456B58" w:rsidRPr="00970492" w:rsidRDefault="00671068" w:rsidP="00411191">
      <w:pPr>
        <w:spacing w:line="240" w:lineRule="auto"/>
        <w:jc w:val="both"/>
        <w:rPr>
          <w:rFonts w:ascii="Times New Roman" w:hAnsi="Times New Roman" w:cs="Times New Roman"/>
          <w:noProof/>
        </w:rPr>
      </w:pPr>
      <w:r>
        <w:rPr>
          <w:rFonts w:ascii="Times New Roman" w:hAnsi="Times New Roman"/>
          <w:noProof/>
        </w:rPr>
        <w:t>Dans le même temps, l’UE s’adapte rapidement à l’évolution des réalités et se positionne comme le fer de lance des réformes. Elle entend le faire dans le cadre de l’</w:t>
      </w:r>
      <w:r>
        <w:rPr>
          <w:rFonts w:ascii="Times New Roman" w:hAnsi="Times New Roman"/>
          <w:b/>
          <w:bCs/>
          <w:noProof/>
        </w:rPr>
        <w:t>approche collective «Équipe Europe»</w:t>
      </w:r>
      <w:r>
        <w:rPr>
          <w:rFonts w:ascii="Times New Roman" w:hAnsi="Times New Roman"/>
          <w:noProof/>
        </w:rPr>
        <w:t> (</w:t>
      </w:r>
      <w:r>
        <w:rPr>
          <w:rStyle w:val="FootnoteReference"/>
          <w:rFonts w:ascii="Times New Roman" w:hAnsi="Times New Roman" w:cs="Times New Roman"/>
          <w:noProof/>
        </w:rPr>
        <w:footnoteReference w:id="16"/>
      </w:r>
      <w:r>
        <w:rPr>
          <w:rFonts w:ascii="Times New Roman" w:hAnsi="Times New Roman"/>
          <w:noProof/>
        </w:rPr>
        <w:t xml:space="preserve">), ce qui conférera davantage de poids à son action autour des </w:t>
      </w:r>
      <w:r>
        <w:rPr>
          <w:rFonts w:ascii="Times New Roman" w:hAnsi="Times New Roman"/>
          <w:b/>
          <w:bCs/>
          <w:noProof/>
        </w:rPr>
        <w:t>trois axes d’intervention majeurs</w:t>
      </w:r>
      <w:r>
        <w:rPr>
          <w:rFonts w:ascii="Times New Roman" w:hAnsi="Times New Roman"/>
          <w:noProof/>
        </w:rPr>
        <w:t xml:space="preserve"> ci-après (</w:t>
      </w:r>
      <w:r>
        <w:rPr>
          <w:rStyle w:val="FootnoteReference"/>
          <w:rFonts w:ascii="Times New Roman" w:hAnsi="Times New Roman" w:cs="Times New Roman"/>
          <w:noProof/>
          <w:lang w:val="en-GB"/>
        </w:rPr>
        <w:footnoteReference w:id="17"/>
      </w:r>
      <w:r>
        <w:rPr>
          <w:rFonts w:ascii="Times New Roman" w:hAnsi="Times New Roman"/>
          <w:noProof/>
        </w:rPr>
        <w:t>), afin d’apporter des solutions concrètes et de fournir une aide et une protection de qualité, fondées sur des principes, à des millions de personnes dans le besoin:</w:t>
      </w:r>
    </w:p>
    <w:p w14:paraId="59E2BAED" w14:textId="1277899B" w:rsidR="00456B58" w:rsidRPr="00970492" w:rsidRDefault="00456B58" w:rsidP="00301E74">
      <w:pPr>
        <w:pStyle w:val="ListParagraph"/>
        <w:numPr>
          <w:ilvl w:val="0"/>
          <w:numId w:val="23"/>
        </w:numPr>
        <w:spacing w:after="200" w:line="240" w:lineRule="auto"/>
        <w:jc w:val="both"/>
        <w:rPr>
          <w:rFonts w:ascii="Times New Roman" w:hAnsi="Times New Roman" w:cs="Times New Roman"/>
          <w:noProof/>
        </w:rPr>
      </w:pPr>
      <w:r>
        <w:rPr>
          <w:rFonts w:ascii="Times New Roman" w:hAnsi="Times New Roman"/>
          <w:b/>
          <w:noProof/>
        </w:rPr>
        <w:t>Protéger:</w:t>
      </w:r>
      <w:r>
        <w:rPr>
          <w:rFonts w:ascii="Times New Roman" w:hAnsi="Times New Roman"/>
          <w:noProof/>
        </w:rPr>
        <w:t xml:space="preserve"> faire respecter les principes humanitaires, défendre le droit international humanitaire et veiller à ce que les organisations humanitaires puissent opérer efficacement, en élaborant une approche stratégique de la diplomatie humanitaire, en protégeant les travailleurs humanitaires et les civils et en plaçant les personnes touchées au cœur de l’intervention.</w:t>
      </w:r>
    </w:p>
    <w:p w14:paraId="6A2A0C08" w14:textId="0EE6B6AF" w:rsidR="00456B58" w:rsidRDefault="00456B58" w:rsidP="00301E74">
      <w:pPr>
        <w:pStyle w:val="ListParagraph"/>
        <w:numPr>
          <w:ilvl w:val="0"/>
          <w:numId w:val="23"/>
        </w:numPr>
        <w:spacing w:after="200" w:line="240" w:lineRule="auto"/>
        <w:jc w:val="both"/>
        <w:rPr>
          <w:rFonts w:ascii="Times New Roman" w:hAnsi="Times New Roman" w:cs="Times New Roman"/>
          <w:noProof/>
        </w:rPr>
      </w:pPr>
      <w:r>
        <w:rPr>
          <w:rFonts w:ascii="Times New Roman" w:hAnsi="Times New Roman"/>
          <w:b/>
          <w:noProof/>
        </w:rPr>
        <w:t xml:space="preserve">Concrétiser: </w:t>
      </w:r>
      <w:r>
        <w:rPr>
          <w:rFonts w:ascii="Times New Roman" w:hAnsi="Times New Roman"/>
          <w:noProof/>
        </w:rPr>
        <w:t>rendre l’acheminement de l’aide humanitaire plus résilient et plus efficace sur le plan des coûts en réorganisant les chaînes d’approvisionnement, en maximisant la valeur du financement humanitaire de l’UE et en soutenant les fonctions systémiques qui permettent la fourniture de l’aide humanitaire.</w:t>
      </w:r>
    </w:p>
    <w:p w14:paraId="6F7A4CD1" w14:textId="095A4865" w:rsidR="00EA0BA1" w:rsidRPr="0041300A" w:rsidRDefault="00456B58" w:rsidP="0041300A">
      <w:pPr>
        <w:pStyle w:val="ListParagraph"/>
        <w:numPr>
          <w:ilvl w:val="0"/>
          <w:numId w:val="23"/>
        </w:numPr>
        <w:spacing w:after="200" w:line="240" w:lineRule="auto"/>
        <w:jc w:val="both"/>
        <w:rPr>
          <w:rFonts w:ascii="Times New Roman" w:hAnsi="Times New Roman" w:cs="Times New Roman"/>
          <w:noProof/>
        </w:rPr>
      </w:pPr>
      <w:r>
        <w:rPr>
          <w:rFonts w:ascii="Times New Roman" w:hAnsi="Times New Roman"/>
          <w:b/>
          <w:noProof/>
        </w:rPr>
        <w:t>Travailler en partenariat:</w:t>
      </w:r>
      <w:r>
        <w:rPr>
          <w:rFonts w:ascii="Times New Roman" w:hAnsi="Times New Roman"/>
          <w:noProof/>
        </w:rPr>
        <w:t xml:space="preserve"> travailler plus étroitement avec les acteurs du développement, de la paix et de la diplomatie dans le cadre de l’articulation entre aide humanitaire, développement et recherche de la paix, renforcer les partenariats avec les institutions financières internationales (IFI) et le secteur privé afin de faire face aux situations de vulnérabilité, d’accroître la résilience et la préparation aux catastrophes, de promouvoir des solutions durables et, partant, de réduire les besoins humanitaires et de soutenir les objectifs stratégiques de l’UE. </w:t>
      </w:r>
    </w:p>
    <w:p w14:paraId="641B3D4F" w14:textId="553C3D2B" w:rsidR="00456B58" w:rsidRPr="00EA0BA1" w:rsidRDefault="00456B58" w:rsidP="00EA0BA1">
      <w:pPr>
        <w:spacing w:after="200" w:line="240" w:lineRule="auto"/>
        <w:jc w:val="both"/>
        <w:rPr>
          <w:rFonts w:ascii="Times New Roman" w:hAnsi="Times New Roman" w:cs="Times New Roman"/>
          <w:noProof/>
        </w:rPr>
      </w:pPr>
      <w:r>
        <w:rPr>
          <w:rFonts w:ascii="Times New Roman" w:hAnsi="Times New Roman"/>
          <w:noProof/>
        </w:rPr>
        <w:t xml:space="preserve">La présente communication conjointe expose les priorités stratégiques de l’UE et les actions clés qu’elle entend mener autour de ces trois axes d’intervention. Elle s’accompagne de trois </w:t>
      </w:r>
      <w:r>
        <w:rPr>
          <w:rFonts w:ascii="Times New Roman" w:hAnsi="Times New Roman"/>
          <w:b/>
          <w:bCs/>
          <w:noProof/>
        </w:rPr>
        <w:t>documents de travail des services de la Commission</w:t>
      </w:r>
      <w:r>
        <w:rPr>
          <w:rFonts w:ascii="Times New Roman" w:hAnsi="Times New Roman"/>
          <w:noProof/>
        </w:rPr>
        <w:t xml:space="preserve"> (disponibles uniquement en anglais) qui approfondissent les travaux sur les aspects essentiels suivants de la communication conjointe: une approche stratégique de la diplomatie humanitaire de l’UE (</w:t>
      </w:r>
      <w:r>
        <w:rPr>
          <w:rStyle w:val="FootnoteReference"/>
          <w:rFonts w:ascii="Times New Roman" w:hAnsi="Times New Roman" w:cs="Times New Roman"/>
          <w:noProof/>
          <w:lang w:val="en-GB"/>
        </w:rPr>
        <w:footnoteReference w:id="18"/>
      </w:r>
      <w:r>
        <w:rPr>
          <w:rFonts w:ascii="Times New Roman" w:hAnsi="Times New Roman"/>
          <w:noProof/>
        </w:rPr>
        <w:t>), les chaînes d’approvisionnement humanitaires (</w:t>
      </w:r>
      <w:r>
        <w:rPr>
          <w:rStyle w:val="FootnoteReference"/>
          <w:rFonts w:ascii="Times New Roman" w:hAnsi="Times New Roman" w:cs="Times New Roman"/>
          <w:noProof/>
          <w:lang w:val="en-GB"/>
        </w:rPr>
        <w:footnoteReference w:id="19"/>
      </w:r>
      <w:r>
        <w:rPr>
          <w:rFonts w:ascii="Times New Roman" w:hAnsi="Times New Roman"/>
          <w:noProof/>
        </w:rPr>
        <w:t>) et une approche intégrée en matière de fragilité (</w:t>
      </w:r>
      <w:r>
        <w:rPr>
          <w:rStyle w:val="FootnoteReference"/>
          <w:rFonts w:ascii="Times New Roman" w:hAnsi="Times New Roman" w:cs="Times New Roman"/>
          <w:noProof/>
          <w:lang w:val="en-GB"/>
        </w:rPr>
        <w:footnoteReference w:id="20"/>
      </w:r>
      <w:r>
        <w:rPr>
          <w:rFonts w:ascii="Times New Roman" w:hAnsi="Times New Roman"/>
          <w:noProof/>
        </w:rPr>
        <w:t xml:space="preserve">). </w:t>
      </w:r>
    </w:p>
    <w:p w14:paraId="4FF3F09B" w14:textId="10E7C7AC" w:rsidR="00456B58" w:rsidRPr="0041300A" w:rsidRDefault="00456B58" w:rsidP="0041300A">
      <w:pPr>
        <w:pStyle w:val="ListParagraph"/>
        <w:numPr>
          <w:ilvl w:val="0"/>
          <w:numId w:val="24"/>
        </w:numPr>
        <w:spacing w:line="240" w:lineRule="auto"/>
        <w:jc w:val="both"/>
        <w:rPr>
          <w:rFonts w:ascii="Times New Roman" w:hAnsi="Times New Roman" w:cs="Times New Roman"/>
          <w:b/>
          <w:bCs/>
          <w:noProof/>
        </w:rPr>
      </w:pPr>
      <w:r>
        <w:rPr>
          <w:rFonts w:ascii="Times New Roman" w:hAnsi="Times New Roman"/>
          <w:b/>
          <w:noProof/>
        </w:rPr>
        <w:t>Protéger: les personnes, les principes et garantir une action humanitaire sûre</w:t>
      </w:r>
    </w:p>
    <w:p w14:paraId="5C623A41" w14:textId="3D3A2824" w:rsidR="00456B58" w:rsidRPr="00970492" w:rsidRDefault="00456B58" w:rsidP="00456B58">
      <w:pPr>
        <w:spacing w:line="240" w:lineRule="auto"/>
        <w:jc w:val="both"/>
        <w:rPr>
          <w:rFonts w:ascii="Times New Roman" w:hAnsi="Times New Roman" w:cs="Times New Roman"/>
          <w:b/>
          <w:bCs/>
          <w:noProof/>
        </w:rPr>
      </w:pPr>
      <w:r>
        <w:rPr>
          <w:rFonts w:ascii="Times New Roman" w:hAnsi="Times New Roman"/>
          <w:noProof/>
        </w:rPr>
        <w:t xml:space="preserve">Alors que les principes fondamentaux d’humanité sont mis à mal, l’UE reste fermement déterminée à protéger le droit international humanitaire, les principes humanitaires, le personnel humanitaire et, en premier lieu, les personnes touchées. Le contexte actuel plaide pour une </w:t>
      </w:r>
      <w:r>
        <w:rPr>
          <w:rFonts w:ascii="Times New Roman" w:hAnsi="Times New Roman"/>
          <w:b/>
          <w:bCs/>
          <w:noProof/>
        </w:rPr>
        <w:t>nouvelle approche stratégique de la diplomatie humanitaire</w:t>
      </w:r>
      <w:r>
        <w:rPr>
          <w:rFonts w:ascii="Times New Roman" w:hAnsi="Times New Roman"/>
          <w:noProof/>
        </w:rPr>
        <w:t xml:space="preserve"> qui défende l’espace humanitaire et les principes humanitaires tout en favorisant une aide sûre, inclusive et centrée sur les personnes.</w:t>
      </w:r>
    </w:p>
    <w:p w14:paraId="3F61C88C" w14:textId="3FC931E9" w:rsidR="00456B58" w:rsidRPr="00970492" w:rsidRDefault="00456B58" w:rsidP="00321376">
      <w:pPr>
        <w:pStyle w:val="ListParagraph"/>
        <w:numPr>
          <w:ilvl w:val="1"/>
          <w:numId w:val="13"/>
        </w:numPr>
        <w:spacing w:after="200" w:line="240" w:lineRule="auto"/>
        <w:jc w:val="both"/>
        <w:rPr>
          <w:rFonts w:ascii="Times New Roman" w:hAnsi="Times New Roman" w:cs="Times New Roman"/>
          <w:b/>
          <w:bCs/>
          <w:i/>
          <w:iCs/>
          <w:noProof/>
        </w:rPr>
      </w:pPr>
      <w:r>
        <w:rPr>
          <w:rFonts w:ascii="Times New Roman" w:hAnsi="Times New Roman"/>
          <w:b/>
          <w:i/>
          <w:noProof/>
        </w:rPr>
        <w:t>Intensifier la diplomatie humanitaire</w:t>
      </w:r>
    </w:p>
    <w:p w14:paraId="317A7489" w14:textId="5686E6FD" w:rsidR="00456B58" w:rsidRPr="00A07E7A" w:rsidRDefault="75979BED" w:rsidP="00456B58">
      <w:pPr>
        <w:pStyle w:val="paragraph"/>
        <w:spacing w:before="0" w:beforeAutospacing="0" w:after="0" w:afterAutospacing="0"/>
        <w:jc w:val="both"/>
        <w:textAlignment w:val="baseline"/>
        <w:rPr>
          <w:rStyle w:val="normaltextrun"/>
          <w:rFonts w:eastAsiaTheme="majorEastAsia"/>
          <w:bCs/>
          <w:noProof/>
        </w:rPr>
      </w:pPr>
      <w:bookmarkStart w:id="2" w:name="_Hlk229488371"/>
      <w:r>
        <w:rPr>
          <w:rStyle w:val="normaltextrun"/>
          <w:noProof/>
        </w:rPr>
        <w:t xml:space="preserve">Dans un contexte mondial marqué par un nombre élevé de conflits et des institutions multilatérales de plus en plus contestées, il n’a jamais été aussi urgent d’agir avec détermination pour défendre le droit international humanitaire et un espace humanitaire fondé sur des principes. </w:t>
      </w:r>
      <w:r>
        <w:rPr>
          <w:noProof/>
        </w:rPr>
        <w:t>Aussi l’UE entend-elle</w:t>
      </w:r>
      <w:r>
        <w:rPr>
          <w:b/>
          <w:noProof/>
        </w:rPr>
        <w:t xml:space="preserve"> accroître l’efficacité de sa diplomatie humanitaire en mobilisant des instruments humanitaires, politiques, économiques, sécuritaires et diplomatiques.</w:t>
      </w:r>
      <w:r>
        <w:rPr>
          <w:noProof/>
          <w:color w:val="000000" w:themeColor="text1"/>
        </w:rPr>
        <w:t xml:space="preserve"> Les représentants officiels de l’UE noueront le dialogue avec les décideurs et les parties aux conflits armés, mais aussi avec ceux qui les financent et les influencent afin de contribuer à prévenir, atténuer et résoudre les crises humanitaires, d’améliorer le respect du droit international humanitaire par les parties et de favoriser une meilleure adéquation avec les principes et objectifs humanitaires internationaux.</w:t>
      </w:r>
    </w:p>
    <w:bookmarkEnd w:id="2"/>
    <w:p w14:paraId="255CBC7A" w14:textId="77777777" w:rsidR="00456B58" w:rsidRPr="00155184" w:rsidRDefault="00456B58" w:rsidP="00456B58">
      <w:pPr>
        <w:pStyle w:val="paragraph"/>
        <w:spacing w:before="0" w:beforeAutospacing="0" w:after="0" w:afterAutospacing="0"/>
        <w:jc w:val="both"/>
        <w:textAlignment w:val="baseline"/>
        <w:rPr>
          <w:rStyle w:val="normaltextrun"/>
          <w:rFonts w:eastAsiaTheme="majorEastAsia"/>
          <w:noProof/>
          <w:lang w:val="fr-BE"/>
        </w:rPr>
      </w:pPr>
    </w:p>
    <w:p w14:paraId="2008CD6F" w14:textId="28505865" w:rsidR="00456B58" w:rsidRPr="00970492" w:rsidRDefault="00BB0FC8" w:rsidP="00D24073">
      <w:pPr>
        <w:pStyle w:val="ListParagraph"/>
        <w:spacing w:after="120" w:line="240" w:lineRule="auto"/>
        <w:ind w:left="0"/>
        <w:contextualSpacing w:val="0"/>
        <w:jc w:val="both"/>
        <w:rPr>
          <w:rFonts w:ascii="Times New Roman" w:eastAsia="Times New Roman" w:hAnsi="Times New Roman" w:cs="Times New Roman"/>
          <w:noProof/>
        </w:rPr>
      </w:pPr>
      <w:r>
        <w:rPr>
          <w:rFonts w:ascii="Times New Roman" w:hAnsi="Times New Roman"/>
          <w:noProof/>
        </w:rPr>
        <w:t xml:space="preserve">La </w:t>
      </w:r>
      <w:r>
        <w:rPr>
          <w:rFonts w:ascii="Times New Roman" w:hAnsi="Times New Roman"/>
          <w:b/>
          <w:bCs/>
          <w:noProof/>
        </w:rPr>
        <w:t>diplomatie humanitaire de l’UE</w:t>
      </w:r>
      <w:r>
        <w:rPr>
          <w:rFonts w:ascii="Times New Roman" w:hAnsi="Times New Roman"/>
          <w:noProof/>
        </w:rPr>
        <w:t xml:space="preserve"> repose sur </w:t>
      </w:r>
      <w:r>
        <w:rPr>
          <w:rFonts w:ascii="Times New Roman" w:hAnsi="Times New Roman"/>
          <w:b/>
          <w:bCs/>
          <w:noProof/>
        </w:rPr>
        <w:t>les valeurs et les principes fondamentaux suivants</w:t>
      </w:r>
      <w:r>
        <w:rPr>
          <w:rFonts w:ascii="Times New Roman" w:hAnsi="Times New Roman"/>
          <w:noProof/>
        </w:rPr>
        <w:t>:</w:t>
      </w:r>
    </w:p>
    <w:p w14:paraId="01FF1382" w14:textId="469480C5" w:rsidR="00456B58" w:rsidRPr="00970492" w:rsidRDefault="00F05814" w:rsidP="00BB7655">
      <w:pPr>
        <w:pStyle w:val="ListParagraph"/>
        <w:numPr>
          <w:ilvl w:val="0"/>
          <w:numId w:val="21"/>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elle </w:t>
      </w:r>
      <w:r>
        <w:rPr>
          <w:rFonts w:ascii="Times New Roman" w:hAnsi="Times New Roman"/>
          <w:b/>
          <w:bCs/>
          <w:noProof/>
        </w:rPr>
        <w:t>fait partie intégrante de l’action extérieure et de la politique étrangère de l’Union</w:t>
      </w:r>
      <w:r>
        <w:rPr>
          <w:rFonts w:ascii="Times New Roman" w:hAnsi="Times New Roman"/>
          <w:noProof/>
        </w:rPr>
        <w:t xml:space="preserve"> et se reflète systématiquement dans ses interventions et ses négociations diplomatiques; </w:t>
      </w:r>
    </w:p>
    <w:p w14:paraId="7F876559" w14:textId="4A1CDAFD" w:rsidR="00456B58" w:rsidRPr="00970492" w:rsidRDefault="00F05814"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elle adhère aux principes humanitaires </w:t>
      </w:r>
      <w:r>
        <w:rPr>
          <w:rFonts w:ascii="Times New Roman" w:hAnsi="Times New Roman"/>
          <w:b/>
          <w:bCs/>
          <w:noProof/>
        </w:rPr>
        <w:t>d’humanité, de neutralité, d’impartialité et d’indépendance</w:t>
      </w:r>
      <w:r>
        <w:rPr>
          <w:rFonts w:ascii="Times New Roman" w:hAnsi="Times New Roman"/>
          <w:noProof/>
        </w:rPr>
        <w:t>, en mettant tout en œuvre pour éviter tout dommage involontaire. Elle doit également tenir compte des conflits, prendre en considération les questions de genre et être capable d’apprécier les situations;</w:t>
      </w:r>
    </w:p>
    <w:p w14:paraId="0C9B721F" w14:textId="199D9981" w:rsidR="008D487F" w:rsidRPr="00970492" w:rsidRDefault="00F05814"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elle vise à maximiser la </w:t>
      </w:r>
      <w:r>
        <w:rPr>
          <w:rFonts w:ascii="Times New Roman" w:hAnsi="Times New Roman"/>
          <w:b/>
          <w:bCs/>
          <w:noProof/>
        </w:rPr>
        <w:t>coordination au niveau de l’UE</w:t>
      </w:r>
      <w:r>
        <w:rPr>
          <w:rFonts w:ascii="Times New Roman" w:hAnsi="Times New Roman"/>
          <w:noProof/>
        </w:rPr>
        <w:t xml:space="preserve"> et l’</w:t>
      </w:r>
      <w:r>
        <w:rPr>
          <w:rFonts w:ascii="Times New Roman" w:hAnsi="Times New Roman"/>
          <w:b/>
          <w:bCs/>
          <w:noProof/>
        </w:rPr>
        <w:t>approche «Équipe Europe»</w:t>
      </w:r>
      <w:r>
        <w:rPr>
          <w:rFonts w:ascii="Times New Roman" w:hAnsi="Times New Roman"/>
          <w:noProof/>
        </w:rPr>
        <w:t xml:space="preserve">, en tirant parti des mandats distincts des représentants spéciaux de l’UE et des envoyés spéciaux concernés, en mettant à profit les missions et opérations relevant de la politique de sécurité et de défense commune (PSDC), et en mobilisant la Commission, la </w:t>
      </w:r>
      <w:r>
        <w:rPr>
          <w:rStyle w:val="normaltextrun"/>
          <w:rFonts w:ascii="Times New Roman" w:hAnsi="Times New Roman"/>
          <w:noProof/>
        </w:rPr>
        <w:t>haute représentante de l’UE</w:t>
      </w:r>
      <w:r>
        <w:rPr>
          <w:rFonts w:ascii="Times New Roman" w:hAnsi="Times New Roman"/>
          <w:noProof/>
        </w:rPr>
        <w:t xml:space="preserve"> et les États membres, tout en intégrant systématiquement des informations en temps réel, notamment celles obtenues grâce à la présence de l’UE sur le terrain;</w:t>
      </w:r>
    </w:p>
    <w:p w14:paraId="449984C1" w14:textId="56DAEA8A" w:rsidR="00311B63" w:rsidRPr="00970492" w:rsidRDefault="00F05814"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elle garantit une participation et un engagement significatifs des </w:t>
      </w:r>
      <w:r>
        <w:rPr>
          <w:rFonts w:ascii="Times New Roman" w:hAnsi="Times New Roman"/>
          <w:b/>
          <w:bCs/>
          <w:noProof/>
        </w:rPr>
        <w:t>organisations locales ou portant la voix des communautés</w:t>
      </w:r>
      <w:r>
        <w:rPr>
          <w:rFonts w:ascii="Times New Roman" w:hAnsi="Times New Roman"/>
          <w:noProof/>
        </w:rPr>
        <w:t>, y compris des organisations représentant les femmes, les personnes handicapées, les personnes âgées, les jeunes LGBTIQ+, les personnes appartenant à des minorités et d’autres groupes exposés à un risque de discrimination. Elle place les besoins spécifiques et les vulnérabilités des populations touchées par les conflits au centre de son action grâce à une approche différenciée et inclusive;</w:t>
      </w:r>
    </w:p>
    <w:p w14:paraId="495EF5B0" w14:textId="440B4C91" w:rsidR="00311B63" w:rsidRPr="00970492" w:rsidRDefault="00B615C9"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elle s’appuie sur des </w:t>
      </w:r>
      <w:r>
        <w:rPr>
          <w:rFonts w:ascii="Times New Roman" w:hAnsi="Times New Roman"/>
          <w:b/>
          <w:bCs/>
          <w:noProof/>
        </w:rPr>
        <w:t>alliances stratégiques avec des organisations et des donateurs</w:t>
      </w:r>
      <w:r>
        <w:rPr>
          <w:rFonts w:ascii="Times New Roman" w:hAnsi="Times New Roman"/>
          <w:noProof/>
        </w:rPr>
        <w:t xml:space="preserve"> déterminés à améliorer la coordination opérationnelle de la diplomatie humanitaire et à atteindre des objectifs humanitaires communs, y compris notamment des partenariats régionaux et bilatéraux, la participation aux enceintes multilatérales ainsi que le soutien au Comité international de la Croix-Rouge (CICR) et à la mise en œuvre de son initiative mondiale en faveur du DIH (</w:t>
      </w:r>
      <w:r>
        <w:rPr>
          <w:rStyle w:val="FootnoteReference"/>
          <w:rFonts w:ascii="Times New Roman" w:eastAsia="Times New Roman" w:hAnsi="Times New Roman" w:cs="Times New Roman"/>
          <w:noProof/>
          <w:lang w:val="en-GB"/>
        </w:rPr>
        <w:footnoteReference w:id="21"/>
      </w:r>
      <w:r>
        <w:rPr>
          <w:rFonts w:ascii="Times New Roman" w:hAnsi="Times New Roman"/>
          <w:noProof/>
        </w:rPr>
        <w:t>);</w:t>
      </w:r>
    </w:p>
    <w:p w14:paraId="6C7B014B" w14:textId="4C222DBF" w:rsidR="00456B58" w:rsidRPr="00970492" w:rsidRDefault="00B615C9"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elle s’adapte aux </w:t>
      </w:r>
      <w:r>
        <w:rPr>
          <w:rFonts w:ascii="Times New Roman" w:hAnsi="Times New Roman"/>
          <w:b/>
          <w:bCs/>
          <w:noProof/>
        </w:rPr>
        <w:t>situations et aux contextes particuliers</w:t>
      </w:r>
      <w:r>
        <w:rPr>
          <w:rFonts w:ascii="Times New Roman" w:hAnsi="Times New Roman"/>
          <w:noProof/>
        </w:rPr>
        <w:t>, s’appuie sur des preuves rigoureuses, notamment en entretenant des contacts réguliers avec des acteurs humanitaires clés, et peut être menée publiquement ou discrètement.</w:t>
      </w:r>
    </w:p>
    <w:p w14:paraId="6B788328" w14:textId="4E942019" w:rsidR="001C1699" w:rsidRPr="00970492" w:rsidRDefault="416C9DE2" w:rsidP="7B2D0FFF">
      <w:pPr>
        <w:pStyle w:val="ListParagraph"/>
        <w:spacing w:after="120" w:line="240" w:lineRule="auto"/>
        <w:ind w:left="0"/>
        <w:contextualSpacing w:val="0"/>
        <w:jc w:val="both"/>
        <w:rPr>
          <w:rFonts w:ascii="Times New Roman" w:eastAsia="Times New Roman" w:hAnsi="Times New Roman" w:cs="Times New Roman"/>
          <w:noProof/>
        </w:rPr>
      </w:pPr>
      <w:r>
        <w:rPr>
          <w:rFonts w:ascii="Times New Roman" w:hAnsi="Times New Roman"/>
          <w:noProof/>
        </w:rPr>
        <w:t xml:space="preserve">Si elle contribue à un large éventail de résultats sur le plan humanitaire, la diplomatie humanitaire sert avant tout quelques </w:t>
      </w:r>
      <w:r>
        <w:rPr>
          <w:rFonts w:ascii="Times New Roman" w:hAnsi="Times New Roman"/>
          <w:b/>
          <w:bCs/>
          <w:noProof/>
        </w:rPr>
        <w:t>priorités thématiques phares</w:t>
      </w:r>
      <w:r>
        <w:rPr>
          <w:rFonts w:ascii="Times New Roman" w:hAnsi="Times New Roman"/>
          <w:noProof/>
        </w:rPr>
        <w:t>:</w:t>
      </w:r>
    </w:p>
    <w:p w14:paraId="35F56894" w14:textId="5641D659" w:rsidR="001C1699" w:rsidRPr="00970492" w:rsidRDefault="001C1699"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prévenir les violations du </w:t>
      </w:r>
      <w:r>
        <w:rPr>
          <w:rFonts w:ascii="Times New Roman" w:hAnsi="Times New Roman"/>
          <w:b/>
          <w:bCs/>
          <w:noProof/>
        </w:rPr>
        <w:t>droit international humanitaire et des droits de l’homme</w:t>
      </w:r>
      <w:r>
        <w:rPr>
          <w:rFonts w:ascii="Times New Roman" w:hAnsi="Times New Roman"/>
          <w:noProof/>
        </w:rPr>
        <w:t xml:space="preserve">, œuvrer au respect de ces droits et promouvoir un principe strict de </w:t>
      </w:r>
      <w:r>
        <w:rPr>
          <w:rFonts w:ascii="Times New Roman" w:hAnsi="Times New Roman"/>
          <w:b/>
          <w:bCs/>
          <w:noProof/>
        </w:rPr>
        <w:t>responsabilité</w:t>
      </w:r>
      <w:r>
        <w:rPr>
          <w:rFonts w:ascii="Times New Roman" w:hAnsi="Times New Roman"/>
          <w:noProof/>
        </w:rPr>
        <w:t>;</w:t>
      </w:r>
    </w:p>
    <w:p w14:paraId="49EEA68E" w14:textId="2B934381" w:rsidR="001C1699" w:rsidRPr="00970492" w:rsidRDefault="21361C6C"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défendre le soutien à la </w:t>
      </w:r>
      <w:r>
        <w:rPr>
          <w:rFonts w:ascii="Times New Roman" w:hAnsi="Times New Roman"/>
          <w:b/>
          <w:bCs/>
          <w:noProof/>
        </w:rPr>
        <w:t>protection des civils et des infrastructures civiles pendant les conflits armés</w:t>
      </w:r>
      <w:r>
        <w:rPr>
          <w:rFonts w:ascii="Times New Roman" w:hAnsi="Times New Roman"/>
          <w:noProof/>
        </w:rPr>
        <w:t>, en accordant une attention particulière aux personnes les plus exposées, ce qui implique notamment de tenir compte des besoins de groupes spécifiques, tels que les personnes handicapées (</w:t>
      </w:r>
      <w:r>
        <w:rPr>
          <w:rStyle w:val="FootnoteReference"/>
          <w:rFonts w:ascii="Times New Roman" w:eastAsia="Times New Roman" w:hAnsi="Times New Roman" w:cs="Times New Roman"/>
          <w:noProof/>
          <w:lang w:val="en-GB"/>
        </w:rPr>
        <w:footnoteReference w:id="22"/>
      </w:r>
      <w:r>
        <w:rPr>
          <w:rFonts w:ascii="Times New Roman" w:hAnsi="Times New Roman"/>
          <w:noProof/>
        </w:rPr>
        <w:t>);</w:t>
      </w:r>
    </w:p>
    <w:p w14:paraId="627F86A7" w14:textId="2764A16D" w:rsidR="001C1699" w:rsidRPr="00C25C24" w:rsidRDefault="00CE0E29"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utiliser tous les instruments disponibles pour </w:t>
      </w:r>
      <w:r>
        <w:rPr>
          <w:rFonts w:ascii="Times New Roman" w:hAnsi="Times New Roman"/>
          <w:b/>
          <w:bCs/>
          <w:noProof/>
        </w:rPr>
        <w:t>prévenir les violations graves commises contre les enfants</w:t>
      </w:r>
      <w:r>
        <w:rPr>
          <w:rFonts w:ascii="Times New Roman" w:hAnsi="Times New Roman"/>
          <w:noProof/>
        </w:rPr>
        <w:t xml:space="preserve"> </w:t>
      </w:r>
      <w:r>
        <w:rPr>
          <w:rFonts w:ascii="Times New Roman" w:hAnsi="Times New Roman"/>
          <w:b/>
          <w:bCs/>
          <w:noProof/>
        </w:rPr>
        <w:t>et y mettre fin</w:t>
      </w:r>
      <w:r>
        <w:rPr>
          <w:rFonts w:ascii="Times New Roman" w:hAnsi="Times New Roman"/>
          <w:noProof/>
        </w:rPr>
        <w:t xml:space="preserve">, protéger leurs droits et leur bien-être, promouvoir le </w:t>
      </w:r>
      <w:r>
        <w:rPr>
          <w:rFonts w:ascii="Times New Roman" w:hAnsi="Times New Roman"/>
          <w:b/>
          <w:bCs/>
          <w:noProof/>
        </w:rPr>
        <w:t>droit à l’éducation</w:t>
      </w:r>
      <w:r>
        <w:rPr>
          <w:rFonts w:ascii="Times New Roman" w:hAnsi="Times New Roman"/>
          <w:noProof/>
        </w:rPr>
        <w:t xml:space="preserve"> et à un apprentissage de qualité </w:t>
      </w:r>
      <w:r>
        <w:rPr>
          <w:rFonts w:ascii="Times New Roman" w:hAnsi="Times New Roman"/>
          <w:b/>
          <w:bCs/>
          <w:noProof/>
        </w:rPr>
        <w:t>dans les zones de conflit</w:t>
      </w:r>
      <w:r>
        <w:rPr>
          <w:rFonts w:ascii="Times New Roman" w:hAnsi="Times New Roman"/>
          <w:noProof/>
        </w:rPr>
        <w:t>. Il s’agit notamment</w:t>
      </w:r>
      <w:r>
        <w:rPr>
          <w:rFonts w:ascii="Times New Roman" w:hAnsi="Times New Roman"/>
          <w:noProof/>
          <w:color w:val="000000" w:themeColor="text1"/>
        </w:rPr>
        <w:t xml:space="preserve"> d’encourager les pays à adopter des instruments et à prendre des engagements internationaux concernant la protection des enfants touchés par les conflits</w:t>
      </w:r>
      <w:r>
        <w:rPr>
          <w:rFonts w:ascii="Times New Roman" w:hAnsi="Times New Roman"/>
          <w:noProof/>
        </w:rPr>
        <w:t>;</w:t>
      </w:r>
    </w:p>
    <w:p w14:paraId="575B9F90" w14:textId="1F802E28" w:rsidR="004962F4" w:rsidRPr="00C25C24" w:rsidRDefault="004962F4" w:rsidP="004962F4">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compte tenu des restrictions généralisées imposées en matière d’accès de l’aide humanitaire aux victimes, </w:t>
      </w:r>
      <w:r>
        <w:rPr>
          <w:rFonts w:ascii="Times New Roman" w:hAnsi="Times New Roman"/>
          <w:b/>
          <w:bCs/>
          <w:noProof/>
        </w:rPr>
        <w:t>défendre et étendre l’espace humanitaire et prévenir la politisation de l’action humanitaire</w:t>
      </w:r>
      <w:r>
        <w:rPr>
          <w:rFonts w:ascii="Times New Roman" w:hAnsi="Times New Roman"/>
          <w:noProof/>
        </w:rPr>
        <w:t xml:space="preserve">, y compris en luttant contre la désinformation. </w:t>
      </w:r>
      <w:bookmarkStart w:id="3" w:name="_Hlk229487003"/>
      <w:r>
        <w:rPr>
          <w:rFonts w:ascii="Times New Roman" w:hAnsi="Times New Roman"/>
          <w:noProof/>
        </w:rPr>
        <w:t xml:space="preserve">Cela implique notamment de faciliter la suppression des obstacles bureaucratiques et administratifs, de lever les restrictions sécuritaires et de prendre d’autres mesures visant à permettre à tous les acteurs humanitaires de mener à bien leurs interventions; </w:t>
      </w:r>
    </w:p>
    <w:bookmarkEnd w:id="3"/>
    <w:p w14:paraId="1D888395" w14:textId="36076422" w:rsidR="001C1699" w:rsidRPr="00970492" w:rsidRDefault="4FC8FEAD"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assurer la </w:t>
      </w:r>
      <w:r>
        <w:rPr>
          <w:rFonts w:ascii="Times New Roman" w:hAnsi="Times New Roman"/>
          <w:b/>
          <w:bCs/>
          <w:noProof/>
        </w:rPr>
        <w:t>sécurité du personnel humanitaire et médical</w:t>
      </w:r>
      <w:r>
        <w:rPr>
          <w:rFonts w:ascii="Times New Roman" w:hAnsi="Times New Roman"/>
          <w:noProof/>
        </w:rPr>
        <w:t>, y compris en imposant une obligation de rendre des comptes quant aux attaques qui les visent;</w:t>
      </w:r>
    </w:p>
    <w:p w14:paraId="720257A6" w14:textId="1C5E4063" w:rsidR="001C1699" w:rsidRPr="00C54B98" w:rsidRDefault="72459C4C"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prévenir, atténuer et traiter les </w:t>
      </w:r>
      <w:r>
        <w:rPr>
          <w:rFonts w:ascii="Times New Roman" w:hAnsi="Times New Roman"/>
          <w:b/>
          <w:bCs/>
          <w:noProof/>
        </w:rPr>
        <w:t>violences sexuelles et sexistes</w:t>
      </w:r>
      <w:r>
        <w:rPr>
          <w:rFonts w:ascii="Times New Roman" w:hAnsi="Times New Roman"/>
          <w:noProof/>
        </w:rPr>
        <w:t xml:space="preserve"> dans les situations d’urgence et les conflits;</w:t>
      </w:r>
    </w:p>
    <w:p w14:paraId="68D4C136" w14:textId="02F0FFCF" w:rsidR="00FF64D2" w:rsidRPr="00FF64D2" w:rsidRDefault="238A1DA8" w:rsidP="00FF64D2">
      <w:pPr>
        <w:pStyle w:val="ListParagraph"/>
        <w:numPr>
          <w:ilvl w:val="0"/>
          <w:numId w:val="19"/>
        </w:numPr>
        <w:spacing w:after="120" w:line="240" w:lineRule="auto"/>
        <w:contextualSpacing w:val="0"/>
        <w:jc w:val="both"/>
        <w:rPr>
          <w:rFonts w:ascii="Times New Roman" w:eastAsia="Times New Roman" w:hAnsi="Times New Roman" w:cs="Times New Roman"/>
          <w:b/>
          <w:bCs/>
          <w:noProof/>
        </w:rPr>
      </w:pPr>
      <w:r>
        <w:rPr>
          <w:rFonts w:ascii="Times New Roman" w:hAnsi="Times New Roman"/>
          <w:noProof/>
        </w:rPr>
        <w:t xml:space="preserve">prendre en considération les priorités humanitaires dans les </w:t>
      </w:r>
      <w:r>
        <w:rPr>
          <w:rFonts w:ascii="Times New Roman" w:hAnsi="Times New Roman"/>
          <w:b/>
          <w:bCs/>
          <w:noProof/>
        </w:rPr>
        <w:t>efforts de consolidation de la paix, de médiation et de résolution des conflits</w:t>
      </w:r>
      <w:r>
        <w:rPr>
          <w:rFonts w:ascii="Times New Roman" w:hAnsi="Times New Roman"/>
          <w:noProof/>
        </w:rPr>
        <w:t>.</w:t>
      </w:r>
    </w:p>
    <w:tbl>
      <w:tblPr>
        <w:tblStyle w:val="TableGrid"/>
        <w:tblW w:w="0" w:type="auto"/>
        <w:tblLook w:val="04A0" w:firstRow="1" w:lastRow="0" w:firstColumn="1" w:lastColumn="0" w:noHBand="0" w:noVBand="1"/>
      </w:tblPr>
      <w:tblGrid>
        <w:gridCol w:w="9062"/>
      </w:tblGrid>
      <w:tr w:rsidR="00456B58" w:rsidRPr="00970492" w14:paraId="02CA2473" w14:textId="77777777" w:rsidTr="46C62D5D">
        <w:tc>
          <w:tcPr>
            <w:tcW w:w="9288" w:type="dxa"/>
            <w:shd w:val="clear" w:color="auto" w:fill="F2F2F2" w:themeFill="background1" w:themeFillShade="F2"/>
          </w:tcPr>
          <w:p w14:paraId="14AB22A1" w14:textId="5DC9F97E" w:rsidR="00456B58" w:rsidRPr="00F17992" w:rsidRDefault="00456B58" w:rsidP="004942CF">
            <w:pPr>
              <w:pStyle w:val="paragraph"/>
              <w:spacing w:before="0" w:beforeAutospacing="0" w:after="0" w:afterAutospacing="0"/>
              <w:jc w:val="both"/>
              <w:textAlignment w:val="baseline"/>
              <w:rPr>
                <w:rStyle w:val="normaltextrun"/>
                <w:rFonts w:eastAsiaTheme="majorEastAsia"/>
                <w:b/>
                <w:bCs/>
                <w:noProof/>
                <w:sz w:val="24"/>
                <w:szCs w:val="24"/>
              </w:rPr>
            </w:pPr>
            <w:r>
              <w:rPr>
                <w:rStyle w:val="normaltextrun"/>
                <w:b/>
                <w:noProof/>
                <w:sz w:val="24"/>
              </w:rPr>
              <w:t>Actions clés</w:t>
            </w:r>
          </w:p>
          <w:p w14:paraId="5EC994FF" w14:textId="51AAC66E" w:rsidR="00456B58" w:rsidRPr="00F17992" w:rsidRDefault="72541D1E" w:rsidP="004942CF">
            <w:pPr>
              <w:pStyle w:val="paragraph"/>
              <w:spacing w:before="0" w:beforeAutospacing="0" w:after="0" w:afterAutospacing="0"/>
              <w:jc w:val="both"/>
              <w:textAlignment w:val="baseline"/>
              <w:rPr>
                <w:rFonts w:eastAsiaTheme="majorEastAsia"/>
                <w:noProof/>
                <w:sz w:val="24"/>
                <w:szCs w:val="24"/>
              </w:rPr>
            </w:pPr>
            <w:r>
              <w:rPr>
                <w:rStyle w:val="normaltextrun"/>
                <w:noProof/>
                <w:sz w:val="24"/>
              </w:rPr>
              <w:t>La Commission, en coopération avec la haute représentante de l’Union pour les affaires étrangères et la politique de sécurité, dans l’exercice de ses fonctions et</w:t>
            </w:r>
            <w:r>
              <w:rPr>
                <w:rStyle w:val="normaltextrun"/>
                <w:noProof/>
                <w:color w:val="000000" w:themeColor="text1"/>
                <w:sz w:val="24"/>
              </w:rPr>
              <w:t>, le cas échéant, avec le soutien des représentants spéciaux de l’UE</w:t>
            </w:r>
            <w:r>
              <w:rPr>
                <w:noProof/>
                <w:sz w:val="24"/>
              </w:rPr>
              <w:t> (</w:t>
            </w:r>
            <w:r>
              <w:rPr>
                <w:rStyle w:val="FootnoteReference"/>
                <w:rFonts w:eastAsiaTheme="majorEastAsia"/>
                <w:noProof/>
                <w:sz w:val="24"/>
                <w:szCs w:val="24"/>
                <w:lang w:val="en-GB"/>
              </w:rPr>
              <w:footnoteReference w:id="23"/>
            </w:r>
            <w:r>
              <w:rPr>
                <w:noProof/>
                <w:sz w:val="24"/>
              </w:rPr>
              <w:t>), entend:</w:t>
            </w:r>
          </w:p>
          <w:p w14:paraId="43284091" w14:textId="7B8ECD3A" w:rsidR="6165D59F" w:rsidRPr="00F17992" w:rsidRDefault="007D3A65" w:rsidP="00321376">
            <w:pPr>
              <w:pStyle w:val="ListParagraph"/>
              <w:numPr>
                <w:ilvl w:val="0"/>
                <w:numId w:val="14"/>
              </w:numPr>
              <w:spacing w:line="257" w:lineRule="auto"/>
              <w:jc w:val="both"/>
              <w:rPr>
                <w:rFonts w:ascii="Times New Roman" w:eastAsia="Times New Roman" w:hAnsi="Times New Roman" w:cs="Times New Roman"/>
                <w:b/>
                <w:bCs/>
                <w:noProof/>
                <w:sz w:val="24"/>
                <w:szCs w:val="24"/>
              </w:rPr>
            </w:pPr>
            <w:r>
              <w:rPr>
                <w:rFonts w:ascii="Times New Roman" w:hAnsi="Times New Roman"/>
                <w:b/>
                <w:noProof/>
                <w:sz w:val="24"/>
              </w:rPr>
              <w:t>renforcer la cohésion institutionnelle pour une diplomatie humanitaire efficace</w:t>
            </w:r>
          </w:p>
          <w:p w14:paraId="7665E661" w14:textId="287D47B7" w:rsidR="00456B58"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 xml:space="preserve">améliorer la capacité de l’UE à </w:t>
            </w:r>
            <w:r>
              <w:rPr>
                <w:rFonts w:ascii="Times New Roman" w:hAnsi="Times New Roman"/>
                <w:b/>
                <w:bCs/>
                <w:noProof/>
                <w:sz w:val="24"/>
              </w:rPr>
              <w:t>coordonner la diplomatie humanitaire</w:t>
            </w:r>
            <w:r>
              <w:rPr>
                <w:rFonts w:ascii="Times New Roman" w:hAnsi="Times New Roman"/>
                <w:noProof/>
                <w:sz w:val="24"/>
              </w:rPr>
              <w:t xml:space="preserve"> grâce à une approche stratégique articulée autour des objectifs et principes clés énoncés ci-dessus et adaptée à la situation spécifique de chaque crise, ce qui suppose de renforcer les mécanismes institutionnels de coordination, de conforter le dialogue régulier en interne et de consolider les processus conjoints de planification, de suivi et d’évaluation. Cette coordination sera facilitée, le cas échéant, par des centres de liaison de la diplomatie humanitaire, dans le cadre des ressources existantes;</w:t>
            </w:r>
          </w:p>
          <w:p w14:paraId="5B03D21B" w14:textId="6935087A" w:rsidR="244849F3" w:rsidRPr="00F17992" w:rsidRDefault="00B615C9" w:rsidP="00321376">
            <w:pPr>
              <w:pStyle w:val="ListParagraph"/>
              <w:numPr>
                <w:ilvl w:val="1"/>
                <w:numId w:val="14"/>
              </w:numPr>
              <w:spacing w:after="120"/>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renforcer</w:t>
            </w:r>
            <w:r>
              <w:rPr>
                <w:rFonts w:ascii="Times New Roman" w:hAnsi="Times New Roman"/>
                <w:noProof/>
                <w:sz w:val="24"/>
              </w:rPr>
              <w:t xml:space="preserve"> l’</w:t>
            </w:r>
            <w:r>
              <w:rPr>
                <w:rFonts w:ascii="Times New Roman" w:hAnsi="Times New Roman"/>
                <w:b/>
                <w:bCs/>
                <w:noProof/>
                <w:sz w:val="24"/>
              </w:rPr>
              <w:t>approche «Équipe Europe»</w:t>
            </w:r>
            <w:r>
              <w:rPr>
                <w:rFonts w:ascii="Times New Roman" w:hAnsi="Times New Roman"/>
                <w:noProof/>
                <w:sz w:val="24"/>
              </w:rPr>
              <w:t xml:space="preserve"> </w:t>
            </w:r>
            <w:r>
              <w:rPr>
                <w:rStyle w:val="normaltextrun"/>
                <w:rFonts w:ascii="Times New Roman" w:hAnsi="Times New Roman"/>
                <w:noProof/>
                <w:sz w:val="24"/>
              </w:rPr>
              <w:t xml:space="preserve">en matière de diplomatie humanitaire grâce à une coordination stratégique avec les États membres, ce qui implique d’élaborer </w:t>
            </w:r>
            <w:r>
              <w:rPr>
                <w:rFonts w:ascii="Times New Roman" w:hAnsi="Times New Roman"/>
                <w:noProof/>
                <w:sz w:val="24"/>
              </w:rPr>
              <w:t>des messages communs et de proposer des actions conjointes dans des situations de crise majeure où l’on observe des violations du droit international humanitaire et des restrictions d’accès;</w:t>
            </w:r>
          </w:p>
          <w:p w14:paraId="39AA3E36" w14:textId="329317B9" w:rsidR="7C56C570" w:rsidRPr="00F17992" w:rsidRDefault="007D3A65" w:rsidP="00321376">
            <w:pPr>
              <w:pStyle w:val="ListParagraph"/>
              <w:numPr>
                <w:ilvl w:val="0"/>
                <w:numId w:val="14"/>
              </w:numPr>
              <w:spacing w:line="257" w:lineRule="auto"/>
              <w:rPr>
                <w:rFonts w:ascii="Times New Roman" w:hAnsi="Times New Roman" w:cs="Times New Roman"/>
                <w:noProof/>
                <w:sz w:val="24"/>
                <w:szCs w:val="24"/>
              </w:rPr>
            </w:pPr>
            <w:r>
              <w:rPr>
                <w:rFonts w:ascii="Times New Roman" w:hAnsi="Times New Roman"/>
                <w:b/>
                <w:noProof/>
                <w:sz w:val="24"/>
              </w:rPr>
              <w:t>mettre à profit les outils diplomatiques pour produire un maximum d’effets</w:t>
            </w:r>
          </w:p>
          <w:p w14:paraId="3E441F15" w14:textId="7327AA46" w:rsidR="00456B58"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 xml:space="preserve">promouvoir les efforts visant à </w:t>
            </w:r>
            <w:r>
              <w:rPr>
                <w:rFonts w:ascii="Times New Roman" w:hAnsi="Times New Roman"/>
                <w:b/>
                <w:bCs/>
                <w:noProof/>
                <w:sz w:val="24"/>
              </w:rPr>
              <w:t>plaider contre les violations du droit international humanitaire et les restrictions de l’accès humanitaire aux victimes</w:t>
            </w:r>
            <w:r>
              <w:rPr>
                <w:rFonts w:ascii="Times New Roman" w:hAnsi="Times New Roman"/>
                <w:noProof/>
                <w:sz w:val="24"/>
              </w:rPr>
              <w:t xml:space="preserve"> dans le cadre des dialogues politiques et de sécurité, des dialogues sur les droits de l’homme ainsi que des démarches diplomatiques effectuées entre les représentants de l’UE et les pays ou parties prenantes impliqués dans les conflits ou touchés par ces derniers;</w:t>
            </w:r>
          </w:p>
          <w:p w14:paraId="70600BAC" w14:textId="74CE5F08" w:rsidR="46C59ADB"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 xml:space="preserve">intensifier les efforts de </w:t>
            </w:r>
            <w:r>
              <w:rPr>
                <w:rFonts w:ascii="Times New Roman" w:hAnsi="Times New Roman"/>
                <w:b/>
                <w:bCs/>
                <w:noProof/>
                <w:sz w:val="24"/>
              </w:rPr>
              <w:t>communication stratégique</w:t>
            </w:r>
            <w:r>
              <w:rPr>
                <w:rFonts w:ascii="Times New Roman" w:hAnsi="Times New Roman"/>
                <w:noProof/>
                <w:sz w:val="24"/>
              </w:rPr>
              <w:t xml:space="preserve"> et renforcer les outils au service de la diplomatie humanitaire, tout en luttant contre la manipulation de l’information;</w:t>
            </w:r>
          </w:p>
          <w:p w14:paraId="21465264" w14:textId="7BAF9C18" w:rsidR="00FD24F3"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faciliter l’élaboration par les partenaires humanitaires et la communauté diplomatique d’</w:t>
            </w:r>
            <w:r>
              <w:rPr>
                <w:rFonts w:ascii="Times New Roman" w:hAnsi="Times New Roman"/>
                <w:b/>
                <w:bCs/>
                <w:noProof/>
                <w:sz w:val="24"/>
              </w:rPr>
              <w:t>évaluations et de messages de sensibilisation communs</w:t>
            </w:r>
            <w:r>
              <w:rPr>
                <w:rFonts w:ascii="Times New Roman" w:hAnsi="Times New Roman"/>
                <w:noProof/>
                <w:sz w:val="24"/>
              </w:rPr>
              <w:t xml:space="preserve"> sur les contextes humanitaires complexes, y compris par l’intermédiaire d’un groupe de donateurs consacré à la diplomatie et à l’accès humanitaires; </w:t>
            </w:r>
          </w:p>
          <w:p w14:paraId="56694E9B" w14:textId="1B043D0E" w:rsidR="00456B58"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 xml:space="preserve">renforcer les </w:t>
            </w:r>
            <w:r>
              <w:rPr>
                <w:rFonts w:ascii="Times New Roman" w:hAnsi="Times New Roman"/>
                <w:b/>
                <w:bCs/>
                <w:noProof/>
                <w:sz w:val="24"/>
              </w:rPr>
              <w:t>alliances stratégiques avec les principaux États et organisations multilatérales</w:t>
            </w:r>
            <w:r>
              <w:rPr>
                <w:rFonts w:ascii="Times New Roman" w:hAnsi="Times New Roman"/>
                <w:noProof/>
                <w:sz w:val="24"/>
              </w:rPr>
              <w:t xml:space="preserve"> et accroître le soutien au rôle joué par les Nations unies dans la diplomatie humanitaire, notamment dans le cadre de l’initiative ONU80, de la «réinitialisation humanitaire» et de l’initiative mondiale visant à revitaliser l’engagement politique en faveur du droit international humanitaire;</w:t>
            </w:r>
          </w:p>
          <w:p w14:paraId="6FCB0A00" w14:textId="0CA71124" w:rsidR="00456B58" w:rsidRPr="00F17992" w:rsidRDefault="007D3A65" w:rsidP="00321376">
            <w:pPr>
              <w:pStyle w:val="ListParagraph"/>
              <w:numPr>
                <w:ilvl w:val="0"/>
                <w:numId w:val="14"/>
              </w:numPr>
              <w:spacing w:after="120"/>
              <w:jc w:val="both"/>
              <w:rPr>
                <w:rFonts w:ascii="Times New Roman" w:hAnsi="Times New Roman" w:cs="Times New Roman"/>
                <w:noProof/>
                <w:sz w:val="24"/>
                <w:szCs w:val="24"/>
              </w:rPr>
            </w:pPr>
            <w:r>
              <w:rPr>
                <w:rFonts w:ascii="Times New Roman" w:hAnsi="Times New Roman"/>
                <w:b/>
                <w:noProof/>
                <w:sz w:val="24"/>
              </w:rPr>
              <w:t>investir dans la pérennité de la diplomatie humanitaire de l’UE</w:t>
            </w:r>
          </w:p>
          <w:p w14:paraId="20F97251" w14:textId="13DEE2B4" w:rsidR="00456B58" w:rsidRPr="00F17992" w:rsidRDefault="00B615C9" w:rsidP="00321376">
            <w:pPr>
              <w:pStyle w:val="ListParagraph"/>
              <w:numPr>
                <w:ilvl w:val="1"/>
                <w:numId w:val="14"/>
              </w:num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lancer un </w:t>
            </w:r>
            <w:r>
              <w:rPr>
                <w:rFonts w:ascii="Times New Roman" w:hAnsi="Times New Roman"/>
                <w:b/>
                <w:bCs/>
                <w:noProof/>
                <w:sz w:val="24"/>
              </w:rPr>
              <w:t>programme de formation</w:t>
            </w:r>
            <w:r>
              <w:rPr>
                <w:rFonts w:ascii="Times New Roman" w:hAnsi="Times New Roman"/>
                <w:noProof/>
                <w:sz w:val="24"/>
              </w:rPr>
              <w:t xml:space="preserve"> visant à améliorer les compétences et les connaissances des diplomates et autres membres du personnel de l’UE dans le domaine de la diplomatie humanitaire;</w:t>
            </w:r>
          </w:p>
          <w:p w14:paraId="415C08CB" w14:textId="7465C499" w:rsidR="00456B58" w:rsidRPr="00970492" w:rsidRDefault="003B78F4" w:rsidP="00321376">
            <w:pPr>
              <w:pStyle w:val="ListParagraph"/>
              <w:numPr>
                <w:ilvl w:val="1"/>
                <w:numId w:val="14"/>
              </w:numPr>
              <w:spacing w:after="120"/>
              <w:jc w:val="both"/>
              <w:rPr>
                <w:rStyle w:val="normaltextrun"/>
                <w:rFonts w:ascii="Times New Roman" w:eastAsia="Times New Roman" w:hAnsi="Times New Roman" w:cs="Times New Roman"/>
                <w:noProof/>
                <w:sz w:val="24"/>
                <w:szCs w:val="24"/>
              </w:rPr>
            </w:pPr>
            <w:r>
              <w:rPr>
                <w:rFonts w:ascii="Times New Roman" w:hAnsi="Times New Roman"/>
                <w:b/>
                <w:bCs/>
                <w:noProof/>
                <w:sz w:val="24"/>
              </w:rPr>
              <w:t>soutenir financièrement la diplomatie humanitaire</w:t>
            </w:r>
            <w:r>
              <w:rPr>
                <w:rFonts w:ascii="Times New Roman" w:hAnsi="Times New Roman"/>
                <w:noProof/>
                <w:sz w:val="24"/>
              </w:rPr>
              <w:t xml:space="preserve"> afin de renforcer les outils dont disposent les acteurs humanitaires à l’appui de la diplomatie humanitaire, notamment </w:t>
            </w:r>
            <w:bookmarkStart w:id="4" w:name="_Hlk228358213"/>
            <w:r>
              <w:rPr>
                <w:rFonts w:ascii="Times New Roman" w:hAnsi="Times New Roman"/>
                <w:noProof/>
                <w:sz w:val="24"/>
              </w:rPr>
              <w:t xml:space="preserve">la capacité des acteurs locaux à négocier l’accès humanitaire nécessaire ainsi que la collecte et l’analyse de données fiables sur les violations du droit international humanitaire, essentielles pour promouvoir une diplomatie fondée sur des faits, lutter contre la manipulation de l’information, y compris la désinformation, et promouvoir le principe de responsabilité. </w:t>
            </w:r>
            <w:bookmarkEnd w:id="4"/>
          </w:p>
        </w:tc>
      </w:tr>
    </w:tbl>
    <w:p w14:paraId="1FE4F4F2" w14:textId="77777777" w:rsidR="00456B58" w:rsidRPr="00155184" w:rsidRDefault="00456B58" w:rsidP="00456B58">
      <w:pPr>
        <w:pStyle w:val="paragraph"/>
        <w:spacing w:before="0" w:beforeAutospacing="0" w:after="0" w:afterAutospacing="0"/>
        <w:jc w:val="both"/>
        <w:textAlignment w:val="baseline"/>
        <w:rPr>
          <w:rFonts w:ascii="Segoe UI" w:hAnsi="Segoe UI" w:cs="Segoe UI"/>
          <w:noProof/>
          <w:sz w:val="18"/>
          <w:szCs w:val="18"/>
          <w:lang w:val="fr-BE"/>
        </w:rPr>
      </w:pPr>
    </w:p>
    <w:p w14:paraId="2D959EFD" w14:textId="36D65FEF" w:rsidR="00456B58" w:rsidRPr="00970492" w:rsidRDefault="00456B58" w:rsidP="00321376">
      <w:pPr>
        <w:pStyle w:val="ListParagraph"/>
        <w:numPr>
          <w:ilvl w:val="1"/>
          <w:numId w:val="13"/>
        </w:numPr>
        <w:spacing w:after="200" w:line="240" w:lineRule="auto"/>
        <w:jc w:val="both"/>
        <w:rPr>
          <w:rFonts w:ascii="Times New Roman" w:hAnsi="Times New Roman" w:cs="Times New Roman"/>
          <w:b/>
          <w:bCs/>
          <w:i/>
          <w:iCs/>
          <w:noProof/>
        </w:rPr>
      </w:pPr>
      <w:bookmarkStart w:id="5" w:name="_Hlk221099504"/>
      <w:r>
        <w:rPr>
          <w:rFonts w:ascii="Times New Roman" w:hAnsi="Times New Roman"/>
          <w:b/>
          <w:i/>
          <w:noProof/>
        </w:rPr>
        <w:t>Protéger le personnel humanitaire</w:t>
      </w:r>
    </w:p>
    <w:p w14:paraId="3012D6A0" w14:textId="1E7A0DFB" w:rsidR="00426386" w:rsidRPr="00970492" w:rsidRDefault="113977F8" w:rsidP="00456B58">
      <w:pPr>
        <w:spacing w:after="240" w:line="240" w:lineRule="auto"/>
        <w:jc w:val="both"/>
        <w:rPr>
          <w:rFonts w:ascii="Times New Roman" w:eastAsia="Times New Roman" w:hAnsi="Times New Roman" w:cs="Times New Roman"/>
          <w:noProof/>
        </w:rPr>
      </w:pPr>
      <w:r>
        <w:rPr>
          <w:rFonts w:ascii="Times New Roman" w:hAnsi="Times New Roman"/>
          <w:b/>
          <w:noProof/>
          <w:color w:val="2E2E2E"/>
        </w:rPr>
        <w:t>La violence exercée à l’encontre des travailleurs humanitaires a atteint des niveaux sans précédent.</w:t>
      </w:r>
      <w:r>
        <w:rPr>
          <w:rFonts w:ascii="Times New Roman" w:hAnsi="Times New Roman"/>
          <w:noProof/>
        </w:rPr>
        <w:t xml:space="preserve"> En 2025, 334 personnes, dont une grande majorité d’agents nationaux, ont été tuées, </w:t>
      </w:r>
      <w:r>
        <w:rPr>
          <w:rFonts w:ascii="Times New Roman" w:hAnsi="Times New Roman"/>
          <w:noProof/>
          <w:color w:val="2E2E2E"/>
        </w:rPr>
        <w:t>192 blessées, 109 enlevées et 45 arrêtées illégalement (</w:t>
      </w:r>
      <w:r>
        <w:rPr>
          <w:rStyle w:val="FootnoteReference"/>
          <w:rFonts w:ascii="Times New Roman" w:eastAsia="Times New Roman" w:hAnsi="Times New Roman" w:cs="Times New Roman"/>
          <w:noProof/>
          <w:lang w:val="en-GB"/>
        </w:rPr>
        <w:footnoteReference w:id="24"/>
      </w:r>
      <w:r>
        <w:rPr>
          <w:rFonts w:ascii="Times New Roman" w:hAnsi="Times New Roman"/>
          <w:noProof/>
          <w:color w:val="2E2E2E"/>
        </w:rPr>
        <w:t>)</w:t>
      </w:r>
      <w:r>
        <w:rPr>
          <w:rFonts w:ascii="Times New Roman" w:hAnsi="Times New Roman"/>
          <w:noProof/>
        </w:rPr>
        <w:t>. La manipulation de l’information, y compris la désinformation, ainsi que les discours de haine ciblant les organisations humanitaires et le personnel médical sont en recrudescence (</w:t>
      </w:r>
      <w:r>
        <w:rPr>
          <w:rStyle w:val="FootnoteReference"/>
          <w:rFonts w:ascii="Times New Roman" w:eastAsia="Times New Roman" w:hAnsi="Times New Roman" w:cs="Times New Roman"/>
          <w:noProof/>
          <w:lang w:val="en-GB"/>
        </w:rPr>
        <w:footnoteReference w:id="25"/>
      </w:r>
      <w:r>
        <w:rPr>
          <w:rFonts w:ascii="Times New Roman" w:hAnsi="Times New Roman"/>
          <w:noProof/>
        </w:rPr>
        <w:t xml:space="preserve">) et dégénèrent souvent en menaces pour la sécurité sur le terrain et en restrictions d’accès. Dans certains cas, le personnel et les organisations humanitaires sont sanctionnés pénalement et font face à </w:t>
      </w:r>
      <w:r>
        <w:rPr>
          <w:rFonts w:ascii="Times New Roman" w:hAnsi="Times New Roman"/>
          <w:b/>
          <w:bCs/>
          <w:noProof/>
        </w:rPr>
        <w:t>des poursuites, des détentions ou des obstacles d'ordre juridique</w:t>
      </w:r>
      <w:r>
        <w:rPr>
          <w:rFonts w:ascii="Times New Roman" w:hAnsi="Times New Roman"/>
          <w:noProof/>
        </w:rPr>
        <w:t>. Les efforts déployés pour protéger le personnel humanitaire sont également minés par le déficit de financement croissant. Il n’a jamais été aussi essentiel de garantir la sûreté et la sécurité du personnel humanitaire et de sensibiliser aux responsabilités en matière de devoir de vigilance.</w:t>
      </w:r>
    </w:p>
    <w:p w14:paraId="76AD73BB" w14:textId="06A6FDFD" w:rsidR="001E0BC0" w:rsidRPr="00970492" w:rsidRDefault="113977F8" w:rsidP="00456B58">
      <w:pPr>
        <w:spacing w:after="240" w:line="240" w:lineRule="auto"/>
        <w:jc w:val="both"/>
        <w:rPr>
          <w:rFonts w:ascii="Times New Roman" w:eastAsia="Times New Roman" w:hAnsi="Times New Roman" w:cs="Times New Roman"/>
          <w:noProof/>
        </w:rPr>
      </w:pPr>
      <w:r>
        <w:rPr>
          <w:rFonts w:ascii="Times New Roman" w:hAnsi="Times New Roman"/>
          <w:b/>
          <w:bCs/>
          <w:noProof/>
        </w:rPr>
        <w:t>L’UE défend ardemment la sûreté et la sécurité du personnel humanitaire</w:t>
      </w:r>
      <w:r>
        <w:rPr>
          <w:rFonts w:ascii="Times New Roman" w:hAnsi="Times New Roman"/>
          <w:noProof/>
        </w:rPr>
        <w:t>, comme l’ont souligné ses dirigeants dans la résolution annuelle de l’Assemblée générale des Nations unies sur la protection du personnel humanitaire et du personnel des Nations unies. L’UE et ses États membres ont pris des engagements en conséquence lors de la XXXIV</w:t>
      </w:r>
      <w:r>
        <w:rPr>
          <w:rFonts w:ascii="Times New Roman" w:hAnsi="Times New Roman"/>
          <w:noProof/>
          <w:vertAlign w:val="superscript"/>
        </w:rPr>
        <w:t>e</w:t>
      </w:r>
      <w:r>
        <w:rPr>
          <w:rFonts w:ascii="Times New Roman" w:hAnsi="Times New Roman"/>
          <w:noProof/>
        </w:rPr>
        <w:t> Conférence internationale de la Croix-Rouge et du Croissant-Rouge et se sont joints à l’initiative australienne (</w:t>
      </w:r>
      <w:r>
        <w:rPr>
          <w:rStyle w:val="FootnoteReference"/>
          <w:rFonts w:ascii="Times New Roman" w:eastAsia="Times New Roman" w:hAnsi="Times New Roman" w:cs="Times New Roman"/>
          <w:noProof/>
          <w:lang w:val="en-GB"/>
        </w:rPr>
        <w:footnoteReference w:id="26"/>
      </w:r>
      <w:r>
        <w:rPr>
          <w:rFonts w:ascii="Times New Roman" w:hAnsi="Times New Roman"/>
          <w:noProof/>
        </w:rPr>
        <w:t>) visant à renforcer la protection du personnel humanitaire.</w:t>
      </w:r>
    </w:p>
    <w:p w14:paraId="3BAB6AB8" w14:textId="1C024854" w:rsidR="00456B58" w:rsidRPr="00970492" w:rsidRDefault="00456B58" w:rsidP="001E0BC0">
      <w:pPr>
        <w:spacing w:after="240" w:line="240" w:lineRule="auto"/>
        <w:jc w:val="both"/>
        <w:rPr>
          <w:rFonts w:ascii="Times New Roman" w:eastAsia="Times New Roman" w:hAnsi="Times New Roman" w:cs="Times New Roman"/>
          <w:noProof/>
        </w:rPr>
      </w:pPr>
      <w:r>
        <w:rPr>
          <w:rFonts w:ascii="Times New Roman" w:hAnsi="Times New Roman"/>
          <w:b/>
          <w:noProof/>
        </w:rPr>
        <w:t>L’UE entend également redoubler d’efforts pour accroître la protection et la sécurité lors des opérations humanitaires.</w:t>
      </w:r>
      <w:r>
        <w:rPr>
          <w:rFonts w:ascii="Times New Roman" w:hAnsi="Times New Roman"/>
          <w:noProof/>
        </w:rPr>
        <w:t xml:space="preserve"> Afin de prévenir les incidents de sécurité, elle utilisera les outils de diplomatie humanitaire décrits à la section précédente pour persuader les gouvernements hôtes ou les autorités de fait de fournir des garanties de passage sécurisé. Elle investira par ailleurs dans le </w:t>
      </w:r>
      <w:r>
        <w:rPr>
          <w:rFonts w:ascii="Times New Roman" w:hAnsi="Times New Roman"/>
          <w:b/>
          <w:bCs/>
          <w:noProof/>
        </w:rPr>
        <w:t>renforcement des capacités et la formation</w:t>
      </w:r>
      <w:r>
        <w:rPr>
          <w:rFonts w:ascii="Times New Roman" w:hAnsi="Times New Roman"/>
          <w:noProof/>
        </w:rPr>
        <w:t xml:space="preserve"> à la gestion des risques de sécurité, de même que dans la sensibilisation accrue des organisations humanitaires aux responsabilités en matière de devoir de vigilance, notamment au travers d’un financement spécifique et d’un soutien à l’élaboration de normes minimales communes de sécurité.</w:t>
      </w:r>
    </w:p>
    <w:p w14:paraId="3A29F74D" w14:textId="3298D8F7" w:rsidR="00456B58" w:rsidRPr="00970492" w:rsidRDefault="113977F8" w:rsidP="00456B58">
      <w:pPr>
        <w:spacing w:line="240" w:lineRule="auto"/>
        <w:jc w:val="both"/>
        <w:rPr>
          <w:rFonts w:ascii="Times New Roman" w:hAnsi="Times New Roman" w:cs="Times New Roman"/>
          <w:noProof/>
        </w:rPr>
      </w:pPr>
      <w:r>
        <w:rPr>
          <w:rFonts w:ascii="Times New Roman" w:hAnsi="Times New Roman"/>
          <w:noProof/>
        </w:rPr>
        <w:t xml:space="preserve">L’UE œuvrera en outre à une </w:t>
      </w:r>
      <w:r>
        <w:rPr>
          <w:rFonts w:ascii="Times New Roman" w:hAnsi="Times New Roman"/>
          <w:b/>
          <w:bCs/>
          <w:noProof/>
        </w:rPr>
        <w:t>meilleure coordination opérationnelle de la sécurité et à une meilleure coopération</w:t>
      </w:r>
      <w:r>
        <w:rPr>
          <w:rFonts w:ascii="Times New Roman" w:hAnsi="Times New Roman"/>
          <w:noProof/>
        </w:rPr>
        <w:t xml:space="preserve"> entre les organisations humanitaires, par l’intermédiaire de plateformes telles que Saving Lives Together (SLT) (</w:t>
      </w:r>
      <w:r>
        <w:rPr>
          <w:rStyle w:val="FootnoteReference"/>
          <w:rFonts w:ascii="Times New Roman" w:hAnsi="Times New Roman" w:cs="Times New Roman"/>
          <w:noProof/>
          <w:lang w:val="en-GB"/>
        </w:rPr>
        <w:footnoteReference w:id="27"/>
      </w:r>
      <w:r>
        <w:rPr>
          <w:rFonts w:ascii="Times New Roman" w:hAnsi="Times New Roman"/>
          <w:noProof/>
        </w:rPr>
        <w:t>). Elle plaidera pour que les Nations unies, le Mouvement de la Croix-Rouge et du Croissant-Rouge et les partenaires de la société civile renforcent leurs capacités en matière de sécurité, mettent en commun leurs ressources et élaborent des initiatives conjointes, notamment sur l’évaluation des risques et la planification des mesures d’urgence.</w:t>
      </w:r>
    </w:p>
    <w:p w14:paraId="7701125F" w14:textId="23019671" w:rsidR="00456B58" w:rsidRPr="00970492" w:rsidRDefault="113977F8" w:rsidP="00456B58">
      <w:pPr>
        <w:spacing w:line="240" w:lineRule="auto"/>
        <w:jc w:val="both"/>
        <w:rPr>
          <w:rFonts w:ascii="Times New Roman" w:hAnsi="Times New Roman" w:cs="Times New Roman"/>
          <w:noProof/>
        </w:rPr>
      </w:pPr>
      <w:r>
        <w:rPr>
          <w:rFonts w:ascii="Times New Roman" w:hAnsi="Times New Roman"/>
          <w:noProof/>
        </w:rPr>
        <w:t>Lorsqu’il n’est pas possible d’atténuer les menaces, le bien-être et le rétablissement du personnel humanitaire constituent une priorité absolue. Le mécanisme Protect Aid Workers (PAW) (</w:t>
      </w:r>
      <w:r>
        <w:rPr>
          <w:rStyle w:val="FootnoteReference"/>
          <w:rFonts w:ascii="Times New Roman" w:hAnsi="Times New Roman" w:cs="Times New Roman"/>
          <w:noProof/>
          <w:lang w:val="en-GB"/>
        </w:rPr>
        <w:footnoteReference w:id="28"/>
      </w:r>
      <w:r>
        <w:rPr>
          <w:rFonts w:ascii="Times New Roman" w:hAnsi="Times New Roman"/>
          <w:noProof/>
        </w:rPr>
        <w:t>) fournit un soutien financier et psychologique aux travailleurs humanitaires qui ont subi des incidents critiques dans l’exercice de leurs fonctions.</w:t>
      </w:r>
    </w:p>
    <w:p w14:paraId="4DE9B1F7" w14:textId="5C5B1100" w:rsidR="00A15D12" w:rsidRDefault="00456B58" w:rsidP="00456B58">
      <w:pPr>
        <w:spacing w:line="240" w:lineRule="auto"/>
        <w:jc w:val="both"/>
        <w:rPr>
          <w:rFonts w:ascii="Times New Roman" w:eastAsia="Times New Roman" w:hAnsi="Times New Roman" w:cs="Times New Roman"/>
          <w:noProof/>
        </w:rPr>
      </w:pPr>
      <w:r>
        <w:rPr>
          <w:rFonts w:ascii="Times New Roman" w:hAnsi="Times New Roman"/>
          <w:noProof/>
        </w:rPr>
        <w:t xml:space="preserve">L’UE est également prête à agir face à de nouvelles menaces qui pèsent sur les organisations humanitaires et les civils: elle réexamine et modernise en permanence sa propre capacité à surveiller, détecter et traiter toute </w:t>
      </w:r>
      <w:r>
        <w:rPr>
          <w:rFonts w:ascii="Times New Roman" w:hAnsi="Times New Roman"/>
          <w:b/>
          <w:bCs/>
          <w:noProof/>
        </w:rPr>
        <w:t>manipulation de l’information</w:t>
      </w:r>
      <w:r>
        <w:rPr>
          <w:rFonts w:ascii="Times New Roman" w:hAnsi="Times New Roman"/>
          <w:noProof/>
        </w:rPr>
        <w:t xml:space="preserve">, y compris la </w:t>
      </w:r>
      <w:r>
        <w:rPr>
          <w:rFonts w:ascii="Times New Roman" w:hAnsi="Times New Roman"/>
          <w:b/>
          <w:bCs/>
          <w:noProof/>
        </w:rPr>
        <w:t>désinformation</w:t>
      </w:r>
      <w:r>
        <w:rPr>
          <w:rFonts w:ascii="Times New Roman" w:hAnsi="Times New Roman"/>
          <w:noProof/>
        </w:rPr>
        <w:t>, en soutenant ses partenaires humanitaires dans les efforts qu’ils déploient pour garantir l’intégrité de l’information.</w:t>
      </w:r>
    </w:p>
    <w:tbl>
      <w:tblPr>
        <w:tblStyle w:val="TableGrid"/>
        <w:tblW w:w="0" w:type="auto"/>
        <w:tblLook w:val="04A0" w:firstRow="1" w:lastRow="0" w:firstColumn="1" w:lastColumn="0" w:noHBand="0" w:noVBand="1"/>
      </w:tblPr>
      <w:tblGrid>
        <w:gridCol w:w="9062"/>
      </w:tblGrid>
      <w:tr w:rsidR="00456B58" w:rsidRPr="00970492" w14:paraId="443E56F2" w14:textId="77777777" w:rsidTr="00A15D12">
        <w:tc>
          <w:tcPr>
            <w:tcW w:w="9062" w:type="dxa"/>
            <w:shd w:val="clear" w:color="auto" w:fill="F2F2F2" w:themeFill="background1" w:themeFillShade="F2"/>
          </w:tcPr>
          <w:p w14:paraId="0B395415" w14:textId="55067B38" w:rsidR="00456B58" w:rsidRPr="00F17992" w:rsidRDefault="00456B58" w:rsidP="004942CF">
            <w:pPr>
              <w:shd w:val="clear" w:color="auto" w:fill="F2F2F2" w:themeFill="background1" w:themeFillShade="F2"/>
              <w:jc w:val="both"/>
              <w:rPr>
                <w:rFonts w:ascii="Times New Roman" w:hAnsi="Times New Roman" w:cs="Times New Roman"/>
                <w:b/>
                <w:bCs/>
                <w:noProof/>
                <w:sz w:val="24"/>
                <w:szCs w:val="24"/>
              </w:rPr>
            </w:pPr>
            <w:r>
              <w:rPr>
                <w:rFonts w:ascii="Times New Roman" w:hAnsi="Times New Roman"/>
                <w:b/>
                <w:noProof/>
                <w:sz w:val="24"/>
              </w:rPr>
              <w:t>Actions clés</w:t>
            </w:r>
          </w:p>
          <w:p w14:paraId="315B5F21" w14:textId="77777777" w:rsidR="00456B58" w:rsidRPr="00155184" w:rsidRDefault="00456B58" w:rsidP="004942CF">
            <w:pPr>
              <w:shd w:val="clear" w:color="auto" w:fill="F2F2F2" w:themeFill="background1" w:themeFillShade="F2"/>
              <w:jc w:val="both"/>
              <w:rPr>
                <w:rFonts w:ascii="Times New Roman" w:hAnsi="Times New Roman" w:cs="Times New Roman"/>
                <w:noProof/>
                <w:sz w:val="24"/>
                <w:szCs w:val="24"/>
                <w:lang w:val="fr-BE"/>
              </w:rPr>
            </w:pPr>
          </w:p>
          <w:p w14:paraId="195D42FE" w14:textId="7D3E337A" w:rsidR="00456B58" w:rsidRPr="00F17992" w:rsidRDefault="00C02ED7" w:rsidP="004942CF">
            <w:pPr>
              <w:shd w:val="clear" w:color="auto" w:fill="F2F2F2" w:themeFill="background1" w:themeFillShade="F2"/>
              <w:jc w:val="both"/>
              <w:rPr>
                <w:rFonts w:ascii="Times New Roman" w:hAnsi="Times New Roman" w:cs="Times New Roman"/>
                <w:noProof/>
                <w:sz w:val="24"/>
                <w:szCs w:val="24"/>
              </w:rPr>
            </w:pPr>
            <w:r>
              <w:rPr>
                <w:rFonts w:ascii="Times New Roman" w:hAnsi="Times New Roman"/>
                <w:noProof/>
                <w:sz w:val="24"/>
              </w:rPr>
              <w:t>La Commission entend:</w:t>
            </w:r>
          </w:p>
          <w:p w14:paraId="29DFC11F" w14:textId="3E463C18" w:rsidR="00456B58" w:rsidRPr="00F17992" w:rsidRDefault="007D3A65" w:rsidP="00321376">
            <w:pPr>
              <w:pStyle w:val="ListParagraph"/>
              <w:numPr>
                <w:ilvl w:val="0"/>
                <w:numId w:val="10"/>
              </w:numPr>
              <w:jc w:val="both"/>
              <w:rPr>
                <w:rFonts w:ascii="Times New Roman" w:eastAsia="Times New Roman" w:hAnsi="Times New Roman" w:cs="Times New Roman"/>
                <w:noProof/>
                <w:sz w:val="24"/>
                <w:szCs w:val="24"/>
              </w:rPr>
            </w:pPr>
            <w:r>
              <w:rPr>
                <w:rFonts w:ascii="Times New Roman" w:hAnsi="Times New Roman"/>
                <w:noProof/>
                <w:sz w:val="24"/>
              </w:rPr>
              <w:t xml:space="preserve">renforcer la </w:t>
            </w:r>
            <w:r>
              <w:rPr>
                <w:rFonts w:ascii="Times New Roman" w:hAnsi="Times New Roman"/>
                <w:b/>
                <w:bCs/>
                <w:noProof/>
                <w:sz w:val="24"/>
              </w:rPr>
              <w:t>prévention des incidents de sécurité</w:t>
            </w:r>
            <w:r>
              <w:rPr>
                <w:rFonts w:ascii="Times New Roman" w:hAnsi="Times New Roman"/>
                <w:noProof/>
                <w:sz w:val="24"/>
              </w:rPr>
              <w:t xml:space="preserve"> en soutenant le renforcement des capacités et les programmes de formation, en particulier pour le personnel humanitaire local;</w:t>
            </w:r>
          </w:p>
          <w:p w14:paraId="08009A9B" w14:textId="30E4ED36" w:rsidR="00456B58" w:rsidRPr="00F17992" w:rsidRDefault="007D3A65" w:rsidP="00321376">
            <w:pPr>
              <w:pStyle w:val="ListParagraph"/>
              <w:numPr>
                <w:ilvl w:val="0"/>
                <w:numId w:val="10"/>
              </w:numPr>
              <w:jc w:val="both"/>
              <w:rPr>
                <w:rFonts w:ascii="Times New Roman" w:eastAsia="Times New Roman" w:hAnsi="Times New Roman" w:cs="Times New Roman"/>
                <w:noProof/>
                <w:sz w:val="24"/>
                <w:szCs w:val="24"/>
              </w:rPr>
            </w:pPr>
            <w:r>
              <w:rPr>
                <w:rFonts w:ascii="Times New Roman" w:hAnsi="Times New Roman"/>
                <w:noProof/>
                <w:sz w:val="24"/>
              </w:rPr>
              <w:t xml:space="preserve">jouer un rôle de premier plan dans l’élaboration de </w:t>
            </w:r>
            <w:r>
              <w:rPr>
                <w:rFonts w:ascii="Times New Roman" w:hAnsi="Times New Roman"/>
                <w:b/>
                <w:bCs/>
                <w:noProof/>
                <w:sz w:val="24"/>
              </w:rPr>
              <w:t>normes minimales communes de sécurité</w:t>
            </w:r>
            <w:r>
              <w:rPr>
                <w:rFonts w:ascii="Times New Roman" w:hAnsi="Times New Roman"/>
                <w:noProof/>
                <w:sz w:val="24"/>
              </w:rPr>
              <w:t xml:space="preserve"> pour l’ensemble de la communauté humanitaire, en veillant à ce que tout le personnel humanitaire, en particulier le personnel local, soit doté des connaissances et des outils nécessaires pour opérer en toute sécurité;</w:t>
            </w:r>
          </w:p>
          <w:p w14:paraId="1A37E5B5" w14:textId="04F4DFD4" w:rsidR="00456B58" w:rsidRPr="00F17992" w:rsidRDefault="007D3A65" w:rsidP="00321376">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accroître le </w:t>
            </w:r>
            <w:r>
              <w:rPr>
                <w:rFonts w:ascii="Times New Roman" w:hAnsi="Times New Roman"/>
                <w:b/>
                <w:bCs/>
                <w:noProof/>
                <w:sz w:val="24"/>
              </w:rPr>
              <w:t>soutien opérationnel</w:t>
            </w:r>
            <w:r>
              <w:rPr>
                <w:rFonts w:ascii="Times New Roman" w:hAnsi="Times New Roman"/>
                <w:noProof/>
                <w:sz w:val="24"/>
              </w:rPr>
              <w:t xml:space="preserve"> en faveur du personnel humanitaire, notamment en renforçant la coopération et la coordination en matière de sécurité par l’intermédiaire de plateformes telles que Saving Lives Together et en veillant à ce que les données critiques en matière de sécurité soient plus largement disponibles;</w:t>
            </w:r>
          </w:p>
          <w:p w14:paraId="6D740979" w14:textId="07BB5F1C" w:rsidR="00456B58" w:rsidRPr="00F17992" w:rsidRDefault="007D3A65" w:rsidP="00321376">
            <w:pPr>
              <w:pStyle w:val="ListParagraph"/>
              <w:numPr>
                <w:ilvl w:val="0"/>
                <w:numId w:val="10"/>
              </w:numPr>
              <w:jc w:val="both"/>
              <w:rPr>
                <w:rFonts w:ascii="Times New Roman" w:hAnsi="Times New Roman" w:cs="Times New Roman"/>
                <w:noProof/>
                <w:sz w:val="24"/>
                <w:szCs w:val="24"/>
              </w:rPr>
            </w:pPr>
            <w:r>
              <w:rPr>
                <w:rFonts w:ascii="Times New Roman" w:hAnsi="Times New Roman"/>
                <w:b/>
                <w:bCs/>
                <w:noProof/>
                <w:sz w:val="24"/>
              </w:rPr>
              <w:t>améliorer la prise en charge</w:t>
            </w:r>
            <w:r>
              <w:rPr>
                <w:rFonts w:ascii="Times New Roman" w:hAnsi="Times New Roman"/>
                <w:noProof/>
                <w:sz w:val="24"/>
              </w:rPr>
              <w:t xml:space="preserve"> des victimes et des survivants d’attaques contre le personnel humanitaire en transformant le mécanisme Protect Aid Workers en un programme mondial;</w:t>
            </w:r>
          </w:p>
          <w:p w14:paraId="6351628B" w14:textId="6E0803B1" w:rsidR="00456B58" w:rsidRPr="00F17992" w:rsidRDefault="007D3A65" w:rsidP="00F17992">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veiller à ce que les organisations partenaires </w:t>
            </w:r>
            <w:r>
              <w:rPr>
                <w:rFonts w:ascii="Times New Roman" w:hAnsi="Times New Roman"/>
                <w:b/>
                <w:bCs/>
                <w:noProof/>
                <w:sz w:val="24"/>
              </w:rPr>
              <w:t>luttent contre</w:t>
            </w:r>
            <w:r>
              <w:rPr>
                <w:rFonts w:ascii="Times New Roman" w:hAnsi="Times New Roman"/>
                <w:noProof/>
                <w:sz w:val="24"/>
              </w:rPr>
              <w:t xml:space="preserve"> </w:t>
            </w:r>
            <w:r>
              <w:rPr>
                <w:rFonts w:ascii="Times New Roman" w:hAnsi="Times New Roman"/>
                <w:b/>
                <w:bCs/>
                <w:noProof/>
                <w:sz w:val="24"/>
              </w:rPr>
              <w:t>l’exploitation, les abus et le harcèlement sexuels</w:t>
            </w:r>
            <w:r>
              <w:rPr>
                <w:rFonts w:ascii="Times New Roman" w:hAnsi="Times New Roman"/>
                <w:noProof/>
                <w:sz w:val="24"/>
              </w:rPr>
              <w:t xml:space="preserve">, </w:t>
            </w:r>
            <w:r>
              <w:rPr>
                <w:rFonts w:ascii="Times New Roman" w:hAnsi="Times New Roman"/>
                <w:b/>
                <w:bCs/>
                <w:noProof/>
                <w:sz w:val="24"/>
              </w:rPr>
              <w:t>plaident pour une obligation de rendre des comptes et des environnements de travail sûrs pour l’ensemble du personnel</w:t>
            </w:r>
            <w:r>
              <w:rPr>
                <w:rFonts w:ascii="Times New Roman" w:hAnsi="Times New Roman"/>
                <w:noProof/>
                <w:sz w:val="24"/>
              </w:rPr>
              <w:t>, y compris les agents locaux, et s’attachent à promouvoir des initiatives visant à collecter des données harmonisées pour mieux comprendre ces risques.</w:t>
            </w:r>
          </w:p>
        </w:tc>
      </w:tr>
      <w:bookmarkEnd w:id="5"/>
    </w:tbl>
    <w:p w14:paraId="269A63B3" w14:textId="77777777" w:rsidR="00456B58" w:rsidRPr="00155184" w:rsidRDefault="00456B58" w:rsidP="00456B58">
      <w:pPr>
        <w:spacing w:line="240" w:lineRule="auto"/>
        <w:jc w:val="both"/>
        <w:rPr>
          <w:rFonts w:ascii="Times New Roman" w:hAnsi="Times New Roman" w:cs="Times New Roman"/>
          <w:b/>
          <w:bCs/>
          <w:noProof/>
          <w:lang w:val="fr-BE"/>
        </w:rPr>
      </w:pPr>
    </w:p>
    <w:p w14:paraId="0BEF7F15" w14:textId="6BAB984E" w:rsidR="00456B58" w:rsidRPr="00970492" w:rsidRDefault="00456B58" w:rsidP="00456B58">
      <w:pPr>
        <w:spacing w:line="240" w:lineRule="auto"/>
        <w:jc w:val="both"/>
        <w:rPr>
          <w:rFonts w:ascii="Times New Roman" w:hAnsi="Times New Roman" w:cs="Times New Roman"/>
          <w:b/>
          <w:bCs/>
          <w:i/>
          <w:iCs/>
          <w:noProof/>
        </w:rPr>
      </w:pPr>
      <w:r>
        <w:rPr>
          <w:rFonts w:ascii="Times New Roman" w:hAnsi="Times New Roman"/>
          <w:b/>
          <w:i/>
          <w:noProof/>
        </w:rPr>
        <w:t>1.3. Une réponse humanitaire centrée sur les personnes, menée au niveau local, axée sur la protection et inclusive</w:t>
      </w:r>
    </w:p>
    <w:p w14:paraId="7DEAECD1" w14:textId="454F5AC6"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Dans chaque crise, les </w:t>
      </w:r>
      <w:r>
        <w:rPr>
          <w:rFonts w:ascii="Times New Roman" w:hAnsi="Times New Roman"/>
          <w:b/>
          <w:bCs/>
          <w:noProof/>
        </w:rPr>
        <w:t>premiers intervenants sont les membres des communautés locales</w:t>
      </w:r>
      <w:r>
        <w:rPr>
          <w:rFonts w:ascii="Times New Roman" w:hAnsi="Times New Roman"/>
          <w:noProof/>
        </w:rPr>
        <w:t>. Les citoyens et leurs structures locales s’entraident grâce à des réseaux qui commencent chez eux et s’étendent souvent dans le monde entier. Cette aide est essentielle à la survie des populations. L’engagement de l’UE en faveur de l’obligation de rendre des comptes aux populations touchées place les communautés frappées par des crises au centre des décisions et des processus qui ont des effets sur elles. Reconnaître les capacités de réaction des personnes touchées et la diversité de leurs besoins contribue à faire en sorte que l’aide fournie soit pertinente et durable.</w:t>
      </w:r>
    </w:p>
    <w:p w14:paraId="388C03DD" w14:textId="5B5F5DDC"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Faire de l’</w:t>
      </w:r>
      <w:r>
        <w:rPr>
          <w:rFonts w:ascii="Times New Roman" w:hAnsi="Times New Roman"/>
          <w:b/>
          <w:bCs/>
          <w:noProof/>
        </w:rPr>
        <w:t>approche participative</w:t>
      </w:r>
      <w:r>
        <w:rPr>
          <w:rFonts w:ascii="Times New Roman" w:hAnsi="Times New Roman"/>
          <w:noProof/>
        </w:rPr>
        <w:t xml:space="preserve"> une réalité permet d’acheminer l’aide aux communautés concernées de la manière la plus intelligente possible et contribue ainsi à renforcer la confiance dans le système humanitaire. L’UE proposera des incitations plus fortes pour permettre un </w:t>
      </w:r>
      <w:r>
        <w:rPr>
          <w:rFonts w:ascii="Times New Roman" w:hAnsi="Times New Roman"/>
          <w:b/>
          <w:bCs/>
          <w:noProof/>
        </w:rPr>
        <w:t>engagement systématique des communautés locales</w:t>
      </w:r>
      <w:r>
        <w:rPr>
          <w:rFonts w:ascii="Times New Roman" w:hAnsi="Times New Roman"/>
          <w:noProof/>
        </w:rPr>
        <w:t xml:space="preserve">. Elle soutiendra également la coordination régionale afin de répondre aux besoins des populations de manière exhaustive, en dépassant les points d’accès sectoriels pour fournir une réponse humanitaire plus intégrée. </w:t>
      </w:r>
    </w:p>
    <w:p w14:paraId="6E7D0B86" w14:textId="5887EE96" w:rsidR="00456B58" w:rsidRPr="00970492" w:rsidRDefault="113977F8" w:rsidP="00456B58">
      <w:pPr>
        <w:spacing w:line="240" w:lineRule="auto"/>
        <w:jc w:val="both"/>
        <w:rPr>
          <w:rFonts w:ascii="Times New Roman" w:hAnsi="Times New Roman" w:cs="Times New Roman"/>
          <w:noProof/>
        </w:rPr>
      </w:pPr>
      <w:r>
        <w:rPr>
          <w:rFonts w:ascii="Times New Roman" w:hAnsi="Times New Roman"/>
          <w:noProof/>
        </w:rPr>
        <w:t xml:space="preserve">Les intervenants locaux jouent un rôle crucial dans l’action humanitaire. Les </w:t>
      </w:r>
      <w:r>
        <w:rPr>
          <w:rFonts w:ascii="Times New Roman" w:hAnsi="Times New Roman"/>
          <w:b/>
          <w:bCs/>
          <w:noProof/>
        </w:rPr>
        <w:t>orientations de la Commission de 2023 sur la promotion de partenariats équitables avec les intervenants locaux</w:t>
      </w:r>
      <w:r>
        <w:rPr>
          <w:rFonts w:ascii="Times New Roman" w:hAnsi="Times New Roman"/>
          <w:noProof/>
        </w:rPr>
        <w:t> (</w:t>
      </w:r>
      <w:r>
        <w:rPr>
          <w:rStyle w:val="FootnoteReference"/>
          <w:rFonts w:ascii="Times New Roman" w:hAnsi="Times New Roman" w:cs="Times New Roman"/>
          <w:noProof/>
          <w:lang w:val="en-GB"/>
        </w:rPr>
        <w:footnoteReference w:id="29"/>
      </w:r>
      <w:r>
        <w:rPr>
          <w:rFonts w:ascii="Times New Roman" w:hAnsi="Times New Roman"/>
          <w:noProof/>
        </w:rPr>
        <w:t>) ont amorcé une tendance positive dans le secteur. Des progrès importants ont été accomplis depuis lors, faisant passer la part du financement humanitaire de l’UE en faveur des acteurs locaux</w:t>
      </w:r>
      <w:r>
        <w:rPr>
          <w:noProof/>
        </w:rPr>
        <w:t xml:space="preserve"> </w:t>
      </w:r>
      <w:r>
        <w:rPr>
          <w:rFonts w:ascii="Times New Roman" w:hAnsi="Times New Roman"/>
          <w:noProof/>
        </w:rPr>
        <w:t xml:space="preserve">de 6 % à 11 % fin 2024. En 2025, la Commission a rehaussé d’un cran son ambition en se dotant d’une </w:t>
      </w:r>
      <w:r>
        <w:rPr>
          <w:rFonts w:ascii="Times New Roman" w:hAnsi="Times New Roman"/>
          <w:b/>
          <w:bCs/>
          <w:noProof/>
        </w:rPr>
        <w:t>nouvelle feuille de route en matière de localisation</w:t>
      </w:r>
      <w:r>
        <w:rPr>
          <w:rFonts w:ascii="Times New Roman" w:hAnsi="Times New Roman"/>
          <w:noProof/>
        </w:rPr>
        <w:t>, dans laquelle elle s’engage à fournir 25 % de son financement aussi directement que possible aux acteurs locaux d’ici à 2027, conformément au règlement financier de l’UE. Elle recherchera également des moyens de renforcer les capacités des acteurs locaux et leur rôle dans les organes de décision internationaux.</w:t>
      </w:r>
    </w:p>
    <w:p w14:paraId="4E301681" w14:textId="718A41AF" w:rsidR="00456B58" w:rsidRPr="00970492" w:rsidRDefault="00456B58" w:rsidP="00456B58">
      <w:pPr>
        <w:spacing w:line="240" w:lineRule="auto"/>
        <w:jc w:val="both"/>
        <w:rPr>
          <w:rFonts w:ascii="Times New Roman" w:eastAsia="Times New Roman" w:hAnsi="Times New Roman" w:cs="Times New Roman"/>
          <w:noProof/>
        </w:rPr>
      </w:pPr>
      <w:r>
        <w:rPr>
          <w:rFonts w:ascii="Times New Roman" w:hAnsi="Times New Roman"/>
          <w:b/>
          <w:bCs/>
          <w:noProof/>
        </w:rPr>
        <w:t>Protéger</w:t>
      </w:r>
      <w:r>
        <w:rPr>
          <w:rFonts w:ascii="Times New Roman" w:hAnsi="Times New Roman"/>
          <w:noProof/>
        </w:rPr>
        <w:t xml:space="preserve">, c’est contribuer à garantir la sécurité, la dignité et les droits des populations frappées par des crises. La protection est au </w:t>
      </w:r>
      <w:r>
        <w:rPr>
          <w:rFonts w:ascii="Times New Roman" w:hAnsi="Times New Roman"/>
          <w:b/>
          <w:bCs/>
          <w:noProof/>
        </w:rPr>
        <w:t>cœur de l’action humanitaire de l’UE</w:t>
      </w:r>
      <w:r>
        <w:rPr>
          <w:rFonts w:ascii="Times New Roman" w:hAnsi="Times New Roman"/>
          <w:noProof/>
        </w:rPr>
        <w:t>: tous les acteurs humanitaires doivent pouvoir s’engager de manière coordonnée afin de réduire l’exposition des personnes touchées au risque de violence, de privation et d’abus.</w:t>
      </w:r>
    </w:p>
    <w:p w14:paraId="25DC3266" w14:textId="16DBFB66" w:rsidR="00456B58" w:rsidRPr="00970492" w:rsidRDefault="113977F8" w:rsidP="00456B58">
      <w:pPr>
        <w:spacing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Les enfants</w:t>
      </w:r>
      <w:r>
        <w:rPr>
          <w:rFonts w:ascii="Times New Roman" w:hAnsi="Times New Roman"/>
          <w:noProof/>
        </w:rPr>
        <w:t xml:space="preserve"> ont droit à une protection spéciale en vertu du droit international relatif aux droits de l’homme et du droit international humanitaire</w:t>
      </w:r>
      <w:r>
        <w:rPr>
          <w:rStyle w:val="normaltextrun"/>
          <w:rFonts w:ascii="Times New Roman" w:hAnsi="Times New Roman"/>
          <w:noProof/>
        </w:rPr>
        <w:t xml:space="preserve">. </w:t>
      </w:r>
      <w:r>
        <w:rPr>
          <w:rStyle w:val="normaltextrun"/>
          <w:rFonts w:ascii="Times New Roman" w:hAnsi="Times New Roman"/>
          <w:noProof/>
          <w:shd w:val="clear" w:color="auto" w:fill="FFFFFF"/>
        </w:rPr>
        <w:t>La situation désastreuse des enfants touchés par les crises humanitaires ainsi que les niveaux sans précédent des atteintes à leur intégrité, leur bien-être et leurs droits (en hausse de 25 % ces dernières années) (</w:t>
      </w:r>
      <w:r>
        <w:rPr>
          <w:rStyle w:val="FootnoteReference"/>
          <w:rFonts w:ascii="Times New Roman" w:hAnsi="Times New Roman" w:cs="Times New Roman"/>
          <w:noProof/>
          <w:lang w:val="en-GB"/>
        </w:rPr>
        <w:footnoteReference w:id="30"/>
      </w:r>
      <w:r>
        <w:rPr>
          <w:rStyle w:val="normaltextrun"/>
          <w:rFonts w:ascii="Times New Roman" w:hAnsi="Times New Roman"/>
          <w:noProof/>
          <w:shd w:val="clear" w:color="auto" w:fill="FFFFFF"/>
        </w:rPr>
        <w:t xml:space="preserve">), conjugués </w:t>
      </w:r>
      <w:r>
        <w:rPr>
          <w:rStyle w:val="normaltextrun"/>
          <w:rFonts w:ascii="Times New Roman" w:hAnsi="Times New Roman"/>
          <w:noProof/>
        </w:rPr>
        <w:t>au</w:t>
      </w:r>
      <w:r>
        <w:rPr>
          <w:rStyle w:val="normaltextrun"/>
          <w:rFonts w:ascii="Times New Roman" w:hAnsi="Times New Roman"/>
          <w:noProof/>
          <w:shd w:val="clear" w:color="auto" w:fill="FFFFFF"/>
        </w:rPr>
        <w:t xml:space="preserve"> manque de respect de la protection spéciale à laquelle </w:t>
      </w:r>
      <w:r>
        <w:rPr>
          <w:rStyle w:val="normaltextrun"/>
          <w:rFonts w:ascii="Times New Roman" w:hAnsi="Times New Roman"/>
          <w:noProof/>
        </w:rPr>
        <w:t xml:space="preserve">ils ont </w:t>
      </w:r>
      <w:r>
        <w:rPr>
          <w:rStyle w:val="normaltextrun"/>
          <w:rFonts w:ascii="Times New Roman" w:hAnsi="Times New Roman"/>
          <w:noProof/>
          <w:shd w:val="clear" w:color="auto" w:fill="FFFFFF"/>
        </w:rPr>
        <w:t xml:space="preserve">droit, requièrent une attention particulière. L’UE est déterminée à </w:t>
      </w:r>
      <w:r>
        <w:rPr>
          <w:rStyle w:val="normaltextrun"/>
          <w:rFonts w:ascii="Times New Roman" w:hAnsi="Times New Roman"/>
          <w:b/>
          <w:bCs/>
          <w:noProof/>
          <w:shd w:val="clear" w:color="auto" w:fill="FFFFFF"/>
        </w:rPr>
        <w:t>prévenir, atténuer et réduire les violences, les brutalités, l’abandon et toutes les autres menaces spécifiques auxquelles les enfants sont confrontés dans les contextes humanitaires</w:t>
      </w:r>
      <w:r>
        <w:rPr>
          <w:rStyle w:val="normaltextrun"/>
          <w:rFonts w:ascii="Times New Roman" w:hAnsi="Times New Roman"/>
          <w:noProof/>
          <w:shd w:val="clear" w:color="auto" w:fill="FFFFFF"/>
        </w:rPr>
        <w:t>, notamment en soutenant l’éducation en situation d’urgence (</w:t>
      </w:r>
      <w:r>
        <w:rPr>
          <w:rStyle w:val="FootnoteReference"/>
          <w:rFonts w:ascii="Times New Roman" w:hAnsi="Times New Roman" w:cs="Times New Roman"/>
          <w:noProof/>
          <w:shd w:val="clear" w:color="auto" w:fill="FFFFFF"/>
          <w:lang w:val="en-GB"/>
        </w:rPr>
        <w:footnoteReference w:id="31"/>
      </w:r>
      <w:r>
        <w:rPr>
          <w:rStyle w:val="normaltextrun"/>
          <w:rFonts w:ascii="Times New Roman" w:hAnsi="Times New Roman"/>
          <w:noProof/>
          <w:shd w:val="clear" w:color="auto" w:fill="FFFFFF"/>
        </w:rPr>
        <w:t>)</w:t>
      </w:r>
      <w:r>
        <w:rPr>
          <w:rStyle w:val="normaltextrun"/>
          <w:rFonts w:ascii="Times New Roman" w:hAnsi="Times New Roman"/>
          <w:noProof/>
        </w:rPr>
        <w:t xml:space="preserve"> et en veillant à ce que les droits des enfants, y compris l’intérêt supérieur de ceux-ci, guident toutes les interventions humanitaires.</w:t>
      </w:r>
    </w:p>
    <w:p w14:paraId="0B863D3D" w14:textId="0948575A" w:rsidR="00456B58" w:rsidRPr="00970492" w:rsidRDefault="001D00AC" w:rsidP="00456B58">
      <w:pPr>
        <w:spacing w:line="240" w:lineRule="auto"/>
        <w:jc w:val="both"/>
        <w:rPr>
          <w:rFonts w:ascii="Times New Roman" w:eastAsia="Times New Roman" w:hAnsi="Times New Roman" w:cs="Times New Roman"/>
          <w:noProof/>
        </w:rPr>
      </w:pPr>
      <w:r>
        <w:rPr>
          <w:rFonts w:ascii="Times New Roman" w:hAnsi="Times New Roman"/>
          <w:noProof/>
        </w:rPr>
        <w:t xml:space="preserve">Les considérations relatives à l’égalité sont souvent ignorées lors des crises. </w:t>
      </w:r>
      <w:r>
        <w:rPr>
          <w:rFonts w:ascii="Times New Roman" w:hAnsi="Times New Roman"/>
          <w:b/>
          <w:bCs/>
          <w:noProof/>
        </w:rPr>
        <w:t>Les femmes et les filles demeurent, comme les personnes LGBTIQ+, les principales victimes de violences sexuelles et sexistes</w:t>
      </w:r>
      <w:r>
        <w:rPr>
          <w:rFonts w:ascii="Times New Roman" w:hAnsi="Times New Roman"/>
          <w:noProof/>
        </w:rPr>
        <w:t xml:space="preserve">, notamment de violences sexuelles liées aux conflits. Elles sont également plus exposées au risque de mariage forcé et de traite des êtres humains en cas de crise. Les </w:t>
      </w:r>
      <w:r>
        <w:rPr>
          <w:rFonts w:ascii="Times New Roman" w:hAnsi="Times New Roman"/>
          <w:b/>
          <w:bCs/>
          <w:noProof/>
        </w:rPr>
        <w:t>personnes handicapées</w:t>
      </w:r>
      <w:r>
        <w:rPr>
          <w:rFonts w:ascii="Times New Roman" w:hAnsi="Times New Roman"/>
          <w:noProof/>
        </w:rPr>
        <w:t xml:space="preserve"> sont également touchées de manière disproportionnée et doivent faire face à des obstacles supplémentaires pour accéder à l’aide. Pour répondre à des contextes et à des besoins spécifiques, il est essentiel d’adopter une approche centrée sur les survivants; la Commission fournira donc des orientations stratégiques en la matière. Les groupes vulnérables apportent eux aussi une contribution précieuse en tant que premiers intervenants dans les contextes humanitaires à l’échelle locale; aussi le recensement de leurs besoins et priorités spécifiques, effectué dans le but de leur apporter un soutien supplémentaire, peut-il accroître l’efficacité des interventions.</w:t>
      </w:r>
    </w:p>
    <w:p w14:paraId="32A16A19" w14:textId="1F979E4B" w:rsidR="3B638B37" w:rsidRPr="00970492" w:rsidRDefault="00267438" w:rsidP="3B638B37">
      <w:pPr>
        <w:spacing w:line="240" w:lineRule="auto"/>
        <w:jc w:val="both"/>
        <w:rPr>
          <w:rFonts w:ascii="Times New Roman" w:eastAsia="Times New Roman" w:hAnsi="Times New Roman" w:cs="Times New Roman"/>
          <w:noProof/>
        </w:rPr>
      </w:pPr>
      <w:r>
        <w:rPr>
          <w:rFonts w:ascii="Times New Roman" w:hAnsi="Times New Roman"/>
          <w:noProof/>
        </w:rPr>
        <w:t xml:space="preserve">L’intégration de la dimension de genre et l’inclusion de la santé sexuelle et génésique dans les projets humanitaires sont remises en cause à un rythme alarmant, ce qui menace la réalisation de progrès essentiels à l’avènement de sociétés équitables et prospères. L’UE renforcera son </w:t>
      </w:r>
      <w:r>
        <w:rPr>
          <w:rFonts w:ascii="Times New Roman" w:hAnsi="Times New Roman"/>
          <w:b/>
          <w:bCs/>
          <w:noProof/>
        </w:rPr>
        <w:t>engagement en matière de santé sexuelle et génésique et de lutte contre les violences fondées sur le genre,</w:t>
      </w:r>
      <w:r>
        <w:rPr>
          <w:rFonts w:ascii="Times New Roman" w:hAnsi="Times New Roman"/>
          <w:noProof/>
        </w:rPr>
        <w:t xml:space="preserve"> notamment en lançant le programme SHIELD (santé en matière de sexualité et de procréation dans des situations d’urgence et vie digne) (</w:t>
      </w:r>
      <w:r>
        <w:rPr>
          <w:rStyle w:val="FootnoteReference"/>
          <w:rFonts w:ascii="Times New Roman" w:eastAsia="Times New Roman" w:hAnsi="Times New Roman" w:cs="Times New Roman"/>
          <w:noProof/>
          <w:lang w:val="en-GB"/>
        </w:rPr>
        <w:footnoteReference w:id="32"/>
      </w:r>
      <w:r>
        <w:rPr>
          <w:rFonts w:ascii="Times New Roman" w:hAnsi="Times New Roman"/>
          <w:noProof/>
        </w:rPr>
        <w:t>). Elle plaidera également pour la prise en considération des questions d’égalité dans le cadre des discussions stratégiques qu’elle mène avec d’autres donateurs ainsi que dans toutes les enceintes concernées, y compris les organes directeurs des agences des Nations unies.</w:t>
      </w:r>
    </w:p>
    <w:p w14:paraId="3025050C" w14:textId="6DA7345C" w:rsidR="3B638B37" w:rsidRPr="00155184" w:rsidRDefault="3B638B37" w:rsidP="3B638B37">
      <w:pPr>
        <w:spacing w:line="240" w:lineRule="auto"/>
        <w:jc w:val="both"/>
        <w:rPr>
          <w:rFonts w:ascii="Times New Roman" w:eastAsia="Times New Roman" w:hAnsi="Times New Roman" w:cs="Times New Roman"/>
          <w:noProof/>
          <w:sz w:val="2"/>
          <w:szCs w:val="2"/>
          <w:lang w:val="fr-BE"/>
        </w:rPr>
      </w:pPr>
    </w:p>
    <w:tbl>
      <w:tblPr>
        <w:tblStyle w:val="TableGrid"/>
        <w:tblW w:w="0" w:type="auto"/>
        <w:tblLook w:val="04A0" w:firstRow="1" w:lastRow="0" w:firstColumn="1" w:lastColumn="0" w:noHBand="0" w:noVBand="1"/>
      </w:tblPr>
      <w:tblGrid>
        <w:gridCol w:w="9062"/>
      </w:tblGrid>
      <w:tr w:rsidR="00456B58" w:rsidRPr="0041300A" w14:paraId="6BC2897A" w14:textId="77777777" w:rsidTr="46C62D5D">
        <w:tc>
          <w:tcPr>
            <w:tcW w:w="9288" w:type="dxa"/>
            <w:shd w:val="clear" w:color="auto" w:fill="F2F2F2" w:themeFill="background1" w:themeFillShade="F2"/>
          </w:tcPr>
          <w:p w14:paraId="596A8A86" w14:textId="36A7B932" w:rsidR="00456B58" w:rsidRPr="00720DD9" w:rsidRDefault="00456B58" w:rsidP="004942CF">
            <w:pPr>
              <w:jc w:val="both"/>
              <w:rPr>
                <w:rFonts w:ascii="Times New Roman" w:hAnsi="Times New Roman" w:cs="Times New Roman"/>
                <w:b/>
                <w:bCs/>
                <w:noProof/>
                <w:sz w:val="24"/>
                <w:szCs w:val="24"/>
              </w:rPr>
            </w:pPr>
            <w:r>
              <w:rPr>
                <w:rFonts w:ascii="Times New Roman" w:hAnsi="Times New Roman"/>
                <w:b/>
                <w:noProof/>
                <w:sz w:val="24"/>
              </w:rPr>
              <w:t>Actions clés</w:t>
            </w:r>
          </w:p>
          <w:p w14:paraId="675129B1" w14:textId="77777777" w:rsidR="00456B58" w:rsidRPr="00155184" w:rsidRDefault="00456B58" w:rsidP="004942CF">
            <w:pPr>
              <w:jc w:val="both"/>
              <w:rPr>
                <w:rFonts w:ascii="Times New Roman" w:hAnsi="Times New Roman" w:cs="Times New Roman"/>
                <w:b/>
                <w:bCs/>
                <w:noProof/>
                <w:sz w:val="24"/>
                <w:szCs w:val="24"/>
                <w:lang w:val="fr-BE"/>
              </w:rPr>
            </w:pPr>
          </w:p>
          <w:p w14:paraId="2FB96489" w14:textId="594F5A89" w:rsidR="00456B58" w:rsidRPr="00720DD9" w:rsidRDefault="00456B58" w:rsidP="004942CF">
            <w:pPr>
              <w:jc w:val="both"/>
              <w:rPr>
                <w:rFonts w:ascii="Times New Roman" w:hAnsi="Times New Roman" w:cs="Times New Roman"/>
                <w:noProof/>
                <w:sz w:val="24"/>
                <w:szCs w:val="24"/>
              </w:rPr>
            </w:pPr>
            <w:r>
              <w:rPr>
                <w:rFonts w:ascii="Times New Roman" w:hAnsi="Times New Roman"/>
                <w:noProof/>
                <w:sz w:val="24"/>
              </w:rPr>
              <w:t>La Commission entend:</w:t>
            </w:r>
          </w:p>
          <w:p w14:paraId="38FC0CBD" w14:textId="4515DD19" w:rsidR="00066AA7" w:rsidRPr="00720DD9" w:rsidRDefault="007D3A65" w:rsidP="00066AA7">
            <w:pPr>
              <w:pStyle w:val="ListParagraph"/>
              <w:numPr>
                <w:ilvl w:val="0"/>
                <w:numId w:val="9"/>
              </w:numPr>
              <w:ind w:left="360"/>
              <w:jc w:val="both"/>
              <w:rPr>
                <w:rFonts w:ascii="Times New Roman" w:hAnsi="Times New Roman" w:cs="Times New Roman"/>
                <w:noProof/>
                <w:sz w:val="24"/>
                <w:szCs w:val="24"/>
              </w:rPr>
            </w:pPr>
            <w:r>
              <w:rPr>
                <w:rFonts w:ascii="Times New Roman" w:hAnsi="Times New Roman"/>
                <w:noProof/>
                <w:sz w:val="24"/>
              </w:rPr>
              <w:t xml:space="preserve">fournir </w:t>
            </w:r>
            <w:r>
              <w:rPr>
                <w:rFonts w:ascii="Times New Roman" w:hAnsi="Times New Roman"/>
                <w:b/>
                <w:bCs/>
                <w:noProof/>
                <w:sz w:val="24"/>
              </w:rPr>
              <w:t>25 % de son financement humanitaire</w:t>
            </w:r>
            <w:r>
              <w:rPr>
                <w:rFonts w:ascii="Times New Roman" w:hAnsi="Times New Roman"/>
                <w:noProof/>
                <w:sz w:val="24"/>
              </w:rPr>
              <w:t xml:space="preserve"> aussi directement que possible </w:t>
            </w:r>
            <w:r>
              <w:rPr>
                <w:rFonts w:ascii="Times New Roman" w:hAnsi="Times New Roman"/>
                <w:b/>
                <w:bCs/>
                <w:noProof/>
                <w:sz w:val="24"/>
              </w:rPr>
              <w:t xml:space="preserve">aux acteurs locaux </w:t>
            </w:r>
            <w:r>
              <w:rPr>
                <w:rFonts w:ascii="Times New Roman" w:hAnsi="Times New Roman"/>
                <w:noProof/>
                <w:sz w:val="24"/>
              </w:rPr>
              <w:t>d’ici à 2027;</w:t>
            </w:r>
          </w:p>
          <w:p w14:paraId="7652B18F" w14:textId="2E9EE671" w:rsidR="00456B58" w:rsidRPr="00720DD9" w:rsidRDefault="007D3A65" w:rsidP="00321376">
            <w:pPr>
              <w:pStyle w:val="ListParagraph"/>
              <w:numPr>
                <w:ilvl w:val="0"/>
                <w:numId w:val="9"/>
              </w:numPr>
              <w:ind w:left="360"/>
              <w:jc w:val="both"/>
              <w:rPr>
                <w:rFonts w:ascii="Times New Roman" w:hAnsi="Times New Roman" w:cs="Times New Roman"/>
                <w:noProof/>
                <w:sz w:val="24"/>
                <w:szCs w:val="24"/>
              </w:rPr>
            </w:pPr>
            <w:r>
              <w:rPr>
                <w:rFonts w:ascii="Times New Roman" w:hAnsi="Times New Roman"/>
                <w:noProof/>
                <w:sz w:val="24"/>
              </w:rPr>
              <w:t xml:space="preserve">soutenir des </w:t>
            </w:r>
            <w:r>
              <w:rPr>
                <w:rFonts w:ascii="Times New Roman" w:hAnsi="Times New Roman"/>
                <w:b/>
                <w:bCs/>
                <w:noProof/>
                <w:sz w:val="24"/>
              </w:rPr>
              <w:t>structures de coordination décentralisées</w:t>
            </w:r>
            <w:r>
              <w:rPr>
                <w:rFonts w:ascii="Times New Roman" w:hAnsi="Times New Roman"/>
                <w:noProof/>
                <w:sz w:val="24"/>
              </w:rPr>
              <w:t xml:space="preserve"> qui favorisent une gestion locale, et en particulier une coordination régionale. La planification intégrée et intersectorielle devrait devenir la norme avec, au besoin, des </w:t>
            </w:r>
            <w:r>
              <w:rPr>
                <w:rFonts w:ascii="Times New Roman" w:hAnsi="Times New Roman"/>
                <w:b/>
                <w:bCs/>
                <w:noProof/>
                <w:sz w:val="24"/>
              </w:rPr>
              <w:t>mécanismes solides d’orientation</w:t>
            </w:r>
            <w:r>
              <w:rPr>
                <w:rFonts w:ascii="Times New Roman" w:hAnsi="Times New Roman"/>
                <w:noProof/>
                <w:sz w:val="24"/>
              </w:rPr>
              <w:t xml:space="preserve"> vers des services spécialisés;</w:t>
            </w:r>
          </w:p>
          <w:p w14:paraId="543D39BA" w14:textId="637B0EEE" w:rsidR="00265254" w:rsidRPr="00720DD9" w:rsidRDefault="007D3A65" w:rsidP="00321376">
            <w:pPr>
              <w:pStyle w:val="ListParagraph"/>
              <w:numPr>
                <w:ilvl w:val="0"/>
                <w:numId w:val="9"/>
              </w:numPr>
              <w:ind w:left="360"/>
              <w:jc w:val="both"/>
              <w:rPr>
                <w:rFonts w:ascii="Times New Roman" w:hAnsi="Times New Roman" w:cs="Times New Roman"/>
                <w:noProof/>
                <w:sz w:val="24"/>
                <w:szCs w:val="24"/>
              </w:rPr>
            </w:pPr>
            <w:r>
              <w:rPr>
                <w:rFonts w:ascii="Times New Roman" w:hAnsi="Times New Roman"/>
                <w:noProof/>
                <w:sz w:val="24"/>
              </w:rPr>
              <w:t xml:space="preserve">veiller systématiquement à ce que les </w:t>
            </w:r>
            <w:r>
              <w:rPr>
                <w:rFonts w:ascii="Times New Roman" w:hAnsi="Times New Roman"/>
                <w:b/>
                <w:bCs/>
                <w:noProof/>
                <w:sz w:val="24"/>
              </w:rPr>
              <w:t>communautés touchées soient associées</w:t>
            </w:r>
            <w:r>
              <w:rPr>
                <w:rFonts w:ascii="Times New Roman" w:hAnsi="Times New Roman"/>
                <w:b/>
                <w:noProof/>
                <w:sz w:val="24"/>
              </w:rPr>
              <w:t xml:space="preserve"> à la conception, à la fourniture et au suivi de l’aide </w:t>
            </w:r>
            <w:r>
              <w:rPr>
                <w:rFonts w:ascii="Times New Roman" w:hAnsi="Times New Roman"/>
                <w:noProof/>
                <w:sz w:val="24"/>
              </w:rPr>
              <w:t>et s’efforcer de répondre à leurs besoins et à leurs aspirations;</w:t>
            </w:r>
          </w:p>
          <w:p w14:paraId="1562FA44" w14:textId="1BCA8E05" w:rsidR="00456B58" w:rsidRPr="00720DD9" w:rsidRDefault="007D3A65" w:rsidP="00321376">
            <w:pPr>
              <w:pStyle w:val="ListParagraph"/>
              <w:numPr>
                <w:ilvl w:val="0"/>
                <w:numId w:val="9"/>
              </w:numPr>
              <w:ind w:left="360"/>
              <w:jc w:val="both"/>
              <w:rPr>
                <w:rFonts w:ascii="Times New Roman" w:hAnsi="Times New Roman" w:cs="Times New Roman"/>
                <w:noProof/>
                <w:sz w:val="24"/>
                <w:szCs w:val="24"/>
              </w:rPr>
            </w:pPr>
            <w:r>
              <w:rPr>
                <w:rFonts w:ascii="Times New Roman" w:hAnsi="Times New Roman"/>
                <w:noProof/>
                <w:sz w:val="24"/>
              </w:rPr>
              <w:t xml:space="preserve">orienter les travaux de façon à </w:t>
            </w:r>
            <w:r>
              <w:rPr>
                <w:rFonts w:ascii="Times New Roman" w:hAnsi="Times New Roman"/>
                <w:b/>
                <w:bCs/>
                <w:noProof/>
                <w:sz w:val="24"/>
              </w:rPr>
              <w:t>supprimer les obstacles qui empêchent encore les intervenants locaux</w:t>
            </w:r>
            <w:r>
              <w:rPr>
                <w:rFonts w:ascii="Times New Roman" w:hAnsi="Times New Roman"/>
                <w:noProof/>
                <w:sz w:val="24"/>
              </w:rPr>
              <w:t xml:space="preserve"> de jouer un plus grand rôle dans l’action humanitaire, en œuvrant au renforcement des capacités et à la formation, en allégeant la charge administrative qui pèse sur les acteurs locaux et en étendant le financement aux fonds humanitaires communs gérés localement;</w:t>
            </w:r>
          </w:p>
          <w:p w14:paraId="7F632752" w14:textId="3DB5A1DE" w:rsidR="007222C4" w:rsidRPr="00720DD9" w:rsidRDefault="007D3A65" w:rsidP="00321376">
            <w:pPr>
              <w:pStyle w:val="ListParagraph"/>
              <w:numPr>
                <w:ilvl w:val="0"/>
                <w:numId w:val="9"/>
              </w:numPr>
              <w:ind w:left="360"/>
              <w:jc w:val="both"/>
              <w:rPr>
                <w:rFonts w:ascii="Times New Roman" w:hAnsi="Times New Roman" w:cs="Times New Roman"/>
                <w:noProof/>
                <w:sz w:val="24"/>
                <w:szCs w:val="24"/>
              </w:rPr>
            </w:pPr>
            <w:r>
              <w:rPr>
                <w:rFonts w:ascii="Times New Roman" w:hAnsi="Times New Roman"/>
                <w:b/>
                <w:bCs/>
                <w:noProof/>
                <w:sz w:val="24"/>
              </w:rPr>
              <w:t>promouvoir et soutenir davantage le</w:t>
            </w:r>
            <w:r>
              <w:rPr>
                <w:rFonts w:ascii="Times New Roman" w:hAnsi="Times New Roman"/>
                <w:noProof/>
                <w:sz w:val="24"/>
              </w:rPr>
              <w:t xml:space="preserve"> </w:t>
            </w:r>
            <w:r>
              <w:rPr>
                <w:rFonts w:ascii="Times New Roman" w:hAnsi="Times New Roman"/>
                <w:b/>
                <w:bCs/>
                <w:noProof/>
                <w:sz w:val="24"/>
              </w:rPr>
              <w:t>secteur de la protection</w:t>
            </w:r>
            <w:r>
              <w:rPr>
                <w:rFonts w:ascii="Times New Roman" w:hAnsi="Times New Roman"/>
                <w:noProof/>
                <w:sz w:val="24"/>
              </w:rPr>
              <w:t>, y compris la protection de l’enfance, et continuer de placer la protection au centre de l’action humanitaire;</w:t>
            </w:r>
          </w:p>
          <w:p w14:paraId="28BBFA8F" w14:textId="7F22ECB0" w:rsidR="00B25B6D" w:rsidRPr="00720DD9" w:rsidRDefault="007D3A65">
            <w:pPr>
              <w:pStyle w:val="ListParagraph"/>
              <w:numPr>
                <w:ilvl w:val="0"/>
                <w:numId w:val="9"/>
              </w:numPr>
              <w:ind w:left="360"/>
              <w:jc w:val="both"/>
              <w:rPr>
                <w:rFonts w:ascii="Times New Roman" w:hAnsi="Times New Roman" w:cs="Times New Roman"/>
                <w:b/>
                <w:noProof/>
                <w:sz w:val="24"/>
                <w:szCs w:val="24"/>
              </w:rPr>
            </w:pPr>
            <w:r>
              <w:rPr>
                <w:rFonts w:ascii="Times New Roman" w:hAnsi="Times New Roman"/>
                <w:noProof/>
                <w:sz w:val="24"/>
              </w:rPr>
              <w:t xml:space="preserve">accroître son </w:t>
            </w:r>
            <w:r>
              <w:rPr>
                <w:rFonts w:ascii="Times New Roman" w:hAnsi="Times New Roman"/>
                <w:b/>
                <w:bCs/>
                <w:noProof/>
                <w:sz w:val="24"/>
              </w:rPr>
              <w:t>soutien aux personnes touchées par les questions de</w:t>
            </w:r>
            <w:r>
              <w:rPr>
                <w:rFonts w:ascii="Times New Roman" w:hAnsi="Times New Roman"/>
                <w:noProof/>
                <w:sz w:val="24"/>
              </w:rPr>
              <w:t xml:space="preserve"> </w:t>
            </w:r>
            <w:r>
              <w:rPr>
                <w:rFonts w:ascii="Times New Roman" w:hAnsi="Times New Roman"/>
                <w:b/>
                <w:bCs/>
                <w:noProof/>
                <w:sz w:val="24"/>
              </w:rPr>
              <w:t>santé sexuelle et génésique et de lutte contre les violences sexuelles et sexistes</w:t>
            </w:r>
            <w:r>
              <w:rPr>
                <w:rFonts w:ascii="Times New Roman" w:hAnsi="Times New Roman"/>
                <w:noProof/>
                <w:sz w:val="24"/>
              </w:rPr>
              <w:t>, y compris les violences sexuelles liées aux conflits;</w:t>
            </w:r>
          </w:p>
          <w:p w14:paraId="3C7EE922" w14:textId="79DF2414" w:rsidR="00456B58" w:rsidRPr="0041300A" w:rsidRDefault="007D3A65" w:rsidP="00A15D12">
            <w:pPr>
              <w:pStyle w:val="ListParagraph"/>
              <w:numPr>
                <w:ilvl w:val="0"/>
                <w:numId w:val="9"/>
              </w:numPr>
              <w:ind w:left="360"/>
              <w:jc w:val="both"/>
              <w:rPr>
                <w:rFonts w:ascii="Times New Roman" w:hAnsi="Times New Roman" w:cs="Times New Roman"/>
                <w:b/>
                <w:noProof/>
              </w:rPr>
            </w:pPr>
            <w:r>
              <w:rPr>
                <w:rFonts w:ascii="Times New Roman" w:hAnsi="Times New Roman"/>
                <w:noProof/>
                <w:sz w:val="24"/>
              </w:rPr>
              <w:t xml:space="preserve">mettre à jour son </w:t>
            </w:r>
            <w:r>
              <w:rPr>
                <w:rFonts w:ascii="Times New Roman" w:hAnsi="Times New Roman"/>
                <w:b/>
                <w:bCs/>
                <w:noProof/>
                <w:sz w:val="24"/>
              </w:rPr>
              <w:t>document de politique thématique sur les questions de genre</w:t>
            </w:r>
            <w:r>
              <w:rPr>
                <w:rFonts w:ascii="Times New Roman" w:hAnsi="Times New Roman"/>
                <w:noProof/>
                <w:sz w:val="24"/>
              </w:rPr>
              <w:t> (</w:t>
            </w:r>
            <w:r>
              <w:rPr>
                <w:rStyle w:val="FootnoteReference"/>
                <w:rFonts w:ascii="Times New Roman" w:hAnsi="Times New Roman" w:cs="Times New Roman"/>
                <w:bCs/>
                <w:noProof/>
                <w:sz w:val="24"/>
                <w:szCs w:val="24"/>
                <w:lang w:val="en-GB"/>
              </w:rPr>
              <w:footnoteReference w:id="33"/>
            </w:r>
            <w:r>
              <w:rPr>
                <w:rFonts w:ascii="Times New Roman" w:hAnsi="Times New Roman"/>
                <w:noProof/>
                <w:sz w:val="24"/>
              </w:rPr>
              <w:t>).</w:t>
            </w:r>
          </w:p>
        </w:tc>
      </w:tr>
    </w:tbl>
    <w:p w14:paraId="648D79BB" w14:textId="77777777" w:rsidR="00FF64D2" w:rsidRPr="00155184" w:rsidRDefault="00FF64D2" w:rsidP="00FF64D2">
      <w:pPr>
        <w:pStyle w:val="ListParagraph"/>
        <w:spacing w:line="240" w:lineRule="auto"/>
        <w:ind w:left="420"/>
        <w:jc w:val="both"/>
        <w:rPr>
          <w:rFonts w:ascii="Times New Roman" w:hAnsi="Times New Roman" w:cs="Times New Roman"/>
          <w:b/>
          <w:bCs/>
          <w:noProof/>
          <w:lang w:val="fr-BE"/>
        </w:rPr>
      </w:pPr>
    </w:p>
    <w:p w14:paraId="04F10253" w14:textId="5D7820C1" w:rsidR="00456B58" w:rsidRPr="0041300A" w:rsidRDefault="00456B58" w:rsidP="0041300A">
      <w:pPr>
        <w:pStyle w:val="ListParagraph"/>
        <w:numPr>
          <w:ilvl w:val="0"/>
          <w:numId w:val="13"/>
        </w:numPr>
        <w:spacing w:line="240" w:lineRule="auto"/>
        <w:jc w:val="both"/>
        <w:rPr>
          <w:rFonts w:ascii="Times New Roman" w:hAnsi="Times New Roman" w:cs="Times New Roman"/>
          <w:b/>
          <w:bCs/>
          <w:noProof/>
        </w:rPr>
      </w:pPr>
      <w:r>
        <w:rPr>
          <w:rFonts w:ascii="Times New Roman" w:hAnsi="Times New Roman"/>
          <w:b/>
          <w:noProof/>
        </w:rPr>
        <w:t>Concrétiser: améliorer l’efficacité de l’action humanitaire, notamment au regard des coûts, pour en accroître l’impact</w:t>
      </w:r>
    </w:p>
    <w:p w14:paraId="2CF2EA11" w14:textId="208AA49D" w:rsidR="00456B58" w:rsidRPr="0041300A" w:rsidRDefault="000363A7" w:rsidP="00456B58">
      <w:pPr>
        <w:spacing w:line="240" w:lineRule="auto"/>
        <w:jc w:val="both"/>
        <w:rPr>
          <w:rFonts w:ascii="Times New Roman" w:hAnsi="Times New Roman" w:cs="Times New Roman"/>
          <w:noProof/>
        </w:rPr>
      </w:pPr>
      <w:r>
        <w:rPr>
          <w:rFonts w:ascii="Times New Roman" w:hAnsi="Times New Roman"/>
          <w:noProof/>
        </w:rPr>
        <w:t>Compte tenu de l’</w:t>
      </w:r>
      <w:r>
        <w:rPr>
          <w:rFonts w:ascii="Times New Roman" w:hAnsi="Times New Roman"/>
          <w:b/>
          <w:bCs/>
          <w:noProof/>
        </w:rPr>
        <w:t>accroissement des besoins et des contraintes budgétaires</w:t>
      </w:r>
      <w:r>
        <w:rPr>
          <w:rFonts w:ascii="Times New Roman" w:hAnsi="Times New Roman"/>
          <w:noProof/>
        </w:rPr>
        <w:t xml:space="preserve">, il ne sera possible d’atteindre un rapport coût-efficacité optimal que si les communautés touchées, les acteurs de l’aide humanitaire et les donateurs œuvrent de concert afin de mettre en place des réponses efficaces aux crises. La marge de manœuvre disponible pour réduire les inefficacités du modèle de financement actuel est considérable et l’UE s’efforcera de faire évoluer les choses en ce sens. Pour y parvenir, elle a défini </w:t>
      </w:r>
      <w:r>
        <w:rPr>
          <w:rFonts w:ascii="Times New Roman" w:hAnsi="Times New Roman"/>
          <w:b/>
          <w:bCs/>
          <w:noProof/>
        </w:rPr>
        <w:t>trois grandes priorités</w:t>
      </w:r>
      <w:r>
        <w:rPr>
          <w:rFonts w:ascii="Times New Roman" w:hAnsi="Times New Roman"/>
          <w:noProof/>
        </w:rPr>
        <w:t>: réformer la chaîne d’approvisionnement humanitaire, maximiser la valeur du financement humanitaire de l’UE et appuyer les services de soutien collectifs.</w:t>
      </w:r>
    </w:p>
    <w:p w14:paraId="7E0A65B0" w14:textId="6800B52A" w:rsidR="00456B58" w:rsidRPr="00D044B0" w:rsidRDefault="0D43F94D" w:rsidP="46C62D5D">
      <w:pPr>
        <w:spacing w:line="240" w:lineRule="auto"/>
        <w:jc w:val="both"/>
        <w:rPr>
          <w:rFonts w:ascii="Times New Roman" w:hAnsi="Times New Roman"/>
          <w:b/>
          <w:i/>
          <w:noProof/>
        </w:rPr>
      </w:pPr>
      <w:r>
        <w:rPr>
          <w:rFonts w:ascii="Times New Roman" w:hAnsi="Times New Roman"/>
          <w:b/>
          <w:i/>
          <w:noProof/>
        </w:rPr>
        <w:t>2.1. Réformer les chaînes d’approvisionnement stratégiques humanitaires</w:t>
      </w:r>
    </w:p>
    <w:p w14:paraId="14D52312" w14:textId="08740688" w:rsidR="004E59C8" w:rsidRPr="00970492" w:rsidRDefault="004E59C8" w:rsidP="004E59C8">
      <w:pPr>
        <w:spacing w:after="150" w:line="240" w:lineRule="auto"/>
        <w:jc w:val="both"/>
        <w:rPr>
          <w:rFonts w:ascii="Times New Roman" w:eastAsia="Times New Roman" w:hAnsi="Times New Roman" w:cs="Times New Roman"/>
          <w:noProof/>
        </w:rPr>
      </w:pPr>
      <w:r>
        <w:rPr>
          <w:rFonts w:ascii="Times New Roman" w:hAnsi="Times New Roman"/>
          <w:noProof/>
        </w:rPr>
        <w:t>Les chaînes d’approvisionnement humanitaires sont essentielles aux opérations humanitaires. Elles visent à s’assurer que les communautés dans le besoin reçoivent les bons équipements d’urgence, au bon moment, au bon endroit, à un coût approprié et que ces équipements sont de bonne qualité. Or, le modèle actuel de chaîne d’approvisionnement n’est plus adapté à l’ampleur des besoins. Au fil du temps, les organisations humanitaires ont mis en place des chaînes d’approvisionnement parallèles, déconnectées les unes des autres, ce qui a entraîné une fragmentation et des doublons inutiles, par exemple lorsqu’elles sont en concurrence pour se procurer les mêmes articles de première nécessité ou qu’elles exploitent des flottes et des entrepôts séparés. L’efficacité, le bon fonctionnement et, au final, les bénéfices de l’aide humanitaire s’en trouvent réduits.</w:t>
      </w:r>
    </w:p>
    <w:p w14:paraId="4FAF2781" w14:textId="01D9DF86" w:rsidR="004E59C8" w:rsidRPr="00E76282" w:rsidRDefault="004E59C8" w:rsidP="004E59C8">
      <w:pPr>
        <w:spacing w:after="150" w:line="240" w:lineRule="auto"/>
        <w:jc w:val="both"/>
        <w:rPr>
          <w:rFonts w:ascii="Times New Roman" w:hAnsi="Times New Roman"/>
          <w:noProof/>
        </w:rPr>
      </w:pPr>
      <w:r>
        <w:rPr>
          <w:rFonts w:ascii="Times New Roman" w:hAnsi="Times New Roman"/>
          <w:noProof/>
        </w:rPr>
        <w:t xml:space="preserve">Pour remédier à ces problèmes, la Commission a lancé en 2024 le </w:t>
      </w:r>
      <w:r>
        <w:rPr>
          <w:rFonts w:ascii="Times New Roman" w:hAnsi="Times New Roman"/>
          <w:b/>
          <w:bCs/>
          <w:noProof/>
        </w:rPr>
        <w:t>HLGSC (Humanitarian Leadership Group on Supply Chain)</w:t>
      </w:r>
      <w:r>
        <w:rPr>
          <w:rFonts w:ascii="Times New Roman" w:hAnsi="Times New Roman"/>
          <w:noProof/>
        </w:rPr>
        <w:t xml:space="preserve">, qui réunit les Nations unies, le Mouvement de la Croix-Rouge et du Croissant-Rouge, des donateurs, des organisations non gouvernementales, le secteur privé et le monde universitaire. Le groupe a arrêté une vision commune pour un </w:t>
      </w:r>
      <w:r>
        <w:rPr>
          <w:rFonts w:ascii="Times New Roman" w:hAnsi="Times New Roman"/>
          <w:b/>
          <w:bCs/>
          <w:noProof/>
        </w:rPr>
        <w:t>nouveau modèle de chaîne d’approvisionnement humanitaire</w:t>
      </w:r>
      <w:r>
        <w:rPr>
          <w:rFonts w:ascii="Times New Roman" w:hAnsi="Times New Roman"/>
          <w:noProof/>
        </w:rPr>
        <w:t xml:space="preserve">: un réseau plus collaboratif et plus cohérent, à l’efficacité renforcée grâce à une meilleure adéquation, une meilleure interopérabilité et un meilleur échange de données, qui sont autant de principes interdépendants, ainsi qu’au recours plus systématique à des plateformes et à des opérations conjointes. L’objectif général est d’aboutir à un système plus performant au service des personnes, autrement dit de fournir une assistance plus rapide et plus prévisible, selon un mode opératoire plus rentable et qui renforce les capacités et la résilience des populations locales, conformément aux principes humanitaires. </w:t>
      </w:r>
    </w:p>
    <w:p w14:paraId="0D8B6206" w14:textId="010AA2C1" w:rsidR="004E59C8" w:rsidRPr="00E76282" w:rsidRDefault="004E59C8" w:rsidP="004E59C8">
      <w:pPr>
        <w:spacing w:after="150" w:line="240" w:lineRule="auto"/>
        <w:jc w:val="both"/>
        <w:rPr>
          <w:rFonts w:ascii="Times New Roman" w:hAnsi="Times New Roman"/>
          <w:noProof/>
        </w:rPr>
      </w:pPr>
      <w:r>
        <w:rPr>
          <w:rFonts w:ascii="Times New Roman" w:hAnsi="Times New Roman"/>
          <w:noProof/>
        </w:rPr>
        <w:t xml:space="preserve">La volonté de réforme du HLGSC s’est traduite par des initiatives complémentaires, parmi lesquelles l’initiative conjointe des Nations unies visant à mettre en place un système de chaîne d’approvisionnement humanitaire plus intégré dans le cadre du processus de réforme ONU80 ou dans le cadre du G7. Il convient de poursuivre ces efforts, car ils constituent un élément essentiel de la réforme globale des chaînes d’approvisionnement humanitaires. La Commission continuera à suivre de près et à encourager ces processus. </w:t>
      </w:r>
    </w:p>
    <w:p w14:paraId="1B4BC911" w14:textId="1299E709" w:rsidR="004E59C8" w:rsidRPr="00E76282" w:rsidRDefault="004E59C8" w:rsidP="0041300A">
      <w:pPr>
        <w:spacing w:after="150" w:line="240" w:lineRule="auto"/>
        <w:jc w:val="both"/>
        <w:rPr>
          <w:rFonts w:ascii="Times New Roman" w:hAnsi="Times New Roman"/>
          <w:noProof/>
        </w:rPr>
      </w:pPr>
      <w:r>
        <w:rPr>
          <w:rFonts w:ascii="Times New Roman" w:hAnsi="Times New Roman"/>
          <w:noProof/>
        </w:rPr>
        <w:t>La réforme et l’amélioration du modèle de chaîne d’approvisionnement offrent une occasion majeure de réaliser des gains d’efficacité et de débloquer des ressources en faveur des personnes dans le besoin. Un changement de paradigme est nécessaire pour que les fonctions de la chaîne d’approvisionnement soient reconnues comme autant de leviers stratégiques de l’impact humanitaire. Dans le cadre de ce processus holistique axé sur la collaboration, la mise en commun des ressources et le partage des capacités, il convient de traiter, dans la droite ligne du HLGSC, les problématiques suivantes, qui sont interdépendantes:</w:t>
      </w:r>
    </w:p>
    <w:p w14:paraId="456D629F" w14:textId="3FC58950" w:rsidR="004E59C8" w:rsidRPr="00E76282" w:rsidRDefault="008852D3" w:rsidP="0041300A">
      <w:pPr>
        <w:pStyle w:val="ListParagraph"/>
        <w:numPr>
          <w:ilvl w:val="0"/>
          <w:numId w:val="2"/>
        </w:numPr>
        <w:spacing w:after="150" w:line="240" w:lineRule="auto"/>
        <w:jc w:val="both"/>
        <w:rPr>
          <w:rFonts w:ascii="Times New Roman" w:hAnsi="Times New Roman"/>
          <w:noProof/>
        </w:rPr>
      </w:pPr>
      <w:r>
        <w:rPr>
          <w:rFonts w:ascii="Times New Roman" w:hAnsi="Times New Roman"/>
          <w:noProof/>
        </w:rPr>
        <w:t xml:space="preserve">la </w:t>
      </w:r>
      <w:r>
        <w:rPr>
          <w:rFonts w:ascii="Times New Roman" w:hAnsi="Times New Roman"/>
          <w:b/>
          <w:bCs/>
          <w:noProof/>
        </w:rPr>
        <w:t>procédure de passation des marchés</w:t>
      </w:r>
      <w:r>
        <w:rPr>
          <w:rFonts w:ascii="Times New Roman" w:hAnsi="Times New Roman"/>
          <w:noProof/>
        </w:rPr>
        <w:t xml:space="preserve"> doit être intégrée dès le départ à la conception des opérations afin d’en améliorer l’efficacité, l’impact et la gestion financière, notamment par la reconnaissance mutuelle des décisions de passation de marchés et la mise en place de procédures de passation conjointes par les organisations humanitaires;</w:t>
      </w:r>
    </w:p>
    <w:p w14:paraId="106D589D" w14:textId="027B4DEB" w:rsidR="004E59C8" w:rsidRPr="00C02F0D" w:rsidRDefault="008852D3" w:rsidP="0041300A">
      <w:pPr>
        <w:pStyle w:val="ListParagraph"/>
        <w:numPr>
          <w:ilvl w:val="0"/>
          <w:numId w:val="2"/>
        </w:numPr>
        <w:spacing w:after="150" w:line="240" w:lineRule="auto"/>
        <w:jc w:val="both"/>
        <w:rPr>
          <w:rFonts w:ascii="Times New Roman" w:hAnsi="Times New Roman"/>
          <w:noProof/>
        </w:rPr>
      </w:pPr>
      <w:r>
        <w:rPr>
          <w:rFonts w:ascii="Times New Roman" w:hAnsi="Times New Roman"/>
          <w:noProof/>
        </w:rPr>
        <w:t xml:space="preserve">la </w:t>
      </w:r>
      <w:r>
        <w:rPr>
          <w:rFonts w:ascii="Times New Roman" w:hAnsi="Times New Roman"/>
          <w:b/>
          <w:bCs/>
          <w:noProof/>
        </w:rPr>
        <w:t>durabilité environnementale</w:t>
      </w:r>
      <w:r>
        <w:rPr>
          <w:rFonts w:ascii="Times New Roman" w:hAnsi="Times New Roman"/>
          <w:noProof/>
        </w:rPr>
        <w:t xml:space="preserve"> doit faire partie intégrante de l’action humanitaire, de même que le passage d’une réduction des coûts à court terme à une optimisation de la valeur à long terme, notamment grâce à la réduction des émissions de gaz à effet de serre (par exemple en favorisant des solutions locales fondées sur les énergies renouvelables), à l’amélioration des évaluations du cycle de vie et des spécifications des produits écologiques, à une gestion responsable des déchets et à la promotion de mesures en faveur de l’économie circulaire;</w:t>
      </w:r>
    </w:p>
    <w:p w14:paraId="11A2F17D" w14:textId="3BADC587" w:rsidR="000638F9" w:rsidRPr="00A44E14" w:rsidRDefault="008852D3" w:rsidP="0041300A">
      <w:pPr>
        <w:pStyle w:val="ListParagraph"/>
        <w:numPr>
          <w:ilvl w:val="0"/>
          <w:numId w:val="2"/>
        </w:numPr>
        <w:spacing w:after="150" w:line="240" w:lineRule="auto"/>
        <w:jc w:val="both"/>
        <w:rPr>
          <w:rFonts w:ascii="Times New Roman" w:eastAsia="Times New Roman" w:hAnsi="Times New Roman" w:cs="Times New Roman"/>
          <w:noProof/>
        </w:rPr>
      </w:pPr>
      <w:r>
        <w:rPr>
          <w:rFonts w:ascii="Times New Roman" w:hAnsi="Times New Roman"/>
          <w:noProof/>
        </w:rPr>
        <w:t xml:space="preserve">les </w:t>
      </w:r>
      <w:r>
        <w:rPr>
          <w:rFonts w:ascii="Times New Roman" w:hAnsi="Times New Roman"/>
          <w:b/>
          <w:bCs/>
          <w:noProof/>
        </w:rPr>
        <w:t>systèmes numériques</w:t>
      </w:r>
      <w:r>
        <w:rPr>
          <w:rFonts w:ascii="Times New Roman" w:hAnsi="Times New Roman"/>
          <w:noProof/>
        </w:rPr>
        <w:t>, y compris les solutions fondées sur l’IA, doivent être intégrés à un écosystème interopérable doté de cadres de gouvernance reposant sur des normes ouvertes communes, adaptés aux capacités locales et assortis de garanties appropriées en matière de protection des données;</w:t>
      </w:r>
    </w:p>
    <w:p w14:paraId="1FD45BF9" w14:textId="7E56B46D" w:rsidR="004E59C8" w:rsidRPr="00E76282" w:rsidRDefault="008852D3" w:rsidP="0041300A">
      <w:pPr>
        <w:pStyle w:val="ListParagraph"/>
        <w:numPr>
          <w:ilvl w:val="0"/>
          <w:numId w:val="2"/>
        </w:numPr>
        <w:spacing w:after="150" w:line="240" w:lineRule="auto"/>
        <w:jc w:val="both"/>
        <w:rPr>
          <w:rFonts w:ascii="Times New Roman" w:hAnsi="Times New Roman"/>
          <w:noProof/>
        </w:rPr>
      </w:pPr>
      <w:r>
        <w:rPr>
          <w:rFonts w:ascii="Times New Roman" w:hAnsi="Times New Roman"/>
          <w:noProof/>
        </w:rPr>
        <w:t xml:space="preserve">la </w:t>
      </w:r>
      <w:r>
        <w:rPr>
          <w:rFonts w:ascii="Times New Roman" w:hAnsi="Times New Roman"/>
          <w:b/>
          <w:bCs/>
          <w:noProof/>
        </w:rPr>
        <w:t>préparation</w:t>
      </w:r>
      <w:r>
        <w:rPr>
          <w:rFonts w:ascii="Times New Roman" w:hAnsi="Times New Roman"/>
          <w:noProof/>
        </w:rPr>
        <w:t xml:space="preserve"> doit devenir la norme, en s’appuyant sur un cadre commun ancré dans les capacités locales et la participation des acteurs à la planification, complété par des mesures de prévision et de prépositionnement et propre à garantir l’adoption et l’application à grande échelle de solutions innovantes;</w:t>
      </w:r>
    </w:p>
    <w:p w14:paraId="6B8357C9" w14:textId="44AC39BA" w:rsidR="002A63C8" w:rsidRPr="00A65EA7" w:rsidRDefault="008852D3" w:rsidP="0041300A">
      <w:pPr>
        <w:pStyle w:val="ListParagraph"/>
        <w:numPr>
          <w:ilvl w:val="0"/>
          <w:numId w:val="2"/>
        </w:numPr>
        <w:spacing w:after="150" w:line="240" w:lineRule="auto"/>
        <w:jc w:val="both"/>
        <w:rPr>
          <w:rFonts w:ascii="Times New Roman" w:hAnsi="Times New Roman"/>
          <w:noProof/>
        </w:rPr>
      </w:pPr>
      <w:r>
        <w:rPr>
          <w:rFonts w:ascii="Times New Roman" w:hAnsi="Times New Roman"/>
          <w:noProof/>
        </w:rPr>
        <w:t xml:space="preserve">la </w:t>
      </w:r>
      <w:r>
        <w:rPr>
          <w:rFonts w:ascii="Times New Roman" w:hAnsi="Times New Roman"/>
          <w:b/>
          <w:bCs/>
          <w:noProof/>
        </w:rPr>
        <w:t>localisation des chaînes d’approvisionnement durable</w:t>
      </w:r>
      <w:r>
        <w:rPr>
          <w:rFonts w:ascii="Times New Roman" w:hAnsi="Times New Roman"/>
          <w:noProof/>
        </w:rPr>
        <w:t xml:space="preserve"> nécessite que les acteurs humanitaires internationaux transfèrent progressivement leur autorité, leurs ressources et leurs prises de décision aux acteurs locaux, tout en renforçant les marchés locaux.</w:t>
      </w:r>
    </w:p>
    <w:p w14:paraId="7D707EE2" w14:textId="19788009" w:rsidR="002A63C8" w:rsidRPr="002A63C8" w:rsidRDefault="00B535DC" w:rsidP="002A63C8">
      <w:pPr>
        <w:spacing w:after="150" w:line="240" w:lineRule="auto"/>
        <w:jc w:val="both"/>
        <w:rPr>
          <w:rFonts w:ascii="Times New Roman" w:hAnsi="Times New Roman"/>
          <w:noProof/>
        </w:rPr>
      </w:pPr>
      <w:r>
        <w:rPr>
          <w:rFonts w:ascii="Times New Roman" w:hAnsi="Times New Roman"/>
          <w:noProof/>
        </w:rPr>
        <w:t xml:space="preserve">La concrétisation de ce modèle dépend de plusieurs </w:t>
      </w:r>
      <w:r>
        <w:rPr>
          <w:rFonts w:ascii="Times New Roman" w:hAnsi="Times New Roman"/>
          <w:b/>
          <w:bCs/>
          <w:noProof/>
        </w:rPr>
        <w:t>conditions favorables</w:t>
      </w:r>
      <w:r>
        <w:rPr>
          <w:rFonts w:ascii="Times New Roman" w:hAnsi="Times New Roman"/>
          <w:noProof/>
        </w:rPr>
        <w:t>:</w:t>
      </w:r>
    </w:p>
    <w:p w14:paraId="4A75AA56" w14:textId="523A6A45" w:rsidR="004E59C8" w:rsidRPr="00E76282" w:rsidRDefault="008852D3" w:rsidP="002A63C8">
      <w:pPr>
        <w:pStyle w:val="ListParagraph"/>
        <w:numPr>
          <w:ilvl w:val="0"/>
          <w:numId w:val="1"/>
        </w:numPr>
        <w:spacing w:after="150" w:line="240" w:lineRule="auto"/>
        <w:jc w:val="both"/>
        <w:rPr>
          <w:rFonts w:ascii="Times New Roman" w:hAnsi="Times New Roman"/>
          <w:noProof/>
        </w:rPr>
      </w:pPr>
      <w:r>
        <w:rPr>
          <w:rFonts w:ascii="Times New Roman" w:hAnsi="Times New Roman"/>
          <w:noProof/>
        </w:rPr>
        <w:t>l’intégration des considérations relatives à la chaîne d’approvisionnement dans la prise de décision stratégique et opérationnelle des organisations humanitaires;</w:t>
      </w:r>
    </w:p>
    <w:p w14:paraId="1F148959" w14:textId="260BA9FE" w:rsidR="004E59C8" w:rsidRPr="002A63C8" w:rsidRDefault="008852D3" w:rsidP="004E59C8">
      <w:pPr>
        <w:pStyle w:val="ListParagraph"/>
        <w:numPr>
          <w:ilvl w:val="0"/>
          <w:numId w:val="1"/>
        </w:numPr>
        <w:spacing w:after="150" w:line="240" w:lineRule="auto"/>
        <w:jc w:val="both"/>
        <w:rPr>
          <w:rFonts w:ascii="Times New Roman" w:hAnsi="Times New Roman"/>
          <w:noProof/>
        </w:rPr>
      </w:pPr>
      <w:r>
        <w:rPr>
          <w:rFonts w:ascii="Times New Roman" w:hAnsi="Times New Roman"/>
          <w:noProof/>
        </w:rPr>
        <w:t>une collaboration accrue entre les donateurs afin de mieux coordonner les approches en matière de conformité et de réglementation, ainsi que les priorités de financement;</w:t>
      </w:r>
    </w:p>
    <w:p w14:paraId="71E5E895" w14:textId="28852F58" w:rsidR="004E59C8" w:rsidRPr="00E76282" w:rsidRDefault="008852D3" w:rsidP="004E59C8">
      <w:pPr>
        <w:pStyle w:val="ListParagraph"/>
        <w:numPr>
          <w:ilvl w:val="0"/>
          <w:numId w:val="1"/>
        </w:numPr>
        <w:spacing w:after="150" w:line="240" w:lineRule="auto"/>
        <w:jc w:val="both"/>
        <w:rPr>
          <w:rFonts w:ascii="Times New Roman" w:hAnsi="Times New Roman"/>
          <w:noProof/>
        </w:rPr>
      </w:pPr>
      <w:r>
        <w:rPr>
          <w:rFonts w:ascii="Times New Roman" w:hAnsi="Times New Roman"/>
          <w:noProof/>
        </w:rPr>
        <w:t>la recherche de mécanismes de financement innovants pour garantir des investissements à long terme et la reconnaissance des coûts liés à la chaîne d’approvisionnement, y compris en matière de numérisation et d’environnement, comme des dépenses essentielles du programme;</w:t>
      </w:r>
    </w:p>
    <w:p w14:paraId="1C188063" w14:textId="1876140B" w:rsidR="004E59C8" w:rsidRPr="00F36DCA" w:rsidRDefault="008852D3" w:rsidP="004E59C8">
      <w:pPr>
        <w:pStyle w:val="ListParagraph"/>
        <w:numPr>
          <w:ilvl w:val="0"/>
          <w:numId w:val="1"/>
        </w:numPr>
        <w:spacing w:after="150" w:line="240" w:lineRule="auto"/>
        <w:jc w:val="both"/>
        <w:rPr>
          <w:noProof/>
        </w:rPr>
      </w:pPr>
      <w:r>
        <w:rPr>
          <w:rFonts w:ascii="Times New Roman" w:hAnsi="Times New Roman"/>
          <w:noProof/>
        </w:rPr>
        <w:t>la participation du secteur privé à la conception conjointe et la promotion d’une transformation en profondeur du système; et</w:t>
      </w:r>
    </w:p>
    <w:p w14:paraId="38358ED2" w14:textId="04EBB202" w:rsidR="00426386" w:rsidRPr="002A63C8" w:rsidRDefault="008852D3" w:rsidP="00687FDD">
      <w:pPr>
        <w:pStyle w:val="ListParagraph"/>
        <w:numPr>
          <w:ilvl w:val="0"/>
          <w:numId w:val="1"/>
        </w:numPr>
        <w:spacing w:after="150" w:line="240" w:lineRule="auto"/>
        <w:jc w:val="both"/>
        <w:rPr>
          <w:noProof/>
        </w:rPr>
      </w:pPr>
      <w:r>
        <w:rPr>
          <w:rFonts w:ascii="Times New Roman" w:hAnsi="Times New Roman"/>
          <w:noProof/>
        </w:rPr>
        <w:t>une professionnalisation toujours plus poussée, afin de garantir la présence de travailleurs hautement qualifiés.</w:t>
      </w:r>
    </w:p>
    <w:p w14:paraId="3D29F368" w14:textId="61189931" w:rsidR="00CF2CBD" w:rsidRPr="00E76282" w:rsidRDefault="00426386" w:rsidP="00CF2CBD">
      <w:pPr>
        <w:spacing w:after="150" w:line="240" w:lineRule="auto"/>
        <w:jc w:val="both"/>
        <w:rPr>
          <w:rFonts w:ascii="Times New Roman" w:hAnsi="Times New Roman"/>
          <w:noProof/>
        </w:rPr>
      </w:pPr>
      <w:r>
        <w:rPr>
          <w:rFonts w:ascii="Times New Roman" w:hAnsi="Times New Roman"/>
          <w:noProof/>
        </w:rPr>
        <w:t xml:space="preserve">La Commission mènera ce processus en étroite collaboration avec les États membres de l’UE et, le cas échéant, les donateurs de pays tiers. Elle intégrera le nouveau modèle de chaîne d’approvisionnement dans le mode de gestion et de financement de ses propres actions d’aide humanitaire, en fournissant des orientations claires et un soutien approprié à ses partenaires. La présence de l’UE sur le terrain contribuera également à promouvoir ces efforts. </w:t>
      </w:r>
    </w:p>
    <w:tbl>
      <w:tblPr>
        <w:tblStyle w:val="TableGrid"/>
        <w:tblW w:w="0" w:type="auto"/>
        <w:tblLook w:val="04A0" w:firstRow="1" w:lastRow="0" w:firstColumn="1" w:lastColumn="0" w:noHBand="0" w:noVBand="1"/>
      </w:tblPr>
      <w:tblGrid>
        <w:gridCol w:w="9052"/>
      </w:tblGrid>
      <w:tr w:rsidR="004E59C8" w:rsidRPr="00970492" w14:paraId="2F009B4B" w14:textId="77777777" w:rsidTr="00A15D12">
        <w:trPr>
          <w:trHeight w:val="300"/>
        </w:trPr>
        <w:tc>
          <w:tcPr>
            <w:tcW w:w="90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3020AF0" w14:textId="50F0DD23" w:rsidR="004E59C8" w:rsidRPr="00720DD9" w:rsidRDefault="004E59C8" w:rsidP="00EF1471">
            <w:pPr>
              <w:jc w:val="both"/>
              <w:rPr>
                <w:rFonts w:ascii="Times New Roman" w:hAnsi="Times New Roman"/>
                <w:b/>
                <w:noProof/>
                <w:color w:val="000000" w:themeColor="text1"/>
                <w:sz w:val="24"/>
                <w:szCs w:val="24"/>
              </w:rPr>
            </w:pPr>
            <w:r>
              <w:rPr>
                <w:rFonts w:ascii="Times New Roman" w:hAnsi="Times New Roman"/>
                <w:b/>
                <w:noProof/>
                <w:sz w:val="24"/>
              </w:rPr>
              <w:t>Actions clés</w:t>
            </w:r>
          </w:p>
          <w:p w14:paraId="306A8323" w14:textId="77777777" w:rsidR="004E59C8" w:rsidRPr="00155184" w:rsidRDefault="004E59C8" w:rsidP="00EF1471">
            <w:pPr>
              <w:jc w:val="both"/>
              <w:rPr>
                <w:rFonts w:ascii="Times New Roman" w:hAnsi="Times New Roman"/>
                <w:noProof/>
                <w:sz w:val="24"/>
                <w:szCs w:val="24"/>
                <w:lang w:val="fr-BE"/>
              </w:rPr>
            </w:pPr>
          </w:p>
          <w:p w14:paraId="0135A990" w14:textId="1F5D1CBC" w:rsidR="004E59C8" w:rsidRPr="00720DD9" w:rsidRDefault="004E59C8" w:rsidP="00EF1471">
            <w:pPr>
              <w:jc w:val="both"/>
              <w:rPr>
                <w:rFonts w:ascii="Times New Roman" w:hAnsi="Times New Roman"/>
                <w:noProof/>
                <w:color w:val="000000" w:themeColor="text1"/>
                <w:sz w:val="24"/>
                <w:szCs w:val="24"/>
              </w:rPr>
            </w:pPr>
            <w:r>
              <w:rPr>
                <w:rFonts w:ascii="Times New Roman" w:hAnsi="Times New Roman"/>
                <w:noProof/>
                <w:sz w:val="24"/>
              </w:rPr>
              <w:t>La Commission entend:</w:t>
            </w:r>
          </w:p>
          <w:p w14:paraId="02B6B69C" w14:textId="737BE463" w:rsidR="004E59C8" w:rsidRPr="00720DD9" w:rsidRDefault="007D3A65" w:rsidP="00321376">
            <w:pPr>
              <w:pStyle w:val="ListParagraph"/>
              <w:numPr>
                <w:ilvl w:val="0"/>
                <w:numId w:val="8"/>
              </w:numPr>
              <w:ind w:left="360"/>
              <w:jc w:val="both"/>
              <w:rPr>
                <w:rFonts w:ascii="Times New Roman" w:hAnsi="Times New Roman"/>
                <w:noProof/>
                <w:color w:val="000000" w:themeColor="text1"/>
                <w:sz w:val="24"/>
                <w:szCs w:val="24"/>
              </w:rPr>
            </w:pPr>
            <w:r>
              <w:rPr>
                <w:rFonts w:ascii="Times New Roman" w:hAnsi="Times New Roman"/>
                <w:noProof/>
                <w:sz w:val="24"/>
              </w:rPr>
              <w:t xml:space="preserve">lancer un cadre volontaire, collaboratif et multipartite sous la forme d’une </w:t>
            </w:r>
            <w:r>
              <w:rPr>
                <w:rFonts w:ascii="Times New Roman" w:hAnsi="Times New Roman"/>
                <w:b/>
                <w:noProof/>
                <w:sz w:val="24"/>
              </w:rPr>
              <w:t>charte de la chaîne d’approvisionnement humanitaire</w:t>
            </w:r>
            <w:r>
              <w:rPr>
                <w:rFonts w:ascii="Times New Roman" w:hAnsi="Times New Roman"/>
                <w:noProof/>
                <w:sz w:val="24"/>
              </w:rPr>
              <w:t xml:space="preserve"> ouverte à la signature des acteurs humanitaires, y compris des donateurs, afin d’accélérer la mise en œuvre de la réforme. La charte définira des engagements spécifiques et établira une responsabilité collective; elle sera appuyée par une plateforme jouant le rôle de secrétariat technique et de pôle de coordination;</w:t>
            </w:r>
          </w:p>
          <w:p w14:paraId="5245A4F2" w14:textId="6F090B02" w:rsidR="00687FDD" w:rsidRPr="00720DD9" w:rsidRDefault="007D3A65" w:rsidP="00321376">
            <w:pPr>
              <w:pStyle w:val="ListParagraph"/>
              <w:numPr>
                <w:ilvl w:val="0"/>
                <w:numId w:val="8"/>
              </w:numPr>
              <w:ind w:left="360"/>
              <w:jc w:val="both"/>
              <w:rPr>
                <w:rFonts w:ascii="Times New Roman" w:hAnsi="Times New Roman"/>
                <w:noProof/>
                <w:color w:val="000000" w:themeColor="text1"/>
                <w:sz w:val="24"/>
                <w:szCs w:val="24"/>
              </w:rPr>
            </w:pPr>
            <w:r>
              <w:rPr>
                <w:rFonts w:ascii="Times New Roman" w:hAnsi="Times New Roman"/>
                <w:noProof/>
                <w:sz w:val="24"/>
              </w:rPr>
              <w:t xml:space="preserve">débloquer des </w:t>
            </w:r>
            <w:r>
              <w:rPr>
                <w:rFonts w:ascii="Times New Roman" w:hAnsi="Times New Roman"/>
                <w:b/>
                <w:bCs/>
                <w:noProof/>
                <w:sz w:val="24"/>
              </w:rPr>
              <w:t>ressources financières</w:t>
            </w:r>
            <w:r>
              <w:rPr>
                <w:rFonts w:ascii="Times New Roman" w:hAnsi="Times New Roman"/>
                <w:noProof/>
                <w:sz w:val="24"/>
              </w:rPr>
              <w:t xml:space="preserve"> appropriées pour soutenir la mise en œuvre de la réforme de la chaîne d’approvisionnement, y compris les travaux du HLGSC, en fixant progressivement des conditions de financement pour la sélection des projets, ce qui aidera les organisations humanitaires à fonctionner plus efficacement, en dégageant des ressources pour aider les personnes dans le besoin. La </w:t>
            </w:r>
            <w:r>
              <w:rPr>
                <w:rFonts w:ascii="Times New Roman" w:hAnsi="Times New Roman"/>
                <w:b/>
                <w:bCs/>
                <w:noProof/>
                <w:sz w:val="24"/>
              </w:rPr>
              <w:t>mise en œuvre sur le terrain</w:t>
            </w:r>
            <w:r>
              <w:rPr>
                <w:rFonts w:ascii="Times New Roman" w:hAnsi="Times New Roman"/>
                <w:noProof/>
                <w:sz w:val="24"/>
              </w:rPr>
              <w:t xml:space="preserve"> sera encouragée et débutera dans des pays pilotes;</w:t>
            </w:r>
          </w:p>
          <w:p w14:paraId="3688221D" w14:textId="108E22AF" w:rsidR="004E59C8" w:rsidRPr="00720DD9" w:rsidRDefault="007D3A65" w:rsidP="00321376">
            <w:pPr>
              <w:pStyle w:val="ListParagraph"/>
              <w:numPr>
                <w:ilvl w:val="0"/>
                <w:numId w:val="8"/>
              </w:numPr>
              <w:ind w:left="360"/>
              <w:jc w:val="both"/>
              <w:rPr>
                <w:rFonts w:ascii="Times New Roman" w:hAnsi="Times New Roman"/>
                <w:noProof/>
                <w:color w:val="000000" w:themeColor="text1"/>
                <w:sz w:val="24"/>
                <w:szCs w:val="24"/>
              </w:rPr>
            </w:pPr>
            <w:r>
              <w:rPr>
                <w:rFonts w:ascii="Times New Roman" w:hAnsi="Times New Roman"/>
                <w:noProof/>
                <w:sz w:val="24"/>
              </w:rPr>
              <w:t xml:space="preserve">instaurer, en ce qui concerne les </w:t>
            </w:r>
            <w:r>
              <w:rPr>
                <w:rFonts w:ascii="Times New Roman" w:hAnsi="Times New Roman"/>
                <w:b/>
                <w:bCs/>
                <w:noProof/>
                <w:sz w:val="24"/>
              </w:rPr>
              <w:t>centrales d’achat humanitaires</w:t>
            </w:r>
            <w:r>
              <w:rPr>
                <w:rFonts w:ascii="Times New Roman" w:hAnsi="Times New Roman"/>
                <w:noProof/>
                <w:sz w:val="24"/>
              </w:rPr>
              <w:t xml:space="preserve">, un </w:t>
            </w:r>
            <w:r>
              <w:rPr>
                <w:rFonts w:ascii="Times New Roman" w:hAnsi="Times New Roman"/>
                <w:b/>
                <w:bCs/>
                <w:noProof/>
                <w:sz w:val="24"/>
              </w:rPr>
              <w:t>cadre de reconnaissance</w:t>
            </w:r>
            <w:r>
              <w:rPr>
                <w:rFonts w:ascii="Times New Roman" w:hAnsi="Times New Roman"/>
                <w:noProof/>
                <w:sz w:val="24"/>
              </w:rPr>
              <w:t xml:space="preserve"> assorti de critères d’éligibilité clairs et de normes minimales que les partenaires et les États membres de l’UE pourront utiliser pour rendre les procédures d’acquisition plus simples et plus efficaces;</w:t>
            </w:r>
          </w:p>
          <w:p w14:paraId="1F9194A7" w14:textId="06FD373D" w:rsidR="004E59C8" w:rsidRPr="00970492" w:rsidRDefault="007D3A65" w:rsidP="00321376">
            <w:pPr>
              <w:pStyle w:val="ListParagraph"/>
              <w:numPr>
                <w:ilvl w:val="0"/>
                <w:numId w:val="8"/>
              </w:numPr>
              <w:ind w:left="360"/>
              <w:jc w:val="both"/>
              <w:rPr>
                <w:rFonts w:ascii="Times New Roman" w:eastAsia="Times New Roman" w:hAnsi="Times New Roman" w:cs="Times New Roman"/>
                <w:b/>
                <w:bCs/>
                <w:noProof/>
                <w:color w:val="000000" w:themeColor="text1"/>
                <w:sz w:val="24"/>
                <w:szCs w:val="24"/>
              </w:rPr>
            </w:pPr>
            <w:r>
              <w:rPr>
                <w:rFonts w:ascii="Times New Roman" w:hAnsi="Times New Roman"/>
                <w:noProof/>
                <w:sz w:val="24"/>
              </w:rPr>
              <w:t xml:space="preserve">mettre en place une coordination étroite avec les États membres de l’UE et les donateurs de pays tiers afin de favoriser une </w:t>
            </w:r>
            <w:r>
              <w:rPr>
                <w:rFonts w:ascii="Times New Roman" w:hAnsi="Times New Roman"/>
                <w:b/>
                <w:bCs/>
                <w:noProof/>
                <w:sz w:val="24"/>
              </w:rPr>
              <w:t>simplification administrative</w:t>
            </w:r>
            <w:r>
              <w:rPr>
                <w:rFonts w:ascii="Times New Roman" w:hAnsi="Times New Roman"/>
                <w:noProof/>
                <w:sz w:val="24"/>
              </w:rPr>
              <w:t xml:space="preserve">, des </w:t>
            </w:r>
            <w:r>
              <w:rPr>
                <w:rFonts w:ascii="Times New Roman" w:hAnsi="Times New Roman"/>
                <w:b/>
                <w:bCs/>
                <w:noProof/>
                <w:sz w:val="24"/>
              </w:rPr>
              <w:t>synergies opérationnelles</w:t>
            </w:r>
            <w:r>
              <w:rPr>
                <w:rFonts w:ascii="Times New Roman" w:hAnsi="Times New Roman"/>
                <w:noProof/>
                <w:sz w:val="24"/>
              </w:rPr>
              <w:t xml:space="preserve"> et l’</w:t>
            </w:r>
            <w:r>
              <w:rPr>
                <w:rFonts w:ascii="Times New Roman" w:hAnsi="Times New Roman"/>
                <w:b/>
                <w:bCs/>
                <w:noProof/>
                <w:sz w:val="24"/>
              </w:rPr>
              <w:t>harmonisation des priorités et des modalités de financement</w:t>
            </w:r>
            <w:r>
              <w:rPr>
                <w:rFonts w:ascii="Times New Roman" w:hAnsi="Times New Roman"/>
                <w:noProof/>
                <w:sz w:val="24"/>
              </w:rPr>
              <w:t>.</w:t>
            </w:r>
          </w:p>
        </w:tc>
      </w:tr>
    </w:tbl>
    <w:p w14:paraId="4E2D369D" w14:textId="77777777" w:rsidR="00A15D12" w:rsidRPr="00155184" w:rsidRDefault="00A15D12" w:rsidP="00456B58">
      <w:pPr>
        <w:spacing w:line="240" w:lineRule="auto"/>
        <w:rPr>
          <w:rFonts w:ascii="Times New Roman" w:hAnsi="Times New Roman" w:cs="Times New Roman"/>
          <w:b/>
          <w:bCs/>
          <w:i/>
          <w:iCs/>
          <w:noProof/>
          <w:lang w:val="fr-BE"/>
        </w:rPr>
      </w:pPr>
    </w:p>
    <w:p w14:paraId="0D72E1C9" w14:textId="1CBDD80D" w:rsidR="00456B58" w:rsidRPr="00970492" w:rsidRDefault="00456B58" w:rsidP="00456B58">
      <w:pPr>
        <w:spacing w:line="240" w:lineRule="auto"/>
        <w:rPr>
          <w:rFonts w:ascii="Times New Roman" w:hAnsi="Times New Roman" w:cs="Times New Roman"/>
          <w:b/>
          <w:bCs/>
          <w:i/>
          <w:iCs/>
          <w:noProof/>
        </w:rPr>
      </w:pPr>
      <w:r>
        <w:rPr>
          <w:rFonts w:ascii="Times New Roman" w:hAnsi="Times New Roman"/>
          <w:b/>
          <w:i/>
          <w:noProof/>
        </w:rPr>
        <w:t>2.2. Un financement humanitaire porteur de transformation et de simplification</w:t>
      </w:r>
    </w:p>
    <w:p w14:paraId="12B54B0C" w14:textId="34423A6A"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À l’heure où les coupes budgétaires accablent les acteurs humanitaires, l’UE, en sa qualité de donateur humanitaire responsable et engagé, doit apporter son aide d’une manière qui privilégie l’</w:t>
      </w:r>
      <w:r>
        <w:rPr>
          <w:rFonts w:ascii="Times New Roman" w:hAnsi="Times New Roman"/>
          <w:b/>
          <w:bCs/>
          <w:noProof/>
        </w:rPr>
        <w:t>efficacité</w:t>
      </w:r>
      <w:r>
        <w:rPr>
          <w:rFonts w:ascii="Times New Roman" w:hAnsi="Times New Roman"/>
          <w:noProof/>
        </w:rPr>
        <w:t xml:space="preserve"> et allège les </w:t>
      </w:r>
      <w:r>
        <w:rPr>
          <w:rFonts w:ascii="Times New Roman" w:hAnsi="Times New Roman"/>
          <w:b/>
          <w:bCs/>
          <w:noProof/>
        </w:rPr>
        <w:t>charges administratives</w:t>
      </w:r>
      <w:r>
        <w:rPr>
          <w:rFonts w:ascii="Times New Roman" w:hAnsi="Times New Roman"/>
          <w:noProof/>
        </w:rPr>
        <w:t>. Elle continuera de tirer pleinement parti de la souplesse que lui offre sa panoplie d’outils de financement, notamment en recourant à des modificateurs de crise (</w:t>
      </w:r>
      <w:r>
        <w:rPr>
          <w:rStyle w:val="FootnoteReference"/>
          <w:rFonts w:ascii="Times New Roman" w:hAnsi="Times New Roman" w:cs="Times New Roman"/>
          <w:noProof/>
          <w:lang w:val="en-GB"/>
        </w:rPr>
        <w:footnoteReference w:id="34"/>
      </w:r>
      <w:r>
        <w:rPr>
          <w:rFonts w:ascii="Times New Roman" w:hAnsi="Times New Roman"/>
          <w:noProof/>
        </w:rPr>
        <w:t>) et des partenariats programmatiques (</w:t>
      </w:r>
      <w:r>
        <w:rPr>
          <w:rStyle w:val="FootnoteReference"/>
          <w:rFonts w:ascii="Times New Roman" w:hAnsi="Times New Roman" w:cs="Times New Roman"/>
          <w:noProof/>
          <w:lang w:val="en-GB"/>
        </w:rPr>
        <w:footnoteReference w:id="35"/>
      </w:r>
      <w:r>
        <w:rPr>
          <w:rFonts w:ascii="Times New Roman" w:hAnsi="Times New Roman"/>
          <w:noProof/>
        </w:rPr>
        <w:t>), et en encourageant les partenaires et les consortiums à collaborer. Elle privilégiera et développera également les types de financement et d’intervention porteurs de transformation, qui favorisent l’efficacité (voir leur description ci-dessous).</w:t>
      </w:r>
    </w:p>
    <w:p w14:paraId="500CC1B8" w14:textId="433B9822"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Fournir des financements par l’intermédiaire des </w:t>
      </w:r>
      <w:r>
        <w:rPr>
          <w:rFonts w:ascii="Times New Roman" w:hAnsi="Times New Roman"/>
          <w:b/>
          <w:noProof/>
        </w:rPr>
        <w:t>acteurs locaux</w:t>
      </w:r>
      <w:r>
        <w:rPr>
          <w:rFonts w:ascii="Times New Roman" w:hAnsi="Times New Roman"/>
          <w:noProof/>
        </w:rPr>
        <w:t xml:space="preserve"> donne à ces derniers les moyens d’agir tout en améliorant la rapidité, le rapport coût-efficacité et le caractère durable de la réponse. De même, le soutien apporté au moyen de </w:t>
      </w:r>
      <w:r>
        <w:rPr>
          <w:rFonts w:ascii="Times New Roman" w:hAnsi="Times New Roman"/>
          <w:b/>
          <w:noProof/>
        </w:rPr>
        <w:t>mesures d’anticipation</w:t>
      </w:r>
      <w:r>
        <w:rPr>
          <w:rFonts w:ascii="Times New Roman" w:hAnsi="Times New Roman"/>
          <w:noProof/>
        </w:rPr>
        <w:t xml:space="preserve"> permet aux partenaires d’agir à un stade précoce, en aidant les communautés à risque en amont des catastrophes, ce qui en minimise l’incidence, en sauvant des vies et des moyens de subsistance et en favorisant la résilience climatique et environnementale. </w:t>
      </w:r>
    </w:p>
    <w:p w14:paraId="14709470" w14:textId="776D7DE6" w:rsidR="00456B58" w:rsidRPr="00970492" w:rsidRDefault="00E479F7" w:rsidP="00456B58">
      <w:pPr>
        <w:spacing w:line="240" w:lineRule="auto"/>
        <w:jc w:val="both"/>
        <w:rPr>
          <w:rFonts w:ascii="Times New Roman" w:hAnsi="Times New Roman" w:cs="Times New Roman"/>
          <w:noProof/>
        </w:rPr>
      </w:pPr>
      <w:r>
        <w:rPr>
          <w:rFonts w:ascii="Times New Roman" w:hAnsi="Times New Roman"/>
          <w:noProof/>
        </w:rPr>
        <w:t>L’</w:t>
      </w:r>
      <w:r>
        <w:rPr>
          <w:rFonts w:ascii="Times New Roman" w:hAnsi="Times New Roman"/>
          <w:b/>
          <w:noProof/>
        </w:rPr>
        <w:t>aide en espèces</w:t>
      </w:r>
      <w:r>
        <w:rPr>
          <w:rFonts w:ascii="Times New Roman" w:hAnsi="Times New Roman"/>
          <w:noProof/>
        </w:rPr>
        <w:t xml:space="preserve"> a toujours présenté un rapport coût-efficacité beaucoup plus élevé que l’aide en nature, car elle touche un plus grand nombre de personnes avec le même financement, tout en répondant à une pluralité de besoins sectoriels. Les personnes touchées préfèrent aussi une assistance en espèces, car celle-ci constitue la reconnaissance de leur capacité d’action, de leur liberté de choix et de leur dignité. Les transferts monétaires soutiennent en outre l’économie locale et contribuent à renforcer la résilience à long terme. L’UE continuera de privilégier une aide en espèces à fonctionnalités multiples et de prôner son utilisation à une échelle systémique. </w:t>
      </w:r>
    </w:p>
    <w:p w14:paraId="3DFB4DBA" w14:textId="6732C519"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En passant d’un financement annuel à des </w:t>
      </w:r>
      <w:r>
        <w:rPr>
          <w:rFonts w:ascii="Times New Roman" w:hAnsi="Times New Roman"/>
          <w:b/>
          <w:noProof/>
        </w:rPr>
        <w:t>contrats pluriannuels</w:t>
      </w:r>
      <w:r>
        <w:rPr>
          <w:rFonts w:ascii="Times New Roman" w:hAnsi="Times New Roman"/>
          <w:noProof/>
        </w:rPr>
        <w:t xml:space="preserve">, il est possible d’améliorer la prévisibilité de la réponse humanitaire, de réaliser des gains d’efficacité et des économies d’échelle, mais aussi d’instaurer une coopération plus stratégique avec les organisations partenaires. Cela contribue également à relier les calendriers humanitaires aux interventions en faveur du développement et de la paix et à appuyer la transition vers des réponses plus systémiques avec, en point de mire, une sortie de l’aide humanitaire. Dans les crises prolongées, le financement pluriannuel devrait devenir une option par défaut. </w:t>
      </w:r>
    </w:p>
    <w:p w14:paraId="6CE1A585" w14:textId="00E0BFF6"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Les </w:t>
      </w:r>
      <w:r>
        <w:rPr>
          <w:rFonts w:ascii="Times New Roman" w:hAnsi="Times New Roman"/>
          <w:b/>
          <w:noProof/>
        </w:rPr>
        <w:t>financements non préaffectés ou à affectation non contraignante</w:t>
      </w:r>
      <w:r>
        <w:rPr>
          <w:rFonts w:ascii="Times New Roman" w:hAnsi="Times New Roman"/>
          <w:noProof/>
        </w:rPr>
        <w:t xml:space="preserve"> permettent d’apporter des réponses plus souples et offrent aux partenaires des options plus facilement disponibles pour s’adapter à l’évolution de la situation. Parallèlement à sa volonté de développer les actions régionales ou multidonateurs de grande envergure, l’UE envisagera également d’apporter des contributions accrues à un large éventail de fonds de financement commun, tels que les financements groupés par pays ou le Fonds d’urgence pour les secours lors de catastrophes (DREF), lorsque ceux-ci offrent un avantage comparatif. Le respect des principes humanitaires s’appliquera aux contributions à ces fonds, de même que des critères de performance bien définis, une gouvernance inclusive, une surveillance et des contrôles rigoureux, une responsabilité forte, la participation aux efforts de localisation et le principe de visibilité de l’UE.</w:t>
      </w:r>
    </w:p>
    <w:p w14:paraId="2797CE10" w14:textId="1A35931C"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Afin d’alléger les charges administratives, l’UE examinera les moyens de </w:t>
      </w:r>
      <w:r>
        <w:rPr>
          <w:rFonts w:ascii="Times New Roman" w:hAnsi="Times New Roman"/>
          <w:b/>
          <w:bCs/>
          <w:noProof/>
        </w:rPr>
        <w:t>simplifier les obligations en matière de communication d’informations</w:t>
      </w:r>
      <w:r>
        <w:rPr>
          <w:rFonts w:ascii="Times New Roman" w:hAnsi="Times New Roman"/>
          <w:noProof/>
        </w:rPr>
        <w:t xml:space="preserve"> imposées à ses partenaires, conformément à ses engagements internationaux et à son programme de simplification. Il s’agit notamment de moderniser la gestion des subventions par la Commission en mettant en place des systèmes numériques interopérables. Cette transition renforcera la transparence et la traçabilité des fonds de l’UE, tout en préservant leur souplesse opérationnelle.</w:t>
      </w:r>
    </w:p>
    <w:tbl>
      <w:tblPr>
        <w:tblStyle w:val="TableGrid"/>
        <w:tblW w:w="0" w:type="auto"/>
        <w:tblLook w:val="04A0" w:firstRow="1" w:lastRow="0" w:firstColumn="1" w:lastColumn="0" w:noHBand="0" w:noVBand="1"/>
      </w:tblPr>
      <w:tblGrid>
        <w:gridCol w:w="9062"/>
      </w:tblGrid>
      <w:tr w:rsidR="00456B58" w:rsidRPr="00970492" w14:paraId="2BC4AB8B" w14:textId="77777777" w:rsidTr="46C62D5D">
        <w:tc>
          <w:tcPr>
            <w:tcW w:w="9288" w:type="dxa"/>
            <w:shd w:val="clear" w:color="auto" w:fill="F2F2F2" w:themeFill="background1" w:themeFillShade="F2"/>
          </w:tcPr>
          <w:p w14:paraId="05C90146" w14:textId="3049E2A2" w:rsidR="00456B58" w:rsidRPr="00FD51E4" w:rsidRDefault="00456B58" w:rsidP="004942CF">
            <w:pPr>
              <w:spacing w:after="240"/>
              <w:jc w:val="both"/>
              <w:rPr>
                <w:rFonts w:ascii="Times New Roman" w:hAnsi="Times New Roman" w:cs="Times New Roman"/>
                <w:b/>
                <w:bCs/>
                <w:noProof/>
                <w:sz w:val="24"/>
                <w:szCs w:val="24"/>
              </w:rPr>
            </w:pPr>
            <w:r>
              <w:rPr>
                <w:rFonts w:ascii="Times New Roman" w:hAnsi="Times New Roman"/>
                <w:b/>
                <w:noProof/>
                <w:sz w:val="24"/>
              </w:rPr>
              <w:t>Actions clés</w:t>
            </w:r>
          </w:p>
          <w:p w14:paraId="0B429C85" w14:textId="73F127D5" w:rsidR="00456B58" w:rsidRPr="00FD51E4" w:rsidRDefault="00456B58" w:rsidP="00500FD3">
            <w:pPr>
              <w:pStyle w:val="NoSpacing"/>
              <w:rPr>
                <w:rFonts w:ascii="Times New Roman" w:hAnsi="Times New Roman" w:cs="Times New Roman"/>
                <w:noProof/>
                <w:sz w:val="24"/>
                <w:szCs w:val="24"/>
              </w:rPr>
            </w:pPr>
            <w:r>
              <w:rPr>
                <w:rFonts w:ascii="Times New Roman" w:hAnsi="Times New Roman"/>
                <w:noProof/>
                <w:sz w:val="24"/>
              </w:rPr>
              <w:t>La Commission entend:</w:t>
            </w:r>
          </w:p>
          <w:p w14:paraId="302C1B9C" w14:textId="1124D8A9" w:rsidR="00B27C8F" w:rsidRPr="00FD51E4" w:rsidRDefault="007D3A65" w:rsidP="00321376">
            <w:pPr>
              <w:pStyle w:val="NoSpacing"/>
              <w:numPr>
                <w:ilvl w:val="0"/>
                <w:numId w:val="18"/>
              </w:numPr>
              <w:jc w:val="both"/>
              <w:rPr>
                <w:rFonts w:ascii="Times New Roman" w:hAnsi="Times New Roman" w:cs="Times New Roman"/>
                <w:noProof/>
                <w:sz w:val="24"/>
                <w:szCs w:val="24"/>
              </w:rPr>
            </w:pPr>
            <w:r>
              <w:rPr>
                <w:rFonts w:ascii="Times New Roman" w:hAnsi="Times New Roman"/>
                <w:noProof/>
                <w:sz w:val="24"/>
              </w:rPr>
              <w:t xml:space="preserve">intensifier le recours à des </w:t>
            </w:r>
            <w:r>
              <w:rPr>
                <w:rFonts w:ascii="Times New Roman" w:hAnsi="Times New Roman"/>
                <w:b/>
                <w:bCs/>
                <w:noProof/>
                <w:sz w:val="24"/>
              </w:rPr>
              <w:t>modalités porteuses de transformation</w:t>
            </w:r>
            <w:r>
              <w:rPr>
                <w:rFonts w:ascii="Times New Roman" w:hAnsi="Times New Roman"/>
                <w:noProof/>
                <w:sz w:val="24"/>
              </w:rPr>
              <w:t xml:space="preserve"> (financement pluriannuel flexible et prévisible, transferts monétaires, large éventail de fonds de financement commun, mesures d’anticipation et soutien aux acteurs locaux) pour constituer </w:t>
            </w:r>
            <w:r>
              <w:rPr>
                <w:rFonts w:ascii="Times New Roman" w:hAnsi="Times New Roman"/>
                <w:b/>
                <w:bCs/>
                <w:noProof/>
                <w:sz w:val="24"/>
              </w:rPr>
              <w:t>au moins les deux tiers de son financement humanitaire</w:t>
            </w:r>
            <w:r>
              <w:rPr>
                <w:rFonts w:ascii="Times New Roman" w:hAnsi="Times New Roman"/>
                <w:noProof/>
                <w:sz w:val="24"/>
              </w:rPr>
              <w:t>;</w:t>
            </w:r>
          </w:p>
          <w:p w14:paraId="3794E8B6" w14:textId="722D75CE" w:rsidR="00456B58" w:rsidRPr="00FD51E4" w:rsidRDefault="007D3A65" w:rsidP="00321376">
            <w:pPr>
              <w:pStyle w:val="ListParagraph"/>
              <w:numPr>
                <w:ilvl w:val="0"/>
                <w:numId w:val="17"/>
              </w:numPr>
              <w:spacing w:after="240"/>
              <w:jc w:val="both"/>
              <w:rPr>
                <w:rFonts w:ascii="Times New Roman" w:hAnsi="Times New Roman" w:cs="Times New Roman"/>
                <w:noProof/>
                <w:sz w:val="24"/>
                <w:szCs w:val="24"/>
              </w:rPr>
            </w:pPr>
            <w:r>
              <w:rPr>
                <w:rFonts w:ascii="Times New Roman" w:hAnsi="Times New Roman"/>
                <w:noProof/>
                <w:sz w:val="24"/>
              </w:rPr>
              <w:t xml:space="preserve">accroître sensiblement la </w:t>
            </w:r>
            <w:r>
              <w:rPr>
                <w:rFonts w:ascii="Times New Roman" w:hAnsi="Times New Roman"/>
                <w:b/>
                <w:bCs/>
                <w:noProof/>
                <w:sz w:val="24"/>
              </w:rPr>
              <w:t>part du financement pluriannuel</w:t>
            </w:r>
            <w:r>
              <w:rPr>
                <w:rFonts w:ascii="Times New Roman" w:hAnsi="Times New Roman"/>
                <w:noProof/>
                <w:sz w:val="24"/>
              </w:rPr>
              <w:t xml:space="preserve"> dans les crises prolongées;</w:t>
            </w:r>
          </w:p>
          <w:p w14:paraId="0105B9ED" w14:textId="7B83A450" w:rsidR="004F147D" w:rsidRPr="00FD51E4" w:rsidRDefault="007D3A65" w:rsidP="00321376">
            <w:pPr>
              <w:pStyle w:val="ListParagraph"/>
              <w:numPr>
                <w:ilvl w:val="0"/>
                <w:numId w:val="17"/>
              </w:numPr>
              <w:spacing w:after="240"/>
              <w:jc w:val="both"/>
              <w:rPr>
                <w:rFonts w:ascii="Times New Roman" w:hAnsi="Times New Roman" w:cs="Times New Roman"/>
                <w:noProof/>
                <w:sz w:val="24"/>
                <w:szCs w:val="24"/>
              </w:rPr>
            </w:pPr>
            <w:r>
              <w:rPr>
                <w:rFonts w:ascii="Times New Roman" w:hAnsi="Times New Roman"/>
                <w:noProof/>
                <w:sz w:val="24"/>
              </w:rPr>
              <w:t>promouvoir une</w:t>
            </w:r>
            <w:r>
              <w:rPr>
                <w:noProof/>
                <w:sz w:val="24"/>
              </w:rPr>
              <w:t xml:space="preserve"> </w:t>
            </w:r>
            <w:r>
              <w:rPr>
                <w:rFonts w:ascii="Times New Roman" w:hAnsi="Times New Roman"/>
                <w:noProof/>
                <w:sz w:val="24"/>
              </w:rPr>
              <w:t xml:space="preserve">approche «Équipe Europe» à l’égard des </w:t>
            </w:r>
            <w:r>
              <w:rPr>
                <w:rFonts w:ascii="Times New Roman" w:hAnsi="Times New Roman"/>
                <w:b/>
                <w:noProof/>
                <w:sz w:val="24"/>
              </w:rPr>
              <w:t>financements groupés par pays</w:t>
            </w:r>
            <w:r>
              <w:rPr>
                <w:rFonts w:ascii="Times New Roman" w:hAnsi="Times New Roman"/>
                <w:noProof/>
                <w:sz w:val="24"/>
              </w:rPr>
              <w:t>, en renforçant la coordination de l’UE au sein des enceintes de gouvernance de ces fonds afin de renforcer l’impact collectif de l’UE;</w:t>
            </w:r>
          </w:p>
          <w:p w14:paraId="66B058AB" w14:textId="2DE3DE24" w:rsidR="00456B58" w:rsidRPr="00FD51E4" w:rsidRDefault="007D3A65" w:rsidP="00321376">
            <w:pPr>
              <w:pStyle w:val="ListParagraph"/>
              <w:numPr>
                <w:ilvl w:val="0"/>
                <w:numId w:val="15"/>
              </w:numPr>
              <w:spacing w:after="240"/>
              <w:jc w:val="both"/>
              <w:rPr>
                <w:rFonts w:ascii="Times New Roman" w:hAnsi="Times New Roman" w:cs="Times New Roman"/>
                <w:noProof/>
                <w:sz w:val="24"/>
                <w:szCs w:val="24"/>
              </w:rPr>
            </w:pPr>
            <w:r>
              <w:rPr>
                <w:rFonts w:ascii="Times New Roman" w:hAnsi="Times New Roman"/>
                <w:noProof/>
                <w:sz w:val="24"/>
              </w:rPr>
              <w:t xml:space="preserve">en collaboration avec les États membres intéressés, mettre en œuvre une </w:t>
            </w:r>
            <w:r>
              <w:rPr>
                <w:rFonts w:ascii="Times New Roman" w:hAnsi="Times New Roman"/>
                <w:b/>
                <w:bCs/>
                <w:noProof/>
                <w:sz w:val="24"/>
              </w:rPr>
              <w:t>approche commune des donateurs en matière de transferts monétaires</w:t>
            </w:r>
            <w:r>
              <w:rPr>
                <w:rFonts w:ascii="Times New Roman" w:hAnsi="Times New Roman"/>
                <w:noProof/>
                <w:sz w:val="24"/>
              </w:rPr>
              <w:t> (</w:t>
            </w:r>
            <w:r>
              <w:rPr>
                <w:rStyle w:val="FootnoteReference"/>
                <w:rFonts w:ascii="Times New Roman" w:hAnsi="Times New Roman"/>
                <w:noProof/>
                <w:sz w:val="24"/>
                <w:szCs w:val="24"/>
                <w:lang w:val="en-GB"/>
              </w:rPr>
              <w:footnoteReference w:id="36"/>
            </w:r>
            <w:r>
              <w:rPr>
                <w:rFonts w:ascii="Times New Roman" w:hAnsi="Times New Roman"/>
                <w:noProof/>
                <w:sz w:val="24"/>
              </w:rPr>
              <w:t>) et plaider davantage pour que l’aide en espèces devienne le mode d’exécution par défaut de l’action humanitaire;</w:t>
            </w:r>
          </w:p>
          <w:p w14:paraId="16468E10" w14:textId="19CDD15D" w:rsidR="00456B58" w:rsidRPr="00970492" w:rsidRDefault="007D3A65" w:rsidP="00321376">
            <w:pPr>
              <w:pStyle w:val="ListParagraph"/>
              <w:numPr>
                <w:ilvl w:val="0"/>
                <w:numId w:val="15"/>
              </w:numPr>
              <w:spacing w:after="240"/>
              <w:jc w:val="both"/>
              <w:rPr>
                <w:rFonts w:ascii="Times New Roman" w:hAnsi="Times New Roman" w:cs="Times New Roman"/>
                <w:noProof/>
                <w:sz w:val="24"/>
                <w:szCs w:val="24"/>
              </w:rPr>
            </w:pPr>
            <w:r>
              <w:rPr>
                <w:rFonts w:ascii="Times New Roman" w:hAnsi="Times New Roman"/>
                <w:noProof/>
                <w:sz w:val="24"/>
              </w:rPr>
              <w:t>simplifier davantage l’</w:t>
            </w:r>
            <w:r>
              <w:rPr>
                <w:rFonts w:ascii="Times New Roman" w:hAnsi="Times New Roman"/>
                <w:b/>
                <w:bCs/>
                <w:noProof/>
                <w:sz w:val="24"/>
              </w:rPr>
              <w:t>architecture de la gestion des subventions</w:t>
            </w:r>
            <w:r>
              <w:rPr>
                <w:rFonts w:ascii="Times New Roman" w:hAnsi="Times New Roman"/>
                <w:noProof/>
                <w:sz w:val="24"/>
              </w:rPr>
              <w:t>.</w:t>
            </w:r>
          </w:p>
        </w:tc>
      </w:tr>
    </w:tbl>
    <w:p w14:paraId="32F5C206" w14:textId="77777777" w:rsidR="00456B58" w:rsidRPr="00155184" w:rsidRDefault="00456B58" w:rsidP="00456B58">
      <w:pPr>
        <w:spacing w:line="240" w:lineRule="auto"/>
        <w:jc w:val="both"/>
        <w:rPr>
          <w:rFonts w:ascii="Times New Roman" w:hAnsi="Times New Roman" w:cs="Times New Roman"/>
          <w:noProof/>
          <w:lang w:val="fr-BE"/>
        </w:rPr>
      </w:pPr>
    </w:p>
    <w:p w14:paraId="19212172" w14:textId="77777777" w:rsidR="00456B58" w:rsidRPr="00970492" w:rsidRDefault="00456B58" w:rsidP="00456B58">
      <w:pPr>
        <w:spacing w:line="240" w:lineRule="auto"/>
        <w:jc w:val="both"/>
        <w:rPr>
          <w:rFonts w:ascii="Times New Roman" w:hAnsi="Times New Roman" w:cs="Times New Roman"/>
          <w:b/>
          <w:bCs/>
          <w:i/>
          <w:iCs/>
          <w:noProof/>
        </w:rPr>
      </w:pPr>
      <w:r>
        <w:rPr>
          <w:rFonts w:ascii="Times New Roman" w:hAnsi="Times New Roman"/>
          <w:b/>
          <w:i/>
          <w:noProof/>
        </w:rPr>
        <w:t>2.3. Fonder l’acheminement de l’aide humanitaire sur des principes au travers d’initiatives collaboratives en matière de données</w:t>
      </w:r>
    </w:p>
    <w:p w14:paraId="270CCDE9" w14:textId="0747A6C7" w:rsidR="00456B58" w:rsidRPr="00970492" w:rsidRDefault="00AC7A15" w:rsidP="00456B58">
      <w:pPr>
        <w:spacing w:line="240" w:lineRule="auto"/>
        <w:jc w:val="both"/>
        <w:rPr>
          <w:rFonts w:ascii="Times New Roman" w:hAnsi="Times New Roman" w:cs="Times New Roman"/>
          <w:noProof/>
        </w:rPr>
      </w:pPr>
      <w:r>
        <w:rPr>
          <w:rFonts w:ascii="Times New Roman" w:hAnsi="Times New Roman"/>
          <w:noProof/>
        </w:rPr>
        <w:t xml:space="preserve">Les </w:t>
      </w:r>
      <w:r>
        <w:rPr>
          <w:rFonts w:ascii="Times New Roman" w:hAnsi="Times New Roman"/>
          <w:b/>
          <w:bCs/>
          <w:noProof/>
        </w:rPr>
        <w:t>services collectifs qui permettent l’acheminement de l’aide humanitaire</w:t>
      </w:r>
      <w:r>
        <w:rPr>
          <w:rFonts w:ascii="Times New Roman" w:hAnsi="Times New Roman"/>
          <w:noProof/>
        </w:rPr>
        <w:t xml:space="preserve"> sont essentiels pour garantir une aide efficace, coordonnée et de qualité, fondée sur des données probantes. L’UE soutient traditionnellement les nombreuses initiatives systémiques qui font avancer les travaux en la matière, à l’image des outils INFORM (</w:t>
      </w:r>
      <w:r>
        <w:rPr>
          <w:rStyle w:val="FootnoteReference"/>
          <w:rFonts w:ascii="Times New Roman" w:hAnsi="Times New Roman" w:cs="Times New Roman"/>
          <w:noProof/>
          <w:lang w:val="en-GB"/>
        </w:rPr>
        <w:footnoteReference w:id="37"/>
      </w:r>
      <w:r>
        <w:rPr>
          <w:rFonts w:ascii="Times New Roman" w:hAnsi="Times New Roman"/>
          <w:noProof/>
        </w:rPr>
        <w:t>). Face aux coupes drastiques qui ont ébranlé la capacité de ces services à continuer de fonctionner, l’UE a augmenté ses investissements de 50 % dans ce domaine en 2025, pour atteindre un total de 150 millions d’euros. Elle restera déterminée à financer les services de soutien, y compris les données et les éléments de preuve, la sécurité et l’accès (</w:t>
      </w:r>
      <w:r>
        <w:rPr>
          <w:rStyle w:val="FootnoteReference"/>
          <w:rFonts w:ascii="Times New Roman" w:hAnsi="Times New Roman" w:cs="Times New Roman"/>
          <w:noProof/>
          <w:lang w:val="en-GB"/>
        </w:rPr>
        <w:footnoteReference w:id="38"/>
      </w:r>
      <w:r>
        <w:rPr>
          <w:rFonts w:ascii="Times New Roman" w:hAnsi="Times New Roman"/>
          <w:noProof/>
        </w:rPr>
        <w:t>), la logistique et la coordination.</w:t>
      </w:r>
    </w:p>
    <w:p w14:paraId="31441FAA" w14:textId="202E74EB"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La </w:t>
      </w:r>
      <w:r>
        <w:rPr>
          <w:rFonts w:ascii="Times New Roman" w:hAnsi="Times New Roman"/>
          <w:b/>
          <w:bCs/>
          <w:noProof/>
        </w:rPr>
        <w:t>fiabilité des données</w:t>
      </w:r>
      <w:r>
        <w:rPr>
          <w:rFonts w:ascii="Times New Roman" w:hAnsi="Times New Roman"/>
          <w:noProof/>
        </w:rPr>
        <w:t xml:space="preserve"> constitue la pierre angulaire de toute intervention humanitaire, car elle contribue à déterminer les besoins et leur gravité et à mesurer l’incidence de l’aide. Le système actuel de collecte et d’analyse des données a été mis au point par une multitude d’acteurs différents, ce qui rend le paysage des données complexe et difficile à appréhender. Il est nécessaire d’améliorer la ventilation (par sexe, âge et handicap), la couverture, la fiabilité et la comparabilité des données, pour en faire une source ouverte par défaut. En investissant dans la qualité et l’interopérabilité des données et en renforçant les outils d’analyse et de communication d’informations, notamment en exploitant de manière déontologique l’IA, ainsi que les outils de modélisation et d’observation de la Terre (y compris les services par satellites comme le programme Copernicus), l’UE améliorera son processus de prise de décision fondé sur des données probantes et permettra d’apporter des réponses plus rapides, mieux coordonnées et plus efficaces en cas de crise.</w:t>
      </w:r>
    </w:p>
    <w:p w14:paraId="1D7F8331" w14:textId="66E9DCE0" w:rsidR="00456B58" w:rsidRPr="00970492" w:rsidRDefault="113977F8" w:rsidP="00456B58">
      <w:pPr>
        <w:spacing w:line="240" w:lineRule="auto"/>
        <w:jc w:val="both"/>
        <w:rPr>
          <w:rFonts w:ascii="Times New Roman" w:hAnsi="Times New Roman" w:cs="Times New Roman"/>
          <w:noProof/>
        </w:rPr>
      </w:pPr>
      <w:r>
        <w:rPr>
          <w:rFonts w:ascii="Times New Roman" w:hAnsi="Times New Roman"/>
          <w:noProof/>
        </w:rPr>
        <w:t>Il est essentiel que les organisations humanitaires puissent partager de manière sûre et responsable les données sur les personnes bénéficiant d’une aide et sur la disponibilité des services. Un tel partage a déjà permis de réaliser d’importantes économies (</w:t>
      </w:r>
      <w:r>
        <w:rPr>
          <w:rStyle w:val="FootnoteReference"/>
          <w:rFonts w:ascii="Times New Roman" w:hAnsi="Times New Roman" w:cs="Times New Roman"/>
          <w:noProof/>
          <w:lang w:val="en-GB"/>
        </w:rPr>
        <w:footnoteReference w:id="39"/>
      </w:r>
      <w:r>
        <w:rPr>
          <w:rFonts w:ascii="Times New Roman" w:hAnsi="Times New Roman"/>
          <w:noProof/>
        </w:rPr>
        <w:t>) en évitant la duplication de l’aide et les lacunes en matière de réaction. Les accords de partage de données entre les organisations restent toutefois difficiles à conclure et lorsqu’il en existe au niveau mondial, il est fréquent qu’ils ne soient pas mis en œuvre sur le terrain.</w:t>
      </w:r>
    </w:p>
    <w:p w14:paraId="3FD8BEC0" w14:textId="084FC9FA"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L’UE soutient la technologie à code source ouvert, ainsi que les systèmes fédérés et la gouvernance décentralisée. Ces dernières années, elle a appuyé plusieurs projets pilotes sur le partage sécurisé de données au moyen de technologies vérifiées. Elle s’attachera à promouvoir cette tendance en insistant sur la sécurité du partage des données, qui permet d’apporter une réponse humanitaire plus transparente et plus cohérente.</w:t>
      </w:r>
    </w:p>
    <w:tbl>
      <w:tblPr>
        <w:tblStyle w:val="TableGrid"/>
        <w:tblW w:w="0" w:type="auto"/>
        <w:tblLook w:val="04A0" w:firstRow="1" w:lastRow="0" w:firstColumn="1" w:lastColumn="0" w:noHBand="0" w:noVBand="1"/>
      </w:tblPr>
      <w:tblGrid>
        <w:gridCol w:w="9062"/>
      </w:tblGrid>
      <w:tr w:rsidR="00456B58" w:rsidRPr="00970492" w14:paraId="542F1928" w14:textId="77777777" w:rsidTr="004942CF">
        <w:tc>
          <w:tcPr>
            <w:tcW w:w="9288" w:type="dxa"/>
            <w:shd w:val="clear" w:color="auto" w:fill="F2F2F2" w:themeFill="background1" w:themeFillShade="F2"/>
          </w:tcPr>
          <w:p w14:paraId="791A9E51" w14:textId="7254F81D" w:rsidR="00456B58" w:rsidRPr="00FD51E4" w:rsidRDefault="00456B58" w:rsidP="004942CF">
            <w:pPr>
              <w:jc w:val="both"/>
              <w:rPr>
                <w:rFonts w:ascii="Times New Roman" w:hAnsi="Times New Roman" w:cs="Times New Roman"/>
                <w:b/>
                <w:bCs/>
                <w:noProof/>
                <w:sz w:val="24"/>
                <w:szCs w:val="24"/>
              </w:rPr>
            </w:pPr>
            <w:r>
              <w:rPr>
                <w:rFonts w:ascii="Times New Roman" w:hAnsi="Times New Roman"/>
                <w:b/>
                <w:noProof/>
                <w:sz w:val="24"/>
              </w:rPr>
              <w:t>Actions clés</w:t>
            </w:r>
          </w:p>
          <w:p w14:paraId="0D389013" w14:textId="77777777" w:rsidR="00456B58" w:rsidRPr="00155184" w:rsidRDefault="00456B58" w:rsidP="00500FD3">
            <w:pPr>
              <w:pStyle w:val="NoSpacing"/>
              <w:rPr>
                <w:rFonts w:ascii="Times New Roman" w:hAnsi="Times New Roman" w:cs="Times New Roman"/>
                <w:noProof/>
                <w:sz w:val="24"/>
                <w:szCs w:val="24"/>
                <w:lang w:val="fr-BE"/>
              </w:rPr>
            </w:pPr>
          </w:p>
          <w:p w14:paraId="4DFBEC1D" w14:textId="4C5982F4" w:rsidR="00456B58" w:rsidRPr="00FD51E4" w:rsidRDefault="00456B58" w:rsidP="00500FD3">
            <w:pPr>
              <w:pStyle w:val="NoSpacing"/>
              <w:rPr>
                <w:rFonts w:ascii="Times New Roman" w:hAnsi="Times New Roman" w:cs="Times New Roman"/>
                <w:noProof/>
                <w:sz w:val="24"/>
                <w:szCs w:val="24"/>
                <w:u w:val="single"/>
              </w:rPr>
            </w:pPr>
            <w:r>
              <w:rPr>
                <w:rFonts w:ascii="Times New Roman" w:hAnsi="Times New Roman"/>
                <w:noProof/>
                <w:sz w:val="24"/>
              </w:rPr>
              <w:t>La Commission entend:</w:t>
            </w:r>
          </w:p>
          <w:p w14:paraId="549DEBC0" w14:textId="5152770F" w:rsidR="00456B58" w:rsidRPr="00FD51E4" w:rsidRDefault="007D3A65" w:rsidP="00321376">
            <w:pPr>
              <w:pStyle w:val="NoSpacing"/>
              <w:numPr>
                <w:ilvl w:val="0"/>
                <w:numId w:val="20"/>
              </w:numPr>
              <w:jc w:val="both"/>
              <w:rPr>
                <w:rFonts w:ascii="Times New Roman" w:hAnsi="Times New Roman" w:cs="Times New Roman"/>
                <w:noProof/>
                <w:sz w:val="24"/>
                <w:szCs w:val="24"/>
                <w:u w:val="single"/>
              </w:rPr>
            </w:pPr>
            <w:r>
              <w:rPr>
                <w:rFonts w:ascii="Times New Roman" w:hAnsi="Times New Roman"/>
                <w:noProof/>
                <w:sz w:val="24"/>
              </w:rPr>
              <w:t xml:space="preserve">élaborer un nouveau </w:t>
            </w:r>
            <w:r>
              <w:rPr>
                <w:rFonts w:ascii="Times New Roman" w:hAnsi="Times New Roman"/>
                <w:b/>
                <w:bCs/>
                <w:noProof/>
                <w:sz w:val="24"/>
              </w:rPr>
              <w:t>programme global d’évaluation des besoins multisectoriels</w:t>
            </w:r>
            <w:r>
              <w:rPr>
                <w:rFonts w:ascii="Times New Roman" w:hAnsi="Times New Roman"/>
                <w:noProof/>
                <w:sz w:val="24"/>
              </w:rPr>
              <w:t xml:space="preserve">, qui favorise une coopération plus étroite entre les acteurs et réduise la fragmentation de l’aide. Ce programme permettra de rendre les données essentielles sur les besoins des personnes </w:t>
            </w:r>
            <w:r>
              <w:rPr>
                <w:rFonts w:ascii="Times New Roman" w:hAnsi="Times New Roman"/>
                <w:b/>
                <w:bCs/>
                <w:noProof/>
                <w:sz w:val="24"/>
              </w:rPr>
              <w:t>comparables</w:t>
            </w:r>
            <w:r>
              <w:rPr>
                <w:rFonts w:ascii="Times New Roman" w:hAnsi="Times New Roman"/>
                <w:noProof/>
                <w:sz w:val="24"/>
              </w:rPr>
              <w:t xml:space="preserve"> quel que soit le contexte, </w:t>
            </w:r>
            <w:r>
              <w:rPr>
                <w:rFonts w:ascii="Times New Roman" w:hAnsi="Times New Roman"/>
                <w:b/>
                <w:noProof/>
                <w:sz w:val="24"/>
              </w:rPr>
              <w:t>inclusives</w:t>
            </w:r>
            <w:r>
              <w:rPr>
                <w:rFonts w:ascii="Times New Roman" w:hAnsi="Times New Roman"/>
                <w:noProof/>
                <w:sz w:val="24"/>
              </w:rPr>
              <w:t xml:space="preserve"> et </w:t>
            </w:r>
            <w:r>
              <w:rPr>
                <w:rFonts w:ascii="Times New Roman" w:hAnsi="Times New Roman"/>
                <w:b/>
                <w:noProof/>
                <w:sz w:val="24"/>
              </w:rPr>
              <w:t>accessibles à tous</w:t>
            </w:r>
            <w:r>
              <w:rPr>
                <w:rFonts w:ascii="Times New Roman" w:hAnsi="Times New Roman"/>
                <w:noProof/>
                <w:sz w:val="24"/>
              </w:rPr>
              <w:t>;</w:t>
            </w:r>
          </w:p>
          <w:p w14:paraId="496A0F13" w14:textId="32DE814E" w:rsidR="00456B58" w:rsidRPr="00FD51E4" w:rsidRDefault="007D3A65" w:rsidP="00321376">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demander l’application d’</w:t>
            </w:r>
            <w:r>
              <w:rPr>
                <w:rFonts w:ascii="Times New Roman" w:hAnsi="Times New Roman"/>
                <w:b/>
                <w:bCs/>
                <w:noProof/>
                <w:sz w:val="24"/>
              </w:rPr>
              <w:t>accords de partage sécurisé des données</w:t>
            </w:r>
            <w:r>
              <w:rPr>
                <w:rFonts w:ascii="Times New Roman" w:hAnsi="Times New Roman"/>
                <w:noProof/>
                <w:sz w:val="24"/>
              </w:rPr>
              <w:t xml:space="preserve"> entre les partenaires afin de réduire les doublons et d’accroître l’efficacité de la réponse humanitaire. La sécurité du partage des données entre les organisations fera partie intégrante des conditions de financement;</w:t>
            </w:r>
          </w:p>
          <w:p w14:paraId="04D11C14" w14:textId="0A5BF2B1" w:rsidR="00456B58" w:rsidRPr="00FD51E4" w:rsidRDefault="007D3A65" w:rsidP="00321376">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renforcer le recours par le secteur humanitaire à </w:t>
            </w:r>
            <w:r>
              <w:rPr>
                <w:rFonts w:ascii="Times New Roman" w:hAnsi="Times New Roman"/>
                <w:b/>
                <w:bCs/>
                <w:noProof/>
                <w:sz w:val="24"/>
              </w:rPr>
              <w:t>Copernicus et INFORM</w:t>
            </w:r>
            <w:r>
              <w:rPr>
                <w:rFonts w:ascii="Times New Roman" w:hAnsi="Times New Roman"/>
                <w:noProof/>
                <w:sz w:val="24"/>
              </w:rPr>
              <w:t xml:space="preserve"> pour orienter les actions humanitaires; </w:t>
            </w:r>
          </w:p>
          <w:p w14:paraId="652EEC60" w14:textId="047A1638" w:rsidR="00456B58" w:rsidRPr="00970492" w:rsidRDefault="007D3A65" w:rsidP="00321376">
            <w:pPr>
              <w:pStyle w:val="ListParagraph"/>
              <w:numPr>
                <w:ilvl w:val="0"/>
                <w:numId w:val="10"/>
              </w:numPr>
              <w:spacing w:after="240"/>
              <w:jc w:val="both"/>
              <w:rPr>
                <w:rFonts w:ascii="Times New Roman" w:hAnsi="Times New Roman" w:cs="Times New Roman"/>
                <w:noProof/>
                <w:sz w:val="24"/>
                <w:szCs w:val="24"/>
              </w:rPr>
            </w:pPr>
            <w:r>
              <w:rPr>
                <w:rFonts w:ascii="Times New Roman" w:hAnsi="Times New Roman"/>
                <w:noProof/>
                <w:sz w:val="24"/>
              </w:rPr>
              <w:t xml:space="preserve">continuer à promouvoir des </w:t>
            </w:r>
            <w:r>
              <w:rPr>
                <w:rFonts w:ascii="Times New Roman" w:hAnsi="Times New Roman"/>
                <w:b/>
                <w:bCs/>
                <w:noProof/>
                <w:sz w:val="24"/>
              </w:rPr>
              <w:t>systèmes numériques interopérables</w:t>
            </w:r>
            <w:r>
              <w:rPr>
                <w:rFonts w:ascii="Times New Roman" w:hAnsi="Times New Roman"/>
                <w:noProof/>
                <w:sz w:val="24"/>
              </w:rPr>
              <w:t xml:space="preserve"> et des normes communes en matière de données tout au long du cycle de vie du financement humanitaire afin d’en réduire la fragmentation et d’en améliorer la traçabilité.</w:t>
            </w:r>
          </w:p>
        </w:tc>
      </w:tr>
    </w:tbl>
    <w:p w14:paraId="44F70A37" w14:textId="2E852AD6" w:rsidR="00456B58" w:rsidRPr="00155184" w:rsidRDefault="00456B58" w:rsidP="00456B58">
      <w:pPr>
        <w:spacing w:line="240" w:lineRule="auto"/>
        <w:rPr>
          <w:rFonts w:ascii="Times New Roman" w:hAnsi="Times New Roman" w:cs="Times New Roman"/>
          <w:noProof/>
          <w:lang w:val="fr-BE"/>
        </w:rPr>
      </w:pPr>
    </w:p>
    <w:p w14:paraId="544FB6F9" w14:textId="02FC8107" w:rsidR="00456B58" w:rsidRPr="0041300A" w:rsidRDefault="00456B58" w:rsidP="0041300A">
      <w:pPr>
        <w:pStyle w:val="ListParagraph"/>
        <w:numPr>
          <w:ilvl w:val="0"/>
          <w:numId w:val="13"/>
        </w:numPr>
        <w:spacing w:line="240" w:lineRule="auto"/>
        <w:jc w:val="both"/>
        <w:rPr>
          <w:rFonts w:ascii="Times New Roman" w:hAnsi="Times New Roman" w:cs="Times New Roman"/>
          <w:b/>
          <w:bCs/>
          <w:noProof/>
        </w:rPr>
      </w:pPr>
      <w:r>
        <w:rPr>
          <w:rFonts w:ascii="Times New Roman" w:hAnsi="Times New Roman"/>
          <w:b/>
          <w:noProof/>
        </w:rPr>
        <w:t>Travailler en partenariat: valoriser les alliances pour soutenir les personnes dans le besoin</w:t>
      </w:r>
    </w:p>
    <w:p w14:paraId="112B43E1" w14:textId="6C12F4B1"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Les acteurs humanitaires ne peuvent, à eux seuls, faire face à l’ampleur de la crise que traverse actuellement le système humanitaire. Il importe de mobiliser toute la panoplie des actions menées dans le cadre de l’articulation entre action humanitaire, développement et recherche de la paix, et d’approfondir les alliances stratégiques avec un vaste éventail d’acteurs afin d’infléchir la courbe ascendante des besoins humanitaires et de faire face aux crises de manière durable. La Commission s’attachera à approfondir ces liens par des travaux conjoints sur la lutte contre la fragilité et sur le renforcement de la résilience, ainsi que par une collaboration plus étroite avec un ensemble plus large de partenaires, parmi lesquels des acteurs du secteur privé. Il est également impératif de renforcer les effets qu’une approche «Équipe Europe» peut produire dans ce domaine.</w:t>
      </w:r>
    </w:p>
    <w:p w14:paraId="43D7C4E9" w14:textId="3B461D36" w:rsidR="00456B58" w:rsidRPr="00970492" w:rsidRDefault="599C263D" w:rsidP="61C30E87">
      <w:pPr>
        <w:spacing w:line="240" w:lineRule="auto"/>
        <w:jc w:val="both"/>
        <w:rPr>
          <w:rFonts w:ascii="Times New Roman" w:hAnsi="Times New Roman" w:cs="Times New Roman"/>
          <w:b/>
          <w:bCs/>
          <w:i/>
          <w:iCs/>
          <w:noProof/>
        </w:rPr>
      </w:pPr>
      <w:r>
        <w:rPr>
          <w:rFonts w:ascii="Times New Roman" w:hAnsi="Times New Roman"/>
          <w:b/>
          <w:i/>
          <w:noProof/>
        </w:rPr>
        <w:t xml:space="preserve">3.1. Pour une approche intégrée de la fragilité </w:t>
      </w:r>
    </w:p>
    <w:p w14:paraId="2A9229BD" w14:textId="24CAAE13" w:rsidR="00B46114" w:rsidRPr="00970492" w:rsidRDefault="4827DAB3" w:rsidP="00EC7FE0">
      <w:pPr>
        <w:spacing w:after="200" w:line="240" w:lineRule="auto"/>
        <w:jc w:val="both"/>
        <w:rPr>
          <w:rFonts w:ascii="Times New Roman" w:eastAsia="Times New Roman" w:hAnsi="Times New Roman" w:cs="Times New Roman"/>
          <w:noProof/>
        </w:rPr>
      </w:pPr>
      <w:r>
        <w:rPr>
          <w:rFonts w:ascii="Times New Roman" w:hAnsi="Times New Roman"/>
          <w:noProof/>
        </w:rPr>
        <w:t xml:space="preserve">La </w:t>
      </w:r>
      <w:r>
        <w:rPr>
          <w:rFonts w:ascii="Times New Roman" w:hAnsi="Times New Roman"/>
          <w:b/>
          <w:bCs/>
          <w:noProof/>
        </w:rPr>
        <w:t>fragilité</w:t>
      </w:r>
      <w:r>
        <w:rPr>
          <w:rFonts w:ascii="Times New Roman" w:hAnsi="Times New Roman"/>
          <w:noProof/>
        </w:rPr>
        <w:t> (</w:t>
      </w:r>
      <w:r>
        <w:rPr>
          <w:rStyle w:val="FootnoteReference"/>
          <w:rFonts w:ascii="Times New Roman" w:hAnsi="Times New Roman" w:cs="Times New Roman"/>
          <w:i/>
          <w:iCs/>
          <w:noProof/>
          <w:lang w:val="en-GB"/>
        </w:rPr>
        <w:footnoteReference w:id="40"/>
      </w:r>
      <w:r>
        <w:rPr>
          <w:rFonts w:ascii="Times New Roman" w:hAnsi="Times New Roman"/>
          <w:noProof/>
        </w:rPr>
        <w:t xml:space="preserve">) </w:t>
      </w:r>
      <w:r>
        <w:rPr>
          <w:rFonts w:ascii="Times New Roman" w:hAnsi="Times New Roman"/>
          <w:b/>
          <w:bCs/>
          <w:noProof/>
        </w:rPr>
        <w:t>ne cesse de gagner du terrain</w:t>
      </w:r>
      <w:r>
        <w:rPr>
          <w:rFonts w:ascii="Times New Roman" w:hAnsi="Times New Roman"/>
          <w:noProof/>
        </w:rPr>
        <w:t xml:space="preserve"> dans le monde, ce qui alimente l’insécurité et perturbe les progrès réalisés en matière de développement à l’échelle planétaire, avec des répercussions possibles sur la sécurité et la prospérité de l’UE. Dans les régions clés, la fragilité est susceptible d’être instrumentalisée par des acteurs hostiles à des fins géopolitiques. Ne pas appréhender les contextes fragiles de manière globale, c’est prendre le risque de porter davantage atteinte aux normes mondiales, y compris aux droits de l’homme et au droit international humanitaire. De plus, la fragilité menace la paix, la sécurité et la stabilité au niveau international, elle se répercute sur les moyens de subsistance et l’accès aux services de base, </w:t>
      </w:r>
      <w:bookmarkStart w:id="6" w:name="_Hlk230010511"/>
      <w:r>
        <w:rPr>
          <w:rFonts w:ascii="Times New Roman" w:hAnsi="Times New Roman"/>
          <w:noProof/>
        </w:rPr>
        <w:t>elle exacerbe les vulnérabilités existantes aux répercussions du changement climatique et de la dégradation de l’environnement</w:t>
      </w:r>
      <w:bookmarkEnd w:id="6"/>
      <w:r>
        <w:rPr>
          <w:rFonts w:ascii="Times New Roman" w:hAnsi="Times New Roman"/>
          <w:noProof/>
        </w:rPr>
        <w:t>, elle perturbe les marchés, les chaînes d’approvisionnement et la sécurité économique, et elle accroît les difficultés liées aux déplacements de population et à la migration.</w:t>
      </w:r>
    </w:p>
    <w:p w14:paraId="50519C66" w14:textId="12AB8258" w:rsidR="00C67420" w:rsidRPr="00F668AB" w:rsidRDefault="4827DAB3" w:rsidP="00C67420">
      <w:pPr>
        <w:spacing w:after="120" w:line="240" w:lineRule="auto"/>
        <w:jc w:val="both"/>
        <w:rPr>
          <w:rFonts w:ascii="Times New Roman" w:eastAsia="Times New Roman" w:hAnsi="Times New Roman" w:cs="Times New Roman"/>
          <w:noProof/>
        </w:rPr>
      </w:pPr>
      <w:r>
        <w:rPr>
          <w:rFonts w:ascii="Times New Roman" w:hAnsi="Times New Roman"/>
          <w:b/>
          <w:bCs/>
          <w:noProof/>
        </w:rPr>
        <w:t>S’attaquer aux causes profondes de la fragilité</w:t>
      </w:r>
      <w:r>
        <w:rPr>
          <w:rFonts w:ascii="Times New Roman" w:hAnsi="Times New Roman"/>
          <w:noProof/>
        </w:rPr>
        <w:t xml:space="preserve"> est donc à la fois un acte de solidarité et une urgence, doublée d’une nécessité stratégique, pour l’UE comme pour la communauté internationale. Dans ces contextes de fragilité, les </w:t>
      </w:r>
      <w:r>
        <w:rPr>
          <w:rFonts w:ascii="Times New Roman" w:hAnsi="Times New Roman"/>
          <w:b/>
          <w:bCs/>
          <w:noProof/>
        </w:rPr>
        <w:t>objectifs de l’UE</w:t>
      </w:r>
      <w:r>
        <w:rPr>
          <w:rFonts w:ascii="Times New Roman" w:hAnsi="Times New Roman"/>
          <w:noProof/>
        </w:rPr>
        <w:t xml:space="preserve"> consistent notamment à atténuer la souffrance humaine, à remédier aux causes de la fragilité afin de mettre un terme à la pauvreté, à la dépendance à l’égard de l’aide, à la vulnérabilité liée au climat, et à soutenir le développement durable. L’UE s’attache également à promouvoir les droits de l’homme, la démocratie et l’état de droit, mais aussi l’égalité entre les sexes, l’inclusion, l’autonomisation des jeunes ainsi qu’un environnement propice à la société civile.</w:t>
      </w:r>
    </w:p>
    <w:p w14:paraId="2D224693" w14:textId="0E84E36D" w:rsidR="00FA6BF1" w:rsidRPr="00377263" w:rsidRDefault="001D2E5B" w:rsidP="00EC7FE0">
      <w:pPr>
        <w:spacing w:after="200" w:line="240" w:lineRule="auto"/>
        <w:jc w:val="both"/>
        <w:rPr>
          <w:rFonts w:ascii="Times New Roman" w:eastAsia="Times New Roman" w:hAnsi="Times New Roman" w:cs="Times New Roman"/>
          <w:noProof/>
        </w:rPr>
      </w:pPr>
      <w:r>
        <w:rPr>
          <w:rFonts w:ascii="Times New Roman" w:hAnsi="Times New Roman"/>
          <w:noProof/>
        </w:rPr>
        <w:t xml:space="preserve">Mener des </w:t>
      </w:r>
      <w:r>
        <w:rPr>
          <w:rFonts w:ascii="Times New Roman" w:hAnsi="Times New Roman"/>
          <w:b/>
          <w:bCs/>
          <w:noProof/>
        </w:rPr>
        <w:t>interventions stratégiques sur le long terme</w:t>
      </w:r>
      <w:r>
        <w:rPr>
          <w:rFonts w:ascii="Times New Roman" w:hAnsi="Times New Roman"/>
          <w:noProof/>
        </w:rPr>
        <w:t xml:space="preserve"> est primordial dans les situations de fragilité afin de renforcer la résilience, d’anticiper les crises et les catastrophes, de prévenir les conflits et de favoriser une paix, une stabilité et une sécurité durables. </w:t>
      </w:r>
    </w:p>
    <w:p w14:paraId="6B14989F" w14:textId="084B758A" w:rsidR="4827DAB3" w:rsidRPr="00970492" w:rsidRDefault="4827DAB3" w:rsidP="00EC7FE0">
      <w:pPr>
        <w:spacing w:after="200" w:line="240" w:lineRule="auto"/>
        <w:jc w:val="both"/>
        <w:rPr>
          <w:rFonts w:ascii="Times New Roman" w:eastAsia="Times New Roman" w:hAnsi="Times New Roman" w:cs="Times New Roman"/>
          <w:noProof/>
        </w:rPr>
      </w:pPr>
      <w:r>
        <w:rPr>
          <w:rFonts w:ascii="Times New Roman" w:hAnsi="Times New Roman"/>
          <w:noProof/>
        </w:rPr>
        <w:t xml:space="preserve">Présents depuis des décennies dans les contextes fragiles, l’UE et ses États membres sont particulièrement bien placés pour tirer pleinement parti de la panoplie complète d’outils dont ils disposent pour </w:t>
      </w:r>
      <w:r>
        <w:rPr>
          <w:rFonts w:ascii="Times New Roman" w:hAnsi="Times New Roman"/>
          <w:b/>
          <w:bCs/>
          <w:noProof/>
        </w:rPr>
        <w:t>œuvrer en faveur de la paix, de la stabilité et de la résilience</w:t>
      </w:r>
      <w:r>
        <w:rPr>
          <w:rFonts w:ascii="Times New Roman" w:hAnsi="Times New Roman"/>
          <w:noProof/>
        </w:rPr>
        <w:t>. L’UE contribue à soutenir les structures de gouvernance et la croissance économique des États et les aide à atteindre les objectifs de développement durable (ODD).</w:t>
      </w:r>
    </w:p>
    <w:p w14:paraId="00B25FA9" w14:textId="1909CCE4" w:rsidR="4827DAB3" w:rsidRPr="000035B1" w:rsidRDefault="4827DAB3" w:rsidP="004E59C8">
      <w:pPr>
        <w:spacing w:after="120" w:line="240" w:lineRule="auto"/>
        <w:jc w:val="both"/>
        <w:rPr>
          <w:rFonts w:ascii="Times New Roman" w:hAnsi="Times New Roman" w:cs="Times New Roman"/>
          <w:noProof/>
        </w:rPr>
      </w:pPr>
      <w:r>
        <w:rPr>
          <w:rFonts w:ascii="Times New Roman" w:hAnsi="Times New Roman"/>
          <w:noProof/>
        </w:rPr>
        <w:t xml:space="preserve">Dans le même temps, pour faire face efficacement </w:t>
      </w:r>
      <w:r>
        <w:rPr>
          <w:rFonts w:ascii="Times New Roman" w:hAnsi="Times New Roman"/>
          <w:b/>
          <w:bCs/>
          <w:noProof/>
        </w:rPr>
        <w:t>à l’évolution des réalités géopolitiques et aux défis pluridimensionnels de la fragilité</w:t>
      </w:r>
      <w:r>
        <w:rPr>
          <w:rFonts w:ascii="Times New Roman" w:hAnsi="Times New Roman"/>
          <w:noProof/>
        </w:rPr>
        <w:t>, l’UE doit recalibrer ses interventions et optimiser ses stratégies afin de rester un partenaire fiable, tout en soutenant les personnes les plus démunies et en obtenant de meilleurs résultats. La présente communication conjointe s’appuie donc sur les outils existants pour définir l’</w:t>
      </w:r>
      <w:r>
        <w:rPr>
          <w:rFonts w:ascii="Times New Roman" w:hAnsi="Times New Roman"/>
          <w:b/>
          <w:bCs/>
          <w:noProof/>
        </w:rPr>
        <w:t>approche intégrée de l’UE à l’égard de la fragilité</w:t>
      </w:r>
      <w:r>
        <w:rPr>
          <w:rFonts w:ascii="Times New Roman" w:hAnsi="Times New Roman"/>
          <w:noProof/>
        </w:rPr>
        <w:t xml:space="preserve"> – un cadre stratégique destiné à renforcer la mobilisation de l’UE dans les contextes de fragilité. Elle est guidée par les </w:t>
      </w:r>
      <w:r>
        <w:rPr>
          <w:rFonts w:ascii="Times New Roman" w:hAnsi="Times New Roman"/>
          <w:b/>
          <w:bCs/>
          <w:noProof/>
        </w:rPr>
        <w:t>principes et priorités suivants</w:t>
      </w:r>
      <w:r>
        <w:rPr>
          <w:rFonts w:ascii="Times New Roman" w:hAnsi="Times New Roman"/>
          <w:noProof/>
        </w:rPr>
        <w:t>:</w:t>
      </w:r>
    </w:p>
    <w:p w14:paraId="18403A82" w14:textId="0EBE9557" w:rsidR="4827DAB3" w:rsidRPr="0056012C" w:rsidRDefault="4827DAB3" w:rsidP="00321376">
      <w:pPr>
        <w:pStyle w:val="ListParagraph"/>
        <w:numPr>
          <w:ilvl w:val="0"/>
          <w:numId w:val="7"/>
        </w:numPr>
        <w:spacing w:after="0" w:line="240" w:lineRule="auto"/>
        <w:jc w:val="both"/>
        <w:rPr>
          <w:rFonts w:ascii="Times New Roman" w:hAnsi="Times New Roman" w:cs="Times New Roman"/>
          <w:b/>
          <w:bCs/>
          <w:noProof/>
        </w:rPr>
      </w:pPr>
      <w:r>
        <w:rPr>
          <w:rFonts w:ascii="Times New Roman" w:hAnsi="Times New Roman"/>
          <w:b/>
          <w:noProof/>
        </w:rPr>
        <w:t xml:space="preserve">Rester mobilisée, tout en garantissant des réponses adaptées aux contextes et aux situations de conflit (ne pas nuire) </w:t>
      </w:r>
    </w:p>
    <w:p w14:paraId="4B74EA6A" w14:textId="33BDC6AD" w:rsidR="4827DAB3" w:rsidRPr="00970492" w:rsidRDefault="4827DAB3" w:rsidP="004E59C8">
      <w:pPr>
        <w:spacing w:after="200" w:line="240" w:lineRule="auto"/>
        <w:jc w:val="both"/>
        <w:rPr>
          <w:rFonts w:ascii="Times New Roman" w:eastAsia="Times New Roman" w:hAnsi="Times New Roman" w:cs="Times New Roman"/>
          <w:noProof/>
        </w:rPr>
      </w:pPr>
      <w:r>
        <w:rPr>
          <w:rFonts w:ascii="Times New Roman" w:hAnsi="Times New Roman"/>
          <w:noProof/>
        </w:rPr>
        <w:t xml:space="preserve">L’UE réaffirme sa détermination à </w:t>
      </w:r>
      <w:r>
        <w:rPr>
          <w:rFonts w:ascii="Times New Roman" w:hAnsi="Times New Roman"/>
          <w:b/>
          <w:bCs/>
          <w:noProof/>
        </w:rPr>
        <w:t>demeurer mobilisée dans tous les contextes de fragilité élevée ou extrêmement élevée</w:t>
      </w:r>
      <w:r>
        <w:rPr>
          <w:rFonts w:ascii="Times New Roman" w:hAnsi="Times New Roman"/>
          <w:noProof/>
        </w:rPr>
        <w:t>, y compris les contextes compliqués ou politiquement éloignés, conformément aux intérêts de l’UE. Pour ce faire, elle se dotera d’une approche souple, adaptative et tenant compte des situations de conflit, en ajustant sa participation en fonction des besoins des pays partenaires touchés et de leurs populations, dans le cadre d’une approche différenciée, tout en poursuivant ses propres objectifs stratégiques.</w:t>
      </w:r>
    </w:p>
    <w:p w14:paraId="72B7FC4F" w14:textId="14C9874B" w:rsidR="4827DAB3" w:rsidRPr="0056012C" w:rsidRDefault="00377263" w:rsidP="00321376">
      <w:pPr>
        <w:pStyle w:val="ListParagraph"/>
        <w:numPr>
          <w:ilvl w:val="0"/>
          <w:numId w:val="7"/>
        </w:numPr>
        <w:spacing w:after="0" w:line="240" w:lineRule="auto"/>
        <w:jc w:val="both"/>
        <w:rPr>
          <w:rFonts w:ascii="Times New Roman" w:hAnsi="Times New Roman"/>
          <w:b/>
          <w:bCs/>
          <w:noProof/>
        </w:rPr>
      </w:pPr>
      <w:r>
        <w:rPr>
          <w:rFonts w:ascii="Times New Roman" w:hAnsi="Times New Roman"/>
          <w:b/>
          <w:noProof/>
        </w:rPr>
        <w:t>Suivre une approche pluridimensionnelle de la résilience et de la durabilité</w:t>
      </w:r>
    </w:p>
    <w:p w14:paraId="51F9C571" w14:textId="0C57065C" w:rsidR="4827DAB3" w:rsidRPr="000035B1" w:rsidRDefault="4827DAB3" w:rsidP="004E59C8">
      <w:pPr>
        <w:spacing w:after="200" w:line="240" w:lineRule="auto"/>
        <w:jc w:val="both"/>
        <w:rPr>
          <w:rFonts w:ascii="Times New Roman" w:hAnsi="Times New Roman"/>
          <w:noProof/>
        </w:rPr>
      </w:pPr>
      <w:r>
        <w:rPr>
          <w:rFonts w:ascii="Times New Roman" w:hAnsi="Times New Roman"/>
          <w:noProof/>
        </w:rPr>
        <w:t xml:space="preserve">S’attaquer aux causes de la fragilité nécessite d’adopter une approche pluridimensionnelle qui prenne en considération les facteurs sociétaux, économiques, politiques, sécuritaires et environnementaux. L’UE privilégiera les approches assorties d’un </w:t>
      </w:r>
      <w:r>
        <w:rPr>
          <w:rFonts w:ascii="Times New Roman" w:hAnsi="Times New Roman"/>
          <w:b/>
          <w:bCs/>
          <w:noProof/>
        </w:rPr>
        <w:t>potentiel de transformation</w:t>
      </w:r>
      <w:r>
        <w:rPr>
          <w:rFonts w:ascii="Times New Roman" w:hAnsi="Times New Roman"/>
          <w:noProof/>
        </w:rPr>
        <w:t xml:space="preserve">, afin de favoriser le développement durable et la paix sur le long terme. Forte de l’éventail complet d’outils dont elle dispose, elle mettra notamment en œuvre les </w:t>
      </w:r>
      <w:r>
        <w:rPr>
          <w:rFonts w:ascii="Times New Roman" w:hAnsi="Times New Roman"/>
          <w:b/>
          <w:bCs/>
          <w:noProof/>
        </w:rPr>
        <w:t>priorités thématiques</w:t>
      </w:r>
      <w:r>
        <w:rPr>
          <w:rFonts w:ascii="Times New Roman" w:hAnsi="Times New Roman"/>
          <w:noProof/>
        </w:rPr>
        <w:t xml:space="preserve"> suivantes: a) développement humain et renforcement de la résilience; b) développement économique grâce à l’instauration d’un environnement propice aux investissements et à une coopération accrue avec les institutions financières internationales; c) adaptation aux effets du changement climatique, de la dégradation de l’environnement et de la raréfaction de l’eau et atténuation de ces effets; d) renforcement des droits de l’homme, de la démocratie et de l’état de droit; et e) prévention des conflits, médiation, stabilisation, consolidation de la paix et sécurité. L’accent sera mis sur les groupes les plus vulnérables, notamment les femmes, les enfants et les jeunes, les personnes âgées, les personnes handicapées, les personnes appartenant à des minorités, les réfugiés, les personnes déplacées de force et les rapatriés, ainsi que sur leur inclusion financière.</w:t>
      </w:r>
    </w:p>
    <w:p w14:paraId="0FB555B3" w14:textId="732E741A" w:rsidR="4827DAB3" w:rsidRPr="0056012C" w:rsidRDefault="4827DAB3" w:rsidP="00321376">
      <w:pPr>
        <w:pStyle w:val="ListParagraph"/>
        <w:numPr>
          <w:ilvl w:val="0"/>
          <w:numId w:val="7"/>
        </w:numPr>
        <w:spacing w:after="0" w:line="240" w:lineRule="auto"/>
        <w:jc w:val="both"/>
        <w:rPr>
          <w:rFonts w:ascii="Times New Roman" w:hAnsi="Times New Roman"/>
          <w:b/>
          <w:bCs/>
          <w:noProof/>
        </w:rPr>
      </w:pPr>
      <w:r>
        <w:rPr>
          <w:rFonts w:ascii="Times New Roman" w:hAnsi="Times New Roman"/>
          <w:b/>
          <w:noProof/>
        </w:rPr>
        <w:t>Consolider l’approche «Équipe Europe» et les partenariats stratégiques dans le cadre de l’articulation entre aide humanitaire, développement et recherche de la paix</w:t>
      </w:r>
    </w:p>
    <w:p w14:paraId="1D9D1857" w14:textId="18BF2E26" w:rsidR="4827DAB3" w:rsidRPr="00D06ED3" w:rsidRDefault="4827DAB3" w:rsidP="004E59C8">
      <w:pPr>
        <w:spacing w:after="200" w:line="240" w:lineRule="auto"/>
        <w:jc w:val="both"/>
        <w:rPr>
          <w:rFonts w:ascii="Times New Roman" w:hAnsi="Times New Roman"/>
          <w:noProof/>
        </w:rPr>
      </w:pPr>
      <w:r>
        <w:rPr>
          <w:rFonts w:ascii="Times New Roman" w:hAnsi="Times New Roman"/>
          <w:noProof/>
        </w:rPr>
        <w:t xml:space="preserve">En renforçant l’articulation entre aide humanitaire, développement et recherche de la paix, l’UE sera en mesure de mieux coordonner </w:t>
      </w:r>
      <w:r>
        <w:rPr>
          <w:rFonts w:ascii="Times New Roman" w:hAnsi="Times New Roman"/>
          <w:b/>
          <w:bCs/>
          <w:noProof/>
        </w:rPr>
        <w:t>des approches et des interventions complémentaires</w:t>
      </w:r>
      <w:r>
        <w:rPr>
          <w:rFonts w:ascii="Times New Roman" w:hAnsi="Times New Roman"/>
          <w:noProof/>
        </w:rPr>
        <w:t xml:space="preserve">, ce qui lui permettra d’anticiper les crises, de s’y préparer et d’y répondre plus efficacement. De même, en tirant parti de la souplesse du futur instrument «Europe dans le monde», elle pourra accroître sensiblement le recours à des </w:t>
      </w:r>
      <w:r>
        <w:rPr>
          <w:rFonts w:ascii="Times New Roman" w:hAnsi="Times New Roman"/>
          <w:b/>
          <w:bCs/>
          <w:noProof/>
        </w:rPr>
        <w:t>mécanismes de financement flexibles et innovants</w:t>
      </w:r>
      <w:r>
        <w:rPr>
          <w:rFonts w:ascii="Times New Roman" w:hAnsi="Times New Roman"/>
          <w:noProof/>
        </w:rPr>
        <w:t>, de façon à attirer davantage de financements privés tout en donnant au secteur privé local les moyens d’agir. Elle travaillera également de manière plus étroite avec les institutions financières internationales, y compris la Banque européenne d’investissement, et les banques de développement de ses États membres, afin d’encourager les investissements qui favorisent la résilience économique dans les situations de fragilité ainsi que la réduction structurelle des besoins humanitaires.</w:t>
      </w:r>
    </w:p>
    <w:p w14:paraId="05872149" w14:textId="0FBB6A9B" w:rsidR="4827DAB3" w:rsidRDefault="4827DAB3" w:rsidP="004E59C8">
      <w:pPr>
        <w:spacing w:after="200" w:line="240" w:lineRule="auto"/>
        <w:jc w:val="both"/>
        <w:rPr>
          <w:rFonts w:ascii="Times New Roman" w:hAnsi="Times New Roman"/>
          <w:noProof/>
        </w:rPr>
      </w:pPr>
      <w:r>
        <w:rPr>
          <w:rFonts w:ascii="Times New Roman" w:hAnsi="Times New Roman"/>
          <w:noProof/>
        </w:rPr>
        <w:t xml:space="preserve">Dans le cadre de tous ces efforts, l’UE s’attachera à privilégier une </w:t>
      </w:r>
      <w:r>
        <w:rPr>
          <w:rFonts w:ascii="Times New Roman" w:hAnsi="Times New Roman"/>
          <w:b/>
          <w:bCs/>
          <w:noProof/>
        </w:rPr>
        <w:t>approche «Équipe Europe»</w:t>
      </w:r>
      <w:r>
        <w:rPr>
          <w:rFonts w:ascii="Times New Roman" w:hAnsi="Times New Roman"/>
          <w:noProof/>
        </w:rPr>
        <w:t>, essentielle pour garantir l’adoption d’une position coordonnée, unifiée et visible dans la lutte contre la fragilité. Elle approfondira également la coordination et la coopération avec d’</w:t>
      </w:r>
      <w:r>
        <w:rPr>
          <w:rFonts w:ascii="Times New Roman" w:hAnsi="Times New Roman"/>
          <w:b/>
          <w:bCs/>
          <w:noProof/>
        </w:rPr>
        <w:t>autres partenaires et acteurs</w:t>
      </w:r>
      <w:r>
        <w:rPr>
          <w:rFonts w:ascii="Times New Roman" w:hAnsi="Times New Roman"/>
          <w:noProof/>
        </w:rPr>
        <w:t xml:space="preserve">, y compris au niveau local, comme la société civile, le secteur privé et des organisations clés telles que les Nations unies, le Mouvement de la Croix-Rouge et du Croissant-Rouge et les organisations régionales. </w:t>
      </w:r>
    </w:p>
    <w:tbl>
      <w:tblPr>
        <w:tblStyle w:val="TableGrid"/>
        <w:tblW w:w="0" w:type="auto"/>
        <w:tblLook w:val="04A0" w:firstRow="1" w:lastRow="0" w:firstColumn="1" w:lastColumn="0" w:noHBand="0" w:noVBand="1"/>
      </w:tblPr>
      <w:tblGrid>
        <w:gridCol w:w="9052"/>
      </w:tblGrid>
      <w:tr w:rsidR="61C30E87" w:rsidRPr="00970492" w14:paraId="2409CA73" w14:textId="77777777" w:rsidTr="00AF4908">
        <w:trPr>
          <w:trHeight w:val="1540"/>
        </w:trPr>
        <w:tc>
          <w:tcPr>
            <w:tcW w:w="90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4C4BFAC1" w14:textId="61E1D1A5" w:rsidR="61C30E87" w:rsidRPr="00F17992" w:rsidRDefault="61C30E87" w:rsidP="004E59C8">
            <w:pPr>
              <w:spacing w:after="200" w:line="276"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Actions clés</w:t>
            </w:r>
          </w:p>
          <w:p w14:paraId="7F7686F8" w14:textId="034E6522" w:rsidR="61C30E87" w:rsidRPr="00F17992" w:rsidRDefault="61C30E87" w:rsidP="00426386">
            <w:pPr>
              <w:spacing w:after="20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Commission, en coopération avec la haute représentante de l’Union pour les affaires étrangères et la politique de sécurité, dans l’exercice de ses fonctions, mettra en œuvre l’</w:t>
            </w:r>
            <w:r>
              <w:rPr>
                <w:rFonts w:ascii="Times New Roman" w:hAnsi="Times New Roman"/>
                <w:b/>
                <w:bCs/>
                <w:noProof/>
                <w:color w:val="000000" w:themeColor="text1"/>
                <w:sz w:val="24"/>
              </w:rPr>
              <w:t>approche intégrée de l’UE à l’égard de la fragilité</w:t>
            </w:r>
            <w:r>
              <w:rPr>
                <w:rFonts w:ascii="Times New Roman" w:hAnsi="Times New Roman"/>
                <w:noProof/>
                <w:color w:val="000000" w:themeColor="text1"/>
                <w:sz w:val="24"/>
              </w:rPr>
              <w:t xml:space="preserve"> au moyen d’</w:t>
            </w:r>
            <w:r>
              <w:rPr>
                <w:rFonts w:ascii="Times New Roman" w:hAnsi="Times New Roman"/>
                <w:b/>
                <w:bCs/>
                <w:noProof/>
                <w:color w:val="000000" w:themeColor="text1"/>
                <w:sz w:val="24"/>
              </w:rPr>
              <w:t>approches plus intelligentes et plus collaboratives, en ciblant tout particulièrement les contextes d’extrême fragilité</w:t>
            </w:r>
            <w:r>
              <w:rPr>
                <w:rFonts w:ascii="Times New Roman" w:hAnsi="Times New Roman"/>
                <w:noProof/>
                <w:color w:val="000000" w:themeColor="text1"/>
                <w:sz w:val="24"/>
              </w:rPr>
              <w:t>. Il s’agira notamment:</w:t>
            </w:r>
          </w:p>
          <w:p w14:paraId="44EB831B" w14:textId="019BAD86" w:rsidR="61C30E87" w:rsidRPr="00F17992" w:rsidRDefault="007D3A65" w:rsidP="00321376">
            <w:pPr>
              <w:pStyle w:val="ListParagraph"/>
              <w:numPr>
                <w:ilvl w:val="0"/>
                <w:numId w:val="6"/>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d’élaborer des </w:t>
            </w:r>
            <w:r>
              <w:rPr>
                <w:rFonts w:ascii="Times New Roman" w:hAnsi="Times New Roman"/>
                <w:b/>
                <w:bCs/>
                <w:noProof/>
                <w:color w:val="000000" w:themeColor="text1"/>
                <w:sz w:val="24"/>
              </w:rPr>
              <w:t>analyses conjointes</w:t>
            </w:r>
            <w:r>
              <w:rPr>
                <w:rFonts w:ascii="Times New Roman" w:hAnsi="Times New Roman"/>
                <w:noProof/>
                <w:color w:val="000000" w:themeColor="text1"/>
                <w:sz w:val="24"/>
              </w:rPr>
              <w:t xml:space="preserve"> mettant l’accent sur la compréhension des dynamiques locales, des risques spécifiques ainsi que des facteurs de conflit et des facteurs liés au climat;</w:t>
            </w:r>
          </w:p>
          <w:p w14:paraId="76FF01DD" w14:textId="20CE89C0"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de concevoir des </w:t>
            </w:r>
            <w:r>
              <w:rPr>
                <w:rFonts w:ascii="Times New Roman" w:hAnsi="Times New Roman"/>
                <w:b/>
                <w:bCs/>
                <w:noProof/>
                <w:color w:val="000000" w:themeColor="text1"/>
                <w:sz w:val="24"/>
              </w:rPr>
              <w:t>cadres souples et adaptables dans tous les contextes d’extrême fragilité</w:t>
            </w:r>
            <w:r>
              <w:rPr>
                <w:rFonts w:ascii="Times New Roman" w:hAnsi="Times New Roman"/>
                <w:noProof/>
                <w:color w:val="000000" w:themeColor="text1"/>
                <w:sz w:val="24"/>
              </w:rPr>
              <w:t xml:space="preserve"> en se fondant sur l’expérience acquise, et de remplacer les cadres de collaboration sur la triple articulation actuellement au banc d’essai, afin de garantir une agilité accrue et de s’appuyer sur les cadres analytiques pertinents. Ces cadres définiront une compréhension commune des priorités et des actions requises dans le cadre de l’articulation entre aide humanitaire, développement et recherche de la paix, afin de garantir un engagement plus efficace sur le terrain; </w:t>
            </w:r>
          </w:p>
          <w:p w14:paraId="2347CBD5" w14:textId="2E8755D4" w:rsidR="61C30E87" w:rsidRPr="00F17992" w:rsidRDefault="007D3A65" w:rsidP="00321376">
            <w:pPr>
              <w:pStyle w:val="ListParagraph"/>
              <w:numPr>
                <w:ilvl w:val="0"/>
                <w:numId w:val="5"/>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viser une meilleure intégration des actions articulant aide humanitaire, développement et recherche de la paix grâce à un </w:t>
            </w:r>
            <w:r>
              <w:rPr>
                <w:rFonts w:ascii="Times New Roman" w:hAnsi="Times New Roman"/>
                <w:b/>
                <w:bCs/>
                <w:noProof/>
                <w:color w:val="000000" w:themeColor="text1"/>
                <w:sz w:val="24"/>
              </w:rPr>
              <w:t>financement séquencé, complémentaire ou conjoint</w:t>
            </w:r>
            <w:r>
              <w:rPr>
                <w:rFonts w:ascii="Times New Roman" w:hAnsi="Times New Roman"/>
                <w:noProof/>
                <w:color w:val="000000" w:themeColor="text1"/>
                <w:sz w:val="24"/>
              </w:rPr>
              <w:t xml:space="preserve"> propre à maximiser leurs effets, y compris dans des contextes évoluant rapidement; d’utiliser tous les leviers de flexibilité disponibles pour faciliter des réponses adaptatives aux crises;</w:t>
            </w:r>
          </w:p>
          <w:p w14:paraId="594C24DF" w14:textId="0E5D9A25" w:rsidR="61C30E87" w:rsidRPr="00F17992" w:rsidRDefault="007D3A65" w:rsidP="00321376">
            <w:pPr>
              <w:pStyle w:val="ListParagraph"/>
              <w:numPr>
                <w:ilvl w:val="0"/>
                <w:numId w:val="5"/>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recenser des </w:t>
            </w:r>
            <w:r>
              <w:rPr>
                <w:rFonts w:ascii="Times New Roman" w:hAnsi="Times New Roman"/>
                <w:b/>
                <w:bCs/>
                <w:noProof/>
                <w:color w:val="000000" w:themeColor="text1"/>
                <w:sz w:val="24"/>
              </w:rPr>
              <w:t>points de contact «fragilité»</w:t>
            </w:r>
            <w:r>
              <w:rPr>
                <w:rFonts w:ascii="Times New Roman" w:hAnsi="Times New Roman"/>
                <w:noProof/>
                <w:color w:val="000000" w:themeColor="text1"/>
                <w:sz w:val="24"/>
              </w:rPr>
              <w:t xml:space="preserve"> au sein des délégations de l’UE et des bureaux de la DG ECHO concernés, sur la base des ressources existantes, afin de favoriser une compréhension commune et d’encourager la mise en œuvre de l’approche au niveau national; </w:t>
            </w:r>
          </w:p>
          <w:p w14:paraId="49A08064" w14:textId="71287707"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d’organiser des </w:t>
            </w:r>
            <w:r>
              <w:rPr>
                <w:rFonts w:ascii="Times New Roman" w:hAnsi="Times New Roman"/>
                <w:b/>
                <w:bCs/>
                <w:noProof/>
                <w:color w:val="000000" w:themeColor="text1"/>
                <w:sz w:val="24"/>
              </w:rPr>
              <w:t>échanges réguliers avec les principales parties prenantes</w:t>
            </w:r>
            <w:r>
              <w:rPr>
                <w:rFonts w:ascii="Times New Roman" w:hAnsi="Times New Roman"/>
                <w:noProof/>
                <w:color w:val="000000" w:themeColor="text1"/>
                <w:sz w:val="24"/>
              </w:rPr>
              <w:t>, telles que les partenaires chargés de la mise en œuvre, les autorités centrales et locales, les Nations unies, les institutions financières internationales et la société civile, tout en poursuivant la coordination avec les États membres de l’UE;</w:t>
            </w:r>
          </w:p>
          <w:p w14:paraId="30982178" w14:textId="2BDCAA3D" w:rsidR="00E836EF" w:rsidRPr="00F17992" w:rsidRDefault="007D3A65" w:rsidP="00E836EF">
            <w:pPr>
              <w:pStyle w:val="ListParagraph"/>
              <w:numPr>
                <w:ilvl w:val="0"/>
                <w:numId w:val="5"/>
              </w:numPr>
              <w:jc w:val="both"/>
              <w:rPr>
                <w:rFonts w:ascii="Times New Roman" w:hAnsi="Times New Roman" w:cs="Times New Roman"/>
                <w:noProof/>
                <w:sz w:val="24"/>
                <w:szCs w:val="24"/>
              </w:rPr>
            </w:pPr>
            <w:r>
              <w:rPr>
                <w:rFonts w:ascii="Times New Roman" w:hAnsi="Times New Roman"/>
                <w:noProof/>
                <w:sz w:val="24"/>
              </w:rPr>
              <w:t xml:space="preserve">de développer et de </w:t>
            </w:r>
            <w:r>
              <w:rPr>
                <w:rFonts w:ascii="Times New Roman" w:hAnsi="Times New Roman"/>
                <w:b/>
                <w:bCs/>
                <w:noProof/>
                <w:sz w:val="24"/>
              </w:rPr>
              <w:t>renforcer les partenariats avec les pays tiers</w:t>
            </w:r>
            <w:r>
              <w:rPr>
                <w:rFonts w:ascii="Times New Roman" w:hAnsi="Times New Roman"/>
                <w:noProof/>
                <w:sz w:val="24"/>
              </w:rPr>
              <w:t xml:space="preserve"> </w:t>
            </w:r>
            <w:r>
              <w:rPr>
                <w:rFonts w:ascii="Times New Roman" w:hAnsi="Times New Roman"/>
                <w:b/>
                <w:bCs/>
                <w:noProof/>
                <w:sz w:val="24"/>
              </w:rPr>
              <w:t>et les organisations régionales</w:t>
            </w:r>
            <w:r>
              <w:rPr>
                <w:rFonts w:ascii="Times New Roman" w:hAnsi="Times New Roman"/>
                <w:noProof/>
                <w:sz w:val="24"/>
              </w:rPr>
              <w:t xml:space="preserve"> pour remédier aux contextes de fragilité et assurer un soutien financier, notamment dans le but de garantir stabilité, sécurité et développement durable dans le voisinage de l’UE ainsi que dans d’autres régions stratégiques;</w:t>
            </w:r>
          </w:p>
          <w:p w14:paraId="77B1D68D" w14:textId="19818EF6"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Pr>
                <w:rFonts w:ascii="Times New Roman" w:hAnsi="Times New Roman"/>
                <w:noProof/>
                <w:sz w:val="24"/>
              </w:rPr>
              <w:t xml:space="preserve">de renforcer la coordination, dans le cadre d’une </w:t>
            </w:r>
            <w:r>
              <w:rPr>
                <w:rFonts w:ascii="Times New Roman" w:hAnsi="Times New Roman"/>
                <w:b/>
                <w:bCs/>
                <w:noProof/>
                <w:sz w:val="24"/>
              </w:rPr>
              <w:t>approche «Équipe Europe»</w:t>
            </w:r>
            <w:r>
              <w:rPr>
                <w:rFonts w:ascii="Times New Roman" w:hAnsi="Times New Roman"/>
                <w:noProof/>
                <w:sz w:val="24"/>
              </w:rPr>
              <w:t xml:space="preserve">, au sein des organes directeurs des </w:t>
            </w:r>
            <w:r>
              <w:rPr>
                <w:rFonts w:ascii="Times New Roman" w:hAnsi="Times New Roman"/>
                <w:b/>
                <w:bCs/>
                <w:noProof/>
                <w:sz w:val="24"/>
              </w:rPr>
              <w:t>organisations multilatérales</w:t>
            </w:r>
            <w:r>
              <w:rPr>
                <w:rFonts w:ascii="Times New Roman" w:hAnsi="Times New Roman"/>
                <w:noProof/>
                <w:sz w:val="24"/>
              </w:rPr>
              <w:t>;</w:t>
            </w:r>
          </w:p>
          <w:p w14:paraId="5F512C4D" w14:textId="7A6920BB"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d’assurer un </w:t>
            </w:r>
            <w:r>
              <w:rPr>
                <w:rFonts w:ascii="Times New Roman" w:hAnsi="Times New Roman"/>
                <w:b/>
                <w:bCs/>
                <w:noProof/>
                <w:color w:val="000000" w:themeColor="text1"/>
                <w:sz w:val="24"/>
              </w:rPr>
              <w:t>suivi conjoint</w:t>
            </w:r>
            <w:r>
              <w:rPr>
                <w:rFonts w:ascii="Times New Roman" w:hAnsi="Times New Roman"/>
                <w:noProof/>
                <w:color w:val="000000" w:themeColor="text1"/>
                <w:sz w:val="24"/>
              </w:rPr>
              <w:t xml:space="preserve"> plus systématique, si possible en coopération avec les États membres;</w:t>
            </w:r>
          </w:p>
          <w:p w14:paraId="2B32CF1A" w14:textId="26529DB5" w:rsidR="004A013E" w:rsidRPr="00F17992" w:rsidRDefault="007D3A65" w:rsidP="00321376">
            <w:pPr>
              <w:pStyle w:val="ListParagraph"/>
              <w:numPr>
                <w:ilvl w:val="0"/>
                <w:numId w:val="4"/>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d’effectuer des </w:t>
            </w:r>
            <w:r>
              <w:rPr>
                <w:rFonts w:ascii="Times New Roman" w:hAnsi="Times New Roman"/>
                <w:b/>
                <w:bCs/>
                <w:noProof/>
                <w:color w:val="000000" w:themeColor="text1"/>
                <w:sz w:val="24"/>
              </w:rPr>
              <w:t>communications interservices régulières</w:t>
            </w:r>
            <w:r>
              <w:rPr>
                <w:rFonts w:ascii="Times New Roman" w:hAnsi="Times New Roman"/>
                <w:noProof/>
                <w:color w:val="000000" w:themeColor="text1"/>
                <w:sz w:val="24"/>
              </w:rPr>
              <w:t xml:space="preserve"> sur l’état d’avancement de la mise en œuvre et les résultats obtenus afin de suivre les progrès accomplis;</w:t>
            </w:r>
          </w:p>
          <w:p w14:paraId="503A8269" w14:textId="4A78E572" w:rsidR="61C30E87" w:rsidRPr="00F17992" w:rsidRDefault="007D3A65" w:rsidP="00321376">
            <w:pPr>
              <w:pStyle w:val="ListParagraph"/>
              <w:numPr>
                <w:ilvl w:val="0"/>
                <w:numId w:val="4"/>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d’accroître les investissements ciblés dans les </w:t>
            </w:r>
            <w:r>
              <w:rPr>
                <w:rFonts w:ascii="Times New Roman" w:hAnsi="Times New Roman"/>
                <w:b/>
                <w:bCs/>
                <w:noProof/>
                <w:color w:val="000000" w:themeColor="text1"/>
                <w:sz w:val="24"/>
              </w:rPr>
              <w:t>capacités institutionnelles</w:t>
            </w:r>
            <w:r>
              <w:rPr>
                <w:rFonts w:ascii="Times New Roman" w:hAnsi="Times New Roman"/>
                <w:noProof/>
                <w:color w:val="000000" w:themeColor="text1"/>
                <w:sz w:val="24"/>
              </w:rPr>
              <w:t xml:space="preserve"> et la </w:t>
            </w:r>
            <w:r>
              <w:rPr>
                <w:rFonts w:ascii="Times New Roman" w:hAnsi="Times New Roman"/>
                <w:b/>
                <w:bCs/>
                <w:noProof/>
                <w:color w:val="000000" w:themeColor="text1"/>
                <w:sz w:val="24"/>
              </w:rPr>
              <w:t>gestion des connaissances du personnel de l’UE</w:t>
            </w:r>
            <w:r>
              <w:rPr>
                <w:rFonts w:ascii="Times New Roman" w:hAnsi="Times New Roman"/>
                <w:noProof/>
                <w:color w:val="000000" w:themeColor="text1"/>
                <w:sz w:val="24"/>
              </w:rPr>
              <w:t xml:space="preserve"> et d’effectuer un examen périodique des progrès/résultats obtenus; </w:t>
            </w:r>
          </w:p>
          <w:p w14:paraId="3791F164" w14:textId="1B072533" w:rsidR="61C30E87" w:rsidRPr="00F17992" w:rsidRDefault="007D3A65" w:rsidP="00321376">
            <w:pPr>
              <w:pStyle w:val="ListParagraph"/>
              <w:numPr>
                <w:ilvl w:val="0"/>
                <w:numId w:val="4"/>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d’intensifier la </w:t>
            </w:r>
            <w:r>
              <w:rPr>
                <w:rFonts w:ascii="Times New Roman" w:hAnsi="Times New Roman"/>
                <w:b/>
                <w:noProof/>
                <w:color w:val="000000" w:themeColor="text1"/>
                <w:sz w:val="24"/>
              </w:rPr>
              <w:t>communication stratégique</w:t>
            </w:r>
            <w:r>
              <w:rPr>
                <w:rFonts w:ascii="Times New Roman" w:hAnsi="Times New Roman"/>
                <w:noProof/>
                <w:color w:val="000000" w:themeColor="text1"/>
                <w:sz w:val="24"/>
              </w:rPr>
              <w:t xml:space="preserve"> pour lutter contre la</w:t>
            </w:r>
            <w:r>
              <w:rPr>
                <w:rFonts w:ascii="Times New Roman" w:hAnsi="Times New Roman"/>
                <w:noProof/>
                <w:sz w:val="24"/>
              </w:rPr>
              <w:t xml:space="preserve"> manipulation de l’information, y compris la désinformation, et,</w:t>
            </w:r>
            <w:r>
              <w:rPr>
                <w:rFonts w:ascii="Times New Roman" w:hAnsi="Times New Roman"/>
                <w:noProof/>
                <w:color w:val="000000" w:themeColor="text1"/>
                <w:sz w:val="24"/>
              </w:rPr>
              <w:t xml:space="preserve"> le cas échéant, les menaces hybrides;</w:t>
            </w:r>
          </w:p>
          <w:p w14:paraId="25571915" w14:textId="14E329B2" w:rsidR="61C30E87" w:rsidRPr="009B0811" w:rsidRDefault="007D3A65" w:rsidP="00321376">
            <w:pPr>
              <w:pStyle w:val="ListParagraph"/>
              <w:numPr>
                <w:ilvl w:val="0"/>
                <w:numId w:val="4"/>
              </w:numPr>
              <w:jc w:val="both"/>
              <w:rPr>
                <w:rFonts w:ascii="Times New Roman" w:hAnsi="Times New Roman"/>
                <w:noProof/>
                <w:color w:val="000000" w:themeColor="text1"/>
                <w:sz w:val="24"/>
              </w:rPr>
            </w:pPr>
            <w:r>
              <w:rPr>
                <w:rFonts w:ascii="Times New Roman" w:hAnsi="Times New Roman"/>
                <w:noProof/>
                <w:color w:val="000000" w:themeColor="text1"/>
                <w:sz w:val="24"/>
              </w:rPr>
              <w:t xml:space="preserve">de proposer une </w:t>
            </w:r>
            <w:r>
              <w:rPr>
                <w:rFonts w:ascii="Times New Roman" w:hAnsi="Times New Roman"/>
                <w:b/>
                <w:noProof/>
                <w:color w:val="000000" w:themeColor="text1"/>
                <w:sz w:val="24"/>
              </w:rPr>
              <w:t>évaluation indépendante</w:t>
            </w:r>
            <w:r>
              <w:rPr>
                <w:rFonts w:ascii="Times New Roman" w:hAnsi="Times New Roman"/>
                <w:noProof/>
                <w:color w:val="000000" w:themeColor="text1"/>
                <w:sz w:val="24"/>
              </w:rPr>
              <w:t xml:space="preserve"> des résultats obtenus dans le cadre de cette approche au bout de trois ans.</w:t>
            </w:r>
          </w:p>
        </w:tc>
      </w:tr>
    </w:tbl>
    <w:p w14:paraId="679E34BC" w14:textId="77777777" w:rsidR="00D3761B" w:rsidRDefault="00D3761B" w:rsidP="00456B58">
      <w:pPr>
        <w:spacing w:line="240" w:lineRule="auto"/>
        <w:jc w:val="both"/>
        <w:rPr>
          <w:rFonts w:ascii="Times New Roman" w:hAnsi="Times New Roman" w:cs="Times New Roman"/>
          <w:b/>
          <w:bCs/>
          <w:i/>
          <w:iCs/>
          <w:noProof/>
        </w:rPr>
      </w:pPr>
      <w:bookmarkStart w:id="7" w:name="_Hlk221099772"/>
    </w:p>
    <w:p w14:paraId="1D153C49" w14:textId="2155E862" w:rsidR="00456B58" w:rsidRPr="00970492" w:rsidRDefault="00456B58" w:rsidP="00456B58">
      <w:pPr>
        <w:spacing w:line="240" w:lineRule="auto"/>
        <w:jc w:val="both"/>
        <w:rPr>
          <w:rFonts w:ascii="Times New Roman" w:hAnsi="Times New Roman" w:cs="Times New Roman"/>
          <w:b/>
          <w:bCs/>
          <w:i/>
          <w:iCs/>
          <w:noProof/>
        </w:rPr>
      </w:pPr>
      <w:r>
        <w:rPr>
          <w:rFonts w:ascii="Times New Roman" w:hAnsi="Times New Roman"/>
          <w:b/>
          <w:i/>
          <w:noProof/>
        </w:rPr>
        <w:t>3.2. Travailler de concert avec le secteur privé et les acteurs non traditionnels dans le cadre de la réponse humanitaire</w:t>
      </w:r>
    </w:p>
    <w:p w14:paraId="52B67B62" w14:textId="77067576" w:rsidR="00456B58" w:rsidRPr="00CD3063" w:rsidRDefault="00456B58" w:rsidP="00456B58">
      <w:pPr>
        <w:spacing w:line="240" w:lineRule="auto"/>
        <w:jc w:val="both"/>
        <w:rPr>
          <w:rFonts w:ascii="Times New Roman" w:hAnsi="Times New Roman" w:cs="Times New Roman"/>
          <w:b/>
          <w:bCs/>
          <w:noProof/>
        </w:rPr>
      </w:pPr>
      <w:r>
        <w:rPr>
          <w:rFonts w:ascii="Times New Roman" w:hAnsi="Times New Roman"/>
          <w:noProof/>
        </w:rPr>
        <w:t xml:space="preserve">Le </w:t>
      </w:r>
      <w:r>
        <w:rPr>
          <w:rFonts w:ascii="Times New Roman" w:hAnsi="Times New Roman"/>
          <w:b/>
          <w:bCs/>
          <w:noProof/>
        </w:rPr>
        <w:t>déficit de financement humanitaire ne pourra être comblé</w:t>
      </w:r>
      <w:r>
        <w:rPr>
          <w:rFonts w:ascii="Times New Roman" w:hAnsi="Times New Roman"/>
          <w:noProof/>
        </w:rPr>
        <w:t xml:space="preserve"> qu’en exploitant pleinement les ressources, l’expérience des situations et les avantages comparatifs d’un plus vaste éventail d’acteurs opérant en dehors du champ humanitaire traditionnel, notamment le </w:t>
      </w:r>
      <w:r>
        <w:rPr>
          <w:rFonts w:ascii="Times New Roman" w:hAnsi="Times New Roman"/>
          <w:b/>
          <w:bCs/>
          <w:noProof/>
        </w:rPr>
        <w:t>secteur privé, les organisations philanthropiques, un cercle élargi de donateurs et le grand public</w:t>
      </w:r>
      <w:r>
        <w:rPr>
          <w:rFonts w:ascii="Times New Roman" w:hAnsi="Times New Roman"/>
          <w:noProof/>
        </w:rPr>
        <w:t>.</w:t>
      </w:r>
    </w:p>
    <w:p w14:paraId="3DA847A7" w14:textId="5BA29C99"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bCs/>
          <w:noProof/>
        </w:rPr>
        <w:t>secteur privé</w:t>
      </w:r>
      <w:r>
        <w:rPr>
          <w:rFonts w:ascii="Times New Roman" w:hAnsi="Times New Roman"/>
          <w:noProof/>
        </w:rPr>
        <w:t xml:space="preserve"> est un partenaire important, capable d’apporter une expertise technique, conjuguée à des innovations, un accès à des technologies telles que l’IA, et des financements. Il peut contribuer à la mise en œuvre de solutions durables au niveau local en renforçant la résilience du marché et en créant des opportunités économiques pour les populations touchées. Les microentreprises, les petites entreprises et le secteur informel jouent un rôle central dans les situations de fragilité. Il importe dès lors de leur donner les moyens de contribuer à renforcer durablement la résilience.</w:t>
      </w:r>
    </w:p>
    <w:p w14:paraId="33B94267" w14:textId="663CFF87" w:rsidR="00456B58" w:rsidRPr="009B0811" w:rsidRDefault="00456B58" w:rsidP="00456B58">
      <w:pPr>
        <w:spacing w:line="240" w:lineRule="auto"/>
        <w:jc w:val="both"/>
        <w:rPr>
          <w:rFonts w:ascii="Times New Roman" w:hAnsi="Times New Roman" w:cs="Times New Roman"/>
          <w:noProof/>
        </w:rPr>
      </w:pPr>
      <w:r>
        <w:rPr>
          <w:rFonts w:ascii="Times New Roman" w:hAnsi="Times New Roman"/>
          <w:noProof/>
        </w:rPr>
        <w:t xml:space="preserve">Ces entreprises, qui sont en première ligne, étant aussi celles dont l’accès au crédit est le plus restreint, il convient de mettre au point des mesures d’incitation telles que des </w:t>
      </w:r>
      <w:r>
        <w:rPr>
          <w:rFonts w:ascii="Times New Roman" w:hAnsi="Times New Roman"/>
          <w:b/>
          <w:bCs/>
          <w:noProof/>
        </w:rPr>
        <w:t>instruments de réduction des risques, une assistance technique et des données de meilleure qualité sur les investissements</w:t>
      </w:r>
      <w:r>
        <w:rPr>
          <w:rFonts w:ascii="Times New Roman" w:hAnsi="Times New Roman"/>
          <w:noProof/>
        </w:rPr>
        <w:t>, afin d’encourager les bailleurs de fonds nationaux et internationaux à améliorer l’accès de ces entreprises aux capitaux. Forte des succès engrangés dans le cadre de plusieurs projets pilotes de financement mixte dans le domaine humanitaire, l’UE continuera de soutenir ces initiatives qui s’inscrivent dans la droite ligne de son engagement à promouvoir des solutions durables et à permettre aux acteurs humanitaires de se désengager lorsque les conditions le permettent.</w:t>
      </w:r>
    </w:p>
    <w:p w14:paraId="529D4199" w14:textId="2111CAB7" w:rsidR="00964172" w:rsidRPr="009B0811" w:rsidRDefault="72541D1E" w:rsidP="00964172">
      <w:pPr>
        <w:spacing w:line="240" w:lineRule="auto"/>
        <w:jc w:val="both"/>
        <w:rPr>
          <w:rFonts w:ascii="Times New Roman" w:eastAsia="Times New Roman" w:hAnsi="Times New Roman" w:cs="Times New Roman"/>
          <w:noProof/>
        </w:rPr>
      </w:pPr>
      <w:r>
        <w:rPr>
          <w:rFonts w:ascii="Times New Roman" w:hAnsi="Times New Roman"/>
          <w:noProof/>
        </w:rPr>
        <w:t>Elle sera également aux avant-postes du débat, au sein du secteur humanitaire, sur l’</w:t>
      </w:r>
      <w:r>
        <w:rPr>
          <w:rFonts w:ascii="Times New Roman" w:hAnsi="Times New Roman"/>
          <w:b/>
          <w:bCs/>
          <w:noProof/>
        </w:rPr>
        <w:t>intensification de la mobilisation du secteur privé dans les contextes de fragilité ou de crise humanitaire</w:t>
      </w:r>
      <w:r>
        <w:rPr>
          <w:rFonts w:ascii="Times New Roman" w:hAnsi="Times New Roman"/>
          <w:noProof/>
        </w:rPr>
        <w:t xml:space="preserve">. L’enjeu consiste notamment à lever les obstacles à l’accès au financement et à l’inclusion financière, de même qu’à renforcer les partenariats entre les acteurs privés et humanitaires dans des secteurs tels que la logistique, la technologie ou l’accès aux services publics de base. Les </w:t>
      </w:r>
      <w:r>
        <w:rPr>
          <w:rFonts w:ascii="Times New Roman" w:hAnsi="Times New Roman"/>
          <w:b/>
          <w:bCs/>
          <w:noProof/>
        </w:rPr>
        <w:t>technologies de l’IA fondées sur l’analyse de données</w:t>
      </w:r>
      <w:r>
        <w:rPr>
          <w:rFonts w:ascii="Times New Roman" w:hAnsi="Times New Roman"/>
          <w:noProof/>
        </w:rPr>
        <w:t xml:space="preserve"> transforment peu à peu le domaine de l’aide humanitaire. L’UE œuvrera avec ses partenaires traditionnels et avec d’autres acteurs afin de trouver le moyen de mettre à profit l’IA pour améliorer l’aide humanitaire tout en réduisant les risques tout au long du cycle des crises.</w:t>
      </w:r>
    </w:p>
    <w:p w14:paraId="458AA1DC" w14:textId="156F2341" w:rsidR="00456B58" w:rsidRPr="009B0811" w:rsidRDefault="00C4511E" w:rsidP="00456B58">
      <w:pPr>
        <w:spacing w:line="240" w:lineRule="auto"/>
        <w:jc w:val="both"/>
        <w:rPr>
          <w:rFonts w:ascii="Times New Roman" w:hAnsi="Times New Roman" w:cs="Times New Roman"/>
          <w:noProof/>
        </w:rPr>
      </w:pPr>
      <w:r>
        <w:rPr>
          <w:rFonts w:ascii="Times New Roman" w:hAnsi="Times New Roman"/>
          <w:noProof/>
        </w:rPr>
        <w:t xml:space="preserve">Parallèlement à la participation du secteur privé, il est important de travailler avec des </w:t>
      </w:r>
      <w:r>
        <w:rPr>
          <w:rFonts w:ascii="Times New Roman" w:hAnsi="Times New Roman"/>
          <w:b/>
          <w:bCs/>
          <w:noProof/>
        </w:rPr>
        <w:t>donateurs non traditionnels</w:t>
      </w:r>
      <w:r>
        <w:rPr>
          <w:rFonts w:ascii="Times New Roman" w:hAnsi="Times New Roman"/>
          <w:noProof/>
        </w:rPr>
        <w:t xml:space="preserve"> et de s’appuyer sur leur complémentarité. L’UE a d’ores et déjà mis en place de solides partenariats avec de nombreux acteurs internationaux, parmi lesquels l’Union africaine, l’Association des nations de l’Asie du Sud-Est et les États du Conseil de coopération du Golfe. Elle va à présent recenser sur le plan stratégique les domaines dans lesquels une coopération renforcée est possible en matière d’aide humanitaire et de gestion des risques de catastrophe.</w:t>
      </w:r>
    </w:p>
    <w:p w14:paraId="72703F9F" w14:textId="62FACC59" w:rsidR="00456B58" w:rsidRPr="009B0811" w:rsidRDefault="008365F2" w:rsidP="00456B58">
      <w:pPr>
        <w:spacing w:line="240" w:lineRule="auto"/>
        <w:jc w:val="both"/>
        <w:rPr>
          <w:rFonts w:ascii="Times New Roman" w:hAnsi="Times New Roman" w:cs="Times New Roman"/>
          <w:noProof/>
        </w:rPr>
      </w:pPr>
      <w:r>
        <w:rPr>
          <w:rFonts w:ascii="Times New Roman" w:hAnsi="Times New Roman"/>
          <w:noProof/>
        </w:rPr>
        <w:t>Les enquêtes Eurobaromètre témoignent du soutien ferme et constant de la population en faveur de l’action humanitaire de l’UE. En 2024, 91 % des personnes interrogées estimaient ainsi qu’il était important que l’UE finance l’aide humanitaire (</w:t>
      </w:r>
      <w:r>
        <w:rPr>
          <w:rStyle w:val="FootnoteReference"/>
          <w:rFonts w:ascii="Times New Roman" w:hAnsi="Times New Roman" w:cs="Times New Roman"/>
          <w:noProof/>
          <w:lang w:val="en-GB"/>
        </w:rPr>
        <w:footnoteReference w:id="41"/>
      </w:r>
      <w:r>
        <w:rPr>
          <w:rFonts w:ascii="Times New Roman" w:hAnsi="Times New Roman"/>
          <w:noProof/>
        </w:rPr>
        <w:t xml:space="preserve">). Cependant, ce soutien ne saurait être considéré comme acquis. Il risque même d’être mis à mal par une vague croissante d’actes de manipulation de l’information, y compris de désinformation. L’UE n’aura de cesse de renforcer le </w:t>
      </w:r>
      <w:r>
        <w:rPr>
          <w:rFonts w:ascii="Times New Roman" w:hAnsi="Times New Roman"/>
          <w:b/>
          <w:bCs/>
          <w:noProof/>
        </w:rPr>
        <w:t>dialogue avec ses citoyens</w:t>
      </w:r>
      <w:r>
        <w:rPr>
          <w:rFonts w:ascii="Times New Roman" w:hAnsi="Times New Roman"/>
          <w:noProof/>
        </w:rPr>
        <w:t xml:space="preserve"> et de promouvoir son action humanitaire en toute transparente.</w:t>
      </w:r>
    </w:p>
    <w:tbl>
      <w:tblPr>
        <w:tblStyle w:val="TableGrid"/>
        <w:tblW w:w="0" w:type="auto"/>
        <w:tblLook w:val="04A0" w:firstRow="1" w:lastRow="0" w:firstColumn="1" w:lastColumn="0" w:noHBand="0" w:noVBand="1"/>
      </w:tblPr>
      <w:tblGrid>
        <w:gridCol w:w="9062"/>
      </w:tblGrid>
      <w:tr w:rsidR="00456B58" w:rsidRPr="009B0811" w14:paraId="47965DEF" w14:textId="77777777" w:rsidTr="46C62D5D">
        <w:tc>
          <w:tcPr>
            <w:tcW w:w="9288" w:type="dxa"/>
            <w:shd w:val="clear" w:color="auto" w:fill="F2F2F2" w:themeFill="background1" w:themeFillShade="F2"/>
          </w:tcPr>
          <w:p w14:paraId="5745BAA2" w14:textId="47584487" w:rsidR="00456B58" w:rsidRPr="00F17992" w:rsidRDefault="00456B58" w:rsidP="004942CF">
            <w:pPr>
              <w:spacing w:after="160"/>
              <w:jc w:val="both"/>
              <w:rPr>
                <w:rFonts w:ascii="Times New Roman" w:hAnsi="Times New Roman" w:cs="Times New Roman"/>
                <w:b/>
                <w:bCs/>
                <w:noProof/>
                <w:sz w:val="24"/>
                <w:szCs w:val="24"/>
              </w:rPr>
            </w:pPr>
            <w:r>
              <w:rPr>
                <w:rFonts w:ascii="Times New Roman" w:hAnsi="Times New Roman"/>
                <w:b/>
                <w:noProof/>
                <w:sz w:val="24"/>
              </w:rPr>
              <w:t>Actions clés</w:t>
            </w:r>
          </w:p>
          <w:p w14:paraId="2915CD11" w14:textId="3C3648A7" w:rsidR="00456B58" w:rsidRPr="00F17992" w:rsidRDefault="00456B58" w:rsidP="00954118">
            <w:pPr>
              <w:jc w:val="both"/>
              <w:rPr>
                <w:rFonts w:ascii="Times New Roman" w:hAnsi="Times New Roman" w:cs="Times New Roman"/>
                <w:noProof/>
                <w:sz w:val="24"/>
                <w:szCs w:val="24"/>
              </w:rPr>
            </w:pPr>
            <w:r>
              <w:rPr>
                <w:rFonts w:ascii="Times New Roman" w:hAnsi="Times New Roman"/>
                <w:noProof/>
                <w:sz w:val="24"/>
              </w:rPr>
              <w:t>La Commission entend:</w:t>
            </w:r>
          </w:p>
          <w:p w14:paraId="4468D473" w14:textId="7EA4681C" w:rsidR="00456B58" w:rsidRPr="00F17992" w:rsidRDefault="007D3A65" w:rsidP="00954118">
            <w:pPr>
              <w:pStyle w:val="ListParagraph"/>
              <w:numPr>
                <w:ilvl w:val="0"/>
                <w:numId w:val="12"/>
              </w:numPr>
              <w:jc w:val="both"/>
              <w:rPr>
                <w:rFonts w:ascii="Times New Roman" w:hAnsi="Times New Roman" w:cs="Times New Roman"/>
                <w:noProof/>
                <w:sz w:val="24"/>
                <w:szCs w:val="24"/>
              </w:rPr>
            </w:pPr>
            <w:r>
              <w:rPr>
                <w:rFonts w:ascii="Times New Roman" w:hAnsi="Times New Roman"/>
                <w:noProof/>
                <w:sz w:val="24"/>
              </w:rPr>
              <w:t xml:space="preserve">développer, en coopération avec le Forum économique mondial, une </w:t>
            </w:r>
            <w:r>
              <w:rPr>
                <w:rFonts w:ascii="Times New Roman" w:hAnsi="Times New Roman"/>
                <w:b/>
                <w:bCs/>
                <w:noProof/>
                <w:sz w:val="24"/>
              </w:rPr>
              <w:t>plateforme mondiale de dialogue avec le secteur privé</w:t>
            </w:r>
            <w:r>
              <w:rPr>
                <w:rFonts w:ascii="Times New Roman" w:hAnsi="Times New Roman"/>
                <w:noProof/>
                <w:sz w:val="24"/>
              </w:rPr>
              <w:t xml:space="preserve"> dans les situations de crise humanitaire afin de traiter des questions telles que l’environnement d’investissement, l’aide et la philanthropie, l’éthique et les partenariats;</w:t>
            </w:r>
          </w:p>
          <w:p w14:paraId="04AB205D" w14:textId="66EBB7E0" w:rsidR="00456B58" w:rsidRPr="00F17992" w:rsidRDefault="007D3A65" w:rsidP="00321376">
            <w:pPr>
              <w:pStyle w:val="ListParagraph"/>
              <w:numPr>
                <w:ilvl w:val="0"/>
                <w:numId w:val="12"/>
              </w:numPr>
              <w:spacing w:after="240"/>
              <w:jc w:val="both"/>
              <w:rPr>
                <w:rFonts w:ascii="Times New Roman" w:hAnsi="Times New Roman" w:cs="Times New Roman"/>
                <w:i/>
                <w:iCs/>
                <w:noProof/>
                <w:sz w:val="24"/>
                <w:szCs w:val="24"/>
              </w:rPr>
            </w:pPr>
            <w:r>
              <w:rPr>
                <w:rFonts w:ascii="Times New Roman" w:hAnsi="Times New Roman"/>
                <w:noProof/>
                <w:sz w:val="24"/>
              </w:rPr>
              <w:t xml:space="preserve">accroître le </w:t>
            </w:r>
            <w:r>
              <w:rPr>
                <w:rFonts w:ascii="Times New Roman" w:hAnsi="Times New Roman"/>
                <w:b/>
                <w:bCs/>
                <w:noProof/>
                <w:sz w:val="24"/>
              </w:rPr>
              <w:t>financement des projets qui soutiennent la participation du secteur privé</w:t>
            </w:r>
            <w:r>
              <w:rPr>
                <w:rFonts w:ascii="Times New Roman" w:hAnsi="Times New Roman"/>
                <w:noProof/>
                <w:sz w:val="24"/>
              </w:rPr>
              <w:t xml:space="preserve"> dans les crises humanitaires prolongées, tout en coordonnant ces efforts avec les acteurs du développement;</w:t>
            </w:r>
          </w:p>
          <w:p w14:paraId="3405486F" w14:textId="4251407B" w:rsidR="00456B58" w:rsidRPr="00F17992" w:rsidRDefault="007D3A65" w:rsidP="00321376">
            <w:pPr>
              <w:pStyle w:val="ListParagraph"/>
              <w:numPr>
                <w:ilvl w:val="0"/>
                <w:numId w:val="12"/>
              </w:numPr>
              <w:spacing w:after="240"/>
              <w:jc w:val="both"/>
              <w:rPr>
                <w:rFonts w:ascii="Times New Roman" w:hAnsi="Times New Roman" w:cs="Times New Roman"/>
                <w:i/>
                <w:iCs/>
                <w:noProof/>
                <w:sz w:val="24"/>
                <w:szCs w:val="24"/>
              </w:rPr>
            </w:pPr>
            <w:r>
              <w:rPr>
                <w:rFonts w:ascii="Times New Roman" w:hAnsi="Times New Roman"/>
                <w:noProof/>
                <w:sz w:val="24"/>
              </w:rPr>
              <w:t xml:space="preserve">adopter un </w:t>
            </w:r>
            <w:r>
              <w:rPr>
                <w:rFonts w:ascii="Times New Roman" w:hAnsi="Times New Roman"/>
                <w:b/>
                <w:bCs/>
                <w:noProof/>
                <w:sz w:val="24"/>
              </w:rPr>
              <w:t>cadre stratégique pour la mobilisation</w:t>
            </w:r>
            <w:r>
              <w:rPr>
                <w:rFonts w:ascii="Times New Roman" w:hAnsi="Times New Roman"/>
                <w:noProof/>
                <w:sz w:val="24"/>
              </w:rPr>
              <w:t xml:space="preserve"> </w:t>
            </w:r>
            <w:r>
              <w:rPr>
                <w:rFonts w:ascii="Times New Roman" w:hAnsi="Times New Roman"/>
                <w:b/>
                <w:bCs/>
                <w:noProof/>
                <w:sz w:val="24"/>
              </w:rPr>
              <w:t>de</w:t>
            </w:r>
            <w:r>
              <w:rPr>
                <w:rFonts w:ascii="Times New Roman" w:hAnsi="Times New Roman"/>
                <w:noProof/>
                <w:sz w:val="24"/>
              </w:rPr>
              <w:t xml:space="preserve"> </w:t>
            </w:r>
            <w:r>
              <w:rPr>
                <w:rFonts w:ascii="Times New Roman" w:hAnsi="Times New Roman"/>
                <w:b/>
                <w:bCs/>
                <w:noProof/>
                <w:sz w:val="24"/>
              </w:rPr>
              <w:t>nouveaux</w:t>
            </w:r>
            <w:r>
              <w:rPr>
                <w:rFonts w:ascii="Times New Roman" w:hAnsi="Times New Roman"/>
                <w:noProof/>
                <w:sz w:val="24"/>
              </w:rPr>
              <w:t xml:space="preserve"> </w:t>
            </w:r>
            <w:r>
              <w:rPr>
                <w:rFonts w:ascii="Times New Roman" w:hAnsi="Times New Roman"/>
                <w:b/>
                <w:bCs/>
                <w:noProof/>
                <w:sz w:val="24"/>
              </w:rPr>
              <w:t>donateurs</w:t>
            </w:r>
            <w:r>
              <w:rPr>
                <w:rFonts w:ascii="Times New Roman" w:hAnsi="Times New Roman"/>
                <w:noProof/>
                <w:sz w:val="24"/>
              </w:rPr>
              <w:t xml:space="preserve"> </w:t>
            </w:r>
            <w:r>
              <w:rPr>
                <w:rFonts w:ascii="Times New Roman" w:hAnsi="Times New Roman"/>
                <w:b/>
                <w:bCs/>
                <w:noProof/>
                <w:sz w:val="24"/>
              </w:rPr>
              <w:t>et de nouveaux acteurs</w:t>
            </w:r>
            <w:r>
              <w:rPr>
                <w:rFonts w:ascii="Times New Roman" w:hAnsi="Times New Roman"/>
                <w:noProof/>
                <w:sz w:val="24"/>
              </w:rPr>
              <w:t xml:space="preserve"> dans les interventions humanitaires. Ce cadre recensera les domaines d’intervention concrets et les régions prioritaires nécessitant une coopération avec différents acteurs;</w:t>
            </w:r>
          </w:p>
          <w:p w14:paraId="49B88A17" w14:textId="42238F6B" w:rsidR="00456B58" w:rsidRPr="009B0811" w:rsidRDefault="007D3A65" w:rsidP="00321376">
            <w:pPr>
              <w:pStyle w:val="ListParagraph"/>
              <w:numPr>
                <w:ilvl w:val="0"/>
                <w:numId w:val="12"/>
              </w:numPr>
              <w:spacing w:after="240"/>
              <w:jc w:val="both"/>
              <w:rPr>
                <w:rFonts w:ascii="Times New Roman" w:hAnsi="Times New Roman" w:cs="Times New Roman"/>
                <w:noProof/>
                <w:sz w:val="24"/>
                <w:szCs w:val="24"/>
              </w:rPr>
            </w:pPr>
            <w:r>
              <w:rPr>
                <w:rFonts w:ascii="Times New Roman" w:hAnsi="Times New Roman"/>
                <w:noProof/>
                <w:sz w:val="24"/>
              </w:rPr>
              <w:t xml:space="preserve">renforcer le </w:t>
            </w:r>
            <w:r>
              <w:rPr>
                <w:rFonts w:ascii="Times New Roman" w:hAnsi="Times New Roman"/>
                <w:b/>
                <w:bCs/>
                <w:noProof/>
                <w:sz w:val="24"/>
              </w:rPr>
              <w:t>dialogue avec les citoyens de l’UE</w:t>
            </w:r>
            <w:r>
              <w:rPr>
                <w:rFonts w:ascii="Times New Roman" w:hAnsi="Times New Roman"/>
                <w:noProof/>
                <w:sz w:val="24"/>
              </w:rPr>
              <w:t>, par exemple au moyen de campagnes de communication ou d’échanges ad hoc ciblés.</w:t>
            </w:r>
          </w:p>
        </w:tc>
      </w:tr>
      <w:bookmarkEnd w:id="7"/>
    </w:tbl>
    <w:p w14:paraId="2FC7CA5E" w14:textId="77777777" w:rsidR="00222975" w:rsidRPr="00155184" w:rsidRDefault="00222975" w:rsidP="00456B58">
      <w:pPr>
        <w:spacing w:line="240" w:lineRule="auto"/>
        <w:jc w:val="both"/>
        <w:rPr>
          <w:rFonts w:ascii="Times New Roman" w:hAnsi="Times New Roman" w:cs="Times New Roman"/>
          <w:b/>
          <w:bCs/>
          <w:i/>
          <w:iCs/>
          <w:noProof/>
          <w:lang w:val="fr-BE"/>
        </w:rPr>
      </w:pPr>
    </w:p>
    <w:p w14:paraId="51EA39DB" w14:textId="5FDCAC38" w:rsidR="00456B58" w:rsidRPr="009B0811" w:rsidRDefault="00456B58" w:rsidP="00456B58">
      <w:pPr>
        <w:spacing w:line="240" w:lineRule="auto"/>
        <w:jc w:val="both"/>
        <w:rPr>
          <w:rFonts w:ascii="Times New Roman" w:hAnsi="Times New Roman" w:cs="Times New Roman"/>
          <w:b/>
          <w:bCs/>
          <w:i/>
          <w:iCs/>
          <w:noProof/>
        </w:rPr>
      </w:pPr>
      <w:r>
        <w:rPr>
          <w:rFonts w:ascii="Times New Roman" w:hAnsi="Times New Roman"/>
          <w:b/>
          <w:i/>
          <w:noProof/>
        </w:rPr>
        <w:t>3.3. Obtenir des résultats grâce à l’approche «Équipe Europe»</w:t>
      </w:r>
    </w:p>
    <w:p w14:paraId="21BA7694" w14:textId="5C3535CC" w:rsidR="00456B58" w:rsidRPr="009B0811" w:rsidRDefault="00456B58" w:rsidP="00456B58">
      <w:pPr>
        <w:spacing w:line="240" w:lineRule="auto"/>
        <w:jc w:val="both"/>
        <w:rPr>
          <w:rFonts w:ascii="Times New Roman" w:hAnsi="Times New Roman" w:cs="Times New Roman"/>
          <w:noProof/>
        </w:rPr>
      </w:pPr>
      <w:r>
        <w:rPr>
          <w:rFonts w:ascii="Times New Roman" w:hAnsi="Times New Roman"/>
          <w:b/>
          <w:noProof/>
        </w:rPr>
        <w:t>Ensemble, l’UE et ses États membres fournissent la plus grande part du financement humanitaire à l’échelle mondiale.</w:t>
      </w:r>
      <w:r>
        <w:rPr>
          <w:rFonts w:ascii="Times New Roman" w:hAnsi="Times New Roman"/>
          <w:noProof/>
        </w:rPr>
        <w:t xml:space="preserve"> Conformément au consensus européen sur l’aide humanitaire, ils partagent un attachement résolu aux principes humanitaires, à une aide axée sur les besoins, ainsi qu’à un système multilatéral fondé sur des règles. S’agissant de la planification et des aspects opérationnels, un </w:t>
      </w:r>
      <w:r>
        <w:rPr>
          <w:rFonts w:ascii="Times New Roman" w:hAnsi="Times New Roman"/>
          <w:b/>
          <w:bCs/>
          <w:noProof/>
        </w:rPr>
        <w:t>alignement plus étroit</w:t>
      </w:r>
      <w:r>
        <w:rPr>
          <w:rFonts w:ascii="Times New Roman" w:hAnsi="Times New Roman"/>
          <w:noProof/>
        </w:rPr>
        <w:t xml:space="preserve"> entre l’UE et ses États membres produirait des effets sensiblement plus importants et leur permettrait, en parlant à l’unisson, de mieux faire entendre leur voix. </w:t>
      </w:r>
    </w:p>
    <w:p w14:paraId="0963D473" w14:textId="259715EC" w:rsidR="00456B58" w:rsidRPr="009B0811" w:rsidRDefault="00456B58" w:rsidP="00456B58">
      <w:pPr>
        <w:spacing w:line="240" w:lineRule="auto"/>
        <w:jc w:val="both"/>
        <w:rPr>
          <w:rFonts w:ascii="Times New Roman" w:hAnsi="Times New Roman" w:cs="Times New Roman"/>
          <w:noProof/>
        </w:rPr>
      </w:pPr>
      <w:r>
        <w:rPr>
          <w:rFonts w:ascii="Times New Roman" w:hAnsi="Times New Roman"/>
          <w:noProof/>
        </w:rPr>
        <w:t xml:space="preserve">Dans le contexte actuel marqué par une pénurie de ressources, les partenaires chargés de la mise en œuvre qui sont soutenus par l’UE et ses États membres tireraient avantage d’une </w:t>
      </w:r>
      <w:r>
        <w:rPr>
          <w:rFonts w:ascii="Times New Roman" w:hAnsi="Times New Roman"/>
          <w:b/>
          <w:bCs/>
          <w:noProof/>
        </w:rPr>
        <w:t>harmonisation des besoins en dons</w:t>
      </w:r>
      <w:r>
        <w:rPr>
          <w:rFonts w:ascii="Times New Roman" w:hAnsi="Times New Roman"/>
          <w:noProof/>
        </w:rPr>
        <w:t xml:space="preserve">, qui leur permettrait de réaliser des économies considérables. </w:t>
      </w:r>
    </w:p>
    <w:p w14:paraId="55D9FA98" w14:textId="78B8A935" w:rsidR="00456B58" w:rsidRPr="009B0811" w:rsidRDefault="00103674" w:rsidP="00456B58">
      <w:pPr>
        <w:spacing w:line="240" w:lineRule="auto"/>
        <w:jc w:val="both"/>
        <w:rPr>
          <w:rFonts w:ascii="Times New Roman" w:hAnsi="Times New Roman" w:cs="Times New Roman"/>
          <w:noProof/>
        </w:rPr>
      </w:pPr>
      <w:r>
        <w:rPr>
          <w:rFonts w:ascii="Times New Roman" w:hAnsi="Times New Roman"/>
          <w:noProof/>
        </w:rPr>
        <w:t xml:space="preserve">C’est pourquoi, en complément de l’approche «Équipe Europe» proposée au fil de la présente communication conjointe, l’UE s’attachera à promouvoir des </w:t>
      </w:r>
      <w:r>
        <w:rPr>
          <w:rFonts w:ascii="Times New Roman" w:hAnsi="Times New Roman"/>
          <w:b/>
          <w:bCs/>
          <w:noProof/>
        </w:rPr>
        <w:t>processus de financement harmonisés et interopérables</w:t>
      </w:r>
      <w:r>
        <w:rPr>
          <w:rFonts w:ascii="Times New Roman" w:hAnsi="Times New Roman"/>
          <w:noProof/>
        </w:rPr>
        <w:t xml:space="preserve"> à l’échelle de l’Équipe Europe. En particulier, une harmonisation numérique accrue permettrait de mettre en commun les ressources de l’Équipe Europe avec plus d’efficacité et de cohérence. Elle améliorerait également les résultats de l’action humanitaire ainsi que la visibilité de l’Équipe Europe, tout en réduisant la charge administrative pesant sur les partenaires. </w:t>
      </w:r>
    </w:p>
    <w:tbl>
      <w:tblPr>
        <w:tblStyle w:val="TableGrid"/>
        <w:tblW w:w="0" w:type="auto"/>
        <w:tblLook w:val="04A0" w:firstRow="1" w:lastRow="0" w:firstColumn="1" w:lastColumn="0" w:noHBand="0" w:noVBand="1"/>
      </w:tblPr>
      <w:tblGrid>
        <w:gridCol w:w="9062"/>
      </w:tblGrid>
      <w:tr w:rsidR="00456B58" w:rsidRPr="009B0811" w14:paraId="07F143D8" w14:textId="77777777" w:rsidTr="004942CF">
        <w:tc>
          <w:tcPr>
            <w:tcW w:w="9288" w:type="dxa"/>
            <w:shd w:val="clear" w:color="auto" w:fill="F2F2F2" w:themeFill="background1" w:themeFillShade="F2"/>
          </w:tcPr>
          <w:p w14:paraId="266F899D" w14:textId="4285F2AB" w:rsidR="00456B58" w:rsidRPr="00F17992" w:rsidRDefault="00456B58" w:rsidP="004942CF">
            <w:pPr>
              <w:jc w:val="both"/>
              <w:rPr>
                <w:rFonts w:ascii="Times New Roman" w:hAnsi="Times New Roman" w:cs="Times New Roman"/>
                <w:b/>
                <w:bCs/>
                <w:noProof/>
                <w:sz w:val="24"/>
                <w:szCs w:val="24"/>
              </w:rPr>
            </w:pPr>
            <w:r>
              <w:rPr>
                <w:rFonts w:ascii="Times New Roman" w:hAnsi="Times New Roman"/>
                <w:b/>
                <w:noProof/>
                <w:sz w:val="24"/>
              </w:rPr>
              <w:t>Actions clés</w:t>
            </w:r>
          </w:p>
          <w:p w14:paraId="1FFF1132" w14:textId="77777777" w:rsidR="00456B58" w:rsidRPr="00155184" w:rsidRDefault="00456B58" w:rsidP="004942CF">
            <w:pPr>
              <w:jc w:val="both"/>
              <w:rPr>
                <w:rFonts w:ascii="Times New Roman" w:hAnsi="Times New Roman" w:cs="Times New Roman"/>
                <w:b/>
                <w:bCs/>
                <w:noProof/>
                <w:sz w:val="24"/>
                <w:szCs w:val="24"/>
                <w:lang w:val="fr-BE"/>
              </w:rPr>
            </w:pPr>
          </w:p>
          <w:p w14:paraId="174377BE" w14:textId="33F1C948" w:rsidR="00456B58" w:rsidRPr="00F17992" w:rsidRDefault="00456B58" w:rsidP="004942CF">
            <w:pPr>
              <w:jc w:val="both"/>
              <w:rPr>
                <w:rFonts w:ascii="Times New Roman" w:hAnsi="Times New Roman" w:cs="Times New Roman"/>
                <w:noProof/>
                <w:sz w:val="24"/>
                <w:szCs w:val="24"/>
              </w:rPr>
            </w:pPr>
            <w:r>
              <w:rPr>
                <w:rFonts w:ascii="Times New Roman" w:hAnsi="Times New Roman"/>
                <w:noProof/>
                <w:sz w:val="24"/>
              </w:rPr>
              <w:t>La Commission entend:</w:t>
            </w:r>
          </w:p>
          <w:p w14:paraId="12557FEE" w14:textId="51335A83" w:rsidR="00456B58" w:rsidRPr="00F17992" w:rsidRDefault="007D3A65" w:rsidP="00321376">
            <w:pPr>
              <w:pStyle w:val="ListParagraph"/>
              <w:numPr>
                <w:ilvl w:val="0"/>
                <w:numId w:val="11"/>
              </w:numPr>
              <w:spacing w:after="240"/>
              <w:jc w:val="both"/>
              <w:rPr>
                <w:rFonts w:ascii="Times New Roman" w:hAnsi="Times New Roman" w:cs="Times New Roman"/>
                <w:noProof/>
                <w:sz w:val="24"/>
                <w:szCs w:val="24"/>
              </w:rPr>
            </w:pPr>
            <w:r>
              <w:rPr>
                <w:rFonts w:ascii="Times New Roman" w:hAnsi="Times New Roman"/>
                <w:noProof/>
                <w:sz w:val="24"/>
              </w:rPr>
              <w:t xml:space="preserve">en complément de ses efforts de simplification de la gestion des subventions, </w:t>
            </w:r>
            <w:r>
              <w:rPr>
                <w:rFonts w:ascii="Times New Roman" w:hAnsi="Times New Roman"/>
                <w:b/>
                <w:bCs/>
                <w:noProof/>
                <w:sz w:val="24"/>
              </w:rPr>
              <w:t xml:space="preserve">simplifier </w:t>
            </w:r>
            <w:r>
              <w:rPr>
                <w:rFonts w:ascii="Times New Roman" w:hAnsi="Times New Roman"/>
                <w:noProof/>
                <w:sz w:val="24"/>
              </w:rPr>
              <w:t xml:space="preserve">considérablement </w:t>
            </w:r>
            <w:r>
              <w:rPr>
                <w:rFonts w:ascii="Times New Roman" w:hAnsi="Times New Roman"/>
                <w:b/>
                <w:bCs/>
                <w:noProof/>
                <w:sz w:val="24"/>
              </w:rPr>
              <w:t>ses exigences non réglementaires</w:t>
            </w:r>
            <w:r>
              <w:rPr>
                <w:rFonts w:ascii="Times New Roman" w:hAnsi="Times New Roman"/>
                <w:noProof/>
                <w:sz w:val="24"/>
              </w:rPr>
              <w:t>, y compris ses orientations sur le plan humanitaire et ses exigences relatives à la communication d’informations. Ces procédures simplifiées pourront servir de base commune aux approches «Équipe Europe» en matière de financement;</w:t>
            </w:r>
          </w:p>
          <w:p w14:paraId="75198102" w14:textId="19C45D11" w:rsidR="00456B58" w:rsidRPr="00F17992" w:rsidRDefault="007D3A65" w:rsidP="00321376">
            <w:pPr>
              <w:pStyle w:val="ListParagraph"/>
              <w:numPr>
                <w:ilvl w:val="0"/>
                <w:numId w:val="11"/>
              </w:numPr>
              <w:spacing w:after="240"/>
              <w:jc w:val="both"/>
              <w:rPr>
                <w:rFonts w:ascii="Times New Roman" w:hAnsi="Times New Roman" w:cs="Times New Roman"/>
                <w:noProof/>
                <w:sz w:val="24"/>
                <w:szCs w:val="24"/>
              </w:rPr>
            </w:pPr>
            <w:r>
              <w:rPr>
                <w:rFonts w:ascii="Times New Roman" w:hAnsi="Times New Roman"/>
                <w:noProof/>
                <w:sz w:val="24"/>
              </w:rPr>
              <w:t xml:space="preserve">dans la perspective du prochain cadre financier pluriannuel (2028-2034), œuvrer à la mise en place d’un </w:t>
            </w:r>
            <w:r>
              <w:rPr>
                <w:rFonts w:ascii="Times New Roman" w:hAnsi="Times New Roman"/>
                <w:b/>
                <w:bCs/>
                <w:noProof/>
                <w:sz w:val="24"/>
              </w:rPr>
              <w:t>cadre de certification</w:t>
            </w:r>
            <w:r>
              <w:rPr>
                <w:rFonts w:ascii="Times New Roman" w:hAnsi="Times New Roman"/>
                <w:noProof/>
                <w:sz w:val="24"/>
              </w:rPr>
              <w:t xml:space="preserve"> des ONG humanitaires auquel davantage d’États membres de l’UE pourront recourir en commun, ce qui profitera à la fois aux États membres et aux partenaires de l’UE;</w:t>
            </w:r>
          </w:p>
          <w:p w14:paraId="6E7728BA" w14:textId="4A193DC1" w:rsidR="00456B58" w:rsidRPr="00F17992" w:rsidRDefault="007D3A65" w:rsidP="00321376">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 xml:space="preserve">tout au long du cycle de vie du financement humanitaire et dans le domaine des portefeuilles d’intervention d’urgence, rechercher avec les États membres de l’UE des </w:t>
            </w:r>
            <w:r>
              <w:rPr>
                <w:rFonts w:ascii="Times New Roman" w:hAnsi="Times New Roman"/>
                <w:b/>
                <w:bCs/>
                <w:noProof/>
                <w:sz w:val="24"/>
              </w:rPr>
              <w:t>synergies supplémentaires, envisager des approches communes, étudier des modalités partagées ainsi que des structures de coordination</w:t>
            </w:r>
            <w:r>
              <w:rPr>
                <w:rFonts w:ascii="Times New Roman" w:hAnsi="Times New Roman"/>
                <w:noProof/>
                <w:sz w:val="24"/>
              </w:rPr>
              <w:t xml:space="preserve"> afin de mettre en commun les ressources de l’UE de manière plus efficace. Il pourrait s’agir notamment d’utiliser ReliefEU pour coordonner les initiatives concernant la constitution de stocks et les réponses conjointes;</w:t>
            </w:r>
          </w:p>
          <w:p w14:paraId="6C626346" w14:textId="7E8A22EA" w:rsidR="00456B58" w:rsidRPr="00F17992" w:rsidRDefault="007D3A65" w:rsidP="00321376">
            <w:pPr>
              <w:pStyle w:val="ListParagraph"/>
              <w:numPr>
                <w:ilvl w:val="0"/>
                <w:numId w:val="11"/>
              </w:numPr>
              <w:spacing w:after="240"/>
              <w:jc w:val="both"/>
              <w:rPr>
                <w:rFonts w:ascii="Times New Roman" w:hAnsi="Times New Roman" w:cs="Times New Roman"/>
                <w:noProof/>
                <w:sz w:val="24"/>
                <w:szCs w:val="24"/>
              </w:rPr>
            </w:pPr>
            <w:r>
              <w:rPr>
                <w:rFonts w:ascii="Times New Roman" w:hAnsi="Times New Roman"/>
                <w:noProof/>
                <w:sz w:val="24"/>
              </w:rPr>
              <w:t xml:space="preserve">examiner avec les États membres de l’UE les possibilités de mise en place d’une </w:t>
            </w:r>
            <w:r>
              <w:rPr>
                <w:rFonts w:ascii="Times New Roman" w:hAnsi="Times New Roman"/>
                <w:b/>
                <w:bCs/>
                <w:noProof/>
                <w:sz w:val="24"/>
              </w:rPr>
              <w:t>plateforme commune pour la soumission et le partage de propositions de financement harmonisées</w:t>
            </w:r>
            <w:r>
              <w:rPr>
                <w:rFonts w:ascii="Times New Roman" w:hAnsi="Times New Roman"/>
                <w:noProof/>
                <w:sz w:val="24"/>
              </w:rPr>
              <w:t xml:space="preserve">, destinée à servir de </w:t>
            </w:r>
            <w:r>
              <w:rPr>
                <w:rFonts w:ascii="Times New Roman" w:hAnsi="Times New Roman"/>
                <w:b/>
                <w:bCs/>
                <w:noProof/>
                <w:sz w:val="24"/>
              </w:rPr>
              <w:t>guichet unique</w:t>
            </w:r>
            <w:r>
              <w:rPr>
                <w:rFonts w:ascii="Times New Roman" w:hAnsi="Times New Roman"/>
                <w:noProof/>
                <w:sz w:val="24"/>
              </w:rPr>
              <w:t xml:space="preserve"> </w:t>
            </w:r>
            <w:r>
              <w:rPr>
                <w:rFonts w:ascii="Times New Roman" w:hAnsi="Times New Roman"/>
                <w:b/>
                <w:bCs/>
                <w:noProof/>
                <w:sz w:val="24"/>
              </w:rPr>
              <w:t>flexible</w:t>
            </w:r>
            <w:r>
              <w:rPr>
                <w:rFonts w:ascii="Times New Roman" w:hAnsi="Times New Roman"/>
                <w:noProof/>
                <w:sz w:val="24"/>
              </w:rPr>
              <w:t xml:space="preserve"> pour soumettre des propositions que les différents acteurs de l’Équipe Europe pourraient ensuite sélectionner en fonction des priorités;</w:t>
            </w:r>
          </w:p>
          <w:p w14:paraId="15877070" w14:textId="146A636C" w:rsidR="00456B58" w:rsidRPr="009B0811" w:rsidRDefault="007D3A65" w:rsidP="00321376">
            <w:pPr>
              <w:pStyle w:val="ListParagraph"/>
              <w:numPr>
                <w:ilvl w:val="0"/>
                <w:numId w:val="11"/>
              </w:numPr>
              <w:spacing w:after="240"/>
              <w:jc w:val="both"/>
              <w:rPr>
                <w:rFonts w:ascii="Times New Roman" w:hAnsi="Times New Roman" w:cs="Times New Roman"/>
                <w:noProof/>
                <w:sz w:val="24"/>
                <w:szCs w:val="24"/>
              </w:rPr>
            </w:pPr>
            <w:r>
              <w:rPr>
                <w:rFonts w:ascii="Times New Roman" w:hAnsi="Times New Roman"/>
                <w:noProof/>
                <w:sz w:val="24"/>
              </w:rPr>
              <w:t xml:space="preserve">collaborer avec les États membres de l’UE pour envisager des </w:t>
            </w:r>
            <w:r>
              <w:rPr>
                <w:rFonts w:ascii="Times New Roman" w:hAnsi="Times New Roman"/>
                <w:b/>
                <w:bCs/>
                <w:noProof/>
                <w:sz w:val="24"/>
              </w:rPr>
              <w:t>cadres de déclaration numérique communs</w:t>
            </w:r>
            <w:r>
              <w:rPr>
                <w:rFonts w:ascii="Times New Roman" w:hAnsi="Times New Roman"/>
                <w:noProof/>
                <w:sz w:val="24"/>
              </w:rPr>
              <w:t>.</w:t>
            </w:r>
          </w:p>
        </w:tc>
      </w:tr>
    </w:tbl>
    <w:p w14:paraId="4DC47010" w14:textId="77777777" w:rsidR="00456B58" w:rsidRPr="00155184" w:rsidRDefault="00456B58" w:rsidP="00456B58">
      <w:pPr>
        <w:spacing w:line="240" w:lineRule="auto"/>
        <w:jc w:val="both"/>
        <w:rPr>
          <w:rFonts w:ascii="Times New Roman" w:hAnsi="Times New Roman" w:cs="Times New Roman"/>
          <w:noProof/>
          <w:lang w:val="fr-BE"/>
        </w:rPr>
      </w:pPr>
    </w:p>
    <w:p w14:paraId="040BF14E" w14:textId="6A5425AE" w:rsidR="00456B58" w:rsidRPr="00970492" w:rsidRDefault="00456B58" w:rsidP="00456B58">
      <w:pPr>
        <w:spacing w:line="240" w:lineRule="auto"/>
        <w:jc w:val="both"/>
        <w:rPr>
          <w:rFonts w:ascii="Times New Roman" w:hAnsi="Times New Roman" w:cs="Times New Roman"/>
          <w:b/>
          <w:bCs/>
          <w:noProof/>
        </w:rPr>
      </w:pPr>
      <w:r>
        <w:rPr>
          <w:rFonts w:ascii="Times New Roman" w:hAnsi="Times New Roman"/>
          <w:b/>
          <w:noProof/>
        </w:rPr>
        <w:t>Conclusion</w:t>
      </w:r>
    </w:p>
    <w:p w14:paraId="68E0D486" w14:textId="5F403EDA" w:rsidR="00C82058" w:rsidRPr="00EE1601" w:rsidRDefault="00CF3A99" w:rsidP="00426386">
      <w:pPr>
        <w:spacing w:line="240" w:lineRule="auto"/>
        <w:jc w:val="both"/>
        <w:rPr>
          <w:noProof/>
        </w:rPr>
      </w:pPr>
      <w:r>
        <w:rPr>
          <w:rFonts w:ascii="Times New Roman" w:hAnsi="Times New Roman"/>
          <w:noProof/>
        </w:rPr>
        <w:t xml:space="preserve">Depuis des décennies, l’action humanitaire de l’UE a fait la preuve de sa valeur en apportant une réponse prévisible, fondée sur les besoins et guidée par des principes. Les nombreuses personnes qui ont survécu à des crises et catastrophes peuvent en témoigner. En contribuant à atténuer les effets des crises humanitaires et à remédier aux situations de fragilité, l’UE œuvre également à un environnement plus sûr et plus stable, y compris dans son voisinage élargi. Par la présente communication conjointe, elle </w:t>
      </w:r>
      <w:r>
        <w:rPr>
          <w:rFonts w:ascii="Times New Roman" w:hAnsi="Times New Roman"/>
          <w:b/>
          <w:bCs/>
          <w:noProof/>
        </w:rPr>
        <w:t>réaffirme son attachement à la solidarité avec les personnes dans le dénuement</w:t>
      </w:r>
      <w:r>
        <w:rPr>
          <w:rFonts w:ascii="Times New Roman" w:hAnsi="Times New Roman"/>
          <w:noProof/>
        </w:rPr>
        <w:t xml:space="preserve">. Elle continuera de promouvoir et de défendre une aide humanitaire et un droit international humanitaire guidés par des principes, tant dans le cadre de son action extérieure qu’au niveau international. L’UE aspire à </w:t>
      </w:r>
      <w:r>
        <w:rPr>
          <w:rFonts w:ascii="Times New Roman" w:hAnsi="Times New Roman"/>
          <w:b/>
          <w:bCs/>
          <w:noProof/>
        </w:rPr>
        <w:t>susciter un changement positif dans le secteur de l’aide humanitaire</w:t>
      </w:r>
      <w:r>
        <w:rPr>
          <w:rFonts w:ascii="Times New Roman" w:hAnsi="Times New Roman"/>
          <w:noProof/>
        </w:rPr>
        <w:t xml:space="preserve">, pour le plus grand bénéfice des personnes touchées et de la communauté humanitaire dans son ensemble, en rendant cette aide </w:t>
      </w:r>
      <w:r>
        <w:rPr>
          <w:rFonts w:ascii="Times New Roman" w:hAnsi="Times New Roman"/>
          <w:b/>
          <w:bCs/>
          <w:noProof/>
        </w:rPr>
        <w:t>plus résiliente, plus efficace et plus durable</w:t>
      </w:r>
      <w:r>
        <w:rPr>
          <w:rFonts w:ascii="Times New Roman" w:hAnsi="Times New Roman"/>
          <w:noProof/>
        </w:rPr>
        <w:t>.</w:t>
      </w:r>
      <w:r>
        <w:rPr>
          <w:rFonts w:ascii="Times New Roman" w:hAnsi="Times New Roman"/>
          <w:b/>
          <w:noProof/>
        </w:rPr>
        <w:t xml:space="preserve"> </w:t>
      </w:r>
      <w:r>
        <w:rPr>
          <w:rFonts w:ascii="Times New Roman" w:hAnsi="Times New Roman"/>
          <w:noProof/>
        </w:rPr>
        <w:t>Pour faire face à l’urgence de la situation actuelle, la Commission, en étroite coopération, le cas échéant, avec la haute représentante de l’Union pour les affaires étrangères et la politique de sécurité, fera avancer les actions décrites avec une grande détermination. Elle fera le point sur la mise en œuvre de la présente communication conjointe en 2028.</w:t>
      </w:r>
    </w:p>
    <w:sectPr w:rsidR="00C82058" w:rsidRPr="00EE1601" w:rsidSect="00456B58">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EF2C6" w14:textId="77777777" w:rsidR="00D90673" w:rsidRDefault="00D90673" w:rsidP="00A0722F">
      <w:pPr>
        <w:spacing w:after="0" w:line="240" w:lineRule="auto"/>
      </w:pPr>
      <w:r>
        <w:separator/>
      </w:r>
    </w:p>
  </w:endnote>
  <w:endnote w:type="continuationSeparator" w:id="0">
    <w:p w14:paraId="7DBD0DAC" w14:textId="77777777" w:rsidR="00D90673" w:rsidRDefault="00D90673" w:rsidP="00A0722F">
      <w:pPr>
        <w:spacing w:after="0" w:line="240" w:lineRule="auto"/>
      </w:pPr>
      <w:r>
        <w:continuationSeparator/>
      </w:r>
    </w:p>
  </w:endnote>
  <w:endnote w:type="continuationNotice" w:id="1">
    <w:p w14:paraId="35567AF7" w14:textId="77777777" w:rsidR="00D90673" w:rsidRDefault="00D906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EF608" w14:textId="152A3D24" w:rsidR="00BD1ABC" w:rsidRPr="00BD1ABC" w:rsidRDefault="00BD1ABC" w:rsidP="00BD1ABC">
    <w:pPr>
      <w:pStyle w:val="FooterCoverPage"/>
      <w:rPr>
        <w:rFonts w:ascii="Arial" w:hAnsi="Arial" w:cs="Arial"/>
        <w:b/>
        <w:sz w:val="48"/>
      </w:rPr>
    </w:pPr>
    <w:r w:rsidRPr="00BD1ABC">
      <w:rPr>
        <w:rFonts w:ascii="Arial" w:hAnsi="Arial" w:cs="Arial"/>
        <w:b/>
        <w:sz w:val="48"/>
      </w:rPr>
      <w:t>FR</w:t>
    </w:r>
    <w:r w:rsidRPr="00BD1ABC">
      <w:rPr>
        <w:rFonts w:ascii="Arial" w:hAnsi="Arial" w:cs="Arial"/>
        <w:b/>
        <w:sz w:val="48"/>
      </w:rPr>
      <w:tab/>
    </w:r>
    <w:r w:rsidRPr="00BD1ABC">
      <w:rPr>
        <w:rFonts w:ascii="Arial" w:hAnsi="Arial" w:cs="Arial"/>
        <w:b/>
        <w:sz w:val="48"/>
      </w:rPr>
      <w:tab/>
    </w:r>
    <w:r w:rsidRPr="00BD1ABC">
      <w:tab/>
    </w:r>
    <w:r w:rsidRPr="00BD1AB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F2907" w14:textId="304BEB4C" w:rsidR="00BD1ABC" w:rsidRPr="00BD1ABC" w:rsidRDefault="00BD1ABC" w:rsidP="00BD1ABC">
    <w:pPr>
      <w:pStyle w:val="FooterCoverPage"/>
      <w:rPr>
        <w:rFonts w:ascii="Arial" w:hAnsi="Arial" w:cs="Arial"/>
        <w:b/>
        <w:sz w:val="48"/>
      </w:rPr>
    </w:pPr>
    <w:r w:rsidRPr="00BD1ABC">
      <w:rPr>
        <w:rFonts w:ascii="Arial" w:hAnsi="Arial" w:cs="Arial"/>
        <w:b/>
        <w:sz w:val="48"/>
      </w:rPr>
      <w:t>FR</w:t>
    </w:r>
    <w:r w:rsidRPr="00BD1ABC">
      <w:rPr>
        <w:rFonts w:ascii="Arial" w:hAnsi="Arial" w:cs="Arial"/>
        <w:b/>
        <w:sz w:val="48"/>
      </w:rPr>
      <w:tab/>
    </w:r>
    <w:r w:rsidRPr="00BD1ABC">
      <w:rPr>
        <w:rFonts w:ascii="Arial" w:hAnsi="Arial" w:cs="Arial"/>
        <w:b/>
        <w:sz w:val="48"/>
      </w:rPr>
      <w:tab/>
    </w:r>
    <w:r w:rsidRPr="00BD1ABC">
      <w:tab/>
    </w:r>
    <w:r w:rsidRPr="00BD1AB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4FC6C" w14:textId="77777777" w:rsidR="00BD1ABC" w:rsidRPr="00BD1ABC" w:rsidRDefault="00BD1ABC" w:rsidP="00BD1AB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51B88" w14:textId="77777777" w:rsidR="00456B58" w:rsidRDefault="00456B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355658"/>
      <w:docPartObj>
        <w:docPartGallery w:val="Page Numbers (Bottom of Page)"/>
        <w:docPartUnique/>
      </w:docPartObj>
    </w:sdtPr>
    <w:sdtEndPr>
      <w:rPr>
        <w:rFonts w:ascii="Times New Roman" w:hAnsi="Times New Roman" w:cs="Times New Roman"/>
        <w:noProof/>
      </w:rPr>
    </w:sdtEndPr>
    <w:sdtContent>
      <w:p w14:paraId="2B2121C6" w14:textId="07E847F5" w:rsidR="00456B58" w:rsidRPr="00FD51E4" w:rsidRDefault="00456B58">
        <w:pPr>
          <w:pStyle w:val="Footer"/>
          <w:jc w:val="center"/>
          <w:rPr>
            <w:rFonts w:ascii="Times New Roman" w:hAnsi="Times New Roman" w:cs="Times New Roman"/>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BD1ABC">
          <w:rPr>
            <w:rFonts w:ascii="Times New Roman" w:hAnsi="Times New Roman" w:cs="Times New Roman"/>
            <w:noProof/>
            <w:sz w:val="20"/>
          </w:rPr>
          <w:t>1</w:t>
        </w:r>
        <w:r>
          <w:rPr>
            <w:rFonts w:ascii="Times New Roman" w:hAnsi="Times New Roman" w:cs="Times New Roman"/>
            <w:sz w:val="20"/>
          </w:rPr>
          <w:fldChar w:fldCharType="end"/>
        </w:r>
      </w:p>
    </w:sdtContent>
  </w:sdt>
  <w:p w14:paraId="31195FEE" w14:textId="77777777" w:rsidR="00456B58" w:rsidRDefault="00456B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E21F3" w14:textId="77777777" w:rsidR="00456B58" w:rsidRDefault="00456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302BC" w14:textId="77777777" w:rsidR="00D90673" w:rsidRDefault="00D90673" w:rsidP="00A0722F">
      <w:pPr>
        <w:spacing w:after="0" w:line="240" w:lineRule="auto"/>
      </w:pPr>
      <w:r>
        <w:separator/>
      </w:r>
    </w:p>
  </w:footnote>
  <w:footnote w:type="continuationSeparator" w:id="0">
    <w:p w14:paraId="15F83C1A" w14:textId="77777777" w:rsidR="00D90673" w:rsidRDefault="00D90673" w:rsidP="00A0722F">
      <w:pPr>
        <w:spacing w:after="0" w:line="240" w:lineRule="auto"/>
      </w:pPr>
      <w:r>
        <w:continuationSeparator/>
      </w:r>
    </w:p>
  </w:footnote>
  <w:footnote w:type="continuationNotice" w:id="1">
    <w:p w14:paraId="30AF6FC0" w14:textId="77777777" w:rsidR="00D90673" w:rsidRDefault="00D90673">
      <w:pPr>
        <w:spacing w:after="0" w:line="240" w:lineRule="auto"/>
      </w:pPr>
    </w:p>
  </w:footnote>
  <w:footnote w:id="2">
    <w:p w14:paraId="0C618FDA" w14:textId="77777777" w:rsidR="001F790F" w:rsidRPr="00D06F1A" w:rsidRDefault="001F790F" w:rsidP="001F790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termes «aide humanitaire» et «assistance humanitaire» sont utilisés indifféremment dans le présent document.</w:t>
      </w:r>
    </w:p>
  </w:footnote>
  <w:footnote w:id="3">
    <w:p w14:paraId="5DC81B97" w14:textId="3473EEBD" w:rsidR="00456B58" w:rsidRPr="00D06F1A"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(CE) nº 1257/96 du Conseil concernant l’aide humanitaire.</w:t>
      </w:r>
      <w:r>
        <w:rPr>
          <w:rFonts w:ascii="Times New Roman" w:hAnsi="Times New Roman"/>
          <w:strike/>
        </w:rPr>
        <w:t xml:space="preserve"> </w:t>
      </w:r>
    </w:p>
  </w:footnote>
  <w:footnote w:id="4">
    <w:p w14:paraId="60D74652" w14:textId="7262157D" w:rsidR="00456B58" w:rsidRPr="00D06F1A"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Déclaration commune relative au consensus européen sur l’aide humanitaire. </w:t>
      </w:r>
      <w:r>
        <w:rPr>
          <w:rFonts w:ascii="Times New Roman" w:hAnsi="Times New Roman"/>
          <w:i/>
          <w:iCs/>
        </w:rPr>
        <w:t>Journal officiel de l’Union européenne</w:t>
      </w:r>
      <w:r>
        <w:rPr>
          <w:rFonts w:ascii="Times New Roman" w:hAnsi="Times New Roman"/>
        </w:rPr>
        <w:t xml:space="preserve"> C, C/25/1, 30.1.2008.</w:t>
      </w:r>
      <w:r>
        <w:rPr>
          <w:rFonts w:ascii="Times New Roman" w:hAnsi="Times New Roman"/>
          <w:strike/>
        </w:rPr>
        <w:t xml:space="preserve"> </w:t>
      </w:r>
    </w:p>
  </w:footnote>
  <w:footnote w:id="5">
    <w:p w14:paraId="0FE33E44" w14:textId="38E03FC7" w:rsidR="007C623F" w:rsidRPr="00DA14A7" w:rsidRDefault="007C623F"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Article 3, paragraphe 5, du traité sur l’Union européenne (TUE)</w:t>
      </w:r>
      <w:r>
        <w:t>.</w:t>
      </w:r>
    </w:p>
  </w:footnote>
  <w:footnote w:id="6">
    <w:p w14:paraId="3DB1A928" w14:textId="0850FFFD" w:rsidR="00456B58" w:rsidRPr="00DA14A7"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centre de connaissance en matière de gestion des risques de catastrophe, indice de sévérité INFORM, faits et chiffres. Centre commun de recherche, consulté le 30 avril 2026, </w:t>
      </w:r>
      <w:hyperlink r:id="rId1" w:history="1">
        <w:r>
          <w:rPr>
            <w:rStyle w:val="Hyperlink"/>
            <w:rFonts w:ascii="Times New Roman" w:hAnsi="Times New Roman"/>
          </w:rPr>
          <w:t>https://drmkc.jrc.ec.europa.eu/inform-index/INFORM-Severity/Severity-Facts-Figures</w:t>
        </w:r>
      </w:hyperlink>
      <w:r>
        <w:rPr>
          <w:rFonts w:ascii="Times New Roman" w:hAnsi="Times New Roman"/>
        </w:rPr>
        <w:t>.</w:t>
      </w:r>
    </w:p>
  </w:footnote>
  <w:footnote w:id="7">
    <w:p w14:paraId="63B3368D" w14:textId="1161C8D6" w:rsidR="00456B58" w:rsidRPr="00D06F1A"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Comité international de la Croix-Rouge (CICR), </w:t>
      </w:r>
      <w:r>
        <w:rPr>
          <w:rFonts w:ascii="Times New Roman" w:hAnsi="Times New Roman"/>
          <w:i/>
        </w:rPr>
        <w:t>Appeal 2026: Overview</w:t>
      </w:r>
      <w:r>
        <w:rPr>
          <w:rFonts w:ascii="Times New Roman" w:hAnsi="Times New Roman"/>
        </w:rPr>
        <w:t xml:space="preserve"> (aperçu des appels en 2026), Genève, 2026, </w:t>
      </w:r>
      <w:hyperlink r:id="rId2" w:history="1">
        <w:r>
          <w:rPr>
            <w:rStyle w:val="Hyperlink"/>
            <w:rFonts w:ascii="Times New Roman" w:hAnsi="Times New Roman"/>
          </w:rPr>
          <w:t>https://www.icrc.org/sites/default/files/2026-02/ICRC-Appeals-2026-Overview.pdf</w:t>
        </w:r>
      </w:hyperlink>
      <w:r>
        <w:rPr>
          <w:rFonts w:ascii="Times New Roman" w:hAnsi="Times New Roman"/>
        </w:rPr>
        <w:t xml:space="preserve">. </w:t>
      </w:r>
    </w:p>
  </w:footnote>
  <w:footnote w:id="8">
    <w:p w14:paraId="5C25F158" w14:textId="0CC73A16" w:rsidR="00B54BBB" w:rsidRPr="00E836EF"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Agence des Nations unies pour les réfugiés (HCR), </w:t>
      </w:r>
      <w:r>
        <w:rPr>
          <w:rFonts w:ascii="Times New Roman" w:hAnsi="Times New Roman"/>
          <w:i/>
        </w:rPr>
        <w:t>Mid-Year Trends 2025</w:t>
      </w:r>
      <w:r>
        <w:rPr>
          <w:rFonts w:ascii="Times New Roman" w:hAnsi="Times New Roman"/>
        </w:rPr>
        <w:t xml:space="preserve"> (rapport semestriel 2025 sur les tendances mondiales), Copenhague, 2025, </w:t>
      </w:r>
      <w:hyperlink r:id="rId3" w:history="1">
        <w:r>
          <w:rPr>
            <w:rStyle w:val="Hyperlink"/>
            <w:rFonts w:ascii="Times New Roman" w:hAnsi="Times New Roman"/>
          </w:rPr>
          <w:t>www.unhcr.org/sites/default/files/2025-11/mid-year-trends-report-2025.pdf</w:t>
        </w:r>
      </w:hyperlink>
      <w:r>
        <w:rPr>
          <w:rFonts w:ascii="Times New Roman" w:hAnsi="Times New Roman"/>
        </w:rPr>
        <w:t xml:space="preserve">. </w:t>
      </w:r>
    </w:p>
  </w:footnote>
  <w:footnote w:id="9">
    <w:p w14:paraId="63B83B69" w14:textId="523CD900" w:rsidR="00456B58" w:rsidRPr="00DA14A7"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Réseau mondial contre les crises alimentaires, </w:t>
      </w:r>
      <w:r>
        <w:rPr>
          <w:rFonts w:ascii="Times New Roman" w:hAnsi="Times New Roman"/>
          <w:i/>
        </w:rPr>
        <w:t>2026 Global report on food crises</w:t>
      </w:r>
      <w:r>
        <w:rPr>
          <w:rFonts w:ascii="Times New Roman" w:hAnsi="Times New Roman"/>
        </w:rPr>
        <w:t xml:space="preserve"> (rapport mondial sur les crises alimentaires 2026), Rome, 2026, </w:t>
      </w:r>
      <w:hyperlink r:id="rId4" w:history="1">
        <w:r>
          <w:rPr>
            <w:rStyle w:val="Hyperlink"/>
            <w:rFonts w:ascii="Times New Roman" w:hAnsi="Times New Roman"/>
          </w:rPr>
          <w:t>https://doi.org/10.4060/cd9424en</w:t>
        </w:r>
      </w:hyperlink>
      <w:r>
        <w:rPr>
          <w:rFonts w:ascii="Times New Roman" w:hAnsi="Times New Roman"/>
        </w:rPr>
        <w:t xml:space="preserve">. </w:t>
      </w:r>
    </w:p>
  </w:footnote>
  <w:footnote w:id="10">
    <w:p w14:paraId="6E1F3A45" w14:textId="0DFB7EBA" w:rsidR="00EF0282" w:rsidRPr="00D06F1A" w:rsidRDefault="00EF0282" w:rsidP="00FB459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Humanitarian Outcomes, </w:t>
      </w:r>
      <w:r>
        <w:rPr>
          <w:rFonts w:ascii="Times New Roman" w:hAnsi="Times New Roman"/>
          <w:i/>
        </w:rPr>
        <w:t>Rapport sur la sûreté des travailleurs humanitaires 2025</w:t>
      </w:r>
      <w:r>
        <w:rPr>
          <w:rFonts w:ascii="Times New Roman" w:hAnsi="Times New Roman"/>
        </w:rPr>
        <w:t xml:space="preserve"> </w:t>
      </w:r>
      <w:r>
        <w:rPr>
          <w:rFonts w:ascii="Times New Roman" w:hAnsi="Times New Roman"/>
          <w:i/>
        </w:rPr>
        <w:t xml:space="preserve">– Sans défense: la sûreté des travailleurs humanitaires face à l’effondrement du financement de l’aide humanitaire, </w:t>
      </w:r>
      <w:r>
        <w:rPr>
          <w:rFonts w:ascii="Times New Roman" w:hAnsi="Times New Roman"/>
        </w:rPr>
        <w:t xml:space="preserve">Londres, 2025, https://www.humanitarianoutcomes.org/AWSR_2025. </w:t>
      </w:r>
    </w:p>
  </w:footnote>
  <w:footnote w:id="11">
    <w:p w14:paraId="6F28BFFD" w14:textId="77777777" w:rsidR="005168B6" w:rsidRDefault="005168B6" w:rsidP="005168B6">
      <w:pPr>
        <w:pStyle w:val="FootnoteText"/>
        <w:rPr>
          <w:rFonts w:ascii="Times New Roman" w:hAnsi="Times New Roman" w:cs="Times New Roman"/>
          <w:noProof/>
        </w:rPr>
      </w:pPr>
      <w:r>
        <w:rPr>
          <w:rStyle w:val="FootnoteReference"/>
        </w:rPr>
        <w:footnoteRef/>
      </w:r>
      <w:r>
        <w:t xml:space="preserve"> </w:t>
      </w:r>
      <w:r>
        <w:rPr>
          <w:rFonts w:ascii="Times New Roman" w:hAnsi="Times New Roman"/>
        </w:rPr>
        <w:t>Rapport sur les catastrophes dans le monde 2026, élaboré par la Fédération internationale des Sociétés de la Croix‑Rouge et du Croissant‑Rouge.</w:t>
      </w:r>
    </w:p>
  </w:footnote>
  <w:footnote w:id="12">
    <w:p w14:paraId="2DCC2428" w14:textId="38F1A1C2" w:rsidR="00456B58" w:rsidRPr="00D06F1A" w:rsidRDefault="00456B58" w:rsidP="00FB459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L’appel à l’aide humanitaire pour 2026 s’élève à 23 milliards de dollars et vise à apporter une aide vitale à 87 millions de personnes, sur un total de 239 millions de personnes dans le besoin.</w:t>
      </w:r>
    </w:p>
  </w:footnote>
  <w:footnote w:id="13">
    <w:p w14:paraId="7FA501C5" w14:textId="0439595A" w:rsidR="0050640A" w:rsidRPr="00D06F1A" w:rsidRDefault="0050640A" w:rsidP="00FB459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Conseil européen, conclusions de la réunion du Conseil européen, EUCO 1/26, Bruxelles, 19 mars 2026.</w:t>
      </w:r>
    </w:p>
  </w:footnote>
  <w:footnote w:id="14">
    <w:p w14:paraId="4CC5C6FC" w14:textId="27257284" w:rsidR="00A6456D" w:rsidRPr="00171A50" w:rsidRDefault="00A6456D" w:rsidP="00FB459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Bureau de la coordination des affaires humanitaires des Nations unies (OCHA), «Humanitarian aid contributions», </w:t>
      </w:r>
      <w:r>
        <w:rPr>
          <w:rFonts w:ascii="Times New Roman" w:hAnsi="Times New Roman"/>
          <w:i/>
        </w:rPr>
        <w:t>Financial tracking service</w:t>
      </w:r>
      <w:r>
        <w:rPr>
          <w:rFonts w:ascii="Times New Roman" w:hAnsi="Times New Roman"/>
        </w:rPr>
        <w:t xml:space="preserve"> (contributions à l’aide humanitaire, service de surveillance financière), consulté le 30 avril 2026, </w:t>
      </w:r>
      <w:hyperlink r:id="rId5" w:history="1">
        <w:r>
          <w:rPr>
            <w:rStyle w:val="Hyperlink"/>
            <w:rFonts w:ascii="Times New Roman" w:hAnsi="Times New Roman"/>
            <w:color w:val="auto"/>
            <w:u w:val="none"/>
          </w:rPr>
          <w:t>https://fts.unocha.org/</w:t>
        </w:r>
      </w:hyperlink>
      <w:r>
        <w:rPr>
          <w:rFonts w:ascii="Times New Roman" w:hAnsi="Times New Roman"/>
        </w:rPr>
        <w:t xml:space="preserve">. </w:t>
      </w:r>
    </w:p>
  </w:footnote>
  <w:footnote w:id="15">
    <w:p w14:paraId="057E5891" w14:textId="49C61EE9" w:rsidR="000974D4" w:rsidRPr="009772CF" w:rsidRDefault="000974D4" w:rsidP="00C332BF">
      <w:pPr>
        <w:pStyle w:val="FootnoteText"/>
        <w:jc w:val="both"/>
      </w:pPr>
      <w:r>
        <w:rPr>
          <w:rStyle w:val="FootnoteReference"/>
          <w:rFonts w:ascii="Times New Roman" w:hAnsi="Times New Roman" w:cs="Times New Roman"/>
        </w:rPr>
        <w:footnoteRef/>
      </w:r>
      <w:r>
        <w:rPr>
          <w:rFonts w:ascii="Times New Roman" w:hAnsi="Times New Roman"/>
        </w:rPr>
        <w:t xml:space="preserve"> Alimentation et nutrition, santé, fourniture d’abris, eau et assainissement (WASH), protection et éducation dans les situations d’urgence, avec intégration des questions de genre, d’âge et de handicap, sensibilité aux conflits, voir Commission européenne: </w:t>
      </w:r>
      <w:r>
        <w:rPr>
          <w:rFonts w:ascii="Times New Roman" w:hAnsi="Times New Roman"/>
          <w:shd w:val="clear" w:color="auto" w:fill="FFFFFF"/>
        </w:rPr>
        <w:t xml:space="preserve">DG ECHO, «Thematic Policies Annex» (annexe sur les politiques thématiques), </w:t>
      </w:r>
      <w:hyperlink r:id="rId6" w:history="1">
        <w:r>
          <w:rPr>
            <w:rStyle w:val="Hyperlink"/>
            <w:rFonts w:ascii="Times New Roman" w:hAnsi="Times New Roman"/>
          </w:rPr>
          <w:t>https://ec.europa.eu/echo/files/funding/hip2026/thematic_policies_annex_2026.pdf</w:t>
        </w:r>
      </w:hyperlink>
      <w:r>
        <w:t>.</w:t>
      </w:r>
      <w:r>
        <w:rPr>
          <w:rFonts w:ascii="Times New Roman" w:hAnsi="Times New Roman"/>
        </w:rPr>
        <w:t xml:space="preserve"> </w:t>
      </w:r>
    </w:p>
  </w:footnote>
  <w:footnote w:id="16">
    <w:p w14:paraId="177E7654" w14:textId="77777777" w:rsidR="00231D2D" w:rsidRPr="00A66A01" w:rsidRDefault="00231D2D" w:rsidP="00231D2D">
      <w:pPr>
        <w:pStyle w:val="FootnoteText"/>
        <w:jc w:val="both"/>
      </w:pPr>
      <w:r>
        <w:rPr>
          <w:rStyle w:val="FootnoteReference"/>
        </w:rPr>
        <w:footnoteRef/>
      </w:r>
      <w:r>
        <w:t xml:space="preserve"> </w:t>
      </w:r>
      <w:r>
        <w:rPr>
          <w:rFonts w:ascii="Times New Roman" w:hAnsi="Times New Roman"/>
        </w:rPr>
        <w:t>L’Équipe Europe regroupe l’Union européenne, ses 27 États membres, la Banque européenne d’investissement (BEI) et la Banque européenne pour la reconstruction et le développement (BERD). L’approche «Équipe Europe» est axée sur la coopération et la coordination entre ces entités, dans le but d’accroître l’efficacité et l’impact de leurs actions extérieures.</w:t>
      </w:r>
    </w:p>
  </w:footnote>
  <w:footnote w:id="17">
    <w:p w14:paraId="4D7390DD" w14:textId="73390592" w:rsidR="00231D2D" w:rsidRPr="009B0811" w:rsidRDefault="00231D2D" w:rsidP="009B0811">
      <w:pPr>
        <w:pStyle w:val="FootnoteText"/>
        <w:jc w:val="both"/>
      </w:pPr>
      <w:r>
        <w:rPr>
          <w:rStyle w:val="FootnoteReference"/>
        </w:rPr>
        <w:footnoteRef/>
      </w:r>
      <w:r>
        <w:t xml:space="preserve"> </w:t>
      </w:r>
      <w:r>
        <w:rPr>
          <w:rFonts w:ascii="Times New Roman" w:hAnsi="Times New Roman"/>
        </w:rPr>
        <w:t xml:space="preserve">Ces axes d’intervention ont été définis à la suite de consultations approfondies avec les parties prenantes. </w:t>
      </w:r>
      <w:r>
        <w:rPr>
          <w:rStyle w:val="normaltextrun"/>
          <w:rFonts w:ascii="Times New Roman" w:hAnsi="Times New Roman"/>
        </w:rPr>
        <w:t xml:space="preserve">Un appel à contributions mené entre décembre 2025 et janvier 2026 a permis de recueillir 55 contributions. De plus amples informations sont disponibles sur le site internet de la Commission européenne, «Communication sur l’aide humanitaire», </w:t>
      </w:r>
      <w:hyperlink r:id="rId7" w:history="1">
        <w:r>
          <w:rPr>
            <w:rStyle w:val="Hyperlink"/>
            <w:rFonts w:ascii="Times New Roman" w:hAnsi="Times New Roman"/>
          </w:rPr>
          <w:t>https://ec.europa.eu/info/law/better-regulation/have-your-say/initiatives/16012-Communication-sur-laide-humanitaire_fr</w:t>
        </w:r>
      </w:hyperlink>
      <w:r>
        <w:t>.</w:t>
      </w:r>
      <w:r>
        <w:rPr>
          <w:rStyle w:val="normaltextrun"/>
          <w:rFonts w:ascii="Times New Roman" w:hAnsi="Times New Roman"/>
        </w:rPr>
        <w:t xml:space="preserve"> </w:t>
      </w:r>
    </w:p>
  </w:footnote>
  <w:footnote w:id="18">
    <w:p w14:paraId="7D399D38" w14:textId="3DC96E6F" w:rsidR="00F05814" w:rsidRPr="00EC78F9" w:rsidRDefault="00F058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 2026(312)</w:t>
      </w:r>
      <w:r>
        <w:t>.</w:t>
      </w:r>
    </w:p>
  </w:footnote>
  <w:footnote w:id="19">
    <w:p w14:paraId="3E7E0A07" w14:textId="1C3B95CC" w:rsidR="00F05814" w:rsidRPr="00EC78F9" w:rsidRDefault="00F058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 2026(314)</w:t>
      </w:r>
      <w:r>
        <w:t>.</w:t>
      </w:r>
    </w:p>
  </w:footnote>
  <w:footnote w:id="20">
    <w:p w14:paraId="7C54F098" w14:textId="17F204B8" w:rsidR="00F05814" w:rsidRPr="00FD51E4" w:rsidRDefault="00F05814">
      <w:pPr>
        <w:pStyle w:val="FootnoteText"/>
      </w:pPr>
      <w:r>
        <w:rPr>
          <w:rStyle w:val="FootnoteReference"/>
          <w:rFonts w:ascii="Times New Roman" w:hAnsi="Times New Roman" w:cs="Times New Roman"/>
        </w:rPr>
        <w:footnoteRef/>
      </w:r>
      <w:r>
        <w:rPr>
          <w:rFonts w:ascii="Times New Roman" w:hAnsi="Times New Roman"/>
        </w:rPr>
        <w:t xml:space="preserve"> SWD 2026(313)</w:t>
      </w:r>
      <w:r>
        <w:t>.</w:t>
      </w:r>
    </w:p>
  </w:footnote>
  <w:footnote w:id="21">
    <w:p w14:paraId="5B04457D" w14:textId="431F61ED" w:rsidR="00311B63" w:rsidRPr="00935197" w:rsidRDefault="00311B63" w:rsidP="0093519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Comité international de la Croix-Rouge (CICR), «Initiative mondiale visant à revitaliser l’engagement politique en faveur du droit international humanitaire», </w:t>
      </w:r>
      <w:hyperlink r:id="rId8" w:history="1">
        <w:r>
          <w:rPr>
            <w:rStyle w:val="Hyperlink"/>
            <w:rFonts w:ascii="Times New Roman" w:hAnsi="Times New Roman"/>
          </w:rPr>
          <w:t>https://www.icrc.org/fr/global-initiative-international-humanitarian-law</w:t>
        </w:r>
      </w:hyperlink>
      <w:r>
        <w:rPr>
          <w:rFonts w:ascii="Times New Roman" w:hAnsi="Times New Roman"/>
        </w:rPr>
        <w:t>.</w:t>
      </w:r>
    </w:p>
  </w:footnote>
  <w:footnote w:id="22">
    <w:p w14:paraId="18403BDB" w14:textId="542855BD" w:rsidR="00C54B98" w:rsidRPr="00B42457" w:rsidRDefault="00C54B98" w:rsidP="00935197">
      <w:pPr>
        <w:pStyle w:val="FootnoteText"/>
        <w:jc w:val="both"/>
      </w:pPr>
      <w:r>
        <w:rPr>
          <w:rStyle w:val="FootnoteReference"/>
          <w:rFonts w:ascii="Times New Roman" w:hAnsi="Times New Roman" w:cs="Times New Roman"/>
        </w:rPr>
        <w:footnoteRef/>
      </w:r>
      <w:r>
        <w:rPr>
          <w:rFonts w:ascii="Times New Roman" w:hAnsi="Times New Roman"/>
        </w:rPr>
        <w:t xml:space="preserve"> Conformément à la convention des Nations unies relative aux droits des personnes handicapées (CNUDPH).</w:t>
      </w:r>
    </w:p>
  </w:footnote>
  <w:footnote w:id="23">
    <w:p w14:paraId="1CC3BDF0" w14:textId="66D2975D" w:rsidR="00456B58" w:rsidRPr="00935197" w:rsidRDefault="00456B58" w:rsidP="00456B5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SEAE, «Représentants spéciaux de l’UE», site internet de l’Union européenne, 12 septembre 2025, consulté le 30 avril 2026, </w:t>
      </w:r>
      <w:hyperlink r:id="rId9" w:history="1">
        <w:r>
          <w:rPr>
            <w:rStyle w:val="Hyperlink"/>
            <w:rFonts w:ascii="Times New Roman" w:hAnsi="Times New Roman"/>
          </w:rPr>
          <w:t>https://www.eeas.europa.eu/eeas/eu-special-representatives_en</w:t>
        </w:r>
      </w:hyperlink>
      <w:r>
        <w:rPr>
          <w:rFonts w:ascii="Times New Roman" w:hAnsi="Times New Roman"/>
        </w:rPr>
        <w:t xml:space="preserve">. </w:t>
      </w:r>
    </w:p>
  </w:footnote>
  <w:footnote w:id="24">
    <w:p w14:paraId="22EF5F92" w14:textId="3F99B44F" w:rsidR="00C71BA8" w:rsidRDefault="00456B58" w:rsidP="00456B58">
      <w:pPr>
        <w:pStyle w:val="FootnoteText"/>
        <w:jc w:val="both"/>
      </w:pPr>
      <w:r>
        <w:rPr>
          <w:rStyle w:val="FootnoteReference"/>
          <w:rFonts w:ascii="Times New Roman" w:hAnsi="Times New Roman" w:cs="Times New Roman"/>
        </w:rPr>
        <w:footnoteRef/>
      </w:r>
      <w:r>
        <w:rPr>
          <w:rFonts w:ascii="Times New Roman" w:hAnsi="Times New Roman"/>
        </w:rPr>
        <w:t xml:space="preserve"> Humanitarian Outcomes, </w:t>
      </w:r>
      <w:r>
        <w:rPr>
          <w:rFonts w:ascii="Times New Roman" w:hAnsi="Times New Roman"/>
          <w:i/>
          <w:iCs/>
        </w:rPr>
        <w:t>Rapport sur la sûreté des travailleurs humanitaires 2025 – Sans défense</w:t>
      </w:r>
      <w:r>
        <w:rPr>
          <w:rFonts w:ascii="Times New Roman" w:hAnsi="Times New Roman"/>
        </w:rPr>
        <w:t xml:space="preserve">: </w:t>
      </w:r>
      <w:r>
        <w:rPr>
          <w:rFonts w:ascii="Times New Roman" w:hAnsi="Times New Roman"/>
          <w:i/>
        </w:rPr>
        <w:t>la sûreté des travailleurs humanitaires face à l’effondrement du financement de l’aide humanitaire</w:t>
      </w:r>
      <w:r>
        <w:rPr>
          <w:rFonts w:ascii="Times New Roman" w:hAnsi="Times New Roman"/>
        </w:rPr>
        <w:t xml:space="preserve">, Londres, 2025, </w:t>
      </w:r>
      <w:hyperlink r:id="rId10" w:history="1">
        <w:r>
          <w:rPr>
            <w:rStyle w:val="Hyperlink"/>
            <w:rFonts w:ascii="Times New Roman" w:hAnsi="Times New Roman"/>
          </w:rPr>
          <w:t>https://humanitarianoutcomes.org/AWSR_2025</w:t>
        </w:r>
      </w:hyperlink>
      <w:r>
        <w:t>.</w:t>
      </w:r>
    </w:p>
  </w:footnote>
  <w:footnote w:id="25">
    <w:p w14:paraId="1482B149" w14:textId="6852073B" w:rsidR="003310C3" w:rsidRPr="00EC7FE0" w:rsidRDefault="003310C3" w:rsidP="00EC7FE0">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Voir résolution 2730 (2024) des Nations unies adoptée par le Conseil de sécurité à sa 9634</w:t>
      </w:r>
      <w:r>
        <w:rPr>
          <w:rFonts w:ascii="Times New Roman" w:hAnsi="Times New Roman"/>
          <w:vertAlign w:val="superscript"/>
        </w:rPr>
        <w:t>e</w:t>
      </w:r>
      <w:r>
        <w:rPr>
          <w:rFonts w:ascii="Times New Roman" w:hAnsi="Times New Roman"/>
        </w:rPr>
        <w:t> séance, le 24 mai 2024, p. 3</w:t>
      </w:r>
      <w:r>
        <w:t>,</w:t>
      </w:r>
      <w:r>
        <w:rPr>
          <w:rFonts w:ascii="Times New Roman" w:hAnsi="Times New Roman"/>
        </w:rPr>
        <w:t xml:space="preserve"> </w:t>
      </w:r>
    </w:p>
    <w:p w14:paraId="0CB5310B" w14:textId="2A1685E5" w:rsidR="003310C3" w:rsidRPr="00EC7FE0" w:rsidRDefault="00BD1ABC" w:rsidP="00EC7FE0">
      <w:pPr>
        <w:pStyle w:val="FootnoteText"/>
        <w:jc w:val="both"/>
        <w:rPr>
          <w:rFonts w:ascii="Times New Roman" w:hAnsi="Times New Roman" w:cs="Times New Roman"/>
        </w:rPr>
      </w:pPr>
      <w:hyperlink r:id="rId11" w:history="1">
        <w:r w:rsidR="002E3A43">
          <w:rPr>
            <w:rStyle w:val="Hyperlink"/>
            <w:rFonts w:ascii="Times New Roman" w:hAnsi="Times New Roman"/>
          </w:rPr>
          <w:t>https://digitallibrary.un.org/record/4049572</w:t>
        </w:r>
      </w:hyperlink>
      <w:r w:rsidR="002E3A43">
        <w:t>.</w:t>
      </w:r>
    </w:p>
  </w:footnote>
  <w:footnote w:id="26">
    <w:p w14:paraId="66D216EB" w14:textId="3D1B6CE5" w:rsidR="00B114D7" w:rsidRPr="002901D2" w:rsidRDefault="00B114D7" w:rsidP="00B114D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Ministre des affaires étrangères d’Australie, «Declaration for the Protection of Humanitarian Personnel» (déclaration en faveur de la protection du personnel humanitaire), 22 septembre 2025, consultation le 30 avril 2026, </w:t>
      </w:r>
      <w:hyperlink r:id="rId12" w:history="1">
        <w:r>
          <w:rPr>
            <w:rStyle w:val="Hyperlink"/>
            <w:rFonts w:ascii="Times New Roman" w:hAnsi="Times New Roman"/>
          </w:rPr>
          <w:t>https://www.foreignminister.gov.au/minister/penny-wong/media-release/declaration-protection-humanitarian-personnel</w:t>
        </w:r>
      </w:hyperlink>
      <w:r>
        <w:t>.</w:t>
      </w:r>
    </w:p>
  </w:footnote>
  <w:footnote w:id="27">
    <w:p w14:paraId="29B2F0E0" w14:textId="6BABD20A" w:rsidR="001E0BC0" w:rsidRPr="001E0BC0" w:rsidRDefault="001E0BC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Global Interagency Security Forum (GISF), «Saving Lives Together» (Sauver des vies ensemble), site internet du GIFS, Londres, 2026, consulté le 30 avril 2026, </w:t>
      </w:r>
      <w:hyperlink r:id="rId13" w:history="1">
        <w:r>
          <w:rPr>
            <w:rStyle w:val="Hyperlink"/>
            <w:rFonts w:ascii="Times New Roman" w:hAnsi="Times New Roman"/>
          </w:rPr>
          <w:t>https://gisf.ngo/themes/coordination-for-hsrm/saving-lives-together/</w:t>
        </w:r>
      </w:hyperlink>
      <w:r>
        <w:t>.</w:t>
      </w:r>
      <w:r>
        <w:rPr>
          <w:rFonts w:ascii="Times New Roman" w:hAnsi="Times New Roman"/>
        </w:rPr>
        <w:t xml:space="preserve"> </w:t>
      </w:r>
    </w:p>
  </w:footnote>
  <w:footnote w:id="28">
    <w:p w14:paraId="64AF5A16" w14:textId="50477AF6" w:rsidR="00456B58" w:rsidRDefault="00456B58" w:rsidP="00456B58">
      <w:pPr>
        <w:pStyle w:val="FootnoteText"/>
      </w:pPr>
      <w:r>
        <w:rPr>
          <w:rStyle w:val="FootnoteReference"/>
          <w:rFonts w:ascii="Times New Roman" w:hAnsi="Times New Roman" w:cs="Times New Roman"/>
        </w:rPr>
        <w:footnoteRef/>
      </w:r>
      <w:r>
        <w:rPr>
          <w:rFonts w:ascii="Times New Roman" w:hAnsi="Times New Roman"/>
        </w:rPr>
        <w:t xml:space="preserve"> Protect Aid Workers, «Apporter une aide rapide aux travailleurs humanitaires en danger – Un mécanisme de réponse rapide pour les travailleurs humanitaires», site internet de Protect Aid Workers, consulté le 30 avril 2026, </w:t>
      </w:r>
      <w:hyperlink r:id="rId14" w:history="1">
        <w:r>
          <w:rPr>
            <w:rStyle w:val="Hyperlink"/>
            <w:rFonts w:ascii="Times New Roman" w:hAnsi="Times New Roman"/>
          </w:rPr>
          <w:t>https://protectaidworkers.org/</w:t>
        </w:r>
      </w:hyperlink>
      <w:r>
        <w:t>.</w:t>
      </w:r>
    </w:p>
  </w:footnote>
  <w:footnote w:id="29">
    <w:p w14:paraId="308F55E7" w14:textId="19015E7D" w:rsidR="00066AA7" w:rsidRPr="00935197" w:rsidRDefault="00066AA7" w:rsidP="00066AA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w:t>
      </w:r>
      <w:r>
        <w:rPr>
          <w:rFonts w:ascii="Times New Roman" w:hAnsi="Times New Roman"/>
          <w:i/>
          <w:iCs/>
          <w:shd w:val="clear" w:color="auto" w:fill="FFFFFF"/>
        </w:rPr>
        <w:t>Note d’orientation de la DG ECHO:</w:t>
      </w:r>
      <w:r>
        <w:rPr>
          <w:rFonts w:ascii="Times New Roman" w:hAnsi="Times New Roman"/>
          <w:i/>
          <w:shd w:val="clear" w:color="auto" w:fill="FFFFFF"/>
        </w:rPr>
        <w:t xml:space="preserve"> Promouvoir des partenariats équitables avec les intervenants locaux dans les situations de crise humanitaire</w:t>
      </w:r>
      <w:r>
        <w:rPr>
          <w:rFonts w:ascii="Times New Roman" w:hAnsi="Times New Roman"/>
          <w:shd w:val="clear" w:color="auto" w:fill="FFFFFF"/>
        </w:rPr>
        <w:t xml:space="preserve">, Office des publications de l’Union européenne, Luxembourg, 2023, </w:t>
      </w:r>
      <w:hyperlink r:id="rId15" w:history="1">
        <w:r>
          <w:rPr>
            <w:rStyle w:val="Hyperlink"/>
            <w:rFonts w:ascii="Times New Roman" w:hAnsi="Times New Roman"/>
            <w:shd w:val="clear" w:color="auto" w:fill="FFFFFF"/>
          </w:rPr>
          <w:t>https://data.europa.eu/doi/10.2795/653711</w:t>
        </w:r>
      </w:hyperlink>
      <w:r>
        <w:rPr>
          <w:rFonts w:ascii="Times New Roman" w:hAnsi="Times New Roman"/>
        </w:rPr>
        <w:t>.</w:t>
      </w:r>
      <w:r>
        <w:rPr>
          <w:rFonts w:ascii="Times New Roman" w:hAnsi="Times New Roman"/>
          <w:i/>
          <w:shd w:val="clear" w:color="auto" w:fill="FFFFFF"/>
        </w:rPr>
        <w:t xml:space="preserve"> </w:t>
      </w:r>
    </w:p>
  </w:footnote>
  <w:footnote w:id="30">
    <w:p w14:paraId="02B2A97F" w14:textId="783CB08B" w:rsidR="00456B58" w:rsidRPr="00935197" w:rsidRDefault="00456B58" w:rsidP="0093519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Nations unies: Conseil des droits de l’homme, «Les enfants dans les conflits armés – Rapport de la Représentante spéciale du Secrétaire général pour la question des enfants et des conflits armés», A/HRC/61/37, 23 décembre 2025, https://docs.un.org/en/A/HRC/61/37.</w:t>
      </w:r>
    </w:p>
  </w:footnote>
  <w:footnote w:id="31">
    <w:p w14:paraId="71E9C42E" w14:textId="0976838C" w:rsidR="00D84E42" w:rsidRPr="001C3D43" w:rsidRDefault="00D84E42" w:rsidP="00935197">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1C3D43">
        <w:rPr>
          <w:rFonts w:ascii="Times New Roman" w:hAnsi="Times New Roman"/>
          <w:lang w:val="en-IE"/>
        </w:rPr>
        <w:t xml:space="preserve"> COM(2018) 304 final. </w:t>
      </w:r>
    </w:p>
  </w:footnote>
  <w:footnote w:id="32">
    <w:p w14:paraId="3F59AE97" w14:textId="77777777" w:rsidR="00C1191F" w:rsidRPr="001C3D43" w:rsidRDefault="00C1191F">
      <w:pPr>
        <w:pStyle w:val="FootnoteText"/>
        <w:rPr>
          <w:lang w:val="en-IE"/>
        </w:rPr>
      </w:pPr>
      <w:r>
        <w:rPr>
          <w:rStyle w:val="FootnoteReference"/>
          <w:rFonts w:ascii="Times New Roman" w:hAnsi="Times New Roman" w:cs="Times New Roman"/>
        </w:rPr>
        <w:footnoteRef/>
      </w:r>
      <w:r w:rsidRPr="001C3D43">
        <w:rPr>
          <w:rFonts w:ascii="Times New Roman" w:hAnsi="Times New Roman"/>
          <w:lang w:val="en-IE"/>
        </w:rPr>
        <w:t xml:space="preserve"> COM(2026) 113 final, pages 20 et 21.</w:t>
      </w:r>
    </w:p>
  </w:footnote>
  <w:footnote w:id="33">
    <w:p w14:paraId="0F104062" w14:textId="1559A330" w:rsidR="00A15D12" w:rsidRPr="00321376" w:rsidRDefault="00A15D12" w:rsidP="00A15D12">
      <w:pPr>
        <w:pStyle w:val="FootnoteText"/>
      </w:pPr>
      <w:r>
        <w:rPr>
          <w:rStyle w:val="FootnoteReference"/>
          <w:rFonts w:ascii="Times New Roman" w:hAnsi="Times New Roman" w:cs="Times New Roman"/>
        </w:rPr>
        <w:footnoteRef/>
      </w:r>
      <w:r>
        <w:rPr>
          <w:rFonts w:ascii="Times New Roman" w:hAnsi="Times New Roman"/>
        </w:rPr>
        <w:t xml:space="preserve"> Commission européenne, DG ECHO,</w:t>
      </w:r>
      <w:r>
        <w:rPr>
          <w:rFonts w:ascii="Times New Roman" w:hAnsi="Times New Roman"/>
          <w:shd w:val="clear" w:color="auto" w:fill="FFFFFF"/>
        </w:rPr>
        <w:t xml:space="preserve"> Genre – Adapter l’assistance à des besoins différents, Politique thématique nº 6, Office des publications de l’Union européenne, Luxembourg, 2013, </w:t>
      </w:r>
      <w:hyperlink r:id="rId16" w:history="1">
        <w:r>
          <w:rPr>
            <w:rStyle w:val="Hyperlink"/>
            <w:rFonts w:ascii="Times New Roman" w:hAnsi="Times New Roman"/>
            <w:shd w:val="clear" w:color="auto" w:fill="FFFFFF"/>
          </w:rPr>
          <w:t>https://ec.europa.eu/echo/files/policies/sectoral/gender_thematic_policy_document_fr.pdf</w:t>
        </w:r>
      </w:hyperlink>
      <w:r>
        <w:rPr>
          <w:rFonts w:ascii="Times New Roman" w:hAnsi="Times New Roman"/>
          <w:shd w:val="clear" w:color="auto" w:fill="FFFFFF"/>
        </w:rPr>
        <w:t>.</w:t>
      </w:r>
    </w:p>
  </w:footnote>
  <w:footnote w:id="34">
    <w:p w14:paraId="0E8B9A34" w14:textId="5EFE6AFE" w:rsidR="00321376" w:rsidRPr="00321376" w:rsidRDefault="0032137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modificateur de crise a pour objectif principal d’apporter une réponse rapide et efficace aux crises soudaines dans le cadre d’une action humanitaire en cours. Commission européenne, site internet de la DG ECHO à l’intention des partenaires, consulté le 30 avril 2026, </w:t>
      </w:r>
      <w:hyperlink r:id="rId17" w:history="1">
        <w:r>
          <w:rPr>
            <w:rStyle w:val="Hyperlink"/>
            <w:rFonts w:ascii="Times New Roman" w:hAnsi="Times New Roman"/>
          </w:rPr>
          <w:t>www.dgecho-partners-helpdesk.eu/ngo/actions-implementation/crisis-modifier</w:t>
        </w:r>
      </w:hyperlink>
      <w:r>
        <w:t>.</w:t>
      </w:r>
      <w:r>
        <w:rPr>
          <w:rFonts w:ascii="Times New Roman" w:hAnsi="Times New Roman"/>
        </w:rPr>
        <w:t xml:space="preserve"> </w:t>
      </w:r>
    </w:p>
  </w:footnote>
  <w:footnote w:id="35">
    <w:p w14:paraId="1AF1AFBC" w14:textId="2AD61C11" w:rsidR="00261A16" w:rsidRPr="002A63C8" w:rsidRDefault="002A63C8" w:rsidP="00261A16">
      <w:pPr>
        <w:pStyle w:val="FootnoteText"/>
        <w:jc w:val="both"/>
      </w:pPr>
      <w:r>
        <w:rPr>
          <w:rStyle w:val="FootnoteReference"/>
        </w:rPr>
        <w:footnoteRef/>
      </w:r>
      <w:r>
        <w:t xml:space="preserve"> </w:t>
      </w:r>
      <w:r>
        <w:rPr>
          <w:rFonts w:ascii="Times New Roman" w:hAnsi="Times New Roman"/>
        </w:rPr>
        <w:t xml:space="preserve">Commission européenne: </w:t>
      </w:r>
      <w:r>
        <w:rPr>
          <w:rFonts w:ascii="Times New Roman" w:hAnsi="Times New Roman"/>
          <w:shd w:val="clear" w:color="auto" w:fill="FFFFFF"/>
        </w:rPr>
        <w:t xml:space="preserve">DG ECHO, «Working with DG ECHO programmatic partnership 2021-2027» (Travailler avec le partenariat programmatique 2021-2027 de la DG ECHO), site internet de la Commission européenne, consulté le 30 avril 2026, </w:t>
      </w:r>
      <w:hyperlink r:id="rId18" w:history="1">
        <w:r>
          <w:rPr>
            <w:rStyle w:val="Hyperlink"/>
            <w:rFonts w:ascii="Times New Roman" w:hAnsi="Times New Roman"/>
          </w:rPr>
          <w:t>www.dgecho-partners-helpdesk.eu/programmatic-partnership/programmatic-partnership</w:t>
        </w:r>
      </w:hyperlink>
      <w:r>
        <w:t>.</w:t>
      </w:r>
      <w:r>
        <w:rPr>
          <w:rFonts w:ascii="Times New Roman" w:hAnsi="Times New Roman"/>
        </w:rPr>
        <w:t xml:space="preserve"> </w:t>
      </w:r>
    </w:p>
    <w:p w14:paraId="6D2B0B66" w14:textId="44EF83C9" w:rsidR="002A63C8" w:rsidRPr="00155184" w:rsidRDefault="002A63C8">
      <w:pPr>
        <w:pStyle w:val="FootnoteText"/>
        <w:rPr>
          <w:lang w:val="fr-BE"/>
        </w:rPr>
      </w:pPr>
    </w:p>
  </w:footnote>
  <w:footnote w:id="36">
    <w:p w14:paraId="09F3E10B" w14:textId="77AB3FC1" w:rsidR="001123E5" w:rsidRPr="00583656" w:rsidRDefault="001123E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Réseau CALP, «Approche commune des donateurs pour les transferts monétaires», site internet du réseau CALP, 25 septembre 2025, consulté le 30 avril 2026, </w:t>
      </w:r>
      <w:hyperlink r:id="rId19" w:history="1">
        <w:r>
          <w:rPr>
            <w:rStyle w:val="Hyperlink"/>
            <w:rFonts w:ascii="Times New Roman" w:hAnsi="Times New Roman"/>
          </w:rPr>
          <w:t>https://www.calpnetwork.org/publication/common-donor-approach-to-humanitarian-cash-assistance-2025/</w:t>
        </w:r>
      </w:hyperlink>
      <w:r>
        <w:t>.</w:t>
      </w:r>
    </w:p>
  </w:footnote>
  <w:footnote w:id="37">
    <w:p w14:paraId="1B1D2CC1" w14:textId="1A9D3669" w:rsidR="00456B58" w:rsidRPr="00F54BD0" w:rsidRDefault="00456B58" w:rsidP="00EC7FE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INFORM est un ensemble d’outils mis au point par et pour la communauté humanitaire en vue de partager des analyses fondées sur des données systémiques vérifiées. Pour de plus amples informations, voir Commission européenne: centre commun de recherche, «INFORM», consulté le 30 avril 2026, </w:t>
      </w:r>
      <w:hyperlink r:id="rId20" w:history="1">
        <w:r>
          <w:rPr>
            <w:rStyle w:val="Hyperlink"/>
            <w:rFonts w:ascii="Times New Roman" w:hAnsi="Times New Roman"/>
          </w:rPr>
          <w:t>https://drmkc.jrc.ec.europa.eu/inform-index/</w:t>
        </w:r>
      </w:hyperlink>
      <w:r>
        <w:rPr>
          <w:rFonts w:ascii="Times New Roman" w:hAnsi="Times New Roman"/>
        </w:rPr>
        <w:t>.</w:t>
      </w:r>
    </w:p>
  </w:footnote>
  <w:footnote w:id="38">
    <w:p w14:paraId="494AA3C2" w14:textId="648DAA00" w:rsidR="00456B58" w:rsidRPr="00F31438" w:rsidRDefault="00456B58" w:rsidP="00456B58">
      <w:pPr>
        <w:pStyle w:val="FootnoteText"/>
      </w:pPr>
      <w:r>
        <w:rPr>
          <w:rStyle w:val="FootnoteReference"/>
          <w:rFonts w:ascii="Times New Roman" w:hAnsi="Times New Roman" w:cs="Times New Roman"/>
        </w:rPr>
        <w:footnoteRef/>
      </w:r>
      <w:r>
        <w:rPr>
          <w:rFonts w:ascii="Times New Roman" w:hAnsi="Times New Roman"/>
        </w:rPr>
        <w:t xml:space="preserve"> Voir sections 1.2. et 2.1.</w:t>
      </w:r>
    </w:p>
  </w:footnote>
  <w:footnote w:id="39">
    <w:p w14:paraId="4F792A6F" w14:textId="1C3D16EA" w:rsidR="00456B58" w:rsidRPr="002C3F0C" w:rsidRDefault="00456B58" w:rsidP="00261A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250 millions d’euros économisés en Ukraine, Ukraine Cash Working Group, «Ukraine CWG Data Management – Systems and Governance Assessment July 2025» (gestion des données par le groupe de travail sur les transferts monétaires en Ukraine – évaluation des systèmes et de la gouvernance, juillet 2025), OCHA, 23 juillet 2025, consulté le 30 avril 2026, https://reliefweb.int/report/ukraine/ukraine-cwg-data-management-systems-and-governance-assessment-report-july-2025</w:t>
      </w:r>
      <w:r>
        <w:t>.</w:t>
      </w:r>
      <w:r>
        <w:rPr>
          <w:rFonts w:ascii="Times New Roman" w:hAnsi="Times New Roman"/>
        </w:rPr>
        <w:t xml:space="preserve"> </w:t>
      </w:r>
    </w:p>
  </w:footnote>
  <w:footnote w:id="40">
    <w:p w14:paraId="55B54E2C" w14:textId="6656ED69" w:rsidR="00DA0138" w:rsidRPr="002A63C8" w:rsidRDefault="00DA0138" w:rsidP="00DA0138">
      <w:pPr>
        <w:pStyle w:val="FootnoteText"/>
        <w:jc w:val="both"/>
      </w:pPr>
      <w:r>
        <w:rPr>
          <w:rStyle w:val="FootnoteReference"/>
        </w:rPr>
        <w:footnoteRef/>
      </w:r>
      <w:r>
        <w:t xml:space="preserve"> </w:t>
      </w:r>
      <w:r>
        <w:rPr>
          <w:rFonts w:ascii="Times New Roman" w:hAnsi="Times New Roman"/>
        </w:rPr>
        <w:t xml:space="preserve">La fragilité est la combinaison de l’exposition au risque et de l’insuffisance des capacités à faire face qui sont celle de l’État, du système et/ou des populations pour gérer, absorber ou atténuer ces risques, OCDE, </w:t>
      </w:r>
      <w:r>
        <w:rPr>
          <w:rFonts w:ascii="Times New Roman" w:hAnsi="Times New Roman"/>
          <w:i/>
        </w:rPr>
        <w:t>États de fragilité</w:t>
      </w:r>
      <w:r>
        <w:rPr>
          <w:rFonts w:ascii="Times New Roman" w:hAnsi="Times New Roman"/>
        </w:rPr>
        <w:t xml:space="preserve">, Éditions de l’OCDE, Paris, 2025, </w:t>
      </w:r>
      <w:hyperlink r:id="rId21" w:history="1">
        <w:r>
          <w:rPr>
            <w:rStyle w:val="Hyperlink"/>
            <w:rFonts w:ascii="Times New Roman" w:hAnsi="Times New Roman"/>
          </w:rPr>
          <w:t>https://www.oecd.org/fr/publications/etats-de-fragilite-2025_3797ea0f-fr.html</w:t>
        </w:r>
      </w:hyperlink>
      <w:r>
        <w:t>.</w:t>
      </w:r>
    </w:p>
  </w:footnote>
  <w:footnote w:id="41">
    <w:p w14:paraId="2FE22811" w14:textId="438EEC28" w:rsidR="00261A16" w:rsidRPr="00261A16" w:rsidRDefault="004862F0" w:rsidP="00261A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DG COMM, </w:t>
      </w:r>
      <w:r>
        <w:rPr>
          <w:rFonts w:ascii="Times New Roman" w:hAnsi="Times New Roman"/>
          <w:i/>
        </w:rPr>
        <w:t>Special Eurobarometer 542 – EU humanitarian aid</w:t>
      </w:r>
      <w:r>
        <w:rPr>
          <w:rFonts w:ascii="Times New Roman" w:hAnsi="Times New Roman"/>
        </w:rPr>
        <w:t xml:space="preserve"> (eurobaromètre spécial consacré à l’aide humanitaire de l’UE), Office des publications de l’Union européenne, 2024, </w:t>
      </w:r>
      <w:hyperlink r:id="rId22" w:history="1">
        <w:r>
          <w:rPr>
            <w:rStyle w:val="Hyperlink"/>
            <w:rFonts w:ascii="Times New Roman" w:hAnsi="Times New Roman"/>
          </w:rPr>
          <w:t>https://data.europa.eu/doi/10.2795/369550</w:t>
        </w:r>
      </w:hyperlink>
      <w:r>
        <w:rPr>
          <w:rFonts w:ascii="Times New Roman" w:hAnsi="Times New Roman"/>
        </w:rPr>
        <w:t xml:space="preserve">. </w:t>
      </w:r>
    </w:p>
    <w:p w14:paraId="2FD5EC35" w14:textId="1227D5F7" w:rsidR="004862F0" w:rsidRPr="00155184" w:rsidRDefault="004862F0" w:rsidP="004862F0">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F1942" w14:textId="77777777" w:rsidR="00BD1ABC" w:rsidRPr="00BD1ABC" w:rsidRDefault="00BD1ABC" w:rsidP="00BD1AB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BE0AA" w14:textId="77777777" w:rsidR="00BD1ABC" w:rsidRPr="00BD1ABC" w:rsidRDefault="00BD1ABC" w:rsidP="00BD1AB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85B3A" w14:textId="77777777" w:rsidR="00BD1ABC" w:rsidRPr="00BD1ABC" w:rsidRDefault="00BD1ABC" w:rsidP="00BD1AB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199D4" w14:textId="77777777" w:rsidR="00456B58" w:rsidRDefault="00456B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8993C" w14:textId="77777777" w:rsidR="00456B58" w:rsidRDefault="00456B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C5364" w14:textId="77777777" w:rsidR="00456B58" w:rsidRDefault="00456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63A9"/>
    <w:multiLevelType w:val="hybridMultilevel"/>
    <w:tmpl w:val="3D007E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65219E6"/>
    <w:multiLevelType w:val="hybridMultilevel"/>
    <w:tmpl w:val="D850186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75625DC"/>
    <w:multiLevelType w:val="hybridMultilevel"/>
    <w:tmpl w:val="2E7A8762"/>
    <w:lvl w:ilvl="0" w:tplc="DB107298">
      <w:start w:val="1"/>
      <w:numFmt w:val="bullet"/>
      <w:lvlText w:val="-"/>
      <w:lvlJc w:val="left"/>
      <w:pPr>
        <w:ind w:left="720" w:hanging="360"/>
      </w:pPr>
      <w:rPr>
        <w:rFonts w:ascii="Aptos" w:hAnsi="Apto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A6B23BA"/>
    <w:multiLevelType w:val="hybridMultilevel"/>
    <w:tmpl w:val="B46409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E9375AD"/>
    <w:multiLevelType w:val="hybridMultilevel"/>
    <w:tmpl w:val="E4E82D0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348E7936"/>
    <w:multiLevelType w:val="hybridMultilevel"/>
    <w:tmpl w:val="C8E232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3AB35992"/>
    <w:multiLevelType w:val="hybridMultilevel"/>
    <w:tmpl w:val="4F1C4200"/>
    <w:lvl w:ilvl="0" w:tplc="4B5457AE">
      <w:start w:val="1"/>
      <w:numFmt w:val="bullet"/>
      <w:lvlText w:val=""/>
      <w:lvlJc w:val="left"/>
      <w:pPr>
        <w:ind w:left="720" w:hanging="360"/>
      </w:pPr>
      <w:rPr>
        <w:rFonts w:ascii="Symbol" w:hAnsi="Symbol" w:hint="default"/>
      </w:rPr>
    </w:lvl>
    <w:lvl w:ilvl="1" w:tplc="3F12078A">
      <w:start w:val="1"/>
      <w:numFmt w:val="bullet"/>
      <w:lvlText w:val="o"/>
      <w:lvlJc w:val="left"/>
      <w:pPr>
        <w:ind w:left="1440" w:hanging="360"/>
      </w:pPr>
      <w:rPr>
        <w:rFonts w:ascii="Courier New" w:hAnsi="Courier New" w:hint="default"/>
      </w:rPr>
    </w:lvl>
    <w:lvl w:ilvl="2" w:tplc="95CE7278">
      <w:start w:val="1"/>
      <w:numFmt w:val="bullet"/>
      <w:lvlText w:val=""/>
      <w:lvlJc w:val="left"/>
      <w:pPr>
        <w:ind w:left="2160" w:hanging="360"/>
      </w:pPr>
      <w:rPr>
        <w:rFonts w:ascii="Wingdings" w:hAnsi="Wingdings" w:hint="default"/>
      </w:rPr>
    </w:lvl>
    <w:lvl w:ilvl="3" w:tplc="DFC29DA8">
      <w:start w:val="1"/>
      <w:numFmt w:val="bullet"/>
      <w:lvlText w:val=""/>
      <w:lvlJc w:val="left"/>
      <w:pPr>
        <w:ind w:left="2880" w:hanging="360"/>
      </w:pPr>
      <w:rPr>
        <w:rFonts w:ascii="Symbol" w:hAnsi="Symbol" w:hint="default"/>
      </w:rPr>
    </w:lvl>
    <w:lvl w:ilvl="4" w:tplc="E0C0C9C6">
      <w:start w:val="1"/>
      <w:numFmt w:val="bullet"/>
      <w:lvlText w:val="o"/>
      <w:lvlJc w:val="left"/>
      <w:pPr>
        <w:ind w:left="3600" w:hanging="360"/>
      </w:pPr>
      <w:rPr>
        <w:rFonts w:ascii="Courier New" w:hAnsi="Courier New" w:hint="default"/>
      </w:rPr>
    </w:lvl>
    <w:lvl w:ilvl="5" w:tplc="56E062E4">
      <w:start w:val="1"/>
      <w:numFmt w:val="bullet"/>
      <w:lvlText w:val=""/>
      <w:lvlJc w:val="left"/>
      <w:pPr>
        <w:ind w:left="4320" w:hanging="360"/>
      </w:pPr>
      <w:rPr>
        <w:rFonts w:ascii="Wingdings" w:hAnsi="Wingdings" w:hint="default"/>
      </w:rPr>
    </w:lvl>
    <w:lvl w:ilvl="6" w:tplc="541C1312">
      <w:start w:val="1"/>
      <w:numFmt w:val="bullet"/>
      <w:lvlText w:val=""/>
      <w:lvlJc w:val="left"/>
      <w:pPr>
        <w:ind w:left="5040" w:hanging="360"/>
      </w:pPr>
      <w:rPr>
        <w:rFonts w:ascii="Symbol" w:hAnsi="Symbol" w:hint="default"/>
      </w:rPr>
    </w:lvl>
    <w:lvl w:ilvl="7" w:tplc="E3165992">
      <w:start w:val="1"/>
      <w:numFmt w:val="bullet"/>
      <w:lvlText w:val="o"/>
      <w:lvlJc w:val="left"/>
      <w:pPr>
        <w:ind w:left="5760" w:hanging="360"/>
      </w:pPr>
      <w:rPr>
        <w:rFonts w:ascii="Courier New" w:hAnsi="Courier New" w:hint="default"/>
      </w:rPr>
    </w:lvl>
    <w:lvl w:ilvl="8" w:tplc="B4440828">
      <w:start w:val="1"/>
      <w:numFmt w:val="bullet"/>
      <w:lvlText w:val=""/>
      <w:lvlJc w:val="left"/>
      <w:pPr>
        <w:ind w:left="6480" w:hanging="360"/>
      </w:pPr>
      <w:rPr>
        <w:rFonts w:ascii="Wingdings" w:hAnsi="Wingdings" w:hint="default"/>
      </w:rPr>
    </w:lvl>
  </w:abstractNum>
  <w:abstractNum w:abstractNumId="7" w15:restartNumberingAfterBreak="0">
    <w:nsid w:val="3C0143C8"/>
    <w:multiLevelType w:val="hybridMultilevel"/>
    <w:tmpl w:val="39B410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C804A3D"/>
    <w:multiLevelType w:val="hybridMultilevel"/>
    <w:tmpl w:val="61185E16"/>
    <w:lvl w:ilvl="0" w:tplc="0160150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D50138"/>
    <w:multiLevelType w:val="hybridMultilevel"/>
    <w:tmpl w:val="F68CD9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4423C6A0"/>
    <w:multiLevelType w:val="hybridMultilevel"/>
    <w:tmpl w:val="EC90F1A0"/>
    <w:lvl w:ilvl="0" w:tplc="1B6EBD52">
      <w:start w:val="1"/>
      <w:numFmt w:val="bullet"/>
      <w:lvlText w:val=""/>
      <w:lvlJc w:val="left"/>
      <w:pPr>
        <w:ind w:left="720" w:hanging="360"/>
      </w:pPr>
      <w:rPr>
        <w:rFonts w:ascii="Symbol" w:hAnsi="Symbol" w:hint="default"/>
      </w:rPr>
    </w:lvl>
    <w:lvl w:ilvl="1" w:tplc="85688A90">
      <w:start w:val="1"/>
      <w:numFmt w:val="bullet"/>
      <w:lvlText w:val="o"/>
      <w:lvlJc w:val="left"/>
      <w:pPr>
        <w:ind w:left="1440" w:hanging="360"/>
      </w:pPr>
      <w:rPr>
        <w:rFonts w:ascii="Courier New" w:hAnsi="Courier New" w:hint="default"/>
      </w:rPr>
    </w:lvl>
    <w:lvl w:ilvl="2" w:tplc="3BBC1116">
      <w:start w:val="1"/>
      <w:numFmt w:val="bullet"/>
      <w:lvlText w:val=""/>
      <w:lvlJc w:val="left"/>
      <w:pPr>
        <w:ind w:left="2160" w:hanging="360"/>
      </w:pPr>
      <w:rPr>
        <w:rFonts w:ascii="Wingdings" w:hAnsi="Wingdings" w:hint="default"/>
      </w:rPr>
    </w:lvl>
    <w:lvl w:ilvl="3" w:tplc="FDB24134">
      <w:start w:val="1"/>
      <w:numFmt w:val="bullet"/>
      <w:lvlText w:val=""/>
      <w:lvlJc w:val="left"/>
      <w:pPr>
        <w:ind w:left="2880" w:hanging="360"/>
      </w:pPr>
      <w:rPr>
        <w:rFonts w:ascii="Symbol" w:hAnsi="Symbol" w:hint="default"/>
      </w:rPr>
    </w:lvl>
    <w:lvl w:ilvl="4" w:tplc="B9629452">
      <w:start w:val="1"/>
      <w:numFmt w:val="bullet"/>
      <w:lvlText w:val="o"/>
      <w:lvlJc w:val="left"/>
      <w:pPr>
        <w:ind w:left="3600" w:hanging="360"/>
      </w:pPr>
      <w:rPr>
        <w:rFonts w:ascii="Courier New" w:hAnsi="Courier New" w:hint="default"/>
      </w:rPr>
    </w:lvl>
    <w:lvl w:ilvl="5" w:tplc="804C44A8">
      <w:start w:val="1"/>
      <w:numFmt w:val="bullet"/>
      <w:lvlText w:val=""/>
      <w:lvlJc w:val="left"/>
      <w:pPr>
        <w:ind w:left="4320" w:hanging="360"/>
      </w:pPr>
      <w:rPr>
        <w:rFonts w:ascii="Wingdings" w:hAnsi="Wingdings" w:hint="default"/>
      </w:rPr>
    </w:lvl>
    <w:lvl w:ilvl="6" w:tplc="77186C3C">
      <w:start w:val="1"/>
      <w:numFmt w:val="bullet"/>
      <w:lvlText w:val=""/>
      <w:lvlJc w:val="left"/>
      <w:pPr>
        <w:ind w:left="5040" w:hanging="360"/>
      </w:pPr>
      <w:rPr>
        <w:rFonts w:ascii="Symbol" w:hAnsi="Symbol" w:hint="default"/>
      </w:rPr>
    </w:lvl>
    <w:lvl w:ilvl="7" w:tplc="A950FE70">
      <w:start w:val="1"/>
      <w:numFmt w:val="bullet"/>
      <w:lvlText w:val="o"/>
      <w:lvlJc w:val="left"/>
      <w:pPr>
        <w:ind w:left="5760" w:hanging="360"/>
      </w:pPr>
      <w:rPr>
        <w:rFonts w:ascii="Courier New" w:hAnsi="Courier New" w:hint="default"/>
      </w:rPr>
    </w:lvl>
    <w:lvl w:ilvl="8" w:tplc="B5C0184C">
      <w:start w:val="1"/>
      <w:numFmt w:val="bullet"/>
      <w:lvlText w:val=""/>
      <w:lvlJc w:val="left"/>
      <w:pPr>
        <w:ind w:left="6480" w:hanging="360"/>
      </w:pPr>
      <w:rPr>
        <w:rFonts w:ascii="Wingdings" w:hAnsi="Wingdings" w:hint="default"/>
      </w:rPr>
    </w:lvl>
  </w:abstractNum>
  <w:abstractNum w:abstractNumId="11" w15:restartNumberingAfterBreak="0">
    <w:nsid w:val="47B6DCE0"/>
    <w:multiLevelType w:val="hybridMultilevel"/>
    <w:tmpl w:val="35ECF142"/>
    <w:lvl w:ilvl="0" w:tplc="30B4CD34">
      <w:start w:val="1"/>
      <w:numFmt w:val="bullet"/>
      <w:lvlText w:val="·"/>
      <w:lvlJc w:val="left"/>
      <w:pPr>
        <w:ind w:left="720" w:hanging="360"/>
      </w:pPr>
      <w:rPr>
        <w:rFonts w:ascii="Symbol" w:hAnsi="Symbol" w:hint="default"/>
      </w:rPr>
    </w:lvl>
    <w:lvl w:ilvl="1" w:tplc="DFB6F448">
      <w:start w:val="1"/>
      <w:numFmt w:val="bullet"/>
      <w:lvlText w:val="o"/>
      <w:lvlJc w:val="left"/>
      <w:pPr>
        <w:ind w:left="1440" w:hanging="360"/>
      </w:pPr>
      <w:rPr>
        <w:rFonts w:ascii="Courier New" w:hAnsi="Courier New" w:hint="default"/>
      </w:rPr>
    </w:lvl>
    <w:lvl w:ilvl="2" w:tplc="FC20E002">
      <w:start w:val="1"/>
      <w:numFmt w:val="bullet"/>
      <w:lvlText w:val=""/>
      <w:lvlJc w:val="left"/>
      <w:pPr>
        <w:ind w:left="2160" w:hanging="360"/>
      </w:pPr>
      <w:rPr>
        <w:rFonts w:ascii="Wingdings" w:hAnsi="Wingdings" w:hint="default"/>
      </w:rPr>
    </w:lvl>
    <w:lvl w:ilvl="3" w:tplc="68866CC2">
      <w:start w:val="1"/>
      <w:numFmt w:val="bullet"/>
      <w:lvlText w:val=""/>
      <w:lvlJc w:val="left"/>
      <w:pPr>
        <w:ind w:left="2880" w:hanging="360"/>
      </w:pPr>
      <w:rPr>
        <w:rFonts w:ascii="Symbol" w:hAnsi="Symbol" w:hint="default"/>
      </w:rPr>
    </w:lvl>
    <w:lvl w:ilvl="4" w:tplc="C82CED50">
      <w:start w:val="1"/>
      <w:numFmt w:val="bullet"/>
      <w:lvlText w:val="o"/>
      <w:lvlJc w:val="left"/>
      <w:pPr>
        <w:ind w:left="3600" w:hanging="360"/>
      </w:pPr>
      <w:rPr>
        <w:rFonts w:ascii="Courier New" w:hAnsi="Courier New" w:hint="default"/>
      </w:rPr>
    </w:lvl>
    <w:lvl w:ilvl="5" w:tplc="98708228">
      <w:start w:val="1"/>
      <w:numFmt w:val="bullet"/>
      <w:lvlText w:val=""/>
      <w:lvlJc w:val="left"/>
      <w:pPr>
        <w:ind w:left="4320" w:hanging="360"/>
      </w:pPr>
      <w:rPr>
        <w:rFonts w:ascii="Wingdings" w:hAnsi="Wingdings" w:hint="default"/>
      </w:rPr>
    </w:lvl>
    <w:lvl w:ilvl="6" w:tplc="C6E83148">
      <w:start w:val="1"/>
      <w:numFmt w:val="bullet"/>
      <w:lvlText w:val=""/>
      <w:lvlJc w:val="left"/>
      <w:pPr>
        <w:ind w:left="5040" w:hanging="360"/>
      </w:pPr>
      <w:rPr>
        <w:rFonts w:ascii="Symbol" w:hAnsi="Symbol" w:hint="default"/>
      </w:rPr>
    </w:lvl>
    <w:lvl w:ilvl="7" w:tplc="F9827B1A">
      <w:start w:val="1"/>
      <w:numFmt w:val="bullet"/>
      <w:lvlText w:val="o"/>
      <w:lvlJc w:val="left"/>
      <w:pPr>
        <w:ind w:left="5760" w:hanging="360"/>
      </w:pPr>
      <w:rPr>
        <w:rFonts w:ascii="Courier New" w:hAnsi="Courier New" w:hint="default"/>
      </w:rPr>
    </w:lvl>
    <w:lvl w:ilvl="8" w:tplc="1A964BD2">
      <w:start w:val="1"/>
      <w:numFmt w:val="bullet"/>
      <w:lvlText w:val=""/>
      <w:lvlJc w:val="left"/>
      <w:pPr>
        <w:ind w:left="6480" w:hanging="360"/>
      </w:pPr>
      <w:rPr>
        <w:rFonts w:ascii="Wingdings" w:hAnsi="Wingdings" w:hint="default"/>
      </w:rPr>
    </w:lvl>
  </w:abstractNum>
  <w:abstractNum w:abstractNumId="12" w15:restartNumberingAfterBreak="0">
    <w:nsid w:val="4DB9C82C"/>
    <w:multiLevelType w:val="hybridMultilevel"/>
    <w:tmpl w:val="052A7F1C"/>
    <w:lvl w:ilvl="0" w:tplc="E7843894">
      <w:start w:val="1"/>
      <w:numFmt w:val="bullet"/>
      <w:lvlText w:val=""/>
      <w:lvlJc w:val="left"/>
      <w:pPr>
        <w:ind w:left="720" w:hanging="360"/>
      </w:pPr>
      <w:rPr>
        <w:rFonts w:ascii="Symbol" w:hAnsi="Symbol" w:hint="default"/>
      </w:rPr>
    </w:lvl>
    <w:lvl w:ilvl="1" w:tplc="F27C434A">
      <w:start w:val="1"/>
      <w:numFmt w:val="bullet"/>
      <w:lvlText w:val="o"/>
      <w:lvlJc w:val="left"/>
      <w:pPr>
        <w:ind w:left="1440" w:hanging="360"/>
      </w:pPr>
      <w:rPr>
        <w:rFonts w:ascii="Courier New" w:hAnsi="Courier New" w:hint="default"/>
      </w:rPr>
    </w:lvl>
    <w:lvl w:ilvl="2" w:tplc="C8F61386">
      <w:start w:val="1"/>
      <w:numFmt w:val="bullet"/>
      <w:lvlText w:val=""/>
      <w:lvlJc w:val="left"/>
      <w:pPr>
        <w:ind w:left="2160" w:hanging="360"/>
      </w:pPr>
      <w:rPr>
        <w:rFonts w:ascii="Wingdings" w:hAnsi="Wingdings" w:hint="default"/>
      </w:rPr>
    </w:lvl>
    <w:lvl w:ilvl="3" w:tplc="57D86460">
      <w:start w:val="1"/>
      <w:numFmt w:val="bullet"/>
      <w:lvlText w:val=""/>
      <w:lvlJc w:val="left"/>
      <w:pPr>
        <w:ind w:left="2880" w:hanging="360"/>
      </w:pPr>
      <w:rPr>
        <w:rFonts w:ascii="Symbol" w:hAnsi="Symbol" w:hint="default"/>
      </w:rPr>
    </w:lvl>
    <w:lvl w:ilvl="4" w:tplc="4356C056">
      <w:start w:val="1"/>
      <w:numFmt w:val="bullet"/>
      <w:lvlText w:val="o"/>
      <w:lvlJc w:val="left"/>
      <w:pPr>
        <w:ind w:left="3600" w:hanging="360"/>
      </w:pPr>
      <w:rPr>
        <w:rFonts w:ascii="Courier New" w:hAnsi="Courier New" w:hint="default"/>
      </w:rPr>
    </w:lvl>
    <w:lvl w:ilvl="5" w:tplc="326CA3E2">
      <w:start w:val="1"/>
      <w:numFmt w:val="bullet"/>
      <w:lvlText w:val=""/>
      <w:lvlJc w:val="left"/>
      <w:pPr>
        <w:ind w:left="4320" w:hanging="360"/>
      </w:pPr>
      <w:rPr>
        <w:rFonts w:ascii="Wingdings" w:hAnsi="Wingdings" w:hint="default"/>
      </w:rPr>
    </w:lvl>
    <w:lvl w:ilvl="6" w:tplc="C61824D2">
      <w:start w:val="1"/>
      <w:numFmt w:val="bullet"/>
      <w:lvlText w:val=""/>
      <w:lvlJc w:val="left"/>
      <w:pPr>
        <w:ind w:left="5040" w:hanging="360"/>
      </w:pPr>
      <w:rPr>
        <w:rFonts w:ascii="Symbol" w:hAnsi="Symbol" w:hint="default"/>
      </w:rPr>
    </w:lvl>
    <w:lvl w:ilvl="7" w:tplc="DE8AE2D4">
      <w:start w:val="1"/>
      <w:numFmt w:val="bullet"/>
      <w:lvlText w:val="o"/>
      <w:lvlJc w:val="left"/>
      <w:pPr>
        <w:ind w:left="5760" w:hanging="360"/>
      </w:pPr>
      <w:rPr>
        <w:rFonts w:ascii="Courier New" w:hAnsi="Courier New" w:hint="default"/>
      </w:rPr>
    </w:lvl>
    <w:lvl w:ilvl="8" w:tplc="90860816">
      <w:start w:val="1"/>
      <w:numFmt w:val="bullet"/>
      <w:lvlText w:val=""/>
      <w:lvlJc w:val="left"/>
      <w:pPr>
        <w:ind w:left="6480" w:hanging="360"/>
      </w:pPr>
      <w:rPr>
        <w:rFonts w:ascii="Wingdings" w:hAnsi="Wingdings" w:hint="default"/>
      </w:rPr>
    </w:lvl>
  </w:abstractNum>
  <w:abstractNum w:abstractNumId="13" w15:restartNumberingAfterBreak="0">
    <w:nsid w:val="505F154C"/>
    <w:multiLevelType w:val="hybridMultilevel"/>
    <w:tmpl w:val="98B013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54B2C692"/>
    <w:multiLevelType w:val="hybridMultilevel"/>
    <w:tmpl w:val="79B0B5C4"/>
    <w:lvl w:ilvl="0" w:tplc="BCAA4606">
      <w:start w:val="1"/>
      <w:numFmt w:val="bullet"/>
      <w:lvlText w:val="-"/>
      <w:lvlJc w:val="left"/>
      <w:pPr>
        <w:ind w:left="720" w:hanging="360"/>
      </w:pPr>
      <w:rPr>
        <w:rFonts w:ascii="Aptos" w:hAnsi="Aptos" w:hint="default"/>
      </w:rPr>
    </w:lvl>
    <w:lvl w:ilvl="1" w:tplc="E6A03422">
      <w:start w:val="1"/>
      <w:numFmt w:val="bullet"/>
      <w:lvlText w:val="o"/>
      <w:lvlJc w:val="left"/>
      <w:pPr>
        <w:ind w:left="1440" w:hanging="360"/>
      </w:pPr>
      <w:rPr>
        <w:rFonts w:ascii="Courier New" w:hAnsi="Courier New" w:hint="default"/>
      </w:rPr>
    </w:lvl>
    <w:lvl w:ilvl="2" w:tplc="67D4CB1A">
      <w:start w:val="1"/>
      <w:numFmt w:val="bullet"/>
      <w:lvlText w:val=""/>
      <w:lvlJc w:val="left"/>
      <w:pPr>
        <w:ind w:left="2160" w:hanging="360"/>
      </w:pPr>
      <w:rPr>
        <w:rFonts w:ascii="Wingdings" w:hAnsi="Wingdings" w:hint="default"/>
      </w:rPr>
    </w:lvl>
    <w:lvl w:ilvl="3" w:tplc="1B1209CA">
      <w:start w:val="1"/>
      <w:numFmt w:val="bullet"/>
      <w:lvlText w:val=""/>
      <w:lvlJc w:val="left"/>
      <w:pPr>
        <w:ind w:left="2880" w:hanging="360"/>
      </w:pPr>
      <w:rPr>
        <w:rFonts w:ascii="Symbol" w:hAnsi="Symbol" w:hint="default"/>
      </w:rPr>
    </w:lvl>
    <w:lvl w:ilvl="4" w:tplc="0EB23CDC">
      <w:start w:val="1"/>
      <w:numFmt w:val="bullet"/>
      <w:lvlText w:val="o"/>
      <w:lvlJc w:val="left"/>
      <w:pPr>
        <w:ind w:left="3600" w:hanging="360"/>
      </w:pPr>
      <w:rPr>
        <w:rFonts w:ascii="Courier New" w:hAnsi="Courier New" w:hint="default"/>
      </w:rPr>
    </w:lvl>
    <w:lvl w:ilvl="5" w:tplc="51A0C2F8">
      <w:start w:val="1"/>
      <w:numFmt w:val="bullet"/>
      <w:lvlText w:val=""/>
      <w:lvlJc w:val="left"/>
      <w:pPr>
        <w:ind w:left="4320" w:hanging="360"/>
      </w:pPr>
      <w:rPr>
        <w:rFonts w:ascii="Wingdings" w:hAnsi="Wingdings" w:hint="default"/>
      </w:rPr>
    </w:lvl>
    <w:lvl w:ilvl="6" w:tplc="21681D76">
      <w:start w:val="1"/>
      <w:numFmt w:val="bullet"/>
      <w:lvlText w:val=""/>
      <w:lvlJc w:val="left"/>
      <w:pPr>
        <w:ind w:left="5040" w:hanging="360"/>
      </w:pPr>
      <w:rPr>
        <w:rFonts w:ascii="Symbol" w:hAnsi="Symbol" w:hint="default"/>
      </w:rPr>
    </w:lvl>
    <w:lvl w:ilvl="7" w:tplc="A87E5CF0">
      <w:start w:val="1"/>
      <w:numFmt w:val="bullet"/>
      <w:lvlText w:val="o"/>
      <w:lvlJc w:val="left"/>
      <w:pPr>
        <w:ind w:left="5760" w:hanging="360"/>
      </w:pPr>
      <w:rPr>
        <w:rFonts w:ascii="Courier New" w:hAnsi="Courier New" w:hint="default"/>
      </w:rPr>
    </w:lvl>
    <w:lvl w:ilvl="8" w:tplc="EA78960E">
      <w:start w:val="1"/>
      <w:numFmt w:val="bullet"/>
      <w:lvlText w:val=""/>
      <w:lvlJc w:val="left"/>
      <w:pPr>
        <w:ind w:left="6480" w:hanging="360"/>
      </w:pPr>
      <w:rPr>
        <w:rFonts w:ascii="Wingdings" w:hAnsi="Wingdings" w:hint="default"/>
      </w:rPr>
    </w:lvl>
  </w:abstractNum>
  <w:abstractNum w:abstractNumId="15" w15:restartNumberingAfterBreak="0">
    <w:nsid w:val="5D6250F9"/>
    <w:multiLevelType w:val="hybridMultilevel"/>
    <w:tmpl w:val="7F1262BA"/>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EF65054"/>
    <w:multiLevelType w:val="multilevel"/>
    <w:tmpl w:val="B4AA706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14018F8"/>
    <w:multiLevelType w:val="hybridMultilevel"/>
    <w:tmpl w:val="48A2F4DE"/>
    <w:lvl w:ilvl="0" w:tplc="FFFFFFFF">
      <w:start w:val="1"/>
      <w:numFmt w:val="bullet"/>
      <w:lvlText w:val="·"/>
      <w:lvlJc w:val="left"/>
      <w:pPr>
        <w:ind w:left="405" w:hanging="360"/>
      </w:pPr>
      <w:rPr>
        <w:rFonts w:ascii="Symbol" w:hAnsi="Symbol" w:hint="default"/>
      </w:rPr>
    </w:lvl>
    <w:lvl w:ilvl="1" w:tplc="FFFFFFFF">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18" w15:restartNumberingAfterBreak="0">
    <w:nsid w:val="6179FA17"/>
    <w:multiLevelType w:val="hybridMultilevel"/>
    <w:tmpl w:val="7BE0BD6E"/>
    <w:lvl w:ilvl="0" w:tplc="9E86F26E">
      <w:start w:val="1"/>
      <w:numFmt w:val="decimal"/>
      <w:lvlText w:val="%1."/>
      <w:lvlJc w:val="left"/>
      <w:pPr>
        <w:ind w:left="720" w:hanging="360"/>
      </w:pPr>
    </w:lvl>
    <w:lvl w:ilvl="1" w:tplc="EBF487B4">
      <w:start w:val="1"/>
      <w:numFmt w:val="lowerLetter"/>
      <w:lvlText w:val="%2."/>
      <w:lvlJc w:val="left"/>
      <w:pPr>
        <w:ind w:left="1440" w:hanging="360"/>
      </w:pPr>
    </w:lvl>
    <w:lvl w:ilvl="2" w:tplc="87B6DD32">
      <w:start w:val="1"/>
      <w:numFmt w:val="lowerRoman"/>
      <w:lvlText w:val="%3."/>
      <w:lvlJc w:val="right"/>
      <w:pPr>
        <w:ind w:left="2160" w:hanging="180"/>
      </w:pPr>
    </w:lvl>
    <w:lvl w:ilvl="3" w:tplc="4574F8AC">
      <w:start w:val="1"/>
      <w:numFmt w:val="decimal"/>
      <w:lvlText w:val="%4."/>
      <w:lvlJc w:val="left"/>
      <w:pPr>
        <w:ind w:left="2880" w:hanging="360"/>
      </w:pPr>
    </w:lvl>
    <w:lvl w:ilvl="4" w:tplc="7E6A4166">
      <w:start w:val="1"/>
      <w:numFmt w:val="lowerLetter"/>
      <w:lvlText w:val="%5."/>
      <w:lvlJc w:val="left"/>
      <w:pPr>
        <w:ind w:left="3600" w:hanging="360"/>
      </w:pPr>
    </w:lvl>
    <w:lvl w:ilvl="5" w:tplc="63BA496E">
      <w:start w:val="1"/>
      <w:numFmt w:val="lowerRoman"/>
      <w:lvlText w:val="%6."/>
      <w:lvlJc w:val="right"/>
      <w:pPr>
        <w:ind w:left="4320" w:hanging="180"/>
      </w:pPr>
    </w:lvl>
    <w:lvl w:ilvl="6" w:tplc="85EC0CFA">
      <w:start w:val="1"/>
      <w:numFmt w:val="decimal"/>
      <w:lvlText w:val="%7."/>
      <w:lvlJc w:val="left"/>
      <w:pPr>
        <w:ind w:left="5040" w:hanging="360"/>
      </w:pPr>
    </w:lvl>
    <w:lvl w:ilvl="7" w:tplc="4D0E681E">
      <w:start w:val="1"/>
      <w:numFmt w:val="lowerLetter"/>
      <w:lvlText w:val="%8."/>
      <w:lvlJc w:val="left"/>
      <w:pPr>
        <w:ind w:left="5760" w:hanging="360"/>
      </w:pPr>
    </w:lvl>
    <w:lvl w:ilvl="8" w:tplc="AC20FD0E">
      <w:start w:val="1"/>
      <w:numFmt w:val="lowerRoman"/>
      <w:lvlText w:val="%9."/>
      <w:lvlJc w:val="right"/>
      <w:pPr>
        <w:ind w:left="6480" w:hanging="180"/>
      </w:pPr>
    </w:lvl>
  </w:abstractNum>
  <w:abstractNum w:abstractNumId="19" w15:restartNumberingAfterBreak="0">
    <w:nsid w:val="7010653B"/>
    <w:multiLevelType w:val="hybridMultilevel"/>
    <w:tmpl w:val="F4BEA942"/>
    <w:lvl w:ilvl="0" w:tplc="BE205BD8">
      <w:start w:val="1"/>
      <w:numFmt w:val="bullet"/>
      <w:lvlText w:val="·"/>
      <w:lvlJc w:val="left"/>
      <w:pPr>
        <w:ind w:left="720" w:hanging="360"/>
      </w:pPr>
      <w:rPr>
        <w:rFonts w:ascii="Symbol" w:hAnsi="Symbol" w:hint="default"/>
        <w:sz w:val="24"/>
        <w:szCs w:val="24"/>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315391"/>
    <w:multiLevelType w:val="hybridMultilevel"/>
    <w:tmpl w:val="3930757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45A6F39"/>
    <w:multiLevelType w:val="hybridMultilevel"/>
    <w:tmpl w:val="3454D2AA"/>
    <w:lvl w:ilvl="0" w:tplc="DB107298">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9E93F80"/>
    <w:multiLevelType w:val="hybridMultilevel"/>
    <w:tmpl w:val="C5CA9010"/>
    <w:lvl w:ilvl="0" w:tplc="5CE681D6">
      <w:start w:val="1"/>
      <w:numFmt w:val="bullet"/>
      <w:lvlText w:val="·"/>
      <w:lvlJc w:val="left"/>
      <w:pPr>
        <w:ind w:left="720" w:hanging="360"/>
      </w:pPr>
      <w:rPr>
        <w:rFonts w:ascii="Symbol" w:hAnsi="Symbol" w:hint="default"/>
      </w:rPr>
    </w:lvl>
    <w:lvl w:ilvl="1" w:tplc="7564F8B8">
      <w:start w:val="1"/>
      <w:numFmt w:val="bullet"/>
      <w:lvlText w:val="o"/>
      <w:lvlJc w:val="left"/>
      <w:pPr>
        <w:ind w:left="1440" w:hanging="360"/>
      </w:pPr>
      <w:rPr>
        <w:rFonts w:ascii="Courier New" w:hAnsi="Courier New" w:hint="default"/>
      </w:rPr>
    </w:lvl>
    <w:lvl w:ilvl="2" w:tplc="7408FC5C">
      <w:start w:val="1"/>
      <w:numFmt w:val="bullet"/>
      <w:lvlText w:val=""/>
      <w:lvlJc w:val="left"/>
      <w:pPr>
        <w:ind w:left="2160" w:hanging="360"/>
      </w:pPr>
      <w:rPr>
        <w:rFonts w:ascii="Wingdings" w:hAnsi="Wingdings" w:hint="default"/>
      </w:rPr>
    </w:lvl>
    <w:lvl w:ilvl="3" w:tplc="F86E1ABE">
      <w:start w:val="1"/>
      <w:numFmt w:val="bullet"/>
      <w:lvlText w:val=""/>
      <w:lvlJc w:val="left"/>
      <w:pPr>
        <w:ind w:left="2880" w:hanging="360"/>
      </w:pPr>
      <w:rPr>
        <w:rFonts w:ascii="Symbol" w:hAnsi="Symbol" w:hint="default"/>
      </w:rPr>
    </w:lvl>
    <w:lvl w:ilvl="4" w:tplc="4B3A3E22">
      <w:start w:val="1"/>
      <w:numFmt w:val="bullet"/>
      <w:lvlText w:val="o"/>
      <w:lvlJc w:val="left"/>
      <w:pPr>
        <w:ind w:left="3600" w:hanging="360"/>
      </w:pPr>
      <w:rPr>
        <w:rFonts w:ascii="Courier New" w:hAnsi="Courier New" w:hint="default"/>
      </w:rPr>
    </w:lvl>
    <w:lvl w:ilvl="5" w:tplc="2F5C643C">
      <w:start w:val="1"/>
      <w:numFmt w:val="bullet"/>
      <w:lvlText w:val=""/>
      <w:lvlJc w:val="left"/>
      <w:pPr>
        <w:ind w:left="4320" w:hanging="360"/>
      </w:pPr>
      <w:rPr>
        <w:rFonts w:ascii="Wingdings" w:hAnsi="Wingdings" w:hint="default"/>
      </w:rPr>
    </w:lvl>
    <w:lvl w:ilvl="6" w:tplc="EEF0EED6">
      <w:start w:val="1"/>
      <w:numFmt w:val="bullet"/>
      <w:lvlText w:val=""/>
      <w:lvlJc w:val="left"/>
      <w:pPr>
        <w:ind w:left="5040" w:hanging="360"/>
      </w:pPr>
      <w:rPr>
        <w:rFonts w:ascii="Symbol" w:hAnsi="Symbol" w:hint="default"/>
      </w:rPr>
    </w:lvl>
    <w:lvl w:ilvl="7" w:tplc="44F26D44">
      <w:start w:val="1"/>
      <w:numFmt w:val="bullet"/>
      <w:lvlText w:val="o"/>
      <w:lvlJc w:val="left"/>
      <w:pPr>
        <w:ind w:left="5760" w:hanging="360"/>
      </w:pPr>
      <w:rPr>
        <w:rFonts w:ascii="Courier New" w:hAnsi="Courier New" w:hint="default"/>
      </w:rPr>
    </w:lvl>
    <w:lvl w:ilvl="8" w:tplc="509AB148">
      <w:start w:val="1"/>
      <w:numFmt w:val="bullet"/>
      <w:lvlText w:val=""/>
      <w:lvlJc w:val="left"/>
      <w:pPr>
        <w:ind w:left="6480" w:hanging="360"/>
      </w:pPr>
      <w:rPr>
        <w:rFonts w:ascii="Wingdings" w:hAnsi="Wingdings" w:hint="default"/>
      </w:rPr>
    </w:lvl>
  </w:abstractNum>
  <w:abstractNum w:abstractNumId="23" w15:restartNumberingAfterBreak="0">
    <w:nsid w:val="7E30D910"/>
    <w:multiLevelType w:val="hybridMultilevel"/>
    <w:tmpl w:val="CB16A864"/>
    <w:lvl w:ilvl="0" w:tplc="DB107298">
      <w:start w:val="1"/>
      <w:numFmt w:val="bullet"/>
      <w:lvlText w:val="-"/>
      <w:lvlJc w:val="left"/>
      <w:pPr>
        <w:ind w:left="720" w:hanging="360"/>
      </w:pPr>
      <w:rPr>
        <w:rFonts w:ascii="Aptos" w:hAnsi="Aptos" w:hint="default"/>
      </w:rPr>
    </w:lvl>
    <w:lvl w:ilvl="1" w:tplc="B2BC522E">
      <w:start w:val="1"/>
      <w:numFmt w:val="bullet"/>
      <w:lvlText w:val="o"/>
      <w:lvlJc w:val="left"/>
      <w:pPr>
        <w:ind w:left="1440" w:hanging="360"/>
      </w:pPr>
      <w:rPr>
        <w:rFonts w:ascii="Courier New" w:hAnsi="Courier New" w:hint="default"/>
      </w:rPr>
    </w:lvl>
    <w:lvl w:ilvl="2" w:tplc="0BF626F4">
      <w:start w:val="1"/>
      <w:numFmt w:val="bullet"/>
      <w:lvlText w:val=""/>
      <w:lvlJc w:val="left"/>
      <w:pPr>
        <w:ind w:left="2160" w:hanging="360"/>
      </w:pPr>
      <w:rPr>
        <w:rFonts w:ascii="Wingdings" w:hAnsi="Wingdings" w:hint="default"/>
      </w:rPr>
    </w:lvl>
    <w:lvl w:ilvl="3" w:tplc="B6740FFA">
      <w:start w:val="1"/>
      <w:numFmt w:val="bullet"/>
      <w:lvlText w:val=""/>
      <w:lvlJc w:val="left"/>
      <w:pPr>
        <w:ind w:left="2880" w:hanging="360"/>
      </w:pPr>
      <w:rPr>
        <w:rFonts w:ascii="Symbol" w:hAnsi="Symbol" w:hint="default"/>
      </w:rPr>
    </w:lvl>
    <w:lvl w:ilvl="4" w:tplc="66D697D8">
      <w:start w:val="1"/>
      <w:numFmt w:val="bullet"/>
      <w:lvlText w:val="o"/>
      <w:lvlJc w:val="left"/>
      <w:pPr>
        <w:ind w:left="3600" w:hanging="360"/>
      </w:pPr>
      <w:rPr>
        <w:rFonts w:ascii="Courier New" w:hAnsi="Courier New" w:hint="default"/>
      </w:rPr>
    </w:lvl>
    <w:lvl w:ilvl="5" w:tplc="BDB67396">
      <w:start w:val="1"/>
      <w:numFmt w:val="bullet"/>
      <w:lvlText w:val=""/>
      <w:lvlJc w:val="left"/>
      <w:pPr>
        <w:ind w:left="4320" w:hanging="360"/>
      </w:pPr>
      <w:rPr>
        <w:rFonts w:ascii="Wingdings" w:hAnsi="Wingdings" w:hint="default"/>
      </w:rPr>
    </w:lvl>
    <w:lvl w:ilvl="6" w:tplc="C010DA60">
      <w:start w:val="1"/>
      <w:numFmt w:val="bullet"/>
      <w:lvlText w:val=""/>
      <w:lvlJc w:val="left"/>
      <w:pPr>
        <w:ind w:left="5040" w:hanging="360"/>
      </w:pPr>
      <w:rPr>
        <w:rFonts w:ascii="Symbol" w:hAnsi="Symbol" w:hint="default"/>
      </w:rPr>
    </w:lvl>
    <w:lvl w:ilvl="7" w:tplc="4C46940A">
      <w:start w:val="1"/>
      <w:numFmt w:val="bullet"/>
      <w:lvlText w:val="o"/>
      <w:lvlJc w:val="left"/>
      <w:pPr>
        <w:ind w:left="5760" w:hanging="360"/>
      </w:pPr>
      <w:rPr>
        <w:rFonts w:ascii="Courier New" w:hAnsi="Courier New" w:hint="default"/>
      </w:rPr>
    </w:lvl>
    <w:lvl w:ilvl="8" w:tplc="BAE6AA98">
      <w:start w:val="1"/>
      <w:numFmt w:val="bullet"/>
      <w:lvlText w:val=""/>
      <w:lvlJc w:val="left"/>
      <w:pPr>
        <w:ind w:left="6480" w:hanging="360"/>
      </w:pPr>
      <w:rPr>
        <w:rFonts w:ascii="Wingdings" w:hAnsi="Wingdings" w:hint="default"/>
      </w:rPr>
    </w:lvl>
  </w:abstractNum>
  <w:num w:numId="1">
    <w:abstractNumId w:val="23"/>
  </w:num>
  <w:num w:numId="2">
    <w:abstractNumId w:val="14"/>
  </w:num>
  <w:num w:numId="3">
    <w:abstractNumId w:val="18"/>
  </w:num>
  <w:num w:numId="4">
    <w:abstractNumId w:val="6"/>
  </w:num>
  <w:num w:numId="5">
    <w:abstractNumId w:val="10"/>
  </w:num>
  <w:num w:numId="6">
    <w:abstractNumId w:val="12"/>
  </w:num>
  <w:num w:numId="7">
    <w:abstractNumId w:val="22"/>
  </w:num>
  <w:num w:numId="8">
    <w:abstractNumId w:val="11"/>
  </w:num>
  <w:num w:numId="9">
    <w:abstractNumId w:val="19"/>
  </w:num>
  <w:num w:numId="10">
    <w:abstractNumId w:val="9"/>
  </w:num>
  <w:num w:numId="11">
    <w:abstractNumId w:val="1"/>
  </w:num>
  <w:num w:numId="12">
    <w:abstractNumId w:val="20"/>
  </w:num>
  <w:num w:numId="13">
    <w:abstractNumId w:val="16"/>
  </w:num>
  <w:num w:numId="14">
    <w:abstractNumId w:val="17"/>
  </w:num>
  <w:num w:numId="15">
    <w:abstractNumId w:val="7"/>
  </w:num>
  <w:num w:numId="16">
    <w:abstractNumId w:val="3"/>
  </w:num>
  <w:num w:numId="17">
    <w:abstractNumId w:val="0"/>
  </w:num>
  <w:num w:numId="18">
    <w:abstractNumId w:val="13"/>
  </w:num>
  <w:num w:numId="19">
    <w:abstractNumId w:val="8"/>
  </w:num>
  <w:num w:numId="20">
    <w:abstractNumId w:val="5"/>
  </w:num>
  <w:num w:numId="21">
    <w:abstractNumId w:val="21"/>
  </w:num>
  <w:num w:numId="22">
    <w:abstractNumId w:val="2"/>
  </w:num>
  <w:num w:numId="23">
    <w:abstractNumId w:val="15"/>
  </w:num>
  <w:num w:numId="24">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BEBA8BB-7083-4BB4-9663-6D3C29A45ACC"/>
    <w:docVar w:name="LW_COVERPAGE_TYPE" w:val="1"/>
    <w:docVar w:name="LW_CROSSREFERENCE" w:val="{SWD(2026) 312 final} - {SWD(2026) 313 final} - {SWD(2026) 314 final}"/>
    <w:docVar w:name="LW_DocType" w:val="NORMAL"/>
    <w:docVar w:name="LW_EMISSION" w:val="27.5.2026"/>
    <w:docVar w:name="LW_EMISSION_ISODATE" w:val="2026-05-27"/>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6) 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éfendre les valeurs, faire avancer les réformes, produire des résultats: l\u8217?action humanitaire de l\u8217?UE dans un ordre mondial en mutation_x000b__x000d__x000b_"/>
    <w:docVar w:name="LW_TYPE.DOC.CP" w:val="COMMUNICATION CONJOINTE AU PARLEMENT EUROPÉEN ET AU CONSEIL"/>
    <w:docVar w:name="LW_TYPE.DOC.CP.USERTEXT" w:val="&lt;EMPTY&gt;"/>
    <w:docVar w:name="LwApiVersions" w:val="LW4CoDe 1.24.5.0; LW 9.2, Build 20251112"/>
  </w:docVars>
  <w:rsids>
    <w:rsidRoot w:val="00A0722F"/>
    <w:rsid w:val="000005DB"/>
    <w:rsid w:val="00000D8C"/>
    <w:rsid w:val="00001927"/>
    <w:rsid w:val="00001C7D"/>
    <w:rsid w:val="000025ED"/>
    <w:rsid w:val="000026E8"/>
    <w:rsid w:val="00002AAE"/>
    <w:rsid w:val="0000318B"/>
    <w:rsid w:val="000035B1"/>
    <w:rsid w:val="000048C3"/>
    <w:rsid w:val="00004C61"/>
    <w:rsid w:val="00004F30"/>
    <w:rsid w:val="000053DC"/>
    <w:rsid w:val="00005ABE"/>
    <w:rsid w:val="00005D6A"/>
    <w:rsid w:val="00006A46"/>
    <w:rsid w:val="0000730F"/>
    <w:rsid w:val="00010345"/>
    <w:rsid w:val="000108BD"/>
    <w:rsid w:val="000115BE"/>
    <w:rsid w:val="0001187D"/>
    <w:rsid w:val="00012088"/>
    <w:rsid w:val="0001284D"/>
    <w:rsid w:val="00012F44"/>
    <w:rsid w:val="000133DE"/>
    <w:rsid w:val="00013B0D"/>
    <w:rsid w:val="00014740"/>
    <w:rsid w:val="00014BAE"/>
    <w:rsid w:val="0001512A"/>
    <w:rsid w:val="00016F7C"/>
    <w:rsid w:val="00017C82"/>
    <w:rsid w:val="00020374"/>
    <w:rsid w:val="00021416"/>
    <w:rsid w:val="000219EB"/>
    <w:rsid w:val="0002214F"/>
    <w:rsid w:val="000223A5"/>
    <w:rsid w:val="000226E8"/>
    <w:rsid w:val="00022A8D"/>
    <w:rsid w:val="00022B82"/>
    <w:rsid w:val="000237B3"/>
    <w:rsid w:val="00023D69"/>
    <w:rsid w:val="000245C3"/>
    <w:rsid w:val="00024798"/>
    <w:rsid w:val="00024F37"/>
    <w:rsid w:val="0002549F"/>
    <w:rsid w:val="00025D49"/>
    <w:rsid w:val="0002633B"/>
    <w:rsid w:val="0002704B"/>
    <w:rsid w:val="00027A8F"/>
    <w:rsid w:val="00027E70"/>
    <w:rsid w:val="00031113"/>
    <w:rsid w:val="000312B9"/>
    <w:rsid w:val="000314AB"/>
    <w:rsid w:val="000324DE"/>
    <w:rsid w:val="00032DBB"/>
    <w:rsid w:val="00032DF7"/>
    <w:rsid w:val="00033502"/>
    <w:rsid w:val="00034CBF"/>
    <w:rsid w:val="00034FBE"/>
    <w:rsid w:val="00035FEA"/>
    <w:rsid w:val="000363A7"/>
    <w:rsid w:val="000364F2"/>
    <w:rsid w:val="000376AD"/>
    <w:rsid w:val="00037966"/>
    <w:rsid w:val="0004044C"/>
    <w:rsid w:val="00040A78"/>
    <w:rsid w:val="0004120A"/>
    <w:rsid w:val="00041A6B"/>
    <w:rsid w:val="00042753"/>
    <w:rsid w:val="0004281B"/>
    <w:rsid w:val="00042B8D"/>
    <w:rsid w:val="0004358B"/>
    <w:rsid w:val="00043A3E"/>
    <w:rsid w:val="000451D5"/>
    <w:rsid w:val="00045522"/>
    <w:rsid w:val="00045839"/>
    <w:rsid w:val="000458CA"/>
    <w:rsid w:val="000458DD"/>
    <w:rsid w:val="000459E5"/>
    <w:rsid w:val="00045BFD"/>
    <w:rsid w:val="0004648D"/>
    <w:rsid w:val="00046791"/>
    <w:rsid w:val="000504AF"/>
    <w:rsid w:val="00050A6D"/>
    <w:rsid w:val="00050F19"/>
    <w:rsid w:val="00050FEC"/>
    <w:rsid w:val="000516D3"/>
    <w:rsid w:val="0005170B"/>
    <w:rsid w:val="00051CD5"/>
    <w:rsid w:val="000524F9"/>
    <w:rsid w:val="00052502"/>
    <w:rsid w:val="000532FA"/>
    <w:rsid w:val="0005414E"/>
    <w:rsid w:val="00054BA3"/>
    <w:rsid w:val="00054CD4"/>
    <w:rsid w:val="00055F8A"/>
    <w:rsid w:val="0005621B"/>
    <w:rsid w:val="0005650B"/>
    <w:rsid w:val="0005659E"/>
    <w:rsid w:val="000566C5"/>
    <w:rsid w:val="00056898"/>
    <w:rsid w:val="00056B8A"/>
    <w:rsid w:val="0005711F"/>
    <w:rsid w:val="00057B11"/>
    <w:rsid w:val="000603EE"/>
    <w:rsid w:val="00060A54"/>
    <w:rsid w:val="00060E0A"/>
    <w:rsid w:val="00060FF9"/>
    <w:rsid w:val="00061AD5"/>
    <w:rsid w:val="00062D4A"/>
    <w:rsid w:val="00062E16"/>
    <w:rsid w:val="00062FD7"/>
    <w:rsid w:val="00063640"/>
    <w:rsid w:val="000638F9"/>
    <w:rsid w:val="00064923"/>
    <w:rsid w:val="00064F65"/>
    <w:rsid w:val="0006518F"/>
    <w:rsid w:val="00065B75"/>
    <w:rsid w:val="00066267"/>
    <w:rsid w:val="0006638D"/>
    <w:rsid w:val="00066468"/>
    <w:rsid w:val="000669F7"/>
    <w:rsid w:val="00066AA7"/>
    <w:rsid w:val="00066CB2"/>
    <w:rsid w:val="00066DE5"/>
    <w:rsid w:val="00066E2E"/>
    <w:rsid w:val="00067030"/>
    <w:rsid w:val="000672DB"/>
    <w:rsid w:val="0006759D"/>
    <w:rsid w:val="00067803"/>
    <w:rsid w:val="0007051A"/>
    <w:rsid w:val="000705F9"/>
    <w:rsid w:val="00070757"/>
    <w:rsid w:val="0007136D"/>
    <w:rsid w:val="00071A69"/>
    <w:rsid w:val="00072D5E"/>
    <w:rsid w:val="00072DF6"/>
    <w:rsid w:val="00073CAA"/>
    <w:rsid w:val="00074705"/>
    <w:rsid w:val="00074929"/>
    <w:rsid w:val="00075C17"/>
    <w:rsid w:val="00075F34"/>
    <w:rsid w:val="000765A9"/>
    <w:rsid w:val="0007662C"/>
    <w:rsid w:val="00076BF8"/>
    <w:rsid w:val="0007772A"/>
    <w:rsid w:val="000812A9"/>
    <w:rsid w:val="0008150A"/>
    <w:rsid w:val="0008196A"/>
    <w:rsid w:val="00081B4E"/>
    <w:rsid w:val="00082E00"/>
    <w:rsid w:val="00082E18"/>
    <w:rsid w:val="00083E5C"/>
    <w:rsid w:val="00084A08"/>
    <w:rsid w:val="00084E43"/>
    <w:rsid w:val="00086355"/>
    <w:rsid w:val="00086432"/>
    <w:rsid w:val="000864F1"/>
    <w:rsid w:val="000869D7"/>
    <w:rsid w:val="0008770A"/>
    <w:rsid w:val="00090D83"/>
    <w:rsid w:val="00090D88"/>
    <w:rsid w:val="000910B5"/>
    <w:rsid w:val="000912A6"/>
    <w:rsid w:val="0009278E"/>
    <w:rsid w:val="00093163"/>
    <w:rsid w:val="00093962"/>
    <w:rsid w:val="00094A99"/>
    <w:rsid w:val="0009513D"/>
    <w:rsid w:val="000951EE"/>
    <w:rsid w:val="0009599D"/>
    <w:rsid w:val="00095CBB"/>
    <w:rsid w:val="00095EE3"/>
    <w:rsid w:val="00096392"/>
    <w:rsid w:val="000974D4"/>
    <w:rsid w:val="000975F0"/>
    <w:rsid w:val="00097AF6"/>
    <w:rsid w:val="000A01F5"/>
    <w:rsid w:val="000A077B"/>
    <w:rsid w:val="000A0ACE"/>
    <w:rsid w:val="000A1301"/>
    <w:rsid w:val="000A29B8"/>
    <w:rsid w:val="000A3139"/>
    <w:rsid w:val="000A353E"/>
    <w:rsid w:val="000A397A"/>
    <w:rsid w:val="000A3CF1"/>
    <w:rsid w:val="000A4562"/>
    <w:rsid w:val="000A4DB0"/>
    <w:rsid w:val="000A51FD"/>
    <w:rsid w:val="000A5EBF"/>
    <w:rsid w:val="000A654D"/>
    <w:rsid w:val="000A6AE9"/>
    <w:rsid w:val="000A6ECA"/>
    <w:rsid w:val="000B2282"/>
    <w:rsid w:val="000B2F5F"/>
    <w:rsid w:val="000B3312"/>
    <w:rsid w:val="000B3B35"/>
    <w:rsid w:val="000B3BCB"/>
    <w:rsid w:val="000B470B"/>
    <w:rsid w:val="000B4F19"/>
    <w:rsid w:val="000B4F23"/>
    <w:rsid w:val="000B52D7"/>
    <w:rsid w:val="000B5354"/>
    <w:rsid w:val="000B5ECA"/>
    <w:rsid w:val="000B68CB"/>
    <w:rsid w:val="000B6C78"/>
    <w:rsid w:val="000B70A7"/>
    <w:rsid w:val="000B71AF"/>
    <w:rsid w:val="000B76A9"/>
    <w:rsid w:val="000B7DB9"/>
    <w:rsid w:val="000C047D"/>
    <w:rsid w:val="000C09BD"/>
    <w:rsid w:val="000C1723"/>
    <w:rsid w:val="000C1D1B"/>
    <w:rsid w:val="000C1E77"/>
    <w:rsid w:val="000C1F2A"/>
    <w:rsid w:val="000C1F58"/>
    <w:rsid w:val="000C30EC"/>
    <w:rsid w:val="000C31BF"/>
    <w:rsid w:val="000C3A1D"/>
    <w:rsid w:val="000C3B58"/>
    <w:rsid w:val="000C3CE5"/>
    <w:rsid w:val="000C478D"/>
    <w:rsid w:val="000C61F3"/>
    <w:rsid w:val="000C62E2"/>
    <w:rsid w:val="000C62ED"/>
    <w:rsid w:val="000C7162"/>
    <w:rsid w:val="000C77DC"/>
    <w:rsid w:val="000C7C49"/>
    <w:rsid w:val="000C7EDB"/>
    <w:rsid w:val="000D03C5"/>
    <w:rsid w:val="000D0AA0"/>
    <w:rsid w:val="000D0B36"/>
    <w:rsid w:val="000D0B8A"/>
    <w:rsid w:val="000D10CB"/>
    <w:rsid w:val="000D129B"/>
    <w:rsid w:val="000D12EE"/>
    <w:rsid w:val="000D1326"/>
    <w:rsid w:val="000D17EF"/>
    <w:rsid w:val="000D1B7D"/>
    <w:rsid w:val="000D1D5C"/>
    <w:rsid w:val="000D21F6"/>
    <w:rsid w:val="000D3262"/>
    <w:rsid w:val="000D3851"/>
    <w:rsid w:val="000D3A13"/>
    <w:rsid w:val="000D3C8C"/>
    <w:rsid w:val="000D3EAD"/>
    <w:rsid w:val="000D401D"/>
    <w:rsid w:val="000D437E"/>
    <w:rsid w:val="000D4573"/>
    <w:rsid w:val="000D4647"/>
    <w:rsid w:val="000D47A6"/>
    <w:rsid w:val="000D49D4"/>
    <w:rsid w:val="000D4BC8"/>
    <w:rsid w:val="000D61D4"/>
    <w:rsid w:val="000D64CF"/>
    <w:rsid w:val="000D6A4E"/>
    <w:rsid w:val="000D71E2"/>
    <w:rsid w:val="000D71E9"/>
    <w:rsid w:val="000D774F"/>
    <w:rsid w:val="000D79EB"/>
    <w:rsid w:val="000E0A43"/>
    <w:rsid w:val="000E1040"/>
    <w:rsid w:val="000E1422"/>
    <w:rsid w:val="000E196F"/>
    <w:rsid w:val="000E1E21"/>
    <w:rsid w:val="000E27C5"/>
    <w:rsid w:val="000E29D1"/>
    <w:rsid w:val="000E2F39"/>
    <w:rsid w:val="000E3676"/>
    <w:rsid w:val="000E4247"/>
    <w:rsid w:val="000E46C6"/>
    <w:rsid w:val="000E4734"/>
    <w:rsid w:val="000E4E97"/>
    <w:rsid w:val="000E58C2"/>
    <w:rsid w:val="000E5948"/>
    <w:rsid w:val="000E74F9"/>
    <w:rsid w:val="000E752C"/>
    <w:rsid w:val="000E78C1"/>
    <w:rsid w:val="000E79AC"/>
    <w:rsid w:val="000E7D53"/>
    <w:rsid w:val="000F0C98"/>
    <w:rsid w:val="000F125C"/>
    <w:rsid w:val="000F19C4"/>
    <w:rsid w:val="000F3412"/>
    <w:rsid w:val="000F39A0"/>
    <w:rsid w:val="000F4407"/>
    <w:rsid w:val="000F44FE"/>
    <w:rsid w:val="000F472B"/>
    <w:rsid w:val="000F4DC6"/>
    <w:rsid w:val="000F567D"/>
    <w:rsid w:val="000F5C54"/>
    <w:rsid w:val="000F5F3D"/>
    <w:rsid w:val="000F70FC"/>
    <w:rsid w:val="000F7479"/>
    <w:rsid w:val="000F7595"/>
    <w:rsid w:val="000F7A02"/>
    <w:rsid w:val="001000AB"/>
    <w:rsid w:val="0010076B"/>
    <w:rsid w:val="001007F1"/>
    <w:rsid w:val="00100F0E"/>
    <w:rsid w:val="00100F99"/>
    <w:rsid w:val="00101DF0"/>
    <w:rsid w:val="001023F9"/>
    <w:rsid w:val="00102509"/>
    <w:rsid w:val="00102704"/>
    <w:rsid w:val="00103674"/>
    <w:rsid w:val="00103A06"/>
    <w:rsid w:val="001045E6"/>
    <w:rsid w:val="0010523C"/>
    <w:rsid w:val="00105AFD"/>
    <w:rsid w:val="00105E23"/>
    <w:rsid w:val="0010605B"/>
    <w:rsid w:val="00106486"/>
    <w:rsid w:val="001069CB"/>
    <w:rsid w:val="00106C67"/>
    <w:rsid w:val="0010723B"/>
    <w:rsid w:val="0010733B"/>
    <w:rsid w:val="00107530"/>
    <w:rsid w:val="001075C9"/>
    <w:rsid w:val="00107D40"/>
    <w:rsid w:val="001107E1"/>
    <w:rsid w:val="0011169D"/>
    <w:rsid w:val="00112038"/>
    <w:rsid w:val="001121A9"/>
    <w:rsid w:val="001123E5"/>
    <w:rsid w:val="00112AFB"/>
    <w:rsid w:val="00112C91"/>
    <w:rsid w:val="00113391"/>
    <w:rsid w:val="0011366C"/>
    <w:rsid w:val="00113DDC"/>
    <w:rsid w:val="001147A1"/>
    <w:rsid w:val="001150E6"/>
    <w:rsid w:val="00115688"/>
    <w:rsid w:val="00115895"/>
    <w:rsid w:val="00115E02"/>
    <w:rsid w:val="00115FDC"/>
    <w:rsid w:val="00116029"/>
    <w:rsid w:val="0011628E"/>
    <w:rsid w:val="0011675E"/>
    <w:rsid w:val="001169FE"/>
    <w:rsid w:val="00116AD8"/>
    <w:rsid w:val="00116FE7"/>
    <w:rsid w:val="001172E7"/>
    <w:rsid w:val="0012050B"/>
    <w:rsid w:val="00120DF9"/>
    <w:rsid w:val="001213BA"/>
    <w:rsid w:val="00121B6B"/>
    <w:rsid w:val="00121DA1"/>
    <w:rsid w:val="00121EBC"/>
    <w:rsid w:val="001221CE"/>
    <w:rsid w:val="00122625"/>
    <w:rsid w:val="00123036"/>
    <w:rsid w:val="00123B30"/>
    <w:rsid w:val="001256FC"/>
    <w:rsid w:val="001258B7"/>
    <w:rsid w:val="00125AF8"/>
    <w:rsid w:val="00126557"/>
    <w:rsid w:val="00126810"/>
    <w:rsid w:val="00126FC2"/>
    <w:rsid w:val="001270CD"/>
    <w:rsid w:val="00127DD0"/>
    <w:rsid w:val="00127EA5"/>
    <w:rsid w:val="00130027"/>
    <w:rsid w:val="001301D1"/>
    <w:rsid w:val="00130252"/>
    <w:rsid w:val="001305C6"/>
    <w:rsid w:val="001307F2"/>
    <w:rsid w:val="00131C76"/>
    <w:rsid w:val="00132C9C"/>
    <w:rsid w:val="00132E7C"/>
    <w:rsid w:val="00133287"/>
    <w:rsid w:val="00133912"/>
    <w:rsid w:val="0013434E"/>
    <w:rsid w:val="001347D3"/>
    <w:rsid w:val="00135537"/>
    <w:rsid w:val="001357E6"/>
    <w:rsid w:val="00135DBA"/>
    <w:rsid w:val="00135DEA"/>
    <w:rsid w:val="00136730"/>
    <w:rsid w:val="001367F6"/>
    <w:rsid w:val="00136E3C"/>
    <w:rsid w:val="00137263"/>
    <w:rsid w:val="001373BE"/>
    <w:rsid w:val="00137B41"/>
    <w:rsid w:val="00140F34"/>
    <w:rsid w:val="00141913"/>
    <w:rsid w:val="001426A2"/>
    <w:rsid w:val="00142AF4"/>
    <w:rsid w:val="00142E85"/>
    <w:rsid w:val="00143206"/>
    <w:rsid w:val="0014371F"/>
    <w:rsid w:val="00143B01"/>
    <w:rsid w:val="00143F5A"/>
    <w:rsid w:val="0014479C"/>
    <w:rsid w:val="00144A4D"/>
    <w:rsid w:val="00145FAB"/>
    <w:rsid w:val="00146DA2"/>
    <w:rsid w:val="0014702B"/>
    <w:rsid w:val="00147D57"/>
    <w:rsid w:val="00147F41"/>
    <w:rsid w:val="001523DA"/>
    <w:rsid w:val="00152414"/>
    <w:rsid w:val="00152DE0"/>
    <w:rsid w:val="00153788"/>
    <w:rsid w:val="001537FA"/>
    <w:rsid w:val="001541D1"/>
    <w:rsid w:val="00154998"/>
    <w:rsid w:val="00155184"/>
    <w:rsid w:val="00155DB1"/>
    <w:rsid w:val="00156289"/>
    <w:rsid w:val="00156C98"/>
    <w:rsid w:val="00156DB5"/>
    <w:rsid w:val="00157DD5"/>
    <w:rsid w:val="0016024E"/>
    <w:rsid w:val="0016076A"/>
    <w:rsid w:val="00160D26"/>
    <w:rsid w:val="00160FB0"/>
    <w:rsid w:val="001613C2"/>
    <w:rsid w:val="00161615"/>
    <w:rsid w:val="001616E0"/>
    <w:rsid w:val="00161CA7"/>
    <w:rsid w:val="00162118"/>
    <w:rsid w:val="001625B1"/>
    <w:rsid w:val="00163074"/>
    <w:rsid w:val="00165602"/>
    <w:rsid w:val="001659B8"/>
    <w:rsid w:val="00165B61"/>
    <w:rsid w:val="00165D4C"/>
    <w:rsid w:val="00165DF0"/>
    <w:rsid w:val="001662C2"/>
    <w:rsid w:val="00166676"/>
    <w:rsid w:val="00166AC3"/>
    <w:rsid w:val="001673C5"/>
    <w:rsid w:val="0016771A"/>
    <w:rsid w:val="00167A8E"/>
    <w:rsid w:val="001702E5"/>
    <w:rsid w:val="0017071D"/>
    <w:rsid w:val="00171A50"/>
    <w:rsid w:val="00171C36"/>
    <w:rsid w:val="00171DC6"/>
    <w:rsid w:val="00171FB8"/>
    <w:rsid w:val="00172D8E"/>
    <w:rsid w:val="00172EB3"/>
    <w:rsid w:val="0017351D"/>
    <w:rsid w:val="001739CE"/>
    <w:rsid w:val="00173C50"/>
    <w:rsid w:val="0017405F"/>
    <w:rsid w:val="00174959"/>
    <w:rsid w:val="00174CAC"/>
    <w:rsid w:val="00174F5A"/>
    <w:rsid w:val="00174FB0"/>
    <w:rsid w:val="00175B5A"/>
    <w:rsid w:val="00176411"/>
    <w:rsid w:val="00176713"/>
    <w:rsid w:val="00176D0C"/>
    <w:rsid w:val="00176DA8"/>
    <w:rsid w:val="00176E47"/>
    <w:rsid w:val="0017709E"/>
    <w:rsid w:val="00177992"/>
    <w:rsid w:val="00177AC2"/>
    <w:rsid w:val="00180B53"/>
    <w:rsid w:val="001811D1"/>
    <w:rsid w:val="0018127A"/>
    <w:rsid w:val="001813C8"/>
    <w:rsid w:val="001823C6"/>
    <w:rsid w:val="001829E5"/>
    <w:rsid w:val="001831FD"/>
    <w:rsid w:val="001834D6"/>
    <w:rsid w:val="00183610"/>
    <w:rsid w:val="001836EE"/>
    <w:rsid w:val="001837E0"/>
    <w:rsid w:val="0018457E"/>
    <w:rsid w:val="0018464D"/>
    <w:rsid w:val="00184E4B"/>
    <w:rsid w:val="00185AFE"/>
    <w:rsid w:val="00186118"/>
    <w:rsid w:val="0018629C"/>
    <w:rsid w:val="001869EF"/>
    <w:rsid w:val="00186B59"/>
    <w:rsid w:val="0019068B"/>
    <w:rsid w:val="0019105A"/>
    <w:rsid w:val="0019169C"/>
    <w:rsid w:val="00191C98"/>
    <w:rsid w:val="00191D85"/>
    <w:rsid w:val="001928EE"/>
    <w:rsid w:val="0019299C"/>
    <w:rsid w:val="00192A0F"/>
    <w:rsid w:val="00192D5C"/>
    <w:rsid w:val="00192FF7"/>
    <w:rsid w:val="0019356D"/>
    <w:rsid w:val="001939FB"/>
    <w:rsid w:val="00193B1B"/>
    <w:rsid w:val="0019458C"/>
    <w:rsid w:val="00194862"/>
    <w:rsid w:val="0019488D"/>
    <w:rsid w:val="001948A2"/>
    <w:rsid w:val="0019556B"/>
    <w:rsid w:val="00197CDB"/>
    <w:rsid w:val="001A0D45"/>
    <w:rsid w:val="001A10C4"/>
    <w:rsid w:val="001A1DDB"/>
    <w:rsid w:val="001A1FB8"/>
    <w:rsid w:val="001A20FF"/>
    <w:rsid w:val="001A2EA2"/>
    <w:rsid w:val="001A334F"/>
    <w:rsid w:val="001A41EB"/>
    <w:rsid w:val="001A45A5"/>
    <w:rsid w:val="001A4640"/>
    <w:rsid w:val="001A586B"/>
    <w:rsid w:val="001A5A1B"/>
    <w:rsid w:val="001A676F"/>
    <w:rsid w:val="001A6B13"/>
    <w:rsid w:val="001A7BBD"/>
    <w:rsid w:val="001B0860"/>
    <w:rsid w:val="001B1AD9"/>
    <w:rsid w:val="001B1F58"/>
    <w:rsid w:val="001B2E0F"/>
    <w:rsid w:val="001B4496"/>
    <w:rsid w:val="001B4AF1"/>
    <w:rsid w:val="001B4BB0"/>
    <w:rsid w:val="001B4DBA"/>
    <w:rsid w:val="001B4E1C"/>
    <w:rsid w:val="001B5DDA"/>
    <w:rsid w:val="001B6845"/>
    <w:rsid w:val="001B75A2"/>
    <w:rsid w:val="001B770D"/>
    <w:rsid w:val="001C0317"/>
    <w:rsid w:val="001C0655"/>
    <w:rsid w:val="001C0CA9"/>
    <w:rsid w:val="001C0FC8"/>
    <w:rsid w:val="001C1413"/>
    <w:rsid w:val="001C1699"/>
    <w:rsid w:val="001C1ACF"/>
    <w:rsid w:val="001C2099"/>
    <w:rsid w:val="001C217C"/>
    <w:rsid w:val="001C248A"/>
    <w:rsid w:val="001C27C4"/>
    <w:rsid w:val="001C2A35"/>
    <w:rsid w:val="001C2A84"/>
    <w:rsid w:val="001C2C9E"/>
    <w:rsid w:val="001C3D43"/>
    <w:rsid w:val="001C42D2"/>
    <w:rsid w:val="001C43F3"/>
    <w:rsid w:val="001C508D"/>
    <w:rsid w:val="001C5151"/>
    <w:rsid w:val="001C58EA"/>
    <w:rsid w:val="001C59C6"/>
    <w:rsid w:val="001C6412"/>
    <w:rsid w:val="001C672B"/>
    <w:rsid w:val="001C6763"/>
    <w:rsid w:val="001C792D"/>
    <w:rsid w:val="001C7DA0"/>
    <w:rsid w:val="001D00AC"/>
    <w:rsid w:val="001D05A0"/>
    <w:rsid w:val="001D0852"/>
    <w:rsid w:val="001D0AA8"/>
    <w:rsid w:val="001D0D33"/>
    <w:rsid w:val="001D0F47"/>
    <w:rsid w:val="001D1411"/>
    <w:rsid w:val="001D185F"/>
    <w:rsid w:val="001D2653"/>
    <w:rsid w:val="001D2A40"/>
    <w:rsid w:val="001D2E5B"/>
    <w:rsid w:val="001D302A"/>
    <w:rsid w:val="001D34DE"/>
    <w:rsid w:val="001D3D55"/>
    <w:rsid w:val="001D42EA"/>
    <w:rsid w:val="001D4BFC"/>
    <w:rsid w:val="001D506B"/>
    <w:rsid w:val="001D5CE1"/>
    <w:rsid w:val="001D6204"/>
    <w:rsid w:val="001D63B2"/>
    <w:rsid w:val="001D6A3E"/>
    <w:rsid w:val="001D720E"/>
    <w:rsid w:val="001D7434"/>
    <w:rsid w:val="001D757F"/>
    <w:rsid w:val="001E061B"/>
    <w:rsid w:val="001E0BC0"/>
    <w:rsid w:val="001E0CC0"/>
    <w:rsid w:val="001E0CDC"/>
    <w:rsid w:val="001E14B0"/>
    <w:rsid w:val="001E1899"/>
    <w:rsid w:val="001E19D2"/>
    <w:rsid w:val="001E28E4"/>
    <w:rsid w:val="001E2C1E"/>
    <w:rsid w:val="001E409C"/>
    <w:rsid w:val="001E4363"/>
    <w:rsid w:val="001E4935"/>
    <w:rsid w:val="001E4F04"/>
    <w:rsid w:val="001E4F54"/>
    <w:rsid w:val="001E55C7"/>
    <w:rsid w:val="001E59E0"/>
    <w:rsid w:val="001E62D8"/>
    <w:rsid w:val="001E6C37"/>
    <w:rsid w:val="001E72C4"/>
    <w:rsid w:val="001E770B"/>
    <w:rsid w:val="001E7B23"/>
    <w:rsid w:val="001F1200"/>
    <w:rsid w:val="001F1357"/>
    <w:rsid w:val="001F161E"/>
    <w:rsid w:val="001F1D07"/>
    <w:rsid w:val="001F2974"/>
    <w:rsid w:val="001F30FE"/>
    <w:rsid w:val="001F381E"/>
    <w:rsid w:val="001F3F45"/>
    <w:rsid w:val="001F4892"/>
    <w:rsid w:val="001F4AC4"/>
    <w:rsid w:val="001F4B71"/>
    <w:rsid w:val="001F77D0"/>
    <w:rsid w:val="001F790F"/>
    <w:rsid w:val="001F7CE6"/>
    <w:rsid w:val="0020073A"/>
    <w:rsid w:val="00201702"/>
    <w:rsid w:val="002019D2"/>
    <w:rsid w:val="00201BD4"/>
    <w:rsid w:val="00201FC7"/>
    <w:rsid w:val="002029EC"/>
    <w:rsid w:val="002031BA"/>
    <w:rsid w:val="00204AFF"/>
    <w:rsid w:val="00204CA5"/>
    <w:rsid w:val="00204D7A"/>
    <w:rsid w:val="00205116"/>
    <w:rsid w:val="00205974"/>
    <w:rsid w:val="002062F7"/>
    <w:rsid w:val="002063B8"/>
    <w:rsid w:val="00206C85"/>
    <w:rsid w:val="00206C97"/>
    <w:rsid w:val="00206E75"/>
    <w:rsid w:val="00206EAD"/>
    <w:rsid w:val="002070A7"/>
    <w:rsid w:val="002073A7"/>
    <w:rsid w:val="0021033B"/>
    <w:rsid w:val="002110CA"/>
    <w:rsid w:val="0021229E"/>
    <w:rsid w:val="002124DA"/>
    <w:rsid w:val="00212614"/>
    <w:rsid w:val="0021292E"/>
    <w:rsid w:val="00212B15"/>
    <w:rsid w:val="00213817"/>
    <w:rsid w:val="002139FC"/>
    <w:rsid w:val="0021438A"/>
    <w:rsid w:val="00214557"/>
    <w:rsid w:val="0021470E"/>
    <w:rsid w:val="00216B61"/>
    <w:rsid w:val="00216F82"/>
    <w:rsid w:val="00217968"/>
    <w:rsid w:val="002179CC"/>
    <w:rsid w:val="0022028B"/>
    <w:rsid w:val="00220FB5"/>
    <w:rsid w:val="00221804"/>
    <w:rsid w:val="00222760"/>
    <w:rsid w:val="00222975"/>
    <w:rsid w:val="00223061"/>
    <w:rsid w:val="002240F3"/>
    <w:rsid w:val="00224124"/>
    <w:rsid w:val="00224375"/>
    <w:rsid w:val="00225B21"/>
    <w:rsid w:val="00225BE3"/>
    <w:rsid w:val="00226461"/>
    <w:rsid w:val="002266DE"/>
    <w:rsid w:val="002271CC"/>
    <w:rsid w:val="0023060D"/>
    <w:rsid w:val="00230B9D"/>
    <w:rsid w:val="00231C15"/>
    <w:rsid w:val="00231C9D"/>
    <w:rsid w:val="00231CCD"/>
    <w:rsid w:val="00231D2D"/>
    <w:rsid w:val="00232B80"/>
    <w:rsid w:val="00233501"/>
    <w:rsid w:val="00233C06"/>
    <w:rsid w:val="00234344"/>
    <w:rsid w:val="0023445D"/>
    <w:rsid w:val="00234765"/>
    <w:rsid w:val="002347CF"/>
    <w:rsid w:val="00235F12"/>
    <w:rsid w:val="002407E0"/>
    <w:rsid w:val="0024091B"/>
    <w:rsid w:val="00240ACF"/>
    <w:rsid w:val="002414FE"/>
    <w:rsid w:val="002415B9"/>
    <w:rsid w:val="0024218D"/>
    <w:rsid w:val="0024253B"/>
    <w:rsid w:val="00242965"/>
    <w:rsid w:val="00242AB6"/>
    <w:rsid w:val="00242B16"/>
    <w:rsid w:val="0024305A"/>
    <w:rsid w:val="0024375D"/>
    <w:rsid w:val="00243887"/>
    <w:rsid w:val="002438D5"/>
    <w:rsid w:val="0024454D"/>
    <w:rsid w:val="00244A2B"/>
    <w:rsid w:val="00244B7E"/>
    <w:rsid w:val="00244DE1"/>
    <w:rsid w:val="002458F4"/>
    <w:rsid w:val="00245B82"/>
    <w:rsid w:val="00246DB3"/>
    <w:rsid w:val="00247267"/>
    <w:rsid w:val="00247BFE"/>
    <w:rsid w:val="00247EF7"/>
    <w:rsid w:val="002504EE"/>
    <w:rsid w:val="002508A2"/>
    <w:rsid w:val="00250E21"/>
    <w:rsid w:val="00251140"/>
    <w:rsid w:val="0025121E"/>
    <w:rsid w:val="00251444"/>
    <w:rsid w:val="002522E2"/>
    <w:rsid w:val="002524B1"/>
    <w:rsid w:val="002525FA"/>
    <w:rsid w:val="002550F6"/>
    <w:rsid w:val="0025529D"/>
    <w:rsid w:val="00255F25"/>
    <w:rsid w:val="0025694A"/>
    <w:rsid w:val="00256D85"/>
    <w:rsid w:val="00256E4F"/>
    <w:rsid w:val="00257440"/>
    <w:rsid w:val="0026056C"/>
    <w:rsid w:val="00260B2B"/>
    <w:rsid w:val="002611D9"/>
    <w:rsid w:val="0026121A"/>
    <w:rsid w:val="0026121B"/>
    <w:rsid w:val="00261529"/>
    <w:rsid w:val="00261A16"/>
    <w:rsid w:val="00262043"/>
    <w:rsid w:val="002626E4"/>
    <w:rsid w:val="0026278D"/>
    <w:rsid w:val="00262A4E"/>
    <w:rsid w:val="00263C18"/>
    <w:rsid w:val="00263CE1"/>
    <w:rsid w:val="00263D89"/>
    <w:rsid w:val="00264799"/>
    <w:rsid w:val="00265254"/>
    <w:rsid w:val="0026532F"/>
    <w:rsid w:val="002662EE"/>
    <w:rsid w:val="00266B17"/>
    <w:rsid w:val="00267438"/>
    <w:rsid w:val="0026795F"/>
    <w:rsid w:val="00267DBA"/>
    <w:rsid w:val="0027035B"/>
    <w:rsid w:val="0027047A"/>
    <w:rsid w:val="00270644"/>
    <w:rsid w:val="00270960"/>
    <w:rsid w:val="00270B26"/>
    <w:rsid w:val="00270E37"/>
    <w:rsid w:val="002710A0"/>
    <w:rsid w:val="002714DC"/>
    <w:rsid w:val="00271A64"/>
    <w:rsid w:val="002727A2"/>
    <w:rsid w:val="00272A75"/>
    <w:rsid w:val="00272AB3"/>
    <w:rsid w:val="00272B1F"/>
    <w:rsid w:val="002734B8"/>
    <w:rsid w:val="00273F8A"/>
    <w:rsid w:val="00274069"/>
    <w:rsid w:val="00274CFD"/>
    <w:rsid w:val="00276CB8"/>
    <w:rsid w:val="00276E8C"/>
    <w:rsid w:val="00277D14"/>
    <w:rsid w:val="002801C6"/>
    <w:rsid w:val="00280541"/>
    <w:rsid w:val="002805DC"/>
    <w:rsid w:val="0028111E"/>
    <w:rsid w:val="00281BE1"/>
    <w:rsid w:val="00282A98"/>
    <w:rsid w:val="00282B76"/>
    <w:rsid w:val="00282D29"/>
    <w:rsid w:val="00282F6D"/>
    <w:rsid w:val="00283088"/>
    <w:rsid w:val="002831A7"/>
    <w:rsid w:val="00283705"/>
    <w:rsid w:val="002837E7"/>
    <w:rsid w:val="00283AAD"/>
    <w:rsid w:val="00283B20"/>
    <w:rsid w:val="00283C78"/>
    <w:rsid w:val="00284E22"/>
    <w:rsid w:val="002858D1"/>
    <w:rsid w:val="0028619D"/>
    <w:rsid w:val="00286546"/>
    <w:rsid w:val="00287062"/>
    <w:rsid w:val="0028780E"/>
    <w:rsid w:val="00290BF7"/>
    <w:rsid w:val="00292647"/>
    <w:rsid w:val="00293DD4"/>
    <w:rsid w:val="00293E3F"/>
    <w:rsid w:val="00294864"/>
    <w:rsid w:val="00295288"/>
    <w:rsid w:val="00297DDC"/>
    <w:rsid w:val="00297FA3"/>
    <w:rsid w:val="00297FEB"/>
    <w:rsid w:val="002A0502"/>
    <w:rsid w:val="002A053E"/>
    <w:rsid w:val="002A059F"/>
    <w:rsid w:val="002A0908"/>
    <w:rsid w:val="002A0C39"/>
    <w:rsid w:val="002A1E2A"/>
    <w:rsid w:val="002A3602"/>
    <w:rsid w:val="002A37B6"/>
    <w:rsid w:val="002A3967"/>
    <w:rsid w:val="002A4464"/>
    <w:rsid w:val="002A4DEB"/>
    <w:rsid w:val="002A55C4"/>
    <w:rsid w:val="002A5B16"/>
    <w:rsid w:val="002A63C8"/>
    <w:rsid w:val="002A69A0"/>
    <w:rsid w:val="002A6D2F"/>
    <w:rsid w:val="002A769B"/>
    <w:rsid w:val="002A7F67"/>
    <w:rsid w:val="002B086C"/>
    <w:rsid w:val="002B1467"/>
    <w:rsid w:val="002B1585"/>
    <w:rsid w:val="002B1AD6"/>
    <w:rsid w:val="002B1D55"/>
    <w:rsid w:val="002B2004"/>
    <w:rsid w:val="002B2103"/>
    <w:rsid w:val="002B22B9"/>
    <w:rsid w:val="002B2331"/>
    <w:rsid w:val="002B2BB4"/>
    <w:rsid w:val="002B2E41"/>
    <w:rsid w:val="002B318D"/>
    <w:rsid w:val="002B41BF"/>
    <w:rsid w:val="002B4D40"/>
    <w:rsid w:val="002B58CA"/>
    <w:rsid w:val="002B5B2F"/>
    <w:rsid w:val="002B5BDD"/>
    <w:rsid w:val="002B6303"/>
    <w:rsid w:val="002B6E1D"/>
    <w:rsid w:val="002B7228"/>
    <w:rsid w:val="002B7A42"/>
    <w:rsid w:val="002B7B9A"/>
    <w:rsid w:val="002C0463"/>
    <w:rsid w:val="002C0ECC"/>
    <w:rsid w:val="002C10B8"/>
    <w:rsid w:val="002C113E"/>
    <w:rsid w:val="002C1BA9"/>
    <w:rsid w:val="002C20B5"/>
    <w:rsid w:val="002C22C6"/>
    <w:rsid w:val="002C26D3"/>
    <w:rsid w:val="002C28CC"/>
    <w:rsid w:val="002C392A"/>
    <w:rsid w:val="002C448C"/>
    <w:rsid w:val="002C4534"/>
    <w:rsid w:val="002C45DD"/>
    <w:rsid w:val="002C71C0"/>
    <w:rsid w:val="002D0806"/>
    <w:rsid w:val="002D0AF3"/>
    <w:rsid w:val="002D0B3F"/>
    <w:rsid w:val="002D0EAA"/>
    <w:rsid w:val="002D12EF"/>
    <w:rsid w:val="002D144D"/>
    <w:rsid w:val="002D1708"/>
    <w:rsid w:val="002D20DB"/>
    <w:rsid w:val="002D29D6"/>
    <w:rsid w:val="002D2AFA"/>
    <w:rsid w:val="002D338E"/>
    <w:rsid w:val="002D34E5"/>
    <w:rsid w:val="002D34F3"/>
    <w:rsid w:val="002D3C27"/>
    <w:rsid w:val="002D4037"/>
    <w:rsid w:val="002D42EF"/>
    <w:rsid w:val="002D4E1D"/>
    <w:rsid w:val="002D51BC"/>
    <w:rsid w:val="002D55F1"/>
    <w:rsid w:val="002D6DB8"/>
    <w:rsid w:val="002D7332"/>
    <w:rsid w:val="002D7B50"/>
    <w:rsid w:val="002E0A55"/>
    <w:rsid w:val="002E0BB6"/>
    <w:rsid w:val="002E1188"/>
    <w:rsid w:val="002E30D7"/>
    <w:rsid w:val="002E31FA"/>
    <w:rsid w:val="002E32F7"/>
    <w:rsid w:val="002E36F5"/>
    <w:rsid w:val="002E3A43"/>
    <w:rsid w:val="002E3C7E"/>
    <w:rsid w:val="002E3CA8"/>
    <w:rsid w:val="002E495E"/>
    <w:rsid w:val="002E4B39"/>
    <w:rsid w:val="002E4DC7"/>
    <w:rsid w:val="002E5340"/>
    <w:rsid w:val="002E58E6"/>
    <w:rsid w:val="002E61DB"/>
    <w:rsid w:val="002E6634"/>
    <w:rsid w:val="002E6A7E"/>
    <w:rsid w:val="002E6CA3"/>
    <w:rsid w:val="002E77DE"/>
    <w:rsid w:val="002E7A62"/>
    <w:rsid w:val="002E7E61"/>
    <w:rsid w:val="002F04A9"/>
    <w:rsid w:val="002F0C77"/>
    <w:rsid w:val="002F1BE9"/>
    <w:rsid w:val="002F2E27"/>
    <w:rsid w:val="002F3267"/>
    <w:rsid w:val="002F3372"/>
    <w:rsid w:val="002F3996"/>
    <w:rsid w:val="002F40A8"/>
    <w:rsid w:val="002F470C"/>
    <w:rsid w:val="002F49F5"/>
    <w:rsid w:val="002F4E22"/>
    <w:rsid w:val="002F5DA4"/>
    <w:rsid w:val="002F6603"/>
    <w:rsid w:val="002F68CB"/>
    <w:rsid w:val="00300E2D"/>
    <w:rsid w:val="00301808"/>
    <w:rsid w:val="00301D11"/>
    <w:rsid w:val="00301D16"/>
    <w:rsid w:val="00301D45"/>
    <w:rsid w:val="00301E74"/>
    <w:rsid w:val="00301EE6"/>
    <w:rsid w:val="003025E2"/>
    <w:rsid w:val="00302823"/>
    <w:rsid w:val="00302D5B"/>
    <w:rsid w:val="00302EF2"/>
    <w:rsid w:val="00303207"/>
    <w:rsid w:val="00303271"/>
    <w:rsid w:val="003035F2"/>
    <w:rsid w:val="00303C2B"/>
    <w:rsid w:val="00303F3D"/>
    <w:rsid w:val="003050AD"/>
    <w:rsid w:val="00305D54"/>
    <w:rsid w:val="003062D7"/>
    <w:rsid w:val="00307365"/>
    <w:rsid w:val="003073C9"/>
    <w:rsid w:val="00307414"/>
    <w:rsid w:val="003074D7"/>
    <w:rsid w:val="0030751F"/>
    <w:rsid w:val="00310531"/>
    <w:rsid w:val="003105D7"/>
    <w:rsid w:val="00310616"/>
    <w:rsid w:val="003115FC"/>
    <w:rsid w:val="00311B63"/>
    <w:rsid w:val="0031285E"/>
    <w:rsid w:val="00312A28"/>
    <w:rsid w:val="00313835"/>
    <w:rsid w:val="00313EE9"/>
    <w:rsid w:val="003155EF"/>
    <w:rsid w:val="0031566C"/>
    <w:rsid w:val="0031577F"/>
    <w:rsid w:val="003161AE"/>
    <w:rsid w:val="0031633C"/>
    <w:rsid w:val="0031693F"/>
    <w:rsid w:val="00316F4F"/>
    <w:rsid w:val="0031756B"/>
    <w:rsid w:val="00317897"/>
    <w:rsid w:val="00317BDF"/>
    <w:rsid w:val="00317E4D"/>
    <w:rsid w:val="00317F92"/>
    <w:rsid w:val="00320354"/>
    <w:rsid w:val="00320FE3"/>
    <w:rsid w:val="00321376"/>
    <w:rsid w:val="00321EA3"/>
    <w:rsid w:val="003221E0"/>
    <w:rsid w:val="00322383"/>
    <w:rsid w:val="00322466"/>
    <w:rsid w:val="003225D5"/>
    <w:rsid w:val="003227FE"/>
    <w:rsid w:val="00322DE9"/>
    <w:rsid w:val="0032399E"/>
    <w:rsid w:val="00324428"/>
    <w:rsid w:val="00325405"/>
    <w:rsid w:val="00325BED"/>
    <w:rsid w:val="00325D03"/>
    <w:rsid w:val="00325DEA"/>
    <w:rsid w:val="00326782"/>
    <w:rsid w:val="0032724C"/>
    <w:rsid w:val="00327D1C"/>
    <w:rsid w:val="0033018E"/>
    <w:rsid w:val="003306C0"/>
    <w:rsid w:val="0033081C"/>
    <w:rsid w:val="00330A8B"/>
    <w:rsid w:val="003310C3"/>
    <w:rsid w:val="00331406"/>
    <w:rsid w:val="003318AB"/>
    <w:rsid w:val="00331AA7"/>
    <w:rsid w:val="003327ED"/>
    <w:rsid w:val="0033381F"/>
    <w:rsid w:val="003338EE"/>
    <w:rsid w:val="00333958"/>
    <w:rsid w:val="003344D0"/>
    <w:rsid w:val="00335028"/>
    <w:rsid w:val="003360DD"/>
    <w:rsid w:val="00337150"/>
    <w:rsid w:val="00337AF3"/>
    <w:rsid w:val="00337E38"/>
    <w:rsid w:val="0034063C"/>
    <w:rsid w:val="00340A3E"/>
    <w:rsid w:val="00340C39"/>
    <w:rsid w:val="00341781"/>
    <w:rsid w:val="0034241A"/>
    <w:rsid w:val="003450ED"/>
    <w:rsid w:val="0034525E"/>
    <w:rsid w:val="00345424"/>
    <w:rsid w:val="00345D1F"/>
    <w:rsid w:val="00345D35"/>
    <w:rsid w:val="00346A06"/>
    <w:rsid w:val="00346B99"/>
    <w:rsid w:val="003471D8"/>
    <w:rsid w:val="003472D3"/>
    <w:rsid w:val="00347637"/>
    <w:rsid w:val="0035045B"/>
    <w:rsid w:val="0035098A"/>
    <w:rsid w:val="00350D84"/>
    <w:rsid w:val="003514DF"/>
    <w:rsid w:val="00351BDA"/>
    <w:rsid w:val="00353203"/>
    <w:rsid w:val="003539DD"/>
    <w:rsid w:val="00353B4A"/>
    <w:rsid w:val="00353FA1"/>
    <w:rsid w:val="00354189"/>
    <w:rsid w:val="00354494"/>
    <w:rsid w:val="0035536D"/>
    <w:rsid w:val="0035552C"/>
    <w:rsid w:val="0035556D"/>
    <w:rsid w:val="00355F36"/>
    <w:rsid w:val="0035658C"/>
    <w:rsid w:val="003574C8"/>
    <w:rsid w:val="00357A1B"/>
    <w:rsid w:val="00357F3D"/>
    <w:rsid w:val="00357F43"/>
    <w:rsid w:val="00360ADD"/>
    <w:rsid w:val="00360EFE"/>
    <w:rsid w:val="0036153B"/>
    <w:rsid w:val="00361611"/>
    <w:rsid w:val="00361612"/>
    <w:rsid w:val="00361698"/>
    <w:rsid w:val="00361973"/>
    <w:rsid w:val="00361EA3"/>
    <w:rsid w:val="003627A0"/>
    <w:rsid w:val="003632D4"/>
    <w:rsid w:val="00363744"/>
    <w:rsid w:val="00363E0F"/>
    <w:rsid w:val="00364815"/>
    <w:rsid w:val="00365123"/>
    <w:rsid w:val="00365203"/>
    <w:rsid w:val="00365C1A"/>
    <w:rsid w:val="00365F6A"/>
    <w:rsid w:val="00365F96"/>
    <w:rsid w:val="00366423"/>
    <w:rsid w:val="0036667E"/>
    <w:rsid w:val="003668EB"/>
    <w:rsid w:val="0036758C"/>
    <w:rsid w:val="003675CE"/>
    <w:rsid w:val="003677A3"/>
    <w:rsid w:val="00367CD6"/>
    <w:rsid w:val="003701C7"/>
    <w:rsid w:val="003705BD"/>
    <w:rsid w:val="00370D64"/>
    <w:rsid w:val="00371099"/>
    <w:rsid w:val="00371398"/>
    <w:rsid w:val="0037154A"/>
    <w:rsid w:val="00371C29"/>
    <w:rsid w:val="00371E51"/>
    <w:rsid w:val="00372898"/>
    <w:rsid w:val="003729EF"/>
    <w:rsid w:val="00372CE2"/>
    <w:rsid w:val="00372F05"/>
    <w:rsid w:val="00373E32"/>
    <w:rsid w:val="00373FCB"/>
    <w:rsid w:val="00374560"/>
    <w:rsid w:val="00374594"/>
    <w:rsid w:val="00374A64"/>
    <w:rsid w:val="003753EC"/>
    <w:rsid w:val="00375406"/>
    <w:rsid w:val="00375F72"/>
    <w:rsid w:val="00377263"/>
    <w:rsid w:val="00377CF8"/>
    <w:rsid w:val="00377DE0"/>
    <w:rsid w:val="003800D1"/>
    <w:rsid w:val="00380DC0"/>
    <w:rsid w:val="00381359"/>
    <w:rsid w:val="00381BE5"/>
    <w:rsid w:val="00382393"/>
    <w:rsid w:val="00382E94"/>
    <w:rsid w:val="00382F24"/>
    <w:rsid w:val="00383204"/>
    <w:rsid w:val="0038335F"/>
    <w:rsid w:val="003836D8"/>
    <w:rsid w:val="00384A09"/>
    <w:rsid w:val="00384BC9"/>
    <w:rsid w:val="00384DF3"/>
    <w:rsid w:val="00384FE2"/>
    <w:rsid w:val="003855E2"/>
    <w:rsid w:val="00385C1D"/>
    <w:rsid w:val="00385C96"/>
    <w:rsid w:val="003867EE"/>
    <w:rsid w:val="003911C6"/>
    <w:rsid w:val="00391BC2"/>
    <w:rsid w:val="00392050"/>
    <w:rsid w:val="00392243"/>
    <w:rsid w:val="0039253F"/>
    <w:rsid w:val="003929C3"/>
    <w:rsid w:val="00392A27"/>
    <w:rsid w:val="00392BEC"/>
    <w:rsid w:val="003943E9"/>
    <w:rsid w:val="003944B9"/>
    <w:rsid w:val="003950F6"/>
    <w:rsid w:val="003952D0"/>
    <w:rsid w:val="003952DD"/>
    <w:rsid w:val="0039666E"/>
    <w:rsid w:val="00396A73"/>
    <w:rsid w:val="00397287"/>
    <w:rsid w:val="00397DDF"/>
    <w:rsid w:val="003A0CA0"/>
    <w:rsid w:val="003A166A"/>
    <w:rsid w:val="003A1A1C"/>
    <w:rsid w:val="003A2406"/>
    <w:rsid w:val="003A2965"/>
    <w:rsid w:val="003A36F0"/>
    <w:rsid w:val="003A376B"/>
    <w:rsid w:val="003A381C"/>
    <w:rsid w:val="003A3AE5"/>
    <w:rsid w:val="003A4410"/>
    <w:rsid w:val="003A4430"/>
    <w:rsid w:val="003A44D5"/>
    <w:rsid w:val="003A46A7"/>
    <w:rsid w:val="003A4EE8"/>
    <w:rsid w:val="003A53D3"/>
    <w:rsid w:val="003A5467"/>
    <w:rsid w:val="003A5C67"/>
    <w:rsid w:val="003A7CEE"/>
    <w:rsid w:val="003A7DFF"/>
    <w:rsid w:val="003B0A2B"/>
    <w:rsid w:val="003B0C51"/>
    <w:rsid w:val="003B2D99"/>
    <w:rsid w:val="003B494F"/>
    <w:rsid w:val="003B4999"/>
    <w:rsid w:val="003B49A8"/>
    <w:rsid w:val="003B4F8D"/>
    <w:rsid w:val="003B55EA"/>
    <w:rsid w:val="003B5B12"/>
    <w:rsid w:val="003B5B5E"/>
    <w:rsid w:val="003B5ECE"/>
    <w:rsid w:val="003B66D8"/>
    <w:rsid w:val="003B6846"/>
    <w:rsid w:val="003B704B"/>
    <w:rsid w:val="003B78F4"/>
    <w:rsid w:val="003C02A2"/>
    <w:rsid w:val="003C032F"/>
    <w:rsid w:val="003C0B4E"/>
    <w:rsid w:val="003C0E18"/>
    <w:rsid w:val="003C0E55"/>
    <w:rsid w:val="003C2562"/>
    <w:rsid w:val="003C273E"/>
    <w:rsid w:val="003C2A81"/>
    <w:rsid w:val="003C2CBE"/>
    <w:rsid w:val="003C34A3"/>
    <w:rsid w:val="003C366E"/>
    <w:rsid w:val="003C3712"/>
    <w:rsid w:val="003C3AA3"/>
    <w:rsid w:val="003C3D21"/>
    <w:rsid w:val="003C489B"/>
    <w:rsid w:val="003C6F55"/>
    <w:rsid w:val="003C7566"/>
    <w:rsid w:val="003C7644"/>
    <w:rsid w:val="003C7A3C"/>
    <w:rsid w:val="003D1050"/>
    <w:rsid w:val="003D1667"/>
    <w:rsid w:val="003D1DA7"/>
    <w:rsid w:val="003D236A"/>
    <w:rsid w:val="003D2E10"/>
    <w:rsid w:val="003D4D64"/>
    <w:rsid w:val="003D57F1"/>
    <w:rsid w:val="003D5C69"/>
    <w:rsid w:val="003D5FF4"/>
    <w:rsid w:val="003D66EC"/>
    <w:rsid w:val="003D6CDB"/>
    <w:rsid w:val="003D7CE2"/>
    <w:rsid w:val="003E0DC6"/>
    <w:rsid w:val="003E16BD"/>
    <w:rsid w:val="003E254A"/>
    <w:rsid w:val="003E25F5"/>
    <w:rsid w:val="003E2740"/>
    <w:rsid w:val="003E2DE5"/>
    <w:rsid w:val="003E2DFF"/>
    <w:rsid w:val="003E2E7F"/>
    <w:rsid w:val="003E31B7"/>
    <w:rsid w:val="003E31CD"/>
    <w:rsid w:val="003E361A"/>
    <w:rsid w:val="003E3FF2"/>
    <w:rsid w:val="003E4615"/>
    <w:rsid w:val="003E4DAC"/>
    <w:rsid w:val="003E541E"/>
    <w:rsid w:val="003E5C3E"/>
    <w:rsid w:val="003E71CB"/>
    <w:rsid w:val="003E7417"/>
    <w:rsid w:val="003E7882"/>
    <w:rsid w:val="003E7BF4"/>
    <w:rsid w:val="003F0135"/>
    <w:rsid w:val="003F03C2"/>
    <w:rsid w:val="003F0F0D"/>
    <w:rsid w:val="003F0F64"/>
    <w:rsid w:val="003F1D55"/>
    <w:rsid w:val="003F22FB"/>
    <w:rsid w:val="003F233E"/>
    <w:rsid w:val="003F25BD"/>
    <w:rsid w:val="003F26CA"/>
    <w:rsid w:val="003F294C"/>
    <w:rsid w:val="003F3473"/>
    <w:rsid w:val="003F462A"/>
    <w:rsid w:val="003F4B5B"/>
    <w:rsid w:val="003F4D34"/>
    <w:rsid w:val="003F5A47"/>
    <w:rsid w:val="003F5CA4"/>
    <w:rsid w:val="003F6254"/>
    <w:rsid w:val="003F64B5"/>
    <w:rsid w:val="003F68C9"/>
    <w:rsid w:val="003F6CCB"/>
    <w:rsid w:val="003F7CAF"/>
    <w:rsid w:val="003F7CD5"/>
    <w:rsid w:val="00400DB1"/>
    <w:rsid w:val="00401F61"/>
    <w:rsid w:val="00402163"/>
    <w:rsid w:val="00403654"/>
    <w:rsid w:val="00403DEF"/>
    <w:rsid w:val="00404142"/>
    <w:rsid w:val="0040444C"/>
    <w:rsid w:val="00404581"/>
    <w:rsid w:val="004048C7"/>
    <w:rsid w:val="0040525C"/>
    <w:rsid w:val="00405D30"/>
    <w:rsid w:val="004064EE"/>
    <w:rsid w:val="00406A0F"/>
    <w:rsid w:val="00406B92"/>
    <w:rsid w:val="0040783B"/>
    <w:rsid w:val="004078AB"/>
    <w:rsid w:val="004079D0"/>
    <w:rsid w:val="004109BA"/>
    <w:rsid w:val="00411191"/>
    <w:rsid w:val="004111EE"/>
    <w:rsid w:val="00411394"/>
    <w:rsid w:val="00411655"/>
    <w:rsid w:val="004117E8"/>
    <w:rsid w:val="00411A63"/>
    <w:rsid w:val="00411BB5"/>
    <w:rsid w:val="00411D41"/>
    <w:rsid w:val="00411F33"/>
    <w:rsid w:val="0041204E"/>
    <w:rsid w:val="004120FA"/>
    <w:rsid w:val="00412E86"/>
    <w:rsid w:val="0041300A"/>
    <w:rsid w:val="00413B8D"/>
    <w:rsid w:val="00413FD1"/>
    <w:rsid w:val="004156E5"/>
    <w:rsid w:val="00415984"/>
    <w:rsid w:val="004165BD"/>
    <w:rsid w:val="00416718"/>
    <w:rsid w:val="004171C6"/>
    <w:rsid w:val="00417D14"/>
    <w:rsid w:val="00417DED"/>
    <w:rsid w:val="00417F74"/>
    <w:rsid w:val="00417FB7"/>
    <w:rsid w:val="00420438"/>
    <w:rsid w:val="00420BBB"/>
    <w:rsid w:val="00420C70"/>
    <w:rsid w:val="00421294"/>
    <w:rsid w:val="00421BD9"/>
    <w:rsid w:val="00423518"/>
    <w:rsid w:val="00423894"/>
    <w:rsid w:val="00424D12"/>
    <w:rsid w:val="00426126"/>
    <w:rsid w:val="00426386"/>
    <w:rsid w:val="004264F0"/>
    <w:rsid w:val="00426A57"/>
    <w:rsid w:val="004271F3"/>
    <w:rsid w:val="004278CD"/>
    <w:rsid w:val="0043063F"/>
    <w:rsid w:val="00430EFA"/>
    <w:rsid w:val="00430EFB"/>
    <w:rsid w:val="0043128A"/>
    <w:rsid w:val="004316CE"/>
    <w:rsid w:val="00431B52"/>
    <w:rsid w:val="004326CB"/>
    <w:rsid w:val="00432D8A"/>
    <w:rsid w:val="004330B9"/>
    <w:rsid w:val="00433B91"/>
    <w:rsid w:val="00434065"/>
    <w:rsid w:val="00434A28"/>
    <w:rsid w:val="00434C68"/>
    <w:rsid w:val="00435C82"/>
    <w:rsid w:val="00436036"/>
    <w:rsid w:val="0043668B"/>
    <w:rsid w:val="004373A8"/>
    <w:rsid w:val="004379A2"/>
    <w:rsid w:val="00437A47"/>
    <w:rsid w:val="00437C41"/>
    <w:rsid w:val="00440032"/>
    <w:rsid w:val="004404A6"/>
    <w:rsid w:val="004412F4"/>
    <w:rsid w:val="00441603"/>
    <w:rsid w:val="00441AC8"/>
    <w:rsid w:val="004421F1"/>
    <w:rsid w:val="00442DD4"/>
    <w:rsid w:val="004439B2"/>
    <w:rsid w:val="00444470"/>
    <w:rsid w:val="00444A57"/>
    <w:rsid w:val="00444D06"/>
    <w:rsid w:val="00444E22"/>
    <w:rsid w:val="0044552D"/>
    <w:rsid w:val="00445784"/>
    <w:rsid w:val="00445E8E"/>
    <w:rsid w:val="00447124"/>
    <w:rsid w:val="0045081D"/>
    <w:rsid w:val="004508C3"/>
    <w:rsid w:val="0045104C"/>
    <w:rsid w:val="00451CF2"/>
    <w:rsid w:val="00451FBE"/>
    <w:rsid w:val="004527E7"/>
    <w:rsid w:val="00453483"/>
    <w:rsid w:val="004536CE"/>
    <w:rsid w:val="00453B6C"/>
    <w:rsid w:val="004547C4"/>
    <w:rsid w:val="00454A6D"/>
    <w:rsid w:val="00454DF4"/>
    <w:rsid w:val="00455AAB"/>
    <w:rsid w:val="00455C55"/>
    <w:rsid w:val="00455EFA"/>
    <w:rsid w:val="0045628B"/>
    <w:rsid w:val="00456306"/>
    <w:rsid w:val="00456B58"/>
    <w:rsid w:val="00456BCA"/>
    <w:rsid w:val="00456F71"/>
    <w:rsid w:val="0045736E"/>
    <w:rsid w:val="00457E5E"/>
    <w:rsid w:val="00460165"/>
    <w:rsid w:val="00460897"/>
    <w:rsid w:val="00460D31"/>
    <w:rsid w:val="00460EC8"/>
    <w:rsid w:val="004615D0"/>
    <w:rsid w:val="00461729"/>
    <w:rsid w:val="00462F8C"/>
    <w:rsid w:val="004636B3"/>
    <w:rsid w:val="00463E91"/>
    <w:rsid w:val="00464207"/>
    <w:rsid w:val="0046422B"/>
    <w:rsid w:val="00464296"/>
    <w:rsid w:val="004644A3"/>
    <w:rsid w:val="004648A4"/>
    <w:rsid w:val="004648DB"/>
    <w:rsid w:val="00465B00"/>
    <w:rsid w:val="0046633D"/>
    <w:rsid w:val="00467227"/>
    <w:rsid w:val="00470672"/>
    <w:rsid w:val="00470AE3"/>
    <w:rsid w:val="00470F71"/>
    <w:rsid w:val="00471082"/>
    <w:rsid w:val="004715A6"/>
    <w:rsid w:val="00471FD5"/>
    <w:rsid w:val="004725ED"/>
    <w:rsid w:val="00475897"/>
    <w:rsid w:val="004763C9"/>
    <w:rsid w:val="00476A8C"/>
    <w:rsid w:val="00476CC8"/>
    <w:rsid w:val="004772A9"/>
    <w:rsid w:val="004777A9"/>
    <w:rsid w:val="00477B00"/>
    <w:rsid w:val="004802BB"/>
    <w:rsid w:val="0048040C"/>
    <w:rsid w:val="0048132E"/>
    <w:rsid w:val="00481542"/>
    <w:rsid w:val="0048177E"/>
    <w:rsid w:val="0048209D"/>
    <w:rsid w:val="004824EE"/>
    <w:rsid w:val="004827E3"/>
    <w:rsid w:val="00482845"/>
    <w:rsid w:val="00482D3E"/>
    <w:rsid w:val="00483BCB"/>
    <w:rsid w:val="00483F19"/>
    <w:rsid w:val="00484562"/>
    <w:rsid w:val="00484DB5"/>
    <w:rsid w:val="004858BF"/>
    <w:rsid w:val="004859F5"/>
    <w:rsid w:val="004862F0"/>
    <w:rsid w:val="004867CB"/>
    <w:rsid w:val="00487564"/>
    <w:rsid w:val="004876A5"/>
    <w:rsid w:val="00487A79"/>
    <w:rsid w:val="0049085E"/>
    <w:rsid w:val="00490917"/>
    <w:rsid w:val="00491022"/>
    <w:rsid w:val="00491E33"/>
    <w:rsid w:val="00492DBD"/>
    <w:rsid w:val="004937E4"/>
    <w:rsid w:val="00493C6B"/>
    <w:rsid w:val="004942CF"/>
    <w:rsid w:val="00495011"/>
    <w:rsid w:val="004951CA"/>
    <w:rsid w:val="00495249"/>
    <w:rsid w:val="0049593F"/>
    <w:rsid w:val="004960FB"/>
    <w:rsid w:val="004962F4"/>
    <w:rsid w:val="004963ED"/>
    <w:rsid w:val="0049655E"/>
    <w:rsid w:val="004965F3"/>
    <w:rsid w:val="00496D1F"/>
    <w:rsid w:val="004976B1"/>
    <w:rsid w:val="00497823"/>
    <w:rsid w:val="004A013E"/>
    <w:rsid w:val="004A19B9"/>
    <w:rsid w:val="004A1B6B"/>
    <w:rsid w:val="004A2FAE"/>
    <w:rsid w:val="004A378D"/>
    <w:rsid w:val="004A38C4"/>
    <w:rsid w:val="004A3913"/>
    <w:rsid w:val="004A4E3C"/>
    <w:rsid w:val="004A6277"/>
    <w:rsid w:val="004A63C6"/>
    <w:rsid w:val="004A63F0"/>
    <w:rsid w:val="004A6C86"/>
    <w:rsid w:val="004A6D3B"/>
    <w:rsid w:val="004A764E"/>
    <w:rsid w:val="004B03D5"/>
    <w:rsid w:val="004B04F3"/>
    <w:rsid w:val="004B19F7"/>
    <w:rsid w:val="004B1B37"/>
    <w:rsid w:val="004B2638"/>
    <w:rsid w:val="004B2D3D"/>
    <w:rsid w:val="004B30E2"/>
    <w:rsid w:val="004B4004"/>
    <w:rsid w:val="004B451E"/>
    <w:rsid w:val="004B573D"/>
    <w:rsid w:val="004B5F88"/>
    <w:rsid w:val="004B66B3"/>
    <w:rsid w:val="004B6A56"/>
    <w:rsid w:val="004B6ED3"/>
    <w:rsid w:val="004C1882"/>
    <w:rsid w:val="004C1E1F"/>
    <w:rsid w:val="004C211A"/>
    <w:rsid w:val="004C24AC"/>
    <w:rsid w:val="004C276D"/>
    <w:rsid w:val="004C2C11"/>
    <w:rsid w:val="004C3098"/>
    <w:rsid w:val="004C4088"/>
    <w:rsid w:val="004C5E10"/>
    <w:rsid w:val="004C6511"/>
    <w:rsid w:val="004C6589"/>
    <w:rsid w:val="004C6882"/>
    <w:rsid w:val="004C6C40"/>
    <w:rsid w:val="004C7087"/>
    <w:rsid w:val="004C71E0"/>
    <w:rsid w:val="004C7BF4"/>
    <w:rsid w:val="004C7D12"/>
    <w:rsid w:val="004D0871"/>
    <w:rsid w:val="004D15CC"/>
    <w:rsid w:val="004D22B2"/>
    <w:rsid w:val="004D2B45"/>
    <w:rsid w:val="004D4835"/>
    <w:rsid w:val="004D4AB5"/>
    <w:rsid w:val="004D5593"/>
    <w:rsid w:val="004D5A83"/>
    <w:rsid w:val="004D5D4D"/>
    <w:rsid w:val="004D5DEF"/>
    <w:rsid w:val="004D657F"/>
    <w:rsid w:val="004D68EA"/>
    <w:rsid w:val="004D69C8"/>
    <w:rsid w:val="004D69FC"/>
    <w:rsid w:val="004D6BAF"/>
    <w:rsid w:val="004D7B87"/>
    <w:rsid w:val="004D7C53"/>
    <w:rsid w:val="004D7F59"/>
    <w:rsid w:val="004E0411"/>
    <w:rsid w:val="004E06FB"/>
    <w:rsid w:val="004E15D5"/>
    <w:rsid w:val="004E16ED"/>
    <w:rsid w:val="004E20B8"/>
    <w:rsid w:val="004E246D"/>
    <w:rsid w:val="004E2962"/>
    <w:rsid w:val="004E2E30"/>
    <w:rsid w:val="004E33FA"/>
    <w:rsid w:val="004E440B"/>
    <w:rsid w:val="004E457A"/>
    <w:rsid w:val="004E4B9C"/>
    <w:rsid w:val="004E4E88"/>
    <w:rsid w:val="004E59C8"/>
    <w:rsid w:val="004E5B41"/>
    <w:rsid w:val="004E62AA"/>
    <w:rsid w:val="004E7880"/>
    <w:rsid w:val="004F041A"/>
    <w:rsid w:val="004F095C"/>
    <w:rsid w:val="004F0D97"/>
    <w:rsid w:val="004F10D8"/>
    <w:rsid w:val="004F147D"/>
    <w:rsid w:val="004F1708"/>
    <w:rsid w:val="004F1C44"/>
    <w:rsid w:val="004F1F8A"/>
    <w:rsid w:val="004F23A0"/>
    <w:rsid w:val="004F2A6B"/>
    <w:rsid w:val="004F305E"/>
    <w:rsid w:val="004F3928"/>
    <w:rsid w:val="004F3A27"/>
    <w:rsid w:val="004F3C38"/>
    <w:rsid w:val="004F49FF"/>
    <w:rsid w:val="004F4FAB"/>
    <w:rsid w:val="004F646D"/>
    <w:rsid w:val="004F7580"/>
    <w:rsid w:val="004F772C"/>
    <w:rsid w:val="004F78CE"/>
    <w:rsid w:val="004F7FFB"/>
    <w:rsid w:val="00500767"/>
    <w:rsid w:val="00500ACA"/>
    <w:rsid w:val="00500FD3"/>
    <w:rsid w:val="005019C5"/>
    <w:rsid w:val="00501E77"/>
    <w:rsid w:val="00502119"/>
    <w:rsid w:val="005028FE"/>
    <w:rsid w:val="00502956"/>
    <w:rsid w:val="00502ED4"/>
    <w:rsid w:val="005032E8"/>
    <w:rsid w:val="00503B37"/>
    <w:rsid w:val="0050584C"/>
    <w:rsid w:val="005059F1"/>
    <w:rsid w:val="00506041"/>
    <w:rsid w:val="0050640A"/>
    <w:rsid w:val="0050663F"/>
    <w:rsid w:val="005067A5"/>
    <w:rsid w:val="00506966"/>
    <w:rsid w:val="00506E17"/>
    <w:rsid w:val="005071E3"/>
    <w:rsid w:val="00507629"/>
    <w:rsid w:val="00507659"/>
    <w:rsid w:val="0050777B"/>
    <w:rsid w:val="00507B99"/>
    <w:rsid w:val="0051048C"/>
    <w:rsid w:val="00510B1C"/>
    <w:rsid w:val="0051121D"/>
    <w:rsid w:val="005117EC"/>
    <w:rsid w:val="00511F26"/>
    <w:rsid w:val="00513756"/>
    <w:rsid w:val="0051375E"/>
    <w:rsid w:val="00513987"/>
    <w:rsid w:val="00513E93"/>
    <w:rsid w:val="005147BF"/>
    <w:rsid w:val="005152F2"/>
    <w:rsid w:val="0051598A"/>
    <w:rsid w:val="005159E3"/>
    <w:rsid w:val="005167D1"/>
    <w:rsid w:val="005167DB"/>
    <w:rsid w:val="005168B6"/>
    <w:rsid w:val="00516C2A"/>
    <w:rsid w:val="00517114"/>
    <w:rsid w:val="005171AF"/>
    <w:rsid w:val="0052000D"/>
    <w:rsid w:val="005200A1"/>
    <w:rsid w:val="0052094A"/>
    <w:rsid w:val="00520A04"/>
    <w:rsid w:val="00520B84"/>
    <w:rsid w:val="005210A1"/>
    <w:rsid w:val="00521152"/>
    <w:rsid w:val="00521287"/>
    <w:rsid w:val="00521B30"/>
    <w:rsid w:val="00521EEA"/>
    <w:rsid w:val="005221FF"/>
    <w:rsid w:val="00522579"/>
    <w:rsid w:val="00522F38"/>
    <w:rsid w:val="0052359C"/>
    <w:rsid w:val="005240A8"/>
    <w:rsid w:val="0052456C"/>
    <w:rsid w:val="005245A3"/>
    <w:rsid w:val="00525AD5"/>
    <w:rsid w:val="00526BD5"/>
    <w:rsid w:val="00526F49"/>
    <w:rsid w:val="00527097"/>
    <w:rsid w:val="00530295"/>
    <w:rsid w:val="005304D6"/>
    <w:rsid w:val="0053079E"/>
    <w:rsid w:val="00530844"/>
    <w:rsid w:val="0053198C"/>
    <w:rsid w:val="00531F19"/>
    <w:rsid w:val="00532142"/>
    <w:rsid w:val="005326E2"/>
    <w:rsid w:val="00532C7C"/>
    <w:rsid w:val="00532D9B"/>
    <w:rsid w:val="00532E45"/>
    <w:rsid w:val="005330AA"/>
    <w:rsid w:val="00533443"/>
    <w:rsid w:val="0053391E"/>
    <w:rsid w:val="0053469B"/>
    <w:rsid w:val="005354B2"/>
    <w:rsid w:val="005354FF"/>
    <w:rsid w:val="005360DB"/>
    <w:rsid w:val="00536B8E"/>
    <w:rsid w:val="00537434"/>
    <w:rsid w:val="00537439"/>
    <w:rsid w:val="00537A23"/>
    <w:rsid w:val="00540297"/>
    <w:rsid w:val="005409D9"/>
    <w:rsid w:val="00540FCF"/>
    <w:rsid w:val="00541C94"/>
    <w:rsid w:val="00543299"/>
    <w:rsid w:val="00545155"/>
    <w:rsid w:val="00545302"/>
    <w:rsid w:val="0054538C"/>
    <w:rsid w:val="00545842"/>
    <w:rsid w:val="005458FC"/>
    <w:rsid w:val="0054596C"/>
    <w:rsid w:val="00546984"/>
    <w:rsid w:val="005477E6"/>
    <w:rsid w:val="00547B5E"/>
    <w:rsid w:val="0054DC2D"/>
    <w:rsid w:val="00550613"/>
    <w:rsid w:val="00551089"/>
    <w:rsid w:val="00551785"/>
    <w:rsid w:val="005518BA"/>
    <w:rsid w:val="00551C04"/>
    <w:rsid w:val="00552BBF"/>
    <w:rsid w:val="00553539"/>
    <w:rsid w:val="00553F70"/>
    <w:rsid w:val="0055532F"/>
    <w:rsid w:val="00555677"/>
    <w:rsid w:val="005556DB"/>
    <w:rsid w:val="005557D0"/>
    <w:rsid w:val="00555DF9"/>
    <w:rsid w:val="005560C4"/>
    <w:rsid w:val="0055628F"/>
    <w:rsid w:val="005567EA"/>
    <w:rsid w:val="00556CB5"/>
    <w:rsid w:val="00556F98"/>
    <w:rsid w:val="0055739C"/>
    <w:rsid w:val="0056012C"/>
    <w:rsid w:val="005604F5"/>
    <w:rsid w:val="0056099C"/>
    <w:rsid w:val="00560BEE"/>
    <w:rsid w:val="00561799"/>
    <w:rsid w:val="00561DBF"/>
    <w:rsid w:val="00561E64"/>
    <w:rsid w:val="00562166"/>
    <w:rsid w:val="00562482"/>
    <w:rsid w:val="005625DC"/>
    <w:rsid w:val="0056277E"/>
    <w:rsid w:val="0056289E"/>
    <w:rsid w:val="005635A1"/>
    <w:rsid w:val="00563753"/>
    <w:rsid w:val="00563B32"/>
    <w:rsid w:val="00564369"/>
    <w:rsid w:val="005643BC"/>
    <w:rsid w:val="0056485D"/>
    <w:rsid w:val="00564972"/>
    <w:rsid w:val="00565435"/>
    <w:rsid w:val="00565C9D"/>
    <w:rsid w:val="005660F2"/>
    <w:rsid w:val="00566368"/>
    <w:rsid w:val="005665BD"/>
    <w:rsid w:val="005671C1"/>
    <w:rsid w:val="005672D5"/>
    <w:rsid w:val="005676DD"/>
    <w:rsid w:val="00567EF1"/>
    <w:rsid w:val="00570401"/>
    <w:rsid w:val="00571072"/>
    <w:rsid w:val="00571556"/>
    <w:rsid w:val="00571C34"/>
    <w:rsid w:val="00571FA8"/>
    <w:rsid w:val="00572562"/>
    <w:rsid w:val="00572E50"/>
    <w:rsid w:val="00573BFB"/>
    <w:rsid w:val="00573F98"/>
    <w:rsid w:val="005741AF"/>
    <w:rsid w:val="00574246"/>
    <w:rsid w:val="005746CD"/>
    <w:rsid w:val="0057472E"/>
    <w:rsid w:val="0057525F"/>
    <w:rsid w:val="005753D8"/>
    <w:rsid w:val="00575CE7"/>
    <w:rsid w:val="00575E19"/>
    <w:rsid w:val="00576BF7"/>
    <w:rsid w:val="00576C0D"/>
    <w:rsid w:val="00576C69"/>
    <w:rsid w:val="0057777F"/>
    <w:rsid w:val="0057797A"/>
    <w:rsid w:val="00577B28"/>
    <w:rsid w:val="0058005E"/>
    <w:rsid w:val="00580AE4"/>
    <w:rsid w:val="00580FE0"/>
    <w:rsid w:val="00581A86"/>
    <w:rsid w:val="00581A94"/>
    <w:rsid w:val="005828CB"/>
    <w:rsid w:val="00583160"/>
    <w:rsid w:val="00583656"/>
    <w:rsid w:val="005840EA"/>
    <w:rsid w:val="005848B7"/>
    <w:rsid w:val="00586D3B"/>
    <w:rsid w:val="00587373"/>
    <w:rsid w:val="005874BB"/>
    <w:rsid w:val="0058752E"/>
    <w:rsid w:val="005877BF"/>
    <w:rsid w:val="00591B37"/>
    <w:rsid w:val="00591CED"/>
    <w:rsid w:val="00592474"/>
    <w:rsid w:val="00593DCF"/>
    <w:rsid w:val="0059406A"/>
    <w:rsid w:val="005940B5"/>
    <w:rsid w:val="00594318"/>
    <w:rsid w:val="0059459B"/>
    <w:rsid w:val="005949A6"/>
    <w:rsid w:val="00594A48"/>
    <w:rsid w:val="0059545F"/>
    <w:rsid w:val="00595FB9"/>
    <w:rsid w:val="005966B3"/>
    <w:rsid w:val="005967F7"/>
    <w:rsid w:val="005971CA"/>
    <w:rsid w:val="00597A77"/>
    <w:rsid w:val="005A03A7"/>
    <w:rsid w:val="005A1041"/>
    <w:rsid w:val="005A130C"/>
    <w:rsid w:val="005A16FA"/>
    <w:rsid w:val="005A182C"/>
    <w:rsid w:val="005A190E"/>
    <w:rsid w:val="005A20D1"/>
    <w:rsid w:val="005A2D4D"/>
    <w:rsid w:val="005A45E2"/>
    <w:rsid w:val="005A47B5"/>
    <w:rsid w:val="005A4C1B"/>
    <w:rsid w:val="005A559B"/>
    <w:rsid w:val="005A576D"/>
    <w:rsid w:val="005A5DA5"/>
    <w:rsid w:val="005A6044"/>
    <w:rsid w:val="005A656A"/>
    <w:rsid w:val="005A66BE"/>
    <w:rsid w:val="005A6DF9"/>
    <w:rsid w:val="005A8899"/>
    <w:rsid w:val="005B04EA"/>
    <w:rsid w:val="005B0DD6"/>
    <w:rsid w:val="005B0FF3"/>
    <w:rsid w:val="005B122F"/>
    <w:rsid w:val="005B1A22"/>
    <w:rsid w:val="005B1EBC"/>
    <w:rsid w:val="005B27E0"/>
    <w:rsid w:val="005B2B60"/>
    <w:rsid w:val="005B3704"/>
    <w:rsid w:val="005B4451"/>
    <w:rsid w:val="005B4540"/>
    <w:rsid w:val="005B64AD"/>
    <w:rsid w:val="005B68DD"/>
    <w:rsid w:val="005C109E"/>
    <w:rsid w:val="005C1537"/>
    <w:rsid w:val="005C2E81"/>
    <w:rsid w:val="005C2F07"/>
    <w:rsid w:val="005C3060"/>
    <w:rsid w:val="005C3264"/>
    <w:rsid w:val="005C3AD2"/>
    <w:rsid w:val="005C3C5A"/>
    <w:rsid w:val="005C43A0"/>
    <w:rsid w:val="005C46E9"/>
    <w:rsid w:val="005C4A70"/>
    <w:rsid w:val="005C57C6"/>
    <w:rsid w:val="005C5A3B"/>
    <w:rsid w:val="005C5A9A"/>
    <w:rsid w:val="005C6AE4"/>
    <w:rsid w:val="005C6B71"/>
    <w:rsid w:val="005C6DEE"/>
    <w:rsid w:val="005C7E47"/>
    <w:rsid w:val="005D0A19"/>
    <w:rsid w:val="005D1882"/>
    <w:rsid w:val="005D2308"/>
    <w:rsid w:val="005D2BF5"/>
    <w:rsid w:val="005D2E59"/>
    <w:rsid w:val="005D36FA"/>
    <w:rsid w:val="005D36FD"/>
    <w:rsid w:val="005D401C"/>
    <w:rsid w:val="005D442A"/>
    <w:rsid w:val="005D46CF"/>
    <w:rsid w:val="005D4A63"/>
    <w:rsid w:val="005D4FD0"/>
    <w:rsid w:val="005D574A"/>
    <w:rsid w:val="005D5802"/>
    <w:rsid w:val="005D58FE"/>
    <w:rsid w:val="005D5B27"/>
    <w:rsid w:val="005D6695"/>
    <w:rsid w:val="005D674B"/>
    <w:rsid w:val="005D68BD"/>
    <w:rsid w:val="005D6B9A"/>
    <w:rsid w:val="005D6BA5"/>
    <w:rsid w:val="005D709D"/>
    <w:rsid w:val="005D76E3"/>
    <w:rsid w:val="005D7954"/>
    <w:rsid w:val="005D7D69"/>
    <w:rsid w:val="005E07FF"/>
    <w:rsid w:val="005E0CEC"/>
    <w:rsid w:val="005E16F1"/>
    <w:rsid w:val="005E1B78"/>
    <w:rsid w:val="005E1D73"/>
    <w:rsid w:val="005E36AC"/>
    <w:rsid w:val="005E41B3"/>
    <w:rsid w:val="005E46B0"/>
    <w:rsid w:val="005E51B1"/>
    <w:rsid w:val="005E599A"/>
    <w:rsid w:val="005E5EDB"/>
    <w:rsid w:val="005E6A11"/>
    <w:rsid w:val="005E6C2B"/>
    <w:rsid w:val="005E7EB8"/>
    <w:rsid w:val="005F0154"/>
    <w:rsid w:val="005F0F44"/>
    <w:rsid w:val="005F1AC5"/>
    <w:rsid w:val="005F238A"/>
    <w:rsid w:val="005F2A86"/>
    <w:rsid w:val="005F3354"/>
    <w:rsid w:val="005F3504"/>
    <w:rsid w:val="005F3A2E"/>
    <w:rsid w:val="005F51FC"/>
    <w:rsid w:val="005F55EF"/>
    <w:rsid w:val="005F57FF"/>
    <w:rsid w:val="005F5E64"/>
    <w:rsid w:val="005F6662"/>
    <w:rsid w:val="005F6F0C"/>
    <w:rsid w:val="005F7291"/>
    <w:rsid w:val="005F744D"/>
    <w:rsid w:val="005F7572"/>
    <w:rsid w:val="005F7A69"/>
    <w:rsid w:val="00600048"/>
    <w:rsid w:val="0060048A"/>
    <w:rsid w:val="00600C60"/>
    <w:rsid w:val="00600EBC"/>
    <w:rsid w:val="00601353"/>
    <w:rsid w:val="006017AF"/>
    <w:rsid w:val="00602300"/>
    <w:rsid w:val="00602B1B"/>
    <w:rsid w:val="00603132"/>
    <w:rsid w:val="006034A2"/>
    <w:rsid w:val="00603CE5"/>
    <w:rsid w:val="00604B7A"/>
    <w:rsid w:val="00605983"/>
    <w:rsid w:val="00606732"/>
    <w:rsid w:val="006074CC"/>
    <w:rsid w:val="00607A4D"/>
    <w:rsid w:val="00607CB4"/>
    <w:rsid w:val="00607E4F"/>
    <w:rsid w:val="006106C8"/>
    <w:rsid w:val="00610D57"/>
    <w:rsid w:val="00610F32"/>
    <w:rsid w:val="00611181"/>
    <w:rsid w:val="006115D9"/>
    <w:rsid w:val="006116DA"/>
    <w:rsid w:val="00612531"/>
    <w:rsid w:val="0061273E"/>
    <w:rsid w:val="00612AF3"/>
    <w:rsid w:val="006139DE"/>
    <w:rsid w:val="00613DAD"/>
    <w:rsid w:val="006142E3"/>
    <w:rsid w:val="0061444D"/>
    <w:rsid w:val="006146EA"/>
    <w:rsid w:val="00615220"/>
    <w:rsid w:val="006152AD"/>
    <w:rsid w:val="006155BF"/>
    <w:rsid w:val="00615694"/>
    <w:rsid w:val="00616AD2"/>
    <w:rsid w:val="00617310"/>
    <w:rsid w:val="00620746"/>
    <w:rsid w:val="0062075A"/>
    <w:rsid w:val="006209E8"/>
    <w:rsid w:val="00620BD3"/>
    <w:rsid w:val="00621B66"/>
    <w:rsid w:val="00621CA1"/>
    <w:rsid w:val="00621EE4"/>
    <w:rsid w:val="006229CC"/>
    <w:rsid w:val="00622BDE"/>
    <w:rsid w:val="006233D8"/>
    <w:rsid w:val="00623AEE"/>
    <w:rsid w:val="00623E69"/>
    <w:rsid w:val="00624324"/>
    <w:rsid w:val="006244ED"/>
    <w:rsid w:val="00625290"/>
    <w:rsid w:val="00625E35"/>
    <w:rsid w:val="00626666"/>
    <w:rsid w:val="00627A17"/>
    <w:rsid w:val="00627E43"/>
    <w:rsid w:val="00631061"/>
    <w:rsid w:val="0063155F"/>
    <w:rsid w:val="00631B04"/>
    <w:rsid w:val="00632221"/>
    <w:rsid w:val="006349D0"/>
    <w:rsid w:val="00634BC0"/>
    <w:rsid w:val="00635164"/>
    <w:rsid w:val="006352D7"/>
    <w:rsid w:val="006357C4"/>
    <w:rsid w:val="00636BDA"/>
    <w:rsid w:val="00640EC9"/>
    <w:rsid w:val="00640FC3"/>
    <w:rsid w:val="006417DA"/>
    <w:rsid w:val="006428DF"/>
    <w:rsid w:val="00642C3D"/>
    <w:rsid w:val="00644A6E"/>
    <w:rsid w:val="0064577F"/>
    <w:rsid w:val="0064580F"/>
    <w:rsid w:val="00645F27"/>
    <w:rsid w:val="00646044"/>
    <w:rsid w:val="00646CC6"/>
    <w:rsid w:val="00647115"/>
    <w:rsid w:val="00647197"/>
    <w:rsid w:val="0065020D"/>
    <w:rsid w:val="00650B19"/>
    <w:rsid w:val="00650C16"/>
    <w:rsid w:val="006517FA"/>
    <w:rsid w:val="006519D9"/>
    <w:rsid w:val="00651D85"/>
    <w:rsid w:val="00651E52"/>
    <w:rsid w:val="00653B97"/>
    <w:rsid w:val="00654AB5"/>
    <w:rsid w:val="0065536F"/>
    <w:rsid w:val="00655733"/>
    <w:rsid w:val="006557E4"/>
    <w:rsid w:val="00655C13"/>
    <w:rsid w:val="006563C6"/>
    <w:rsid w:val="00656B4D"/>
    <w:rsid w:val="00656D5A"/>
    <w:rsid w:val="006570FE"/>
    <w:rsid w:val="006577E2"/>
    <w:rsid w:val="0066113E"/>
    <w:rsid w:val="0066358B"/>
    <w:rsid w:val="00663609"/>
    <w:rsid w:val="006637A6"/>
    <w:rsid w:val="006639BB"/>
    <w:rsid w:val="00663A2F"/>
    <w:rsid w:val="00663BAA"/>
    <w:rsid w:val="00663CD8"/>
    <w:rsid w:val="00663CF0"/>
    <w:rsid w:val="00663FAF"/>
    <w:rsid w:val="006648A5"/>
    <w:rsid w:val="00664BE4"/>
    <w:rsid w:val="006651D0"/>
    <w:rsid w:val="00665C62"/>
    <w:rsid w:val="006666C5"/>
    <w:rsid w:val="00666854"/>
    <w:rsid w:val="00666874"/>
    <w:rsid w:val="00667163"/>
    <w:rsid w:val="00667D7A"/>
    <w:rsid w:val="006706ED"/>
    <w:rsid w:val="006708C3"/>
    <w:rsid w:val="00671068"/>
    <w:rsid w:val="00671192"/>
    <w:rsid w:val="006726DD"/>
    <w:rsid w:val="00672DDA"/>
    <w:rsid w:val="006737AF"/>
    <w:rsid w:val="0067386C"/>
    <w:rsid w:val="00675539"/>
    <w:rsid w:val="006755E8"/>
    <w:rsid w:val="0067569E"/>
    <w:rsid w:val="0067604B"/>
    <w:rsid w:val="00676387"/>
    <w:rsid w:val="00676431"/>
    <w:rsid w:val="00676A12"/>
    <w:rsid w:val="0067750C"/>
    <w:rsid w:val="00677C13"/>
    <w:rsid w:val="00677D49"/>
    <w:rsid w:val="00680591"/>
    <w:rsid w:val="006808E8"/>
    <w:rsid w:val="00680C49"/>
    <w:rsid w:val="00682837"/>
    <w:rsid w:val="00683898"/>
    <w:rsid w:val="00684A9F"/>
    <w:rsid w:val="00684CCA"/>
    <w:rsid w:val="00684F64"/>
    <w:rsid w:val="0068540B"/>
    <w:rsid w:val="00685BA5"/>
    <w:rsid w:val="00687742"/>
    <w:rsid w:val="00687A06"/>
    <w:rsid w:val="00687A9B"/>
    <w:rsid w:val="00687D0F"/>
    <w:rsid w:val="00687FDD"/>
    <w:rsid w:val="00690747"/>
    <w:rsid w:val="00690B6D"/>
    <w:rsid w:val="00690C58"/>
    <w:rsid w:val="0069200C"/>
    <w:rsid w:val="006923E1"/>
    <w:rsid w:val="00692ACF"/>
    <w:rsid w:val="006934A4"/>
    <w:rsid w:val="00693AF5"/>
    <w:rsid w:val="0069494F"/>
    <w:rsid w:val="00694AE8"/>
    <w:rsid w:val="00694B6D"/>
    <w:rsid w:val="00694E2F"/>
    <w:rsid w:val="00695076"/>
    <w:rsid w:val="0069560A"/>
    <w:rsid w:val="00695B2B"/>
    <w:rsid w:val="00695D8A"/>
    <w:rsid w:val="00695EF9"/>
    <w:rsid w:val="00696821"/>
    <w:rsid w:val="006968F0"/>
    <w:rsid w:val="00696C7C"/>
    <w:rsid w:val="00696ECB"/>
    <w:rsid w:val="0069756C"/>
    <w:rsid w:val="006979F8"/>
    <w:rsid w:val="00697D10"/>
    <w:rsid w:val="006A07F6"/>
    <w:rsid w:val="006A1958"/>
    <w:rsid w:val="006A216A"/>
    <w:rsid w:val="006A2354"/>
    <w:rsid w:val="006A25E7"/>
    <w:rsid w:val="006A2A14"/>
    <w:rsid w:val="006A3187"/>
    <w:rsid w:val="006A345C"/>
    <w:rsid w:val="006A3492"/>
    <w:rsid w:val="006A3855"/>
    <w:rsid w:val="006A4636"/>
    <w:rsid w:val="006A4CAC"/>
    <w:rsid w:val="006A5003"/>
    <w:rsid w:val="006A54E5"/>
    <w:rsid w:val="006A56A4"/>
    <w:rsid w:val="006A5AEB"/>
    <w:rsid w:val="006A5AEF"/>
    <w:rsid w:val="006A5E82"/>
    <w:rsid w:val="006A606B"/>
    <w:rsid w:val="006A64C0"/>
    <w:rsid w:val="006A6846"/>
    <w:rsid w:val="006A6A8F"/>
    <w:rsid w:val="006A6E26"/>
    <w:rsid w:val="006A744A"/>
    <w:rsid w:val="006A7711"/>
    <w:rsid w:val="006A7DBD"/>
    <w:rsid w:val="006A7F85"/>
    <w:rsid w:val="006B015E"/>
    <w:rsid w:val="006B08CD"/>
    <w:rsid w:val="006B09C8"/>
    <w:rsid w:val="006B1133"/>
    <w:rsid w:val="006B12C8"/>
    <w:rsid w:val="006B1388"/>
    <w:rsid w:val="006B22F6"/>
    <w:rsid w:val="006B2417"/>
    <w:rsid w:val="006B27C0"/>
    <w:rsid w:val="006B27F8"/>
    <w:rsid w:val="006B2FB9"/>
    <w:rsid w:val="006B371D"/>
    <w:rsid w:val="006B5EC6"/>
    <w:rsid w:val="006B6B89"/>
    <w:rsid w:val="006B7893"/>
    <w:rsid w:val="006C005A"/>
    <w:rsid w:val="006C1175"/>
    <w:rsid w:val="006C242F"/>
    <w:rsid w:val="006C31F7"/>
    <w:rsid w:val="006C33DF"/>
    <w:rsid w:val="006C3899"/>
    <w:rsid w:val="006C51EC"/>
    <w:rsid w:val="006C5349"/>
    <w:rsid w:val="006C650F"/>
    <w:rsid w:val="006C702E"/>
    <w:rsid w:val="006C7BA8"/>
    <w:rsid w:val="006C7D20"/>
    <w:rsid w:val="006D0713"/>
    <w:rsid w:val="006D0C5E"/>
    <w:rsid w:val="006D1DDD"/>
    <w:rsid w:val="006D21D0"/>
    <w:rsid w:val="006D2281"/>
    <w:rsid w:val="006D2E5B"/>
    <w:rsid w:val="006D3018"/>
    <w:rsid w:val="006D30D0"/>
    <w:rsid w:val="006D40B9"/>
    <w:rsid w:val="006D40C9"/>
    <w:rsid w:val="006D417A"/>
    <w:rsid w:val="006D4D96"/>
    <w:rsid w:val="006D5262"/>
    <w:rsid w:val="006D5293"/>
    <w:rsid w:val="006D570F"/>
    <w:rsid w:val="006D590B"/>
    <w:rsid w:val="006D5E63"/>
    <w:rsid w:val="006D5E91"/>
    <w:rsid w:val="006D5ECD"/>
    <w:rsid w:val="006D65C9"/>
    <w:rsid w:val="006D6A8F"/>
    <w:rsid w:val="006D6C04"/>
    <w:rsid w:val="006D6F14"/>
    <w:rsid w:val="006D7357"/>
    <w:rsid w:val="006D7727"/>
    <w:rsid w:val="006D7BE6"/>
    <w:rsid w:val="006E0441"/>
    <w:rsid w:val="006E09B8"/>
    <w:rsid w:val="006E0E7E"/>
    <w:rsid w:val="006E110F"/>
    <w:rsid w:val="006E11DD"/>
    <w:rsid w:val="006E137A"/>
    <w:rsid w:val="006E1552"/>
    <w:rsid w:val="006E1645"/>
    <w:rsid w:val="006E236E"/>
    <w:rsid w:val="006E29AA"/>
    <w:rsid w:val="006E2BCE"/>
    <w:rsid w:val="006E2C3E"/>
    <w:rsid w:val="006E2F9A"/>
    <w:rsid w:val="006E32D7"/>
    <w:rsid w:val="006E3DD4"/>
    <w:rsid w:val="006E4989"/>
    <w:rsid w:val="006E5571"/>
    <w:rsid w:val="006E5635"/>
    <w:rsid w:val="006E6B89"/>
    <w:rsid w:val="006E7312"/>
    <w:rsid w:val="006E75E3"/>
    <w:rsid w:val="006E7D4C"/>
    <w:rsid w:val="006E7F4B"/>
    <w:rsid w:val="006F0FCB"/>
    <w:rsid w:val="006F250B"/>
    <w:rsid w:val="006F2783"/>
    <w:rsid w:val="006F2F1B"/>
    <w:rsid w:val="006F33EC"/>
    <w:rsid w:val="006F378C"/>
    <w:rsid w:val="006F422F"/>
    <w:rsid w:val="006F53A9"/>
    <w:rsid w:val="006F5820"/>
    <w:rsid w:val="006F59CD"/>
    <w:rsid w:val="006F5C2C"/>
    <w:rsid w:val="006F5F80"/>
    <w:rsid w:val="006F619D"/>
    <w:rsid w:val="006F6A14"/>
    <w:rsid w:val="006F745D"/>
    <w:rsid w:val="006F7510"/>
    <w:rsid w:val="007001D9"/>
    <w:rsid w:val="00700206"/>
    <w:rsid w:val="007012A5"/>
    <w:rsid w:val="007019E8"/>
    <w:rsid w:val="00701F4C"/>
    <w:rsid w:val="0070241B"/>
    <w:rsid w:val="007026FD"/>
    <w:rsid w:val="00702869"/>
    <w:rsid w:val="00702C7F"/>
    <w:rsid w:val="00703113"/>
    <w:rsid w:val="007033CE"/>
    <w:rsid w:val="0070403D"/>
    <w:rsid w:val="007040D9"/>
    <w:rsid w:val="0070460A"/>
    <w:rsid w:val="0070464A"/>
    <w:rsid w:val="00705BA6"/>
    <w:rsid w:val="00705DFC"/>
    <w:rsid w:val="00705E42"/>
    <w:rsid w:val="0070635A"/>
    <w:rsid w:val="0070639F"/>
    <w:rsid w:val="007069C2"/>
    <w:rsid w:val="00710288"/>
    <w:rsid w:val="00710756"/>
    <w:rsid w:val="00710B6C"/>
    <w:rsid w:val="0071169B"/>
    <w:rsid w:val="00711EB4"/>
    <w:rsid w:val="00712F4E"/>
    <w:rsid w:val="0071342D"/>
    <w:rsid w:val="00713E5B"/>
    <w:rsid w:val="007143D3"/>
    <w:rsid w:val="00714716"/>
    <w:rsid w:val="00714F42"/>
    <w:rsid w:val="00715E53"/>
    <w:rsid w:val="00716C78"/>
    <w:rsid w:val="007178E6"/>
    <w:rsid w:val="00717A33"/>
    <w:rsid w:val="0072084B"/>
    <w:rsid w:val="007208E9"/>
    <w:rsid w:val="00720DD9"/>
    <w:rsid w:val="007212E3"/>
    <w:rsid w:val="007222C4"/>
    <w:rsid w:val="00722AE6"/>
    <w:rsid w:val="007232BA"/>
    <w:rsid w:val="00723A10"/>
    <w:rsid w:val="00723DA0"/>
    <w:rsid w:val="00723DEF"/>
    <w:rsid w:val="0072477E"/>
    <w:rsid w:val="00724F81"/>
    <w:rsid w:val="0072558B"/>
    <w:rsid w:val="007267AF"/>
    <w:rsid w:val="007301A9"/>
    <w:rsid w:val="00731A3C"/>
    <w:rsid w:val="00731AF6"/>
    <w:rsid w:val="007322D2"/>
    <w:rsid w:val="00732630"/>
    <w:rsid w:val="0073289C"/>
    <w:rsid w:val="00732E9E"/>
    <w:rsid w:val="00732EF5"/>
    <w:rsid w:val="007338B0"/>
    <w:rsid w:val="0073411A"/>
    <w:rsid w:val="00734DB1"/>
    <w:rsid w:val="00734FCF"/>
    <w:rsid w:val="007358F9"/>
    <w:rsid w:val="00736DF0"/>
    <w:rsid w:val="00737683"/>
    <w:rsid w:val="00740280"/>
    <w:rsid w:val="00741925"/>
    <w:rsid w:val="00741A07"/>
    <w:rsid w:val="00741E8F"/>
    <w:rsid w:val="0074209C"/>
    <w:rsid w:val="007421B3"/>
    <w:rsid w:val="00743685"/>
    <w:rsid w:val="00743E23"/>
    <w:rsid w:val="007445AF"/>
    <w:rsid w:val="0074465B"/>
    <w:rsid w:val="00744F72"/>
    <w:rsid w:val="00745020"/>
    <w:rsid w:val="007465AD"/>
    <w:rsid w:val="007472CC"/>
    <w:rsid w:val="007472F8"/>
    <w:rsid w:val="007477D9"/>
    <w:rsid w:val="007478C2"/>
    <w:rsid w:val="00750114"/>
    <w:rsid w:val="00750321"/>
    <w:rsid w:val="00750607"/>
    <w:rsid w:val="0075060F"/>
    <w:rsid w:val="00751D64"/>
    <w:rsid w:val="00752407"/>
    <w:rsid w:val="00752B35"/>
    <w:rsid w:val="00753BEE"/>
    <w:rsid w:val="00753F5E"/>
    <w:rsid w:val="0075411B"/>
    <w:rsid w:val="0075484C"/>
    <w:rsid w:val="00754F72"/>
    <w:rsid w:val="00755939"/>
    <w:rsid w:val="00755F7B"/>
    <w:rsid w:val="00755FAA"/>
    <w:rsid w:val="007563D6"/>
    <w:rsid w:val="00756AA8"/>
    <w:rsid w:val="007577FC"/>
    <w:rsid w:val="007601F1"/>
    <w:rsid w:val="007606B0"/>
    <w:rsid w:val="00761518"/>
    <w:rsid w:val="00761F97"/>
    <w:rsid w:val="00762D94"/>
    <w:rsid w:val="00763FB3"/>
    <w:rsid w:val="00764B44"/>
    <w:rsid w:val="00765551"/>
    <w:rsid w:val="0076561E"/>
    <w:rsid w:val="0076638C"/>
    <w:rsid w:val="007666A9"/>
    <w:rsid w:val="00766752"/>
    <w:rsid w:val="00766CA9"/>
    <w:rsid w:val="00766DA8"/>
    <w:rsid w:val="0076743C"/>
    <w:rsid w:val="00770218"/>
    <w:rsid w:val="0077046C"/>
    <w:rsid w:val="0077069B"/>
    <w:rsid w:val="00770BE7"/>
    <w:rsid w:val="00770D36"/>
    <w:rsid w:val="00771406"/>
    <w:rsid w:val="007723E1"/>
    <w:rsid w:val="007727AB"/>
    <w:rsid w:val="00772B34"/>
    <w:rsid w:val="0077489C"/>
    <w:rsid w:val="00774F42"/>
    <w:rsid w:val="007751F7"/>
    <w:rsid w:val="00775449"/>
    <w:rsid w:val="007755B6"/>
    <w:rsid w:val="00775945"/>
    <w:rsid w:val="00775C08"/>
    <w:rsid w:val="00776CD0"/>
    <w:rsid w:val="00777171"/>
    <w:rsid w:val="00777466"/>
    <w:rsid w:val="007775DD"/>
    <w:rsid w:val="00777CD4"/>
    <w:rsid w:val="0078027B"/>
    <w:rsid w:val="0078052B"/>
    <w:rsid w:val="00780B6F"/>
    <w:rsid w:val="00780C1B"/>
    <w:rsid w:val="00781909"/>
    <w:rsid w:val="007820DD"/>
    <w:rsid w:val="00782229"/>
    <w:rsid w:val="00782345"/>
    <w:rsid w:val="00782C6E"/>
    <w:rsid w:val="0078305B"/>
    <w:rsid w:val="00783524"/>
    <w:rsid w:val="00783554"/>
    <w:rsid w:val="00786200"/>
    <w:rsid w:val="007868A2"/>
    <w:rsid w:val="00786AC2"/>
    <w:rsid w:val="0078739A"/>
    <w:rsid w:val="00787988"/>
    <w:rsid w:val="00790296"/>
    <w:rsid w:val="00790A14"/>
    <w:rsid w:val="00790D12"/>
    <w:rsid w:val="007910D4"/>
    <w:rsid w:val="00791307"/>
    <w:rsid w:val="007917CF"/>
    <w:rsid w:val="007919AB"/>
    <w:rsid w:val="00791D4B"/>
    <w:rsid w:val="00791E6F"/>
    <w:rsid w:val="007921F6"/>
    <w:rsid w:val="00792764"/>
    <w:rsid w:val="00792AA5"/>
    <w:rsid w:val="00792C80"/>
    <w:rsid w:val="00792F44"/>
    <w:rsid w:val="0079320A"/>
    <w:rsid w:val="007940FE"/>
    <w:rsid w:val="007949A7"/>
    <w:rsid w:val="00795117"/>
    <w:rsid w:val="0079537D"/>
    <w:rsid w:val="00795552"/>
    <w:rsid w:val="00795614"/>
    <w:rsid w:val="0079755B"/>
    <w:rsid w:val="007A024C"/>
    <w:rsid w:val="007A0804"/>
    <w:rsid w:val="007A0FD5"/>
    <w:rsid w:val="007A1E51"/>
    <w:rsid w:val="007A230F"/>
    <w:rsid w:val="007A27CB"/>
    <w:rsid w:val="007A3A37"/>
    <w:rsid w:val="007A3F77"/>
    <w:rsid w:val="007A3FED"/>
    <w:rsid w:val="007A43F2"/>
    <w:rsid w:val="007A46BA"/>
    <w:rsid w:val="007A47B4"/>
    <w:rsid w:val="007A49DA"/>
    <w:rsid w:val="007A52E0"/>
    <w:rsid w:val="007A579C"/>
    <w:rsid w:val="007A6458"/>
    <w:rsid w:val="007A74E2"/>
    <w:rsid w:val="007A7D31"/>
    <w:rsid w:val="007B0305"/>
    <w:rsid w:val="007B0539"/>
    <w:rsid w:val="007B0969"/>
    <w:rsid w:val="007B1032"/>
    <w:rsid w:val="007B1152"/>
    <w:rsid w:val="007B1C54"/>
    <w:rsid w:val="007B21FA"/>
    <w:rsid w:val="007B2B94"/>
    <w:rsid w:val="007B34A8"/>
    <w:rsid w:val="007B3581"/>
    <w:rsid w:val="007B36C4"/>
    <w:rsid w:val="007B3AC5"/>
    <w:rsid w:val="007B4008"/>
    <w:rsid w:val="007B4434"/>
    <w:rsid w:val="007B4A6A"/>
    <w:rsid w:val="007B5CDE"/>
    <w:rsid w:val="007B62EF"/>
    <w:rsid w:val="007B657C"/>
    <w:rsid w:val="007B68C0"/>
    <w:rsid w:val="007B699D"/>
    <w:rsid w:val="007B7290"/>
    <w:rsid w:val="007B72AD"/>
    <w:rsid w:val="007B761E"/>
    <w:rsid w:val="007B7D8F"/>
    <w:rsid w:val="007C007C"/>
    <w:rsid w:val="007C0FF3"/>
    <w:rsid w:val="007C101B"/>
    <w:rsid w:val="007C145B"/>
    <w:rsid w:val="007C1A5C"/>
    <w:rsid w:val="007C1EF6"/>
    <w:rsid w:val="007C236A"/>
    <w:rsid w:val="007C23C8"/>
    <w:rsid w:val="007C2918"/>
    <w:rsid w:val="007C2EBB"/>
    <w:rsid w:val="007C355C"/>
    <w:rsid w:val="007C3ED0"/>
    <w:rsid w:val="007C4170"/>
    <w:rsid w:val="007C498D"/>
    <w:rsid w:val="007C5909"/>
    <w:rsid w:val="007C5B67"/>
    <w:rsid w:val="007C5E69"/>
    <w:rsid w:val="007C601E"/>
    <w:rsid w:val="007C6097"/>
    <w:rsid w:val="007C623F"/>
    <w:rsid w:val="007D01AC"/>
    <w:rsid w:val="007D0283"/>
    <w:rsid w:val="007D06BD"/>
    <w:rsid w:val="007D0B31"/>
    <w:rsid w:val="007D1219"/>
    <w:rsid w:val="007D1D4B"/>
    <w:rsid w:val="007D2B98"/>
    <w:rsid w:val="007D301E"/>
    <w:rsid w:val="007D34B9"/>
    <w:rsid w:val="007D3A65"/>
    <w:rsid w:val="007D3CA0"/>
    <w:rsid w:val="007D3E35"/>
    <w:rsid w:val="007D3FE2"/>
    <w:rsid w:val="007D40DE"/>
    <w:rsid w:val="007D4365"/>
    <w:rsid w:val="007D4878"/>
    <w:rsid w:val="007D4A3E"/>
    <w:rsid w:val="007D51E2"/>
    <w:rsid w:val="007D52F3"/>
    <w:rsid w:val="007D5D2F"/>
    <w:rsid w:val="007D67A5"/>
    <w:rsid w:val="007D6A49"/>
    <w:rsid w:val="007D6D45"/>
    <w:rsid w:val="007D6E35"/>
    <w:rsid w:val="007D6EA9"/>
    <w:rsid w:val="007D72F2"/>
    <w:rsid w:val="007D781A"/>
    <w:rsid w:val="007D7B09"/>
    <w:rsid w:val="007D7B84"/>
    <w:rsid w:val="007E0A57"/>
    <w:rsid w:val="007E0B46"/>
    <w:rsid w:val="007E16CE"/>
    <w:rsid w:val="007E1D4C"/>
    <w:rsid w:val="007E246C"/>
    <w:rsid w:val="007E27D1"/>
    <w:rsid w:val="007E30EA"/>
    <w:rsid w:val="007E365E"/>
    <w:rsid w:val="007E409E"/>
    <w:rsid w:val="007E6C00"/>
    <w:rsid w:val="007E72A4"/>
    <w:rsid w:val="007E79B0"/>
    <w:rsid w:val="007E7B7C"/>
    <w:rsid w:val="007F04ED"/>
    <w:rsid w:val="007F072D"/>
    <w:rsid w:val="007F0856"/>
    <w:rsid w:val="007F17EB"/>
    <w:rsid w:val="007F1901"/>
    <w:rsid w:val="007F1E00"/>
    <w:rsid w:val="007F311B"/>
    <w:rsid w:val="007F3929"/>
    <w:rsid w:val="007F4185"/>
    <w:rsid w:val="007F42BD"/>
    <w:rsid w:val="007F462C"/>
    <w:rsid w:val="007F4CF9"/>
    <w:rsid w:val="007F57DD"/>
    <w:rsid w:val="007F5A22"/>
    <w:rsid w:val="007F5EF6"/>
    <w:rsid w:val="007F65AB"/>
    <w:rsid w:val="007F7767"/>
    <w:rsid w:val="007F7B14"/>
    <w:rsid w:val="00800D61"/>
    <w:rsid w:val="008012AD"/>
    <w:rsid w:val="00801BFC"/>
    <w:rsid w:val="00802166"/>
    <w:rsid w:val="0080249A"/>
    <w:rsid w:val="00802536"/>
    <w:rsid w:val="00802656"/>
    <w:rsid w:val="00802DD5"/>
    <w:rsid w:val="0080398F"/>
    <w:rsid w:val="00803A4D"/>
    <w:rsid w:val="00803B82"/>
    <w:rsid w:val="00803EFB"/>
    <w:rsid w:val="0080479C"/>
    <w:rsid w:val="0080495A"/>
    <w:rsid w:val="00804A51"/>
    <w:rsid w:val="00805992"/>
    <w:rsid w:val="00805AB5"/>
    <w:rsid w:val="00805C24"/>
    <w:rsid w:val="008067F2"/>
    <w:rsid w:val="00806BD1"/>
    <w:rsid w:val="00806F3D"/>
    <w:rsid w:val="008071FF"/>
    <w:rsid w:val="00807501"/>
    <w:rsid w:val="008077E7"/>
    <w:rsid w:val="00807F65"/>
    <w:rsid w:val="00810A76"/>
    <w:rsid w:val="00811136"/>
    <w:rsid w:val="008111CF"/>
    <w:rsid w:val="00811267"/>
    <w:rsid w:val="00811711"/>
    <w:rsid w:val="0081174F"/>
    <w:rsid w:val="008119AC"/>
    <w:rsid w:val="00812461"/>
    <w:rsid w:val="00812988"/>
    <w:rsid w:val="0081350F"/>
    <w:rsid w:val="00813E11"/>
    <w:rsid w:val="00813EF5"/>
    <w:rsid w:val="008144F0"/>
    <w:rsid w:val="00814620"/>
    <w:rsid w:val="008147BE"/>
    <w:rsid w:val="00814F9F"/>
    <w:rsid w:val="008159D1"/>
    <w:rsid w:val="00815AC8"/>
    <w:rsid w:val="00815FA4"/>
    <w:rsid w:val="008161B6"/>
    <w:rsid w:val="00817797"/>
    <w:rsid w:val="008179C1"/>
    <w:rsid w:val="00821695"/>
    <w:rsid w:val="008216C6"/>
    <w:rsid w:val="0082202D"/>
    <w:rsid w:val="00822176"/>
    <w:rsid w:val="00822CD6"/>
    <w:rsid w:val="00823881"/>
    <w:rsid w:val="00823E92"/>
    <w:rsid w:val="00824D31"/>
    <w:rsid w:val="008252AB"/>
    <w:rsid w:val="00825798"/>
    <w:rsid w:val="00825A04"/>
    <w:rsid w:val="00825FA5"/>
    <w:rsid w:val="00826E6F"/>
    <w:rsid w:val="008273B4"/>
    <w:rsid w:val="00827537"/>
    <w:rsid w:val="00830AC3"/>
    <w:rsid w:val="00831056"/>
    <w:rsid w:val="0083191F"/>
    <w:rsid w:val="00831D64"/>
    <w:rsid w:val="00831F6A"/>
    <w:rsid w:val="00831F98"/>
    <w:rsid w:val="00832B8D"/>
    <w:rsid w:val="008333CC"/>
    <w:rsid w:val="00834036"/>
    <w:rsid w:val="008344AB"/>
    <w:rsid w:val="00834617"/>
    <w:rsid w:val="00834891"/>
    <w:rsid w:val="00834EAF"/>
    <w:rsid w:val="008350CF"/>
    <w:rsid w:val="008351C9"/>
    <w:rsid w:val="00835AA0"/>
    <w:rsid w:val="008365F2"/>
    <w:rsid w:val="00837267"/>
    <w:rsid w:val="00837747"/>
    <w:rsid w:val="00837D7B"/>
    <w:rsid w:val="0084049E"/>
    <w:rsid w:val="00840593"/>
    <w:rsid w:val="008406E5"/>
    <w:rsid w:val="00840EFA"/>
    <w:rsid w:val="00840F80"/>
    <w:rsid w:val="008413E6"/>
    <w:rsid w:val="0084173C"/>
    <w:rsid w:val="0084292A"/>
    <w:rsid w:val="00842B5E"/>
    <w:rsid w:val="00842FCF"/>
    <w:rsid w:val="008433CE"/>
    <w:rsid w:val="0084360D"/>
    <w:rsid w:val="00843700"/>
    <w:rsid w:val="00843AE0"/>
    <w:rsid w:val="00844039"/>
    <w:rsid w:val="0084446C"/>
    <w:rsid w:val="008445AD"/>
    <w:rsid w:val="0084512A"/>
    <w:rsid w:val="00845217"/>
    <w:rsid w:val="00845960"/>
    <w:rsid w:val="00845AEA"/>
    <w:rsid w:val="00845BE3"/>
    <w:rsid w:val="00845E34"/>
    <w:rsid w:val="0084664A"/>
    <w:rsid w:val="00846B05"/>
    <w:rsid w:val="00846B07"/>
    <w:rsid w:val="008479B5"/>
    <w:rsid w:val="00847F15"/>
    <w:rsid w:val="0085036F"/>
    <w:rsid w:val="008528BC"/>
    <w:rsid w:val="00852CE5"/>
    <w:rsid w:val="00853303"/>
    <w:rsid w:val="008537F6"/>
    <w:rsid w:val="00853F02"/>
    <w:rsid w:val="00854E2D"/>
    <w:rsid w:val="008551CD"/>
    <w:rsid w:val="00855317"/>
    <w:rsid w:val="00855336"/>
    <w:rsid w:val="00855BE5"/>
    <w:rsid w:val="00856CBB"/>
    <w:rsid w:val="0085722B"/>
    <w:rsid w:val="0085760F"/>
    <w:rsid w:val="00857917"/>
    <w:rsid w:val="0086024E"/>
    <w:rsid w:val="0086130A"/>
    <w:rsid w:val="00862159"/>
    <w:rsid w:val="008624CF"/>
    <w:rsid w:val="0086296F"/>
    <w:rsid w:val="00862C26"/>
    <w:rsid w:val="00862D0F"/>
    <w:rsid w:val="00862E24"/>
    <w:rsid w:val="00863ABA"/>
    <w:rsid w:val="0086493A"/>
    <w:rsid w:val="00864B28"/>
    <w:rsid w:val="00864CA1"/>
    <w:rsid w:val="00865970"/>
    <w:rsid w:val="00865A5C"/>
    <w:rsid w:val="00865CCC"/>
    <w:rsid w:val="00870397"/>
    <w:rsid w:val="00870762"/>
    <w:rsid w:val="0087099E"/>
    <w:rsid w:val="00870B7C"/>
    <w:rsid w:val="008717D3"/>
    <w:rsid w:val="0087269C"/>
    <w:rsid w:val="00872995"/>
    <w:rsid w:val="008729DE"/>
    <w:rsid w:val="00873D55"/>
    <w:rsid w:val="0087437B"/>
    <w:rsid w:val="00874761"/>
    <w:rsid w:val="00875186"/>
    <w:rsid w:val="00876300"/>
    <w:rsid w:val="00876EA9"/>
    <w:rsid w:val="008772EF"/>
    <w:rsid w:val="00877686"/>
    <w:rsid w:val="008801E8"/>
    <w:rsid w:val="00881475"/>
    <w:rsid w:val="00881950"/>
    <w:rsid w:val="0088203B"/>
    <w:rsid w:val="00882E67"/>
    <w:rsid w:val="00883A21"/>
    <w:rsid w:val="00883F07"/>
    <w:rsid w:val="00883FB1"/>
    <w:rsid w:val="0088405B"/>
    <w:rsid w:val="0088438F"/>
    <w:rsid w:val="008845C6"/>
    <w:rsid w:val="00884AB6"/>
    <w:rsid w:val="008852D3"/>
    <w:rsid w:val="008859D8"/>
    <w:rsid w:val="00885FCD"/>
    <w:rsid w:val="008866CD"/>
    <w:rsid w:val="008868CF"/>
    <w:rsid w:val="0088700F"/>
    <w:rsid w:val="0088701B"/>
    <w:rsid w:val="0088702A"/>
    <w:rsid w:val="00887088"/>
    <w:rsid w:val="0088739D"/>
    <w:rsid w:val="00891420"/>
    <w:rsid w:val="00891B1E"/>
    <w:rsid w:val="008929F4"/>
    <w:rsid w:val="008929FD"/>
    <w:rsid w:val="008937F1"/>
    <w:rsid w:val="00893AE6"/>
    <w:rsid w:val="0089425A"/>
    <w:rsid w:val="0089483E"/>
    <w:rsid w:val="008949B9"/>
    <w:rsid w:val="00894D3C"/>
    <w:rsid w:val="00895091"/>
    <w:rsid w:val="00895166"/>
    <w:rsid w:val="00895DCD"/>
    <w:rsid w:val="00897215"/>
    <w:rsid w:val="008972B2"/>
    <w:rsid w:val="008973BA"/>
    <w:rsid w:val="00897633"/>
    <w:rsid w:val="00897E1F"/>
    <w:rsid w:val="008A0BD6"/>
    <w:rsid w:val="008A11DB"/>
    <w:rsid w:val="008A222D"/>
    <w:rsid w:val="008A246B"/>
    <w:rsid w:val="008A2C57"/>
    <w:rsid w:val="008A2DF2"/>
    <w:rsid w:val="008A2DF4"/>
    <w:rsid w:val="008A3D74"/>
    <w:rsid w:val="008A45B2"/>
    <w:rsid w:val="008A57D5"/>
    <w:rsid w:val="008A59F5"/>
    <w:rsid w:val="008A6077"/>
    <w:rsid w:val="008A67F3"/>
    <w:rsid w:val="008A688E"/>
    <w:rsid w:val="008A6DD6"/>
    <w:rsid w:val="008A7275"/>
    <w:rsid w:val="008ABF09"/>
    <w:rsid w:val="008B13C5"/>
    <w:rsid w:val="008B17FA"/>
    <w:rsid w:val="008B1A06"/>
    <w:rsid w:val="008B1E35"/>
    <w:rsid w:val="008B2A66"/>
    <w:rsid w:val="008B3496"/>
    <w:rsid w:val="008B4178"/>
    <w:rsid w:val="008B41F5"/>
    <w:rsid w:val="008B499A"/>
    <w:rsid w:val="008B4AB7"/>
    <w:rsid w:val="008B55C2"/>
    <w:rsid w:val="008B5C88"/>
    <w:rsid w:val="008B5CCE"/>
    <w:rsid w:val="008B5D1D"/>
    <w:rsid w:val="008B5E54"/>
    <w:rsid w:val="008B6D16"/>
    <w:rsid w:val="008B6D41"/>
    <w:rsid w:val="008B705E"/>
    <w:rsid w:val="008C01C5"/>
    <w:rsid w:val="008C0630"/>
    <w:rsid w:val="008C0E9F"/>
    <w:rsid w:val="008C1709"/>
    <w:rsid w:val="008C3B7D"/>
    <w:rsid w:val="008C44DD"/>
    <w:rsid w:val="008C5FE6"/>
    <w:rsid w:val="008C64B3"/>
    <w:rsid w:val="008C6800"/>
    <w:rsid w:val="008C6A47"/>
    <w:rsid w:val="008C73DC"/>
    <w:rsid w:val="008C7B29"/>
    <w:rsid w:val="008C7EBF"/>
    <w:rsid w:val="008C7F24"/>
    <w:rsid w:val="008D023B"/>
    <w:rsid w:val="008D0B57"/>
    <w:rsid w:val="008D11BB"/>
    <w:rsid w:val="008D1431"/>
    <w:rsid w:val="008D146E"/>
    <w:rsid w:val="008D2001"/>
    <w:rsid w:val="008D2339"/>
    <w:rsid w:val="008D2FB2"/>
    <w:rsid w:val="008D3808"/>
    <w:rsid w:val="008D4129"/>
    <w:rsid w:val="008D487F"/>
    <w:rsid w:val="008D508A"/>
    <w:rsid w:val="008D59B2"/>
    <w:rsid w:val="008D6937"/>
    <w:rsid w:val="008D69AC"/>
    <w:rsid w:val="008D7456"/>
    <w:rsid w:val="008D762B"/>
    <w:rsid w:val="008D7891"/>
    <w:rsid w:val="008D7A47"/>
    <w:rsid w:val="008DA858"/>
    <w:rsid w:val="008E17B0"/>
    <w:rsid w:val="008E1D04"/>
    <w:rsid w:val="008E2AC0"/>
    <w:rsid w:val="008E2E4B"/>
    <w:rsid w:val="008E3087"/>
    <w:rsid w:val="008E4FF7"/>
    <w:rsid w:val="008E5ADF"/>
    <w:rsid w:val="008E6040"/>
    <w:rsid w:val="008E61F4"/>
    <w:rsid w:val="008E6DCB"/>
    <w:rsid w:val="008E7D50"/>
    <w:rsid w:val="008F0D3D"/>
    <w:rsid w:val="008F16CA"/>
    <w:rsid w:val="008F18DC"/>
    <w:rsid w:val="008F2249"/>
    <w:rsid w:val="008F2DA9"/>
    <w:rsid w:val="008F411B"/>
    <w:rsid w:val="008F4660"/>
    <w:rsid w:val="008F4732"/>
    <w:rsid w:val="008F5697"/>
    <w:rsid w:val="008F5C55"/>
    <w:rsid w:val="008F6707"/>
    <w:rsid w:val="008F6C4B"/>
    <w:rsid w:val="008F706C"/>
    <w:rsid w:val="008F7311"/>
    <w:rsid w:val="009006B6"/>
    <w:rsid w:val="00900BD8"/>
    <w:rsid w:val="009017E7"/>
    <w:rsid w:val="00901A0B"/>
    <w:rsid w:val="00902172"/>
    <w:rsid w:val="00902538"/>
    <w:rsid w:val="00903434"/>
    <w:rsid w:val="009034B3"/>
    <w:rsid w:val="00903CC0"/>
    <w:rsid w:val="00904553"/>
    <w:rsid w:val="00904A4B"/>
    <w:rsid w:val="00904C71"/>
    <w:rsid w:val="00904D1B"/>
    <w:rsid w:val="00905112"/>
    <w:rsid w:val="0090591E"/>
    <w:rsid w:val="00905C2E"/>
    <w:rsid w:val="00905CC7"/>
    <w:rsid w:val="00906659"/>
    <w:rsid w:val="00906A7A"/>
    <w:rsid w:val="00906A9D"/>
    <w:rsid w:val="00906BCB"/>
    <w:rsid w:val="00907693"/>
    <w:rsid w:val="0090781B"/>
    <w:rsid w:val="00910082"/>
    <w:rsid w:val="009108A2"/>
    <w:rsid w:val="0091099A"/>
    <w:rsid w:val="00911AFB"/>
    <w:rsid w:val="00912CEB"/>
    <w:rsid w:val="00913418"/>
    <w:rsid w:val="00913BF0"/>
    <w:rsid w:val="00914217"/>
    <w:rsid w:val="00914C8B"/>
    <w:rsid w:val="009153EF"/>
    <w:rsid w:val="00916403"/>
    <w:rsid w:val="00916621"/>
    <w:rsid w:val="00916CBD"/>
    <w:rsid w:val="00917553"/>
    <w:rsid w:val="009178F4"/>
    <w:rsid w:val="009179DA"/>
    <w:rsid w:val="00920178"/>
    <w:rsid w:val="00920598"/>
    <w:rsid w:val="00920BC7"/>
    <w:rsid w:val="00920C33"/>
    <w:rsid w:val="009211E9"/>
    <w:rsid w:val="009214D8"/>
    <w:rsid w:val="00921921"/>
    <w:rsid w:val="00921CE7"/>
    <w:rsid w:val="00921EBD"/>
    <w:rsid w:val="00922D9A"/>
    <w:rsid w:val="0092353E"/>
    <w:rsid w:val="00924693"/>
    <w:rsid w:val="00924C25"/>
    <w:rsid w:val="00924E1E"/>
    <w:rsid w:val="00924FE9"/>
    <w:rsid w:val="009255C7"/>
    <w:rsid w:val="00925C65"/>
    <w:rsid w:val="009265E4"/>
    <w:rsid w:val="009265F1"/>
    <w:rsid w:val="00926BF7"/>
    <w:rsid w:val="00927B41"/>
    <w:rsid w:val="00930861"/>
    <w:rsid w:val="00930D5A"/>
    <w:rsid w:val="00931EB6"/>
    <w:rsid w:val="009322CA"/>
    <w:rsid w:val="00932750"/>
    <w:rsid w:val="009328BA"/>
    <w:rsid w:val="0093354A"/>
    <w:rsid w:val="00933AF0"/>
    <w:rsid w:val="00934BA8"/>
    <w:rsid w:val="00934BB0"/>
    <w:rsid w:val="00935197"/>
    <w:rsid w:val="0093558D"/>
    <w:rsid w:val="00935C78"/>
    <w:rsid w:val="0093667F"/>
    <w:rsid w:val="00936787"/>
    <w:rsid w:val="0093679C"/>
    <w:rsid w:val="00936A72"/>
    <w:rsid w:val="0093776D"/>
    <w:rsid w:val="00937AAB"/>
    <w:rsid w:val="009400C4"/>
    <w:rsid w:val="00940E0F"/>
    <w:rsid w:val="00940FE9"/>
    <w:rsid w:val="0094116A"/>
    <w:rsid w:val="00942910"/>
    <w:rsid w:val="00943F97"/>
    <w:rsid w:val="0094423F"/>
    <w:rsid w:val="00947008"/>
    <w:rsid w:val="0094761D"/>
    <w:rsid w:val="009476C9"/>
    <w:rsid w:val="00947B44"/>
    <w:rsid w:val="00947E54"/>
    <w:rsid w:val="00950017"/>
    <w:rsid w:val="00950283"/>
    <w:rsid w:val="009502C3"/>
    <w:rsid w:val="00950B7F"/>
    <w:rsid w:val="0095103D"/>
    <w:rsid w:val="00951576"/>
    <w:rsid w:val="00951D0B"/>
    <w:rsid w:val="00951ECB"/>
    <w:rsid w:val="00952A9D"/>
    <w:rsid w:val="00953214"/>
    <w:rsid w:val="00953EEC"/>
    <w:rsid w:val="00954118"/>
    <w:rsid w:val="009546AB"/>
    <w:rsid w:val="00954A3E"/>
    <w:rsid w:val="00954A40"/>
    <w:rsid w:val="00954DBB"/>
    <w:rsid w:val="0095518E"/>
    <w:rsid w:val="009560B3"/>
    <w:rsid w:val="00956491"/>
    <w:rsid w:val="0095663D"/>
    <w:rsid w:val="00956BF8"/>
    <w:rsid w:val="00956C83"/>
    <w:rsid w:val="009573B3"/>
    <w:rsid w:val="009578ED"/>
    <w:rsid w:val="009607F7"/>
    <w:rsid w:val="00961691"/>
    <w:rsid w:val="00961BF9"/>
    <w:rsid w:val="00962986"/>
    <w:rsid w:val="009629C0"/>
    <w:rsid w:val="00962F7A"/>
    <w:rsid w:val="00963000"/>
    <w:rsid w:val="00964172"/>
    <w:rsid w:val="009643B0"/>
    <w:rsid w:val="00967776"/>
    <w:rsid w:val="0096778B"/>
    <w:rsid w:val="00967D7D"/>
    <w:rsid w:val="0097009E"/>
    <w:rsid w:val="00970492"/>
    <w:rsid w:val="00970512"/>
    <w:rsid w:val="00970A51"/>
    <w:rsid w:val="009711EC"/>
    <w:rsid w:val="00971D5A"/>
    <w:rsid w:val="00972A91"/>
    <w:rsid w:val="00972C89"/>
    <w:rsid w:val="009730EF"/>
    <w:rsid w:val="00973DE7"/>
    <w:rsid w:val="009743D4"/>
    <w:rsid w:val="0097453B"/>
    <w:rsid w:val="009749F4"/>
    <w:rsid w:val="00974F89"/>
    <w:rsid w:val="00975156"/>
    <w:rsid w:val="00975D2D"/>
    <w:rsid w:val="00977094"/>
    <w:rsid w:val="009772CF"/>
    <w:rsid w:val="00977D57"/>
    <w:rsid w:val="00980225"/>
    <w:rsid w:val="009809B9"/>
    <w:rsid w:val="00980B5D"/>
    <w:rsid w:val="00980E3E"/>
    <w:rsid w:val="0098130F"/>
    <w:rsid w:val="009813DF"/>
    <w:rsid w:val="009814EE"/>
    <w:rsid w:val="00981CCF"/>
    <w:rsid w:val="009827A4"/>
    <w:rsid w:val="00982AF7"/>
    <w:rsid w:val="00983438"/>
    <w:rsid w:val="00983940"/>
    <w:rsid w:val="00984718"/>
    <w:rsid w:val="00984BC9"/>
    <w:rsid w:val="00984DD1"/>
    <w:rsid w:val="0098517C"/>
    <w:rsid w:val="009867BF"/>
    <w:rsid w:val="009867D3"/>
    <w:rsid w:val="009868AC"/>
    <w:rsid w:val="009868DE"/>
    <w:rsid w:val="00986A67"/>
    <w:rsid w:val="00986F78"/>
    <w:rsid w:val="0098751D"/>
    <w:rsid w:val="00987A26"/>
    <w:rsid w:val="00990263"/>
    <w:rsid w:val="00990344"/>
    <w:rsid w:val="0099059B"/>
    <w:rsid w:val="00990876"/>
    <w:rsid w:val="00991CD0"/>
    <w:rsid w:val="00991E85"/>
    <w:rsid w:val="009921CA"/>
    <w:rsid w:val="00992298"/>
    <w:rsid w:val="009924C1"/>
    <w:rsid w:val="0099258C"/>
    <w:rsid w:val="00992740"/>
    <w:rsid w:val="009928A7"/>
    <w:rsid w:val="00992E3C"/>
    <w:rsid w:val="00992E4A"/>
    <w:rsid w:val="00993447"/>
    <w:rsid w:val="00993B5D"/>
    <w:rsid w:val="00993C62"/>
    <w:rsid w:val="009948F6"/>
    <w:rsid w:val="00994A75"/>
    <w:rsid w:val="00994E08"/>
    <w:rsid w:val="0099508E"/>
    <w:rsid w:val="0099542E"/>
    <w:rsid w:val="00995B84"/>
    <w:rsid w:val="00996478"/>
    <w:rsid w:val="0099668D"/>
    <w:rsid w:val="009966EF"/>
    <w:rsid w:val="00996A34"/>
    <w:rsid w:val="00997BEC"/>
    <w:rsid w:val="00997C3D"/>
    <w:rsid w:val="00997E5A"/>
    <w:rsid w:val="009A0D20"/>
    <w:rsid w:val="009A179C"/>
    <w:rsid w:val="009A1BE3"/>
    <w:rsid w:val="009A3612"/>
    <w:rsid w:val="009A3753"/>
    <w:rsid w:val="009A4599"/>
    <w:rsid w:val="009A47BA"/>
    <w:rsid w:val="009A4B80"/>
    <w:rsid w:val="009A6CB2"/>
    <w:rsid w:val="009A747D"/>
    <w:rsid w:val="009A7A45"/>
    <w:rsid w:val="009A7D5F"/>
    <w:rsid w:val="009B0380"/>
    <w:rsid w:val="009B0719"/>
    <w:rsid w:val="009B0746"/>
    <w:rsid w:val="009B0811"/>
    <w:rsid w:val="009B0861"/>
    <w:rsid w:val="009B0A56"/>
    <w:rsid w:val="009B0E92"/>
    <w:rsid w:val="009B1DBC"/>
    <w:rsid w:val="009B2458"/>
    <w:rsid w:val="009B33AC"/>
    <w:rsid w:val="009B3430"/>
    <w:rsid w:val="009B3437"/>
    <w:rsid w:val="009B4039"/>
    <w:rsid w:val="009B441B"/>
    <w:rsid w:val="009B4CA8"/>
    <w:rsid w:val="009B4D73"/>
    <w:rsid w:val="009B4E8F"/>
    <w:rsid w:val="009B5403"/>
    <w:rsid w:val="009B5917"/>
    <w:rsid w:val="009B61FC"/>
    <w:rsid w:val="009B78B7"/>
    <w:rsid w:val="009C0AB8"/>
    <w:rsid w:val="009C0CD5"/>
    <w:rsid w:val="009C113E"/>
    <w:rsid w:val="009C2211"/>
    <w:rsid w:val="009C258E"/>
    <w:rsid w:val="009C3931"/>
    <w:rsid w:val="009C5417"/>
    <w:rsid w:val="009C55E4"/>
    <w:rsid w:val="009C59E2"/>
    <w:rsid w:val="009C5D71"/>
    <w:rsid w:val="009C5E24"/>
    <w:rsid w:val="009C5FC7"/>
    <w:rsid w:val="009C608A"/>
    <w:rsid w:val="009C6452"/>
    <w:rsid w:val="009C653B"/>
    <w:rsid w:val="009C6ACC"/>
    <w:rsid w:val="009C7389"/>
    <w:rsid w:val="009D074E"/>
    <w:rsid w:val="009D074F"/>
    <w:rsid w:val="009D0A89"/>
    <w:rsid w:val="009D0C52"/>
    <w:rsid w:val="009D1134"/>
    <w:rsid w:val="009D18F0"/>
    <w:rsid w:val="009D1D48"/>
    <w:rsid w:val="009D22B9"/>
    <w:rsid w:val="009D2410"/>
    <w:rsid w:val="009D2568"/>
    <w:rsid w:val="009D258D"/>
    <w:rsid w:val="009D311C"/>
    <w:rsid w:val="009D38AF"/>
    <w:rsid w:val="009D3C00"/>
    <w:rsid w:val="009D433A"/>
    <w:rsid w:val="009D4868"/>
    <w:rsid w:val="009D581B"/>
    <w:rsid w:val="009D5C92"/>
    <w:rsid w:val="009D5F6C"/>
    <w:rsid w:val="009D62C1"/>
    <w:rsid w:val="009D674E"/>
    <w:rsid w:val="009D6A40"/>
    <w:rsid w:val="009E0659"/>
    <w:rsid w:val="009E0A1A"/>
    <w:rsid w:val="009E0C74"/>
    <w:rsid w:val="009E13FA"/>
    <w:rsid w:val="009E1692"/>
    <w:rsid w:val="009E223F"/>
    <w:rsid w:val="009E2C10"/>
    <w:rsid w:val="009E333C"/>
    <w:rsid w:val="009E42E6"/>
    <w:rsid w:val="009E4364"/>
    <w:rsid w:val="009E4DF3"/>
    <w:rsid w:val="009E5C47"/>
    <w:rsid w:val="009E5F4D"/>
    <w:rsid w:val="009E6234"/>
    <w:rsid w:val="009E6AD8"/>
    <w:rsid w:val="009E6B6E"/>
    <w:rsid w:val="009F0D6B"/>
    <w:rsid w:val="009F168B"/>
    <w:rsid w:val="009F18C4"/>
    <w:rsid w:val="009F1E4E"/>
    <w:rsid w:val="009F23C4"/>
    <w:rsid w:val="009F28D8"/>
    <w:rsid w:val="009F2EEF"/>
    <w:rsid w:val="009F3E16"/>
    <w:rsid w:val="009F3F5C"/>
    <w:rsid w:val="009F47A2"/>
    <w:rsid w:val="009F484A"/>
    <w:rsid w:val="009F4B6B"/>
    <w:rsid w:val="009F5936"/>
    <w:rsid w:val="009F6727"/>
    <w:rsid w:val="009F67B3"/>
    <w:rsid w:val="009F68E4"/>
    <w:rsid w:val="009F6AB9"/>
    <w:rsid w:val="009F6AEE"/>
    <w:rsid w:val="009F6AF2"/>
    <w:rsid w:val="009F6C5C"/>
    <w:rsid w:val="009F7BBC"/>
    <w:rsid w:val="009F7EA8"/>
    <w:rsid w:val="00A00CF7"/>
    <w:rsid w:val="00A00D64"/>
    <w:rsid w:val="00A00FB1"/>
    <w:rsid w:val="00A016CC"/>
    <w:rsid w:val="00A018F8"/>
    <w:rsid w:val="00A01A54"/>
    <w:rsid w:val="00A02D13"/>
    <w:rsid w:val="00A02D2E"/>
    <w:rsid w:val="00A03132"/>
    <w:rsid w:val="00A036B8"/>
    <w:rsid w:val="00A0385C"/>
    <w:rsid w:val="00A03A70"/>
    <w:rsid w:val="00A042F3"/>
    <w:rsid w:val="00A04A84"/>
    <w:rsid w:val="00A04E36"/>
    <w:rsid w:val="00A0522B"/>
    <w:rsid w:val="00A0541A"/>
    <w:rsid w:val="00A06282"/>
    <w:rsid w:val="00A065AB"/>
    <w:rsid w:val="00A06A8F"/>
    <w:rsid w:val="00A06D08"/>
    <w:rsid w:val="00A06E41"/>
    <w:rsid w:val="00A0722F"/>
    <w:rsid w:val="00A07465"/>
    <w:rsid w:val="00A077FB"/>
    <w:rsid w:val="00A07C1B"/>
    <w:rsid w:val="00A07D4C"/>
    <w:rsid w:val="00A07E7A"/>
    <w:rsid w:val="00A103A6"/>
    <w:rsid w:val="00A107D2"/>
    <w:rsid w:val="00A107EB"/>
    <w:rsid w:val="00A11BEF"/>
    <w:rsid w:val="00A11EE9"/>
    <w:rsid w:val="00A1220D"/>
    <w:rsid w:val="00A12A37"/>
    <w:rsid w:val="00A12AA7"/>
    <w:rsid w:val="00A12C3D"/>
    <w:rsid w:val="00A1374F"/>
    <w:rsid w:val="00A13CF7"/>
    <w:rsid w:val="00A13FB8"/>
    <w:rsid w:val="00A1423A"/>
    <w:rsid w:val="00A14941"/>
    <w:rsid w:val="00A14D53"/>
    <w:rsid w:val="00A15D12"/>
    <w:rsid w:val="00A15DAF"/>
    <w:rsid w:val="00A160D6"/>
    <w:rsid w:val="00A1618E"/>
    <w:rsid w:val="00A166C4"/>
    <w:rsid w:val="00A16EBE"/>
    <w:rsid w:val="00A17119"/>
    <w:rsid w:val="00A1719B"/>
    <w:rsid w:val="00A17F4D"/>
    <w:rsid w:val="00A21DC6"/>
    <w:rsid w:val="00A22846"/>
    <w:rsid w:val="00A22A1D"/>
    <w:rsid w:val="00A234C3"/>
    <w:rsid w:val="00A23843"/>
    <w:rsid w:val="00A2640D"/>
    <w:rsid w:val="00A26625"/>
    <w:rsid w:val="00A26715"/>
    <w:rsid w:val="00A27CCC"/>
    <w:rsid w:val="00A30B98"/>
    <w:rsid w:val="00A30D18"/>
    <w:rsid w:val="00A331C9"/>
    <w:rsid w:val="00A338DE"/>
    <w:rsid w:val="00A33EAE"/>
    <w:rsid w:val="00A34162"/>
    <w:rsid w:val="00A342D3"/>
    <w:rsid w:val="00A34FDA"/>
    <w:rsid w:val="00A35160"/>
    <w:rsid w:val="00A36738"/>
    <w:rsid w:val="00A37313"/>
    <w:rsid w:val="00A374DA"/>
    <w:rsid w:val="00A3778A"/>
    <w:rsid w:val="00A37F14"/>
    <w:rsid w:val="00A4031B"/>
    <w:rsid w:val="00A40865"/>
    <w:rsid w:val="00A409B5"/>
    <w:rsid w:val="00A41852"/>
    <w:rsid w:val="00A41DBE"/>
    <w:rsid w:val="00A41FD4"/>
    <w:rsid w:val="00A425BF"/>
    <w:rsid w:val="00A430AF"/>
    <w:rsid w:val="00A4322A"/>
    <w:rsid w:val="00A445AB"/>
    <w:rsid w:val="00A44C5D"/>
    <w:rsid w:val="00A44E14"/>
    <w:rsid w:val="00A44FCC"/>
    <w:rsid w:val="00A451B9"/>
    <w:rsid w:val="00A46818"/>
    <w:rsid w:val="00A46CAF"/>
    <w:rsid w:val="00A47045"/>
    <w:rsid w:val="00A47368"/>
    <w:rsid w:val="00A50955"/>
    <w:rsid w:val="00A51479"/>
    <w:rsid w:val="00A52872"/>
    <w:rsid w:val="00A52AE8"/>
    <w:rsid w:val="00A53A50"/>
    <w:rsid w:val="00A53CAC"/>
    <w:rsid w:val="00A5428F"/>
    <w:rsid w:val="00A5460B"/>
    <w:rsid w:val="00A55200"/>
    <w:rsid w:val="00A56059"/>
    <w:rsid w:val="00A561E2"/>
    <w:rsid w:val="00A563FC"/>
    <w:rsid w:val="00A56549"/>
    <w:rsid w:val="00A565DB"/>
    <w:rsid w:val="00A56A57"/>
    <w:rsid w:val="00A56E9D"/>
    <w:rsid w:val="00A5753C"/>
    <w:rsid w:val="00A603FE"/>
    <w:rsid w:val="00A60723"/>
    <w:rsid w:val="00A60BED"/>
    <w:rsid w:val="00A60DCB"/>
    <w:rsid w:val="00A613CC"/>
    <w:rsid w:val="00A617ED"/>
    <w:rsid w:val="00A61C50"/>
    <w:rsid w:val="00A61CBB"/>
    <w:rsid w:val="00A61D1B"/>
    <w:rsid w:val="00A61EED"/>
    <w:rsid w:val="00A628F0"/>
    <w:rsid w:val="00A62C7D"/>
    <w:rsid w:val="00A62C8E"/>
    <w:rsid w:val="00A62CE2"/>
    <w:rsid w:val="00A6346B"/>
    <w:rsid w:val="00A63E1E"/>
    <w:rsid w:val="00A63EED"/>
    <w:rsid w:val="00A64467"/>
    <w:rsid w:val="00A6456D"/>
    <w:rsid w:val="00A645F6"/>
    <w:rsid w:val="00A65714"/>
    <w:rsid w:val="00A65C51"/>
    <w:rsid w:val="00A65EA7"/>
    <w:rsid w:val="00A65EF8"/>
    <w:rsid w:val="00A65F8D"/>
    <w:rsid w:val="00A6617B"/>
    <w:rsid w:val="00A66338"/>
    <w:rsid w:val="00A71361"/>
    <w:rsid w:val="00A7147B"/>
    <w:rsid w:val="00A719D5"/>
    <w:rsid w:val="00A71D53"/>
    <w:rsid w:val="00A72340"/>
    <w:rsid w:val="00A72EB9"/>
    <w:rsid w:val="00A73365"/>
    <w:rsid w:val="00A73588"/>
    <w:rsid w:val="00A73B7E"/>
    <w:rsid w:val="00A73B81"/>
    <w:rsid w:val="00A7423B"/>
    <w:rsid w:val="00A74E41"/>
    <w:rsid w:val="00A755F6"/>
    <w:rsid w:val="00A762B2"/>
    <w:rsid w:val="00A773A9"/>
    <w:rsid w:val="00A77618"/>
    <w:rsid w:val="00A777CC"/>
    <w:rsid w:val="00A779A8"/>
    <w:rsid w:val="00A80842"/>
    <w:rsid w:val="00A80D44"/>
    <w:rsid w:val="00A810DF"/>
    <w:rsid w:val="00A81648"/>
    <w:rsid w:val="00A8295F"/>
    <w:rsid w:val="00A82BD0"/>
    <w:rsid w:val="00A82E29"/>
    <w:rsid w:val="00A82FF6"/>
    <w:rsid w:val="00A83342"/>
    <w:rsid w:val="00A834D6"/>
    <w:rsid w:val="00A84127"/>
    <w:rsid w:val="00A84D16"/>
    <w:rsid w:val="00A84D54"/>
    <w:rsid w:val="00A85158"/>
    <w:rsid w:val="00A85E04"/>
    <w:rsid w:val="00A8620F"/>
    <w:rsid w:val="00A87231"/>
    <w:rsid w:val="00A87312"/>
    <w:rsid w:val="00A8758D"/>
    <w:rsid w:val="00A876BE"/>
    <w:rsid w:val="00A87FC4"/>
    <w:rsid w:val="00A90936"/>
    <w:rsid w:val="00A90B1B"/>
    <w:rsid w:val="00A91912"/>
    <w:rsid w:val="00A91C74"/>
    <w:rsid w:val="00A920BB"/>
    <w:rsid w:val="00A93045"/>
    <w:rsid w:val="00A9346C"/>
    <w:rsid w:val="00A93B2F"/>
    <w:rsid w:val="00A93CFE"/>
    <w:rsid w:val="00A94007"/>
    <w:rsid w:val="00A9493F"/>
    <w:rsid w:val="00A94DA8"/>
    <w:rsid w:val="00A95056"/>
    <w:rsid w:val="00A95095"/>
    <w:rsid w:val="00A966E1"/>
    <w:rsid w:val="00A969FF"/>
    <w:rsid w:val="00A96F4D"/>
    <w:rsid w:val="00A9768E"/>
    <w:rsid w:val="00A976DB"/>
    <w:rsid w:val="00AA02E3"/>
    <w:rsid w:val="00AA0573"/>
    <w:rsid w:val="00AA1727"/>
    <w:rsid w:val="00AA1BAA"/>
    <w:rsid w:val="00AA1E49"/>
    <w:rsid w:val="00AA1FD3"/>
    <w:rsid w:val="00AA2A6E"/>
    <w:rsid w:val="00AA3286"/>
    <w:rsid w:val="00AA35A5"/>
    <w:rsid w:val="00AA3982"/>
    <w:rsid w:val="00AA3CB4"/>
    <w:rsid w:val="00AA422D"/>
    <w:rsid w:val="00AA445B"/>
    <w:rsid w:val="00AA44A3"/>
    <w:rsid w:val="00AA450E"/>
    <w:rsid w:val="00AA463D"/>
    <w:rsid w:val="00AA4842"/>
    <w:rsid w:val="00AA4BCA"/>
    <w:rsid w:val="00AA4C72"/>
    <w:rsid w:val="00AA5428"/>
    <w:rsid w:val="00AA55A5"/>
    <w:rsid w:val="00AA5E4E"/>
    <w:rsid w:val="00AA614A"/>
    <w:rsid w:val="00AA61B6"/>
    <w:rsid w:val="00AA62A4"/>
    <w:rsid w:val="00AA62AD"/>
    <w:rsid w:val="00AA62CD"/>
    <w:rsid w:val="00AA6BB7"/>
    <w:rsid w:val="00AA6D99"/>
    <w:rsid w:val="00AA6E2F"/>
    <w:rsid w:val="00AA736A"/>
    <w:rsid w:val="00AA7FD4"/>
    <w:rsid w:val="00AB017D"/>
    <w:rsid w:val="00AB0855"/>
    <w:rsid w:val="00AB0DAB"/>
    <w:rsid w:val="00AB170F"/>
    <w:rsid w:val="00AB205A"/>
    <w:rsid w:val="00AB2B4C"/>
    <w:rsid w:val="00AB2BB9"/>
    <w:rsid w:val="00AB51E6"/>
    <w:rsid w:val="00AB5BFA"/>
    <w:rsid w:val="00AB6A8F"/>
    <w:rsid w:val="00AB7CBA"/>
    <w:rsid w:val="00AB7CBC"/>
    <w:rsid w:val="00AB7CFB"/>
    <w:rsid w:val="00AC0090"/>
    <w:rsid w:val="00AC019A"/>
    <w:rsid w:val="00AC0429"/>
    <w:rsid w:val="00AC094F"/>
    <w:rsid w:val="00AC0A53"/>
    <w:rsid w:val="00AC225D"/>
    <w:rsid w:val="00AC3320"/>
    <w:rsid w:val="00AC3405"/>
    <w:rsid w:val="00AC346C"/>
    <w:rsid w:val="00AC348E"/>
    <w:rsid w:val="00AC3961"/>
    <w:rsid w:val="00AC3D71"/>
    <w:rsid w:val="00AC42C8"/>
    <w:rsid w:val="00AC464C"/>
    <w:rsid w:val="00AC4E69"/>
    <w:rsid w:val="00AC5619"/>
    <w:rsid w:val="00AC5816"/>
    <w:rsid w:val="00AC59E3"/>
    <w:rsid w:val="00AC682B"/>
    <w:rsid w:val="00AC683A"/>
    <w:rsid w:val="00AC6842"/>
    <w:rsid w:val="00AC6CA2"/>
    <w:rsid w:val="00AC722B"/>
    <w:rsid w:val="00AC78EA"/>
    <w:rsid w:val="00AC7A15"/>
    <w:rsid w:val="00AD0147"/>
    <w:rsid w:val="00AD05B5"/>
    <w:rsid w:val="00AD0CF5"/>
    <w:rsid w:val="00AD0D2C"/>
    <w:rsid w:val="00AD115B"/>
    <w:rsid w:val="00AD1976"/>
    <w:rsid w:val="00AD2CE3"/>
    <w:rsid w:val="00AD32BD"/>
    <w:rsid w:val="00AD3A7A"/>
    <w:rsid w:val="00AD50D0"/>
    <w:rsid w:val="00AD5BC8"/>
    <w:rsid w:val="00AD6221"/>
    <w:rsid w:val="00AD67FA"/>
    <w:rsid w:val="00AD6EB0"/>
    <w:rsid w:val="00AD7563"/>
    <w:rsid w:val="00AD7BFD"/>
    <w:rsid w:val="00AD7D39"/>
    <w:rsid w:val="00AD7E91"/>
    <w:rsid w:val="00AE04CF"/>
    <w:rsid w:val="00AE08BD"/>
    <w:rsid w:val="00AE0C4B"/>
    <w:rsid w:val="00AE0D17"/>
    <w:rsid w:val="00AE126F"/>
    <w:rsid w:val="00AE1320"/>
    <w:rsid w:val="00AE19A6"/>
    <w:rsid w:val="00AE22C2"/>
    <w:rsid w:val="00AE2853"/>
    <w:rsid w:val="00AE321A"/>
    <w:rsid w:val="00AE3CB8"/>
    <w:rsid w:val="00AE49C4"/>
    <w:rsid w:val="00AE511A"/>
    <w:rsid w:val="00AE55E2"/>
    <w:rsid w:val="00AE67C6"/>
    <w:rsid w:val="00AE7162"/>
    <w:rsid w:val="00AE7691"/>
    <w:rsid w:val="00AE79BF"/>
    <w:rsid w:val="00AE7FAF"/>
    <w:rsid w:val="00AF0DA0"/>
    <w:rsid w:val="00AF1A5C"/>
    <w:rsid w:val="00AF1B40"/>
    <w:rsid w:val="00AF3006"/>
    <w:rsid w:val="00AF418A"/>
    <w:rsid w:val="00AF4392"/>
    <w:rsid w:val="00AF47C5"/>
    <w:rsid w:val="00AF4908"/>
    <w:rsid w:val="00AF4B8A"/>
    <w:rsid w:val="00AF4FD1"/>
    <w:rsid w:val="00AF5182"/>
    <w:rsid w:val="00AF5DAE"/>
    <w:rsid w:val="00AF659E"/>
    <w:rsid w:val="00AF6800"/>
    <w:rsid w:val="00AF6E48"/>
    <w:rsid w:val="00AF7054"/>
    <w:rsid w:val="00AF722F"/>
    <w:rsid w:val="00B00006"/>
    <w:rsid w:val="00B005FD"/>
    <w:rsid w:val="00B0067E"/>
    <w:rsid w:val="00B015B3"/>
    <w:rsid w:val="00B016BF"/>
    <w:rsid w:val="00B019A9"/>
    <w:rsid w:val="00B01F06"/>
    <w:rsid w:val="00B024EA"/>
    <w:rsid w:val="00B024F7"/>
    <w:rsid w:val="00B02D47"/>
    <w:rsid w:val="00B04088"/>
    <w:rsid w:val="00B04A35"/>
    <w:rsid w:val="00B04D50"/>
    <w:rsid w:val="00B04E35"/>
    <w:rsid w:val="00B051DB"/>
    <w:rsid w:val="00B056F0"/>
    <w:rsid w:val="00B05DC2"/>
    <w:rsid w:val="00B076AC"/>
    <w:rsid w:val="00B1013B"/>
    <w:rsid w:val="00B102F3"/>
    <w:rsid w:val="00B10A37"/>
    <w:rsid w:val="00B10A5E"/>
    <w:rsid w:val="00B10E30"/>
    <w:rsid w:val="00B114D7"/>
    <w:rsid w:val="00B1150A"/>
    <w:rsid w:val="00B11A59"/>
    <w:rsid w:val="00B120A1"/>
    <w:rsid w:val="00B123CA"/>
    <w:rsid w:val="00B13AD2"/>
    <w:rsid w:val="00B13EC2"/>
    <w:rsid w:val="00B1428D"/>
    <w:rsid w:val="00B1455F"/>
    <w:rsid w:val="00B1472E"/>
    <w:rsid w:val="00B147C6"/>
    <w:rsid w:val="00B149C4"/>
    <w:rsid w:val="00B159C0"/>
    <w:rsid w:val="00B17138"/>
    <w:rsid w:val="00B1760D"/>
    <w:rsid w:val="00B17856"/>
    <w:rsid w:val="00B20841"/>
    <w:rsid w:val="00B21639"/>
    <w:rsid w:val="00B21BBE"/>
    <w:rsid w:val="00B22296"/>
    <w:rsid w:val="00B224CB"/>
    <w:rsid w:val="00B23A0C"/>
    <w:rsid w:val="00B2442D"/>
    <w:rsid w:val="00B2457A"/>
    <w:rsid w:val="00B256C9"/>
    <w:rsid w:val="00B256D5"/>
    <w:rsid w:val="00B25B6D"/>
    <w:rsid w:val="00B25BF2"/>
    <w:rsid w:val="00B2620F"/>
    <w:rsid w:val="00B266F6"/>
    <w:rsid w:val="00B26802"/>
    <w:rsid w:val="00B27C8F"/>
    <w:rsid w:val="00B30DF0"/>
    <w:rsid w:val="00B30F25"/>
    <w:rsid w:val="00B31A8C"/>
    <w:rsid w:val="00B31D70"/>
    <w:rsid w:val="00B3269C"/>
    <w:rsid w:val="00B33AE0"/>
    <w:rsid w:val="00B340D4"/>
    <w:rsid w:val="00B34236"/>
    <w:rsid w:val="00B34771"/>
    <w:rsid w:val="00B3497E"/>
    <w:rsid w:val="00B34B29"/>
    <w:rsid w:val="00B34F1A"/>
    <w:rsid w:val="00B350C9"/>
    <w:rsid w:val="00B3580B"/>
    <w:rsid w:val="00B35AFA"/>
    <w:rsid w:val="00B35BAE"/>
    <w:rsid w:val="00B3622F"/>
    <w:rsid w:val="00B36819"/>
    <w:rsid w:val="00B368AA"/>
    <w:rsid w:val="00B37DD6"/>
    <w:rsid w:val="00B40479"/>
    <w:rsid w:val="00B4061A"/>
    <w:rsid w:val="00B40C5D"/>
    <w:rsid w:val="00B41431"/>
    <w:rsid w:val="00B41605"/>
    <w:rsid w:val="00B41ADA"/>
    <w:rsid w:val="00B4232A"/>
    <w:rsid w:val="00B42457"/>
    <w:rsid w:val="00B433CC"/>
    <w:rsid w:val="00B4394D"/>
    <w:rsid w:val="00B43B71"/>
    <w:rsid w:val="00B43FAF"/>
    <w:rsid w:val="00B450F3"/>
    <w:rsid w:val="00B45394"/>
    <w:rsid w:val="00B4572A"/>
    <w:rsid w:val="00B458A7"/>
    <w:rsid w:val="00B45E51"/>
    <w:rsid w:val="00B46114"/>
    <w:rsid w:val="00B46965"/>
    <w:rsid w:val="00B469CF"/>
    <w:rsid w:val="00B47AA8"/>
    <w:rsid w:val="00B47CA5"/>
    <w:rsid w:val="00B50495"/>
    <w:rsid w:val="00B508AC"/>
    <w:rsid w:val="00B50CD0"/>
    <w:rsid w:val="00B50E5E"/>
    <w:rsid w:val="00B50F67"/>
    <w:rsid w:val="00B51D09"/>
    <w:rsid w:val="00B51ED6"/>
    <w:rsid w:val="00B52D00"/>
    <w:rsid w:val="00B535DC"/>
    <w:rsid w:val="00B53FBD"/>
    <w:rsid w:val="00B53FED"/>
    <w:rsid w:val="00B54475"/>
    <w:rsid w:val="00B54BBB"/>
    <w:rsid w:val="00B54D0D"/>
    <w:rsid w:val="00B54D50"/>
    <w:rsid w:val="00B55586"/>
    <w:rsid w:val="00B557D1"/>
    <w:rsid w:val="00B55F34"/>
    <w:rsid w:val="00B563A6"/>
    <w:rsid w:val="00B56B71"/>
    <w:rsid w:val="00B56BDA"/>
    <w:rsid w:val="00B57FAF"/>
    <w:rsid w:val="00B6012A"/>
    <w:rsid w:val="00B6075E"/>
    <w:rsid w:val="00B61220"/>
    <w:rsid w:val="00B615C9"/>
    <w:rsid w:val="00B6171E"/>
    <w:rsid w:val="00B6328A"/>
    <w:rsid w:val="00B64459"/>
    <w:rsid w:val="00B64F20"/>
    <w:rsid w:val="00B6549A"/>
    <w:rsid w:val="00B65C7B"/>
    <w:rsid w:val="00B66504"/>
    <w:rsid w:val="00B6681E"/>
    <w:rsid w:val="00B66823"/>
    <w:rsid w:val="00B66CC2"/>
    <w:rsid w:val="00B67073"/>
    <w:rsid w:val="00B677E8"/>
    <w:rsid w:val="00B71D4B"/>
    <w:rsid w:val="00B71EBE"/>
    <w:rsid w:val="00B73173"/>
    <w:rsid w:val="00B733B5"/>
    <w:rsid w:val="00B736D8"/>
    <w:rsid w:val="00B73B54"/>
    <w:rsid w:val="00B73DD9"/>
    <w:rsid w:val="00B74696"/>
    <w:rsid w:val="00B74A93"/>
    <w:rsid w:val="00B74F83"/>
    <w:rsid w:val="00B75128"/>
    <w:rsid w:val="00B751F6"/>
    <w:rsid w:val="00B76496"/>
    <w:rsid w:val="00B769A7"/>
    <w:rsid w:val="00B76E80"/>
    <w:rsid w:val="00B770CD"/>
    <w:rsid w:val="00B773F6"/>
    <w:rsid w:val="00B807A4"/>
    <w:rsid w:val="00B81523"/>
    <w:rsid w:val="00B81A6E"/>
    <w:rsid w:val="00B81E4F"/>
    <w:rsid w:val="00B81F22"/>
    <w:rsid w:val="00B8283C"/>
    <w:rsid w:val="00B8305B"/>
    <w:rsid w:val="00B8376E"/>
    <w:rsid w:val="00B83856"/>
    <w:rsid w:val="00B839F7"/>
    <w:rsid w:val="00B83B17"/>
    <w:rsid w:val="00B8491A"/>
    <w:rsid w:val="00B84E58"/>
    <w:rsid w:val="00B85B0C"/>
    <w:rsid w:val="00B85B35"/>
    <w:rsid w:val="00B85F50"/>
    <w:rsid w:val="00B8702A"/>
    <w:rsid w:val="00B87539"/>
    <w:rsid w:val="00B87B96"/>
    <w:rsid w:val="00B90AA9"/>
    <w:rsid w:val="00B90EB3"/>
    <w:rsid w:val="00B91132"/>
    <w:rsid w:val="00B9175A"/>
    <w:rsid w:val="00B91810"/>
    <w:rsid w:val="00B91913"/>
    <w:rsid w:val="00B91A34"/>
    <w:rsid w:val="00B91BE9"/>
    <w:rsid w:val="00B91C2D"/>
    <w:rsid w:val="00B91EC7"/>
    <w:rsid w:val="00B922E0"/>
    <w:rsid w:val="00B922E3"/>
    <w:rsid w:val="00B9431D"/>
    <w:rsid w:val="00B95A10"/>
    <w:rsid w:val="00B9609F"/>
    <w:rsid w:val="00BA08DA"/>
    <w:rsid w:val="00BA09E2"/>
    <w:rsid w:val="00BA0A98"/>
    <w:rsid w:val="00BA0CA6"/>
    <w:rsid w:val="00BA1147"/>
    <w:rsid w:val="00BA1563"/>
    <w:rsid w:val="00BA21BC"/>
    <w:rsid w:val="00BA2573"/>
    <w:rsid w:val="00BA2797"/>
    <w:rsid w:val="00BA3024"/>
    <w:rsid w:val="00BA333C"/>
    <w:rsid w:val="00BA3750"/>
    <w:rsid w:val="00BA3799"/>
    <w:rsid w:val="00BA37A1"/>
    <w:rsid w:val="00BA498B"/>
    <w:rsid w:val="00BA51E0"/>
    <w:rsid w:val="00BA5C3B"/>
    <w:rsid w:val="00BA6398"/>
    <w:rsid w:val="00BA6A20"/>
    <w:rsid w:val="00BA6D43"/>
    <w:rsid w:val="00BA6E01"/>
    <w:rsid w:val="00BA6E09"/>
    <w:rsid w:val="00BA7267"/>
    <w:rsid w:val="00BB0176"/>
    <w:rsid w:val="00BB0400"/>
    <w:rsid w:val="00BB09AE"/>
    <w:rsid w:val="00BB0D32"/>
    <w:rsid w:val="00BB0E5A"/>
    <w:rsid w:val="00BB0FC8"/>
    <w:rsid w:val="00BB17BC"/>
    <w:rsid w:val="00BB1BD0"/>
    <w:rsid w:val="00BB233C"/>
    <w:rsid w:val="00BB2414"/>
    <w:rsid w:val="00BB249C"/>
    <w:rsid w:val="00BB2F80"/>
    <w:rsid w:val="00BB556D"/>
    <w:rsid w:val="00BB59AD"/>
    <w:rsid w:val="00BB6738"/>
    <w:rsid w:val="00BB6B42"/>
    <w:rsid w:val="00BB70A7"/>
    <w:rsid w:val="00BB7655"/>
    <w:rsid w:val="00BB7CBE"/>
    <w:rsid w:val="00BC0124"/>
    <w:rsid w:val="00BC0DAE"/>
    <w:rsid w:val="00BC15C6"/>
    <w:rsid w:val="00BC1869"/>
    <w:rsid w:val="00BC207A"/>
    <w:rsid w:val="00BC3533"/>
    <w:rsid w:val="00BC3F74"/>
    <w:rsid w:val="00BC43D7"/>
    <w:rsid w:val="00BC45FB"/>
    <w:rsid w:val="00BC4706"/>
    <w:rsid w:val="00BC4D1F"/>
    <w:rsid w:val="00BC50A4"/>
    <w:rsid w:val="00BC595C"/>
    <w:rsid w:val="00BC5CF3"/>
    <w:rsid w:val="00BC5D8C"/>
    <w:rsid w:val="00BC6A49"/>
    <w:rsid w:val="00BC6ADA"/>
    <w:rsid w:val="00BC70D3"/>
    <w:rsid w:val="00BC7907"/>
    <w:rsid w:val="00BD023B"/>
    <w:rsid w:val="00BD0594"/>
    <w:rsid w:val="00BD06FF"/>
    <w:rsid w:val="00BD0EFE"/>
    <w:rsid w:val="00BD1135"/>
    <w:rsid w:val="00BD141C"/>
    <w:rsid w:val="00BD1ABC"/>
    <w:rsid w:val="00BD1BD3"/>
    <w:rsid w:val="00BD1D51"/>
    <w:rsid w:val="00BD248D"/>
    <w:rsid w:val="00BD28F5"/>
    <w:rsid w:val="00BD5D51"/>
    <w:rsid w:val="00BD60C5"/>
    <w:rsid w:val="00BD614D"/>
    <w:rsid w:val="00BD6444"/>
    <w:rsid w:val="00BD6DF4"/>
    <w:rsid w:val="00BE0275"/>
    <w:rsid w:val="00BE0842"/>
    <w:rsid w:val="00BE0916"/>
    <w:rsid w:val="00BE0C17"/>
    <w:rsid w:val="00BE0DF9"/>
    <w:rsid w:val="00BE1212"/>
    <w:rsid w:val="00BE1767"/>
    <w:rsid w:val="00BE1E3D"/>
    <w:rsid w:val="00BE207F"/>
    <w:rsid w:val="00BE2244"/>
    <w:rsid w:val="00BE257B"/>
    <w:rsid w:val="00BE2891"/>
    <w:rsid w:val="00BE2ACA"/>
    <w:rsid w:val="00BE3273"/>
    <w:rsid w:val="00BE43D8"/>
    <w:rsid w:val="00BE550A"/>
    <w:rsid w:val="00BE6A67"/>
    <w:rsid w:val="00BE6C5B"/>
    <w:rsid w:val="00BE6E0C"/>
    <w:rsid w:val="00BE6E34"/>
    <w:rsid w:val="00BE7A26"/>
    <w:rsid w:val="00BE7BCF"/>
    <w:rsid w:val="00BF0696"/>
    <w:rsid w:val="00BF0C7F"/>
    <w:rsid w:val="00BF130D"/>
    <w:rsid w:val="00BF1C79"/>
    <w:rsid w:val="00BF23C4"/>
    <w:rsid w:val="00BF2718"/>
    <w:rsid w:val="00BF353A"/>
    <w:rsid w:val="00BF3BE9"/>
    <w:rsid w:val="00BF447E"/>
    <w:rsid w:val="00BF5132"/>
    <w:rsid w:val="00BF545E"/>
    <w:rsid w:val="00BF5F69"/>
    <w:rsid w:val="00BF6118"/>
    <w:rsid w:val="00BF661C"/>
    <w:rsid w:val="00BF725B"/>
    <w:rsid w:val="00BF72B3"/>
    <w:rsid w:val="00C000EE"/>
    <w:rsid w:val="00C00F41"/>
    <w:rsid w:val="00C02045"/>
    <w:rsid w:val="00C02ED7"/>
    <w:rsid w:val="00C02F0D"/>
    <w:rsid w:val="00C0347A"/>
    <w:rsid w:val="00C03521"/>
    <w:rsid w:val="00C03938"/>
    <w:rsid w:val="00C04EDB"/>
    <w:rsid w:val="00C05672"/>
    <w:rsid w:val="00C05B51"/>
    <w:rsid w:val="00C05D15"/>
    <w:rsid w:val="00C079B4"/>
    <w:rsid w:val="00C10222"/>
    <w:rsid w:val="00C1049D"/>
    <w:rsid w:val="00C10D13"/>
    <w:rsid w:val="00C11432"/>
    <w:rsid w:val="00C11650"/>
    <w:rsid w:val="00C1178C"/>
    <w:rsid w:val="00C11909"/>
    <w:rsid w:val="00C1191F"/>
    <w:rsid w:val="00C12035"/>
    <w:rsid w:val="00C12317"/>
    <w:rsid w:val="00C12581"/>
    <w:rsid w:val="00C12A0B"/>
    <w:rsid w:val="00C13F45"/>
    <w:rsid w:val="00C14444"/>
    <w:rsid w:val="00C14C34"/>
    <w:rsid w:val="00C14D53"/>
    <w:rsid w:val="00C14EF3"/>
    <w:rsid w:val="00C15060"/>
    <w:rsid w:val="00C15285"/>
    <w:rsid w:val="00C166F0"/>
    <w:rsid w:val="00C1693A"/>
    <w:rsid w:val="00C177CA"/>
    <w:rsid w:val="00C17BB1"/>
    <w:rsid w:val="00C17F92"/>
    <w:rsid w:val="00C20599"/>
    <w:rsid w:val="00C20F8F"/>
    <w:rsid w:val="00C21105"/>
    <w:rsid w:val="00C212A8"/>
    <w:rsid w:val="00C2192C"/>
    <w:rsid w:val="00C220AE"/>
    <w:rsid w:val="00C22DE0"/>
    <w:rsid w:val="00C22F3A"/>
    <w:rsid w:val="00C23354"/>
    <w:rsid w:val="00C23A1E"/>
    <w:rsid w:val="00C23AF1"/>
    <w:rsid w:val="00C23EB0"/>
    <w:rsid w:val="00C24E35"/>
    <w:rsid w:val="00C25888"/>
    <w:rsid w:val="00C25C24"/>
    <w:rsid w:val="00C262DA"/>
    <w:rsid w:val="00C263EA"/>
    <w:rsid w:val="00C302D7"/>
    <w:rsid w:val="00C3038C"/>
    <w:rsid w:val="00C306F5"/>
    <w:rsid w:val="00C31042"/>
    <w:rsid w:val="00C32A98"/>
    <w:rsid w:val="00C330CF"/>
    <w:rsid w:val="00C332BF"/>
    <w:rsid w:val="00C33A20"/>
    <w:rsid w:val="00C33DFA"/>
    <w:rsid w:val="00C347FD"/>
    <w:rsid w:val="00C3485A"/>
    <w:rsid w:val="00C34DF4"/>
    <w:rsid w:val="00C352F5"/>
    <w:rsid w:val="00C3593F"/>
    <w:rsid w:val="00C36550"/>
    <w:rsid w:val="00C3692E"/>
    <w:rsid w:val="00C3698A"/>
    <w:rsid w:val="00C3698C"/>
    <w:rsid w:val="00C36CF4"/>
    <w:rsid w:val="00C3724B"/>
    <w:rsid w:val="00C375A9"/>
    <w:rsid w:val="00C37B12"/>
    <w:rsid w:val="00C37DD3"/>
    <w:rsid w:val="00C37FC2"/>
    <w:rsid w:val="00C403F6"/>
    <w:rsid w:val="00C40E37"/>
    <w:rsid w:val="00C41013"/>
    <w:rsid w:val="00C41405"/>
    <w:rsid w:val="00C423B5"/>
    <w:rsid w:val="00C424AE"/>
    <w:rsid w:val="00C426BB"/>
    <w:rsid w:val="00C42843"/>
    <w:rsid w:val="00C4462A"/>
    <w:rsid w:val="00C44F39"/>
    <w:rsid w:val="00C4511E"/>
    <w:rsid w:val="00C455A0"/>
    <w:rsid w:val="00C476D7"/>
    <w:rsid w:val="00C47AC9"/>
    <w:rsid w:val="00C47AF4"/>
    <w:rsid w:val="00C50486"/>
    <w:rsid w:val="00C50969"/>
    <w:rsid w:val="00C51465"/>
    <w:rsid w:val="00C51DEE"/>
    <w:rsid w:val="00C51E65"/>
    <w:rsid w:val="00C51FE1"/>
    <w:rsid w:val="00C5245F"/>
    <w:rsid w:val="00C53806"/>
    <w:rsid w:val="00C54195"/>
    <w:rsid w:val="00C54717"/>
    <w:rsid w:val="00C54B98"/>
    <w:rsid w:val="00C54D38"/>
    <w:rsid w:val="00C55135"/>
    <w:rsid w:val="00C5529D"/>
    <w:rsid w:val="00C553C5"/>
    <w:rsid w:val="00C55430"/>
    <w:rsid w:val="00C55641"/>
    <w:rsid w:val="00C559CB"/>
    <w:rsid w:val="00C563AF"/>
    <w:rsid w:val="00C56B96"/>
    <w:rsid w:val="00C57597"/>
    <w:rsid w:val="00C5771F"/>
    <w:rsid w:val="00C5778C"/>
    <w:rsid w:val="00C57F2D"/>
    <w:rsid w:val="00C602DA"/>
    <w:rsid w:val="00C609D2"/>
    <w:rsid w:val="00C610DC"/>
    <w:rsid w:val="00C611B3"/>
    <w:rsid w:val="00C6174D"/>
    <w:rsid w:val="00C6196A"/>
    <w:rsid w:val="00C62DE9"/>
    <w:rsid w:val="00C63243"/>
    <w:rsid w:val="00C63AA4"/>
    <w:rsid w:val="00C644EE"/>
    <w:rsid w:val="00C64F6C"/>
    <w:rsid w:val="00C6500A"/>
    <w:rsid w:val="00C652DD"/>
    <w:rsid w:val="00C65DB4"/>
    <w:rsid w:val="00C65EE5"/>
    <w:rsid w:val="00C6725B"/>
    <w:rsid w:val="00C67324"/>
    <w:rsid w:val="00C67420"/>
    <w:rsid w:val="00C67949"/>
    <w:rsid w:val="00C67EF2"/>
    <w:rsid w:val="00C703DB"/>
    <w:rsid w:val="00C70511"/>
    <w:rsid w:val="00C70586"/>
    <w:rsid w:val="00C711E1"/>
    <w:rsid w:val="00C71BA8"/>
    <w:rsid w:val="00C71F70"/>
    <w:rsid w:val="00C74B79"/>
    <w:rsid w:val="00C75C62"/>
    <w:rsid w:val="00C76D43"/>
    <w:rsid w:val="00C77937"/>
    <w:rsid w:val="00C8006C"/>
    <w:rsid w:val="00C802EF"/>
    <w:rsid w:val="00C80ADF"/>
    <w:rsid w:val="00C81503"/>
    <w:rsid w:val="00C82058"/>
    <w:rsid w:val="00C82703"/>
    <w:rsid w:val="00C827D2"/>
    <w:rsid w:val="00C82DE3"/>
    <w:rsid w:val="00C830AD"/>
    <w:rsid w:val="00C837D0"/>
    <w:rsid w:val="00C842FD"/>
    <w:rsid w:val="00C845E0"/>
    <w:rsid w:val="00C84C7A"/>
    <w:rsid w:val="00C84F6E"/>
    <w:rsid w:val="00C86540"/>
    <w:rsid w:val="00C86D6A"/>
    <w:rsid w:val="00C8747F"/>
    <w:rsid w:val="00C875E2"/>
    <w:rsid w:val="00C87DDD"/>
    <w:rsid w:val="00C9030C"/>
    <w:rsid w:val="00C913DC"/>
    <w:rsid w:val="00C91697"/>
    <w:rsid w:val="00C92546"/>
    <w:rsid w:val="00C928B3"/>
    <w:rsid w:val="00C92C96"/>
    <w:rsid w:val="00C92D4B"/>
    <w:rsid w:val="00C92FA9"/>
    <w:rsid w:val="00C943D8"/>
    <w:rsid w:val="00C946E8"/>
    <w:rsid w:val="00C947E3"/>
    <w:rsid w:val="00C94AA1"/>
    <w:rsid w:val="00C94B48"/>
    <w:rsid w:val="00C95586"/>
    <w:rsid w:val="00C95F85"/>
    <w:rsid w:val="00C96093"/>
    <w:rsid w:val="00C970BA"/>
    <w:rsid w:val="00CA0055"/>
    <w:rsid w:val="00CA05B7"/>
    <w:rsid w:val="00CA1B53"/>
    <w:rsid w:val="00CA1F6A"/>
    <w:rsid w:val="00CA284D"/>
    <w:rsid w:val="00CA2DCB"/>
    <w:rsid w:val="00CA3383"/>
    <w:rsid w:val="00CA42DD"/>
    <w:rsid w:val="00CA449E"/>
    <w:rsid w:val="00CA5637"/>
    <w:rsid w:val="00CA64DD"/>
    <w:rsid w:val="00CA6DD1"/>
    <w:rsid w:val="00CB101A"/>
    <w:rsid w:val="00CB1132"/>
    <w:rsid w:val="00CB18E9"/>
    <w:rsid w:val="00CB1F03"/>
    <w:rsid w:val="00CB1FF9"/>
    <w:rsid w:val="00CB2A63"/>
    <w:rsid w:val="00CB2D45"/>
    <w:rsid w:val="00CB2F93"/>
    <w:rsid w:val="00CB421D"/>
    <w:rsid w:val="00CB56B7"/>
    <w:rsid w:val="00CB5E0D"/>
    <w:rsid w:val="00CB6AE9"/>
    <w:rsid w:val="00CB7026"/>
    <w:rsid w:val="00CC0472"/>
    <w:rsid w:val="00CC04F4"/>
    <w:rsid w:val="00CC0D8B"/>
    <w:rsid w:val="00CC1584"/>
    <w:rsid w:val="00CC2273"/>
    <w:rsid w:val="00CC22F0"/>
    <w:rsid w:val="00CC365E"/>
    <w:rsid w:val="00CC3B30"/>
    <w:rsid w:val="00CC3B4C"/>
    <w:rsid w:val="00CC4335"/>
    <w:rsid w:val="00CC4531"/>
    <w:rsid w:val="00CC46AB"/>
    <w:rsid w:val="00CC4E52"/>
    <w:rsid w:val="00CC55C1"/>
    <w:rsid w:val="00CC6293"/>
    <w:rsid w:val="00CC64C3"/>
    <w:rsid w:val="00CC6690"/>
    <w:rsid w:val="00CC69A6"/>
    <w:rsid w:val="00CC7452"/>
    <w:rsid w:val="00CC74C2"/>
    <w:rsid w:val="00CC791C"/>
    <w:rsid w:val="00CC7BE9"/>
    <w:rsid w:val="00CD0C67"/>
    <w:rsid w:val="00CD0C6B"/>
    <w:rsid w:val="00CD127A"/>
    <w:rsid w:val="00CD12E1"/>
    <w:rsid w:val="00CD1615"/>
    <w:rsid w:val="00CD20B4"/>
    <w:rsid w:val="00CD27A1"/>
    <w:rsid w:val="00CD2F81"/>
    <w:rsid w:val="00CD3063"/>
    <w:rsid w:val="00CD348D"/>
    <w:rsid w:val="00CD41DE"/>
    <w:rsid w:val="00CD4880"/>
    <w:rsid w:val="00CD4A6A"/>
    <w:rsid w:val="00CD4B9C"/>
    <w:rsid w:val="00CD65D4"/>
    <w:rsid w:val="00CD6BC5"/>
    <w:rsid w:val="00CD7056"/>
    <w:rsid w:val="00CD73A8"/>
    <w:rsid w:val="00CD7959"/>
    <w:rsid w:val="00CD7E62"/>
    <w:rsid w:val="00CE03CE"/>
    <w:rsid w:val="00CE0850"/>
    <w:rsid w:val="00CE0E29"/>
    <w:rsid w:val="00CE182D"/>
    <w:rsid w:val="00CE2AD8"/>
    <w:rsid w:val="00CE3A3E"/>
    <w:rsid w:val="00CE3BB5"/>
    <w:rsid w:val="00CE4033"/>
    <w:rsid w:val="00CE4386"/>
    <w:rsid w:val="00CE488A"/>
    <w:rsid w:val="00CE4950"/>
    <w:rsid w:val="00CE4FE0"/>
    <w:rsid w:val="00CE5561"/>
    <w:rsid w:val="00CE5AD8"/>
    <w:rsid w:val="00CE5D3B"/>
    <w:rsid w:val="00CE5D8E"/>
    <w:rsid w:val="00CE6A6C"/>
    <w:rsid w:val="00CE6E41"/>
    <w:rsid w:val="00CE6EAA"/>
    <w:rsid w:val="00CE6F1D"/>
    <w:rsid w:val="00CE78A2"/>
    <w:rsid w:val="00CE7CC8"/>
    <w:rsid w:val="00CF073D"/>
    <w:rsid w:val="00CF0B00"/>
    <w:rsid w:val="00CF0B13"/>
    <w:rsid w:val="00CF0C58"/>
    <w:rsid w:val="00CF1419"/>
    <w:rsid w:val="00CF1C4B"/>
    <w:rsid w:val="00CF2388"/>
    <w:rsid w:val="00CF2949"/>
    <w:rsid w:val="00CF2C53"/>
    <w:rsid w:val="00CF2CBD"/>
    <w:rsid w:val="00CF2DAF"/>
    <w:rsid w:val="00CF3A99"/>
    <w:rsid w:val="00CF3DEA"/>
    <w:rsid w:val="00CF3EED"/>
    <w:rsid w:val="00CF46C2"/>
    <w:rsid w:val="00CF5CF0"/>
    <w:rsid w:val="00CF5D96"/>
    <w:rsid w:val="00CF7BA1"/>
    <w:rsid w:val="00CF7DEB"/>
    <w:rsid w:val="00D00B70"/>
    <w:rsid w:val="00D011F6"/>
    <w:rsid w:val="00D0257B"/>
    <w:rsid w:val="00D0263E"/>
    <w:rsid w:val="00D02B59"/>
    <w:rsid w:val="00D03BEF"/>
    <w:rsid w:val="00D044B0"/>
    <w:rsid w:val="00D049D3"/>
    <w:rsid w:val="00D04E83"/>
    <w:rsid w:val="00D057C0"/>
    <w:rsid w:val="00D05D2C"/>
    <w:rsid w:val="00D06203"/>
    <w:rsid w:val="00D06ABB"/>
    <w:rsid w:val="00D06D3B"/>
    <w:rsid w:val="00D06EA6"/>
    <w:rsid w:val="00D06ED3"/>
    <w:rsid w:val="00D06F1A"/>
    <w:rsid w:val="00D07133"/>
    <w:rsid w:val="00D07CC9"/>
    <w:rsid w:val="00D10232"/>
    <w:rsid w:val="00D10473"/>
    <w:rsid w:val="00D10E64"/>
    <w:rsid w:val="00D1164A"/>
    <w:rsid w:val="00D11853"/>
    <w:rsid w:val="00D122EE"/>
    <w:rsid w:val="00D12B7C"/>
    <w:rsid w:val="00D1350B"/>
    <w:rsid w:val="00D138A1"/>
    <w:rsid w:val="00D13A15"/>
    <w:rsid w:val="00D13AB6"/>
    <w:rsid w:val="00D14310"/>
    <w:rsid w:val="00D1433B"/>
    <w:rsid w:val="00D15B80"/>
    <w:rsid w:val="00D15C8D"/>
    <w:rsid w:val="00D16020"/>
    <w:rsid w:val="00D166E4"/>
    <w:rsid w:val="00D16C65"/>
    <w:rsid w:val="00D17567"/>
    <w:rsid w:val="00D1776E"/>
    <w:rsid w:val="00D17F37"/>
    <w:rsid w:val="00D20068"/>
    <w:rsid w:val="00D210E5"/>
    <w:rsid w:val="00D21DB4"/>
    <w:rsid w:val="00D229B0"/>
    <w:rsid w:val="00D2331B"/>
    <w:rsid w:val="00D236F7"/>
    <w:rsid w:val="00D238BD"/>
    <w:rsid w:val="00D23A85"/>
    <w:rsid w:val="00D23B30"/>
    <w:rsid w:val="00D24073"/>
    <w:rsid w:val="00D2434E"/>
    <w:rsid w:val="00D24D8C"/>
    <w:rsid w:val="00D2533C"/>
    <w:rsid w:val="00D26003"/>
    <w:rsid w:val="00D304AE"/>
    <w:rsid w:val="00D3180A"/>
    <w:rsid w:val="00D321A0"/>
    <w:rsid w:val="00D33232"/>
    <w:rsid w:val="00D3364A"/>
    <w:rsid w:val="00D336F5"/>
    <w:rsid w:val="00D33894"/>
    <w:rsid w:val="00D33C5C"/>
    <w:rsid w:val="00D33C62"/>
    <w:rsid w:val="00D344C7"/>
    <w:rsid w:val="00D34BA6"/>
    <w:rsid w:val="00D35EB4"/>
    <w:rsid w:val="00D36B13"/>
    <w:rsid w:val="00D36D2B"/>
    <w:rsid w:val="00D3761B"/>
    <w:rsid w:val="00D37CD9"/>
    <w:rsid w:val="00D37F63"/>
    <w:rsid w:val="00D400B7"/>
    <w:rsid w:val="00D41676"/>
    <w:rsid w:val="00D42929"/>
    <w:rsid w:val="00D42F43"/>
    <w:rsid w:val="00D43764"/>
    <w:rsid w:val="00D43945"/>
    <w:rsid w:val="00D44508"/>
    <w:rsid w:val="00D455E5"/>
    <w:rsid w:val="00D45AB9"/>
    <w:rsid w:val="00D45B1D"/>
    <w:rsid w:val="00D4684C"/>
    <w:rsid w:val="00D4724B"/>
    <w:rsid w:val="00D473C5"/>
    <w:rsid w:val="00D4743F"/>
    <w:rsid w:val="00D474AE"/>
    <w:rsid w:val="00D4768F"/>
    <w:rsid w:val="00D5058C"/>
    <w:rsid w:val="00D50ACF"/>
    <w:rsid w:val="00D50EDA"/>
    <w:rsid w:val="00D5156C"/>
    <w:rsid w:val="00D51607"/>
    <w:rsid w:val="00D51B99"/>
    <w:rsid w:val="00D51FE6"/>
    <w:rsid w:val="00D5229C"/>
    <w:rsid w:val="00D522C7"/>
    <w:rsid w:val="00D53B55"/>
    <w:rsid w:val="00D54BB4"/>
    <w:rsid w:val="00D54DDA"/>
    <w:rsid w:val="00D55700"/>
    <w:rsid w:val="00D55DED"/>
    <w:rsid w:val="00D5603A"/>
    <w:rsid w:val="00D564A4"/>
    <w:rsid w:val="00D565C0"/>
    <w:rsid w:val="00D56636"/>
    <w:rsid w:val="00D5665A"/>
    <w:rsid w:val="00D56828"/>
    <w:rsid w:val="00D56B4D"/>
    <w:rsid w:val="00D56E62"/>
    <w:rsid w:val="00D57036"/>
    <w:rsid w:val="00D57D0F"/>
    <w:rsid w:val="00D6002A"/>
    <w:rsid w:val="00D61DC4"/>
    <w:rsid w:val="00D62085"/>
    <w:rsid w:val="00D626E9"/>
    <w:rsid w:val="00D62C30"/>
    <w:rsid w:val="00D62E54"/>
    <w:rsid w:val="00D63695"/>
    <w:rsid w:val="00D63E13"/>
    <w:rsid w:val="00D63FC7"/>
    <w:rsid w:val="00D666F9"/>
    <w:rsid w:val="00D667D1"/>
    <w:rsid w:val="00D66853"/>
    <w:rsid w:val="00D6795F"/>
    <w:rsid w:val="00D67AAD"/>
    <w:rsid w:val="00D706C8"/>
    <w:rsid w:val="00D70C28"/>
    <w:rsid w:val="00D7109C"/>
    <w:rsid w:val="00D71217"/>
    <w:rsid w:val="00D71B7F"/>
    <w:rsid w:val="00D7207F"/>
    <w:rsid w:val="00D740B4"/>
    <w:rsid w:val="00D742EF"/>
    <w:rsid w:val="00D745C1"/>
    <w:rsid w:val="00D7490E"/>
    <w:rsid w:val="00D75328"/>
    <w:rsid w:val="00D7602D"/>
    <w:rsid w:val="00D76400"/>
    <w:rsid w:val="00D7657C"/>
    <w:rsid w:val="00D766FD"/>
    <w:rsid w:val="00D76800"/>
    <w:rsid w:val="00D76F04"/>
    <w:rsid w:val="00D77616"/>
    <w:rsid w:val="00D779D6"/>
    <w:rsid w:val="00D80CD5"/>
    <w:rsid w:val="00D8148B"/>
    <w:rsid w:val="00D81692"/>
    <w:rsid w:val="00D81C81"/>
    <w:rsid w:val="00D82680"/>
    <w:rsid w:val="00D8329A"/>
    <w:rsid w:val="00D83C0C"/>
    <w:rsid w:val="00D83CE3"/>
    <w:rsid w:val="00D840AB"/>
    <w:rsid w:val="00D84ADC"/>
    <w:rsid w:val="00D84E42"/>
    <w:rsid w:val="00D856BA"/>
    <w:rsid w:val="00D858CE"/>
    <w:rsid w:val="00D85B83"/>
    <w:rsid w:val="00D85EB5"/>
    <w:rsid w:val="00D85FCA"/>
    <w:rsid w:val="00D860B9"/>
    <w:rsid w:val="00D86743"/>
    <w:rsid w:val="00D8687C"/>
    <w:rsid w:val="00D86BBF"/>
    <w:rsid w:val="00D87536"/>
    <w:rsid w:val="00D87A82"/>
    <w:rsid w:val="00D87BF2"/>
    <w:rsid w:val="00D87C23"/>
    <w:rsid w:val="00D900B6"/>
    <w:rsid w:val="00D904D3"/>
    <w:rsid w:val="00D90673"/>
    <w:rsid w:val="00D90AF2"/>
    <w:rsid w:val="00D90CB2"/>
    <w:rsid w:val="00D91978"/>
    <w:rsid w:val="00D91F41"/>
    <w:rsid w:val="00D9246A"/>
    <w:rsid w:val="00D929EE"/>
    <w:rsid w:val="00D92D3E"/>
    <w:rsid w:val="00D92D57"/>
    <w:rsid w:val="00D92DFA"/>
    <w:rsid w:val="00D936CA"/>
    <w:rsid w:val="00D93779"/>
    <w:rsid w:val="00D94289"/>
    <w:rsid w:val="00D947FE"/>
    <w:rsid w:val="00D95945"/>
    <w:rsid w:val="00D96492"/>
    <w:rsid w:val="00D969C9"/>
    <w:rsid w:val="00D97D5C"/>
    <w:rsid w:val="00DA0138"/>
    <w:rsid w:val="00DA01EB"/>
    <w:rsid w:val="00DA040B"/>
    <w:rsid w:val="00DA0A8E"/>
    <w:rsid w:val="00DA0F3F"/>
    <w:rsid w:val="00DA0FEE"/>
    <w:rsid w:val="00DA12F1"/>
    <w:rsid w:val="00DA14A7"/>
    <w:rsid w:val="00DA190A"/>
    <w:rsid w:val="00DA1E32"/>
    <w:rsid w:val="00DA2022"/>
    <w:rsid w:val="00DA24C3"/>
    <w:rsid w:val="00DA3045"/>
    <w:rsid w:val="00DA329C"/>
    <w:rsid w:val="00DA32E2"/>
    <w:rsid w:val="00DA41BF"/>
    <w:rsid w:val="00DA4251"/>
    <w:rsid w:val="00DA466B"/>
    <w:rsid w:val="00DA5036"/>
    <w:rsid w:val="00DA5D06"/>
    <w:rsid w:val="00DA62CC"/>
    <w:rsid w:val="00DA65EA"/>
    <w:rsid w:val="00DA6B44"/>
    <w:rsid w:val="00DA7B9D"/>
    <w:rsid w:val="00DB0162"/>
    <w:rsid w:val="00DB078F"/>
    <w:rsid w:val="00DB1263"/>
    <w:rsid w:val="00DB16E0"/>
    <w:rsid w:val="00DB2399"/>
    <w:rsid w:val="00DB41B7"/>
    <w:rsid w:val="00DB45ED"/>
    <w:rsid w:val="00DB4981"/>
    <w:rsid w:val="00DB55CF"/>
    <w:rsid w:val="00DB5D99"/>
    <w:rsid w:val="00DB6CD1"/>
    <w:rsid w:val="00DB73FD"/>
    <w:rsid w:val="00DB75D7"/>
    <w:rsid w:val="00DC00EB"/>
    <w:rsid w:val="00DC05FE"/>
    <w:rsid w:val="00DC0992"/>
    <w:rsid w:val="00DC0FB7"/>
    <w:rsid w:val="00DC14B0"/>
    <w:rsid w:val="00DC17D8"/>
    <w:rsid w:val="00DC1BF4"/>
    <w:rsid w:val="00DC1E8F"/>
    <w:rsid w:val="00DC2565"/>
    <w:rsid w:val="00DC379E"/>
    <w:rsid w:val="00DC37A0"/>
    <w:rsid w:val="00DC3FDC"/>
    <w:rsid w:val="00DC4412"/>
    <w:rsid w:val="00DC5971"/>
    <w:rsid w:val="00DC6D4D"/>
    <w:rsid w:val="00DC78B5"/>
    <w:rsid w:val="00DC7D6A"/>
    <w:rsid w:val="00DD082C"/>
    <w:rsid w:val="00DD0E1F"/>
    <w:rsid w:val="00DD1788"/>
    <w:rsid w:val="00DD2737"/>
    <w:rsid w:val="00DD2BBC"/>
    <w:rsid w:val="00DD2D9E"/>
    <w:rsid w:val="00DD3284"/>
    <w:rsid w:val="00DD43CD"/>
    <w:rsid w:val="00DD45C1"/>
    <w:rsid w:val="00DD5DBE"/>
    <w:rsid w:val="00DD7A0E"/>
    <w:rsid w:val="00DE170E"/>
    <w:rsid w:val="00DE17DC"/>
    <w:rsid w:val="00DE191D"/>
    <w:rsid w:val="00DE19C7"/>
    <w:rsid w:val="00DE19EF"/>
    <w:rsid w:val="00DE1A73"/>
    <w:rsid w:val="00DE1B61"/>
    <w:rsid w:val="00DE1CD7"/>
    <w:rsid w:val="00DE1F68"/>
    <w:rsid w:val="00DE28BC"/>
    <w:rsid w:val="00DE2F61"/>
    <w:rsid w:val="00DE3799"/>
    <w:rsid w:val="00DE3CA7"/>
    <w:rsid w:val="00DE40AB"/>
    <w:rsid w:val="00DE4B6A"/>
    <w:rsid w:val="00DE5140"/>
    <w:rsid w:val="00DE51FC"/>
    <w:rsid w:val="00DE5321"/>
    <w:rsid w:val="00DE564E"/>
    <w:rsid w:val="00DE5FF3"/>
    <w:rsid w:val="00DE6273"/>
    <w:rsid w:val="00DE6A22"/>
    <w:rsid w:val="00DE6D76"/>
    <w:rsid w:val="00DE72E8"/>
    <w:rsid w:val="00DE77F7"/>
    <w:rsid w:val="00DE7A0F"/>
    <w:rsid w:val="00DE7CD8"/>
    <w:rsid w:val="00DF0A27"/>
    <w:rsid w:val="00DF0CE1"/>
    <w:rsid w:val="00DF22DE"/>
    <w:rsid w:val="00DF2CC1"/>
    <w:rsid w:val="00DF3E68"/>
    <w:rsid w:val="00DF49A0"/>
    <w:rsid w:val="00DF4A51"/>
    <w:rsid w:val="00DF59D2"/>
    <w:rsid w:val="00DF5B25"/>
    <w:rsid w:val="00DF64E9"/>
    <w:rsid w:val="00DF79F6"/>
    <w:rsid w:val="00DF7BF5"/>
    <w:rsid w:val="00DF7FDA"/>
    <w:rsid w:val="00E0061B"/>
    <w:rsid w:val="00E0085B"/>
    <w:rsid w:val="00E009B2"/>
    <w:rsid w:val="00E0136A"/>
    <w:rsid w:val="00E014F6"/>
    <w:rsid w:val="00E0155A"/>
    <w:rsid w:val="00E0173F"/>
    <w:rsid w:val="00E01997"/>
    <w:rsid w:val="00E01F6C"/>
    <w:rsid w:val="00E03113"/>
    <w:rsid w:val="00E03657"/>
    <w:rsid w:val="00E0389B"/>
    <w:rsid w:val="00E03ED4"/>
    <w:rsid w:val="00E04B8E"/>
    <w:rsid w:val="00E05B37"/>
    <w:rsid w:val="00E0712E"/>
    <w:rsid w:val="00E0719C"/>
    <w:rsid w:val="00E07BA8"/>
    <w:rsid w:val="00E07F39"/>
    <w:rsid w:val="00E10724"/>
    <w:rsid w:val="00E10DC3"/>
    <w:rsid w:val="00E129C4"/>
    <w:rsid w:val="00E12ABE"/>
    <w:rsid w:val="00E14389"/>
    <w:rsid w:val="00E14F56"/>
    <w:rsid w:val="00E156F9"/>
    <w:rsid w:val="00E158CD"/>
    <w:rsid w:val="00E15A39"/>
    <w:rsid w:val="00E15BE5"/>
    <w:rsid w:val="00E15CF1"/>
    <w:rsid w:val="00E16865"/>
    <w:rsid w:val="00E1688A"/>
    <w:rsid w:val="00E16998"/>
    <w:rsid w:val="00E1710B"/>
    <w:rsid w:val="00E206EA"/>
    <w:rsid w:val="00E20824"/>
    <w:rsid w:val="00E21119"/>
    <w:rsid w:val="00E21348"/>
    <w:rsid w:val="00E234DF"/>
    <w:rsid w:val="00E23A59"/>
    <w:rsid w:val="00E23E00"/>
    <w:rsid w:val="00E23FAE"/>
    <w:rsid w:val="00E26065"/>
    <w:rsid w:val="00E260BC"/>
    <w:rsid w:val="00E26349"/>
    <w:rsid w:val="00E26695"/>
    <w:rsid w:val="00E26A6D"/>
    <w:rsid w:val="00E26C53"/>
    <w:rsid w:val="00E274B1"/>
    <w:rsid w:val="00E2763D"/>
    <w:rsid w:val="00E2769A"/>
    <w:rsid w:val="00E276B0"/>
    <w:rsid w:val="00E3035F"/>
    <w:rsid w:val="00E30880"/>
    <w:rsid w:val="00E30F85"/>
    <w:rsid w:val="00E311D6"/>
    <w:rsid w:val="00E31809"/>
    <w:rsid w:val="00E319F4"/>
    <w:rsid w:val="00E31F9D"/>
    <w:rsid w:val="00E329C7"/>
    <w:rsid w:val="00E32A26"/>
    <w:rsid w:val="00E32BDC"/>
    <w:rsid w:val="00E330D1"/>
    <w:rsid w:val="00E33183"/>
    <w:rsid w:val="00E331B5"/>
    <w:rsid w:val="00E33C31"/>
    <w:rsid w:val="00E33CFF"/>
    <w:rsid w:val="00E3401A"/>
    <w:rsid w:val="00E354BD"/>
    <w:rsid w:val="00E3580A"/>
    <w:rsid w:val="00E35DFE"/>
    <w:rsid w:val="00E3627A"/>
    <w:rsid w:val="00E365A6"/>
    <w:rsid w:val="00E37949"/>
    <w:rsid w:val="00E41038"/>
    <w:rsid w:val="00E41259"/>
    <w:rsid w:val="00E41437"/>
    <w:rsid w:val="00E418BF"/>
    <w:rsid w:val="00E41EE1"/>
    <w:rsid w:val="00E421C3"/>
    <w:rsid w:val="00E43981"/>
    <w:rsid w:val="00E43CC7"/>
    <w:rsid w:val="00E44208"/>
    <w:rsid w:val="00E44291"/>
    <w:rsid w:val="00E442CA"/>
    <w:rsid w:val="00E44383"/>
    <w:rsid w:val="00E44516"/>
    <w:rsid w:val="00E44DE3"/>
    <w:rsid w:val="00E45111"/>
    <w:rsid w:val="00E467B0"/>
    <w:rsid w:val="00E46CFB"/>
    <w:rsid w:val="00E46D9A"/>
    <w:rsid w:val="00E46EA0"/>
    <w:rsid w:val="00E479F7"/>
    <w:rsid w:val="00E47C40"/>
    <w:rsid w:val="00E505CD"/>
    <w:rsid w:val="00E50AC5"/>
    <w:rsid w:val="00E50D5B"/>
    <w:rsid w:val="00E519F9"/>
    <w:rsid w:val="00E51DFE"/>
    <w:rsid w:val="00E521E7"/>
    <w:rsid w:val="00E53832"/>
    <w:rsid w:val="00E53D11"/>
    <w:rsid w:val="00E541DD"/>
    <w:rsid w:val="00E5439A"/>
    <w:rsid w:val="00E543A4"/>
    <w:rsid w:val="00E54778"/>
    <w:rsid w:val="00E54D9C"/>
    <w:rsid w:val="00E557C3"/>
    <w:rsid w:val="00E55CEB"/>
    <w:rsid w:val="00E55EE3"/>
    <w:rsid w:val="00E56059"/>
    <w:rsid w:val="00E56245"/>
    <w:rsid w:val="00E56415"/>
    <w:rsid w:val="00E567A3"/>
    <w:rsid w:val="00E6012F"/>
    <w:rsid w:val="00E60D0E"/>
    <w:rsid w:val="00E610C2"/>
    <w:rsid w:val="00E62978"/>
    <w:rsid w:val="00E633D6"/>
    <w:rsid w:val="00E648AC"/>
    <w:rsid w:val="00E653CF"/>
    <w:rsid w:val="00E658BB"/>
    <w:rsid w:val="00E6725E"/>
    <w:rsid w:val="00E6734F"/>
    <w:rsid w:val="00E67EBF"/>
    <w:rsid w:val="00E67F37"/>
    <w:rsid w:val="00E70221"/>
    <w:rsid w:val="00E70A4D"/>
    <w:rsid w:val="00E7190D"/>
    <w:rsid w:val="00E71F73"/>
    <w:rsid w:val="00E71F89"/>
    <w:rsid w:val="00E7205C"/>
    <w:rsid w:val="00E727F2"/>
    <w:rsid w:val="00E72A36"/>
    <w:rsid w:val="00E72B4B"/>
    <w:rsid w:val="00E72CD1"/>
    <w:rsid w:val="00E73275"/>
    <w:rsid w:val="00E7332C"/>
    <w:rsid w:val="00E73982"/>
    <w:rsid w:val="00E73998"/>
    <w:rsid w:val="00E73C3A"/>
    <w:rsid w:val="00E742B6"/>
    <w:rsid w:val="00E742FA"/>
    <w:rsid w:val="00E74B3F"/>
    <w:rsid w:val="00E75176"/>
    <w:rsid w:val="00E75786"/>
    <w:rsid w:val="00E76282"/>
    <w:rsid w:val="00E76712"/>
    <w:rsid w:val="00E7683C"/>
    <w:rsid w:val="00E7691C"/>
    <w:rsid w:val="00E7744D"/>
    <w:rsid w:val="00E8057A"/>
    <w:rsid w:val="00E810EF"/>
    <w:rsid w:val="00E814E3"/>
    <w:rsid w:val="00E82E60"/>
    <w:rsid w:val="00E836EF"/>
    <w:rsid w:val="00E837E0"/>
    <w:rsid w:val="00E8391C"/>
    <w:rsid w:val="00E84471"/>
    <w:rsid w:val="00E8505E"/>
    <w:rsid w:val="00E85BC8"/>
    <w:rsid w:val="00E85ECC"/>
    <w:rsid w:val="00E860B7"/>
    <w:rsid w:val="00E866E2"/>
    <w:rsid w:val="00E86CF2"/>
    <w:rsid w:val="00E86D22"/>
    <w:rsid w:val="00E871B6"/>
    <w:rsid w:val="00E87348"/>
    <w:rsid w:val="00E87B7B"/>
    <w:rsid w:val="00E87EF9"/>
    <w:rsid w:val="00E907B1"/>
    <w:rsid w:val="00E91122"/>
    <w:rsid w:val="00E91168"/>
    <w:rsid w:val="00E91312"/>
    <w:rsid w:val="00E9236C"/>
    <w:rsid w:val="00E9258E"/>
    <w:rsid w:val="00E928FF"/>
    <w:rsid w:val="00E92A76"/>
    <w:rsid w:val="00E92D5E"/>
    <w:rsid w:val="00E92EDC"/>
    <w:rsid w:val="00E93702"/>
    <w:rsid w:val="00E942AC"/>
    <w:rsid w:val="00E94928"/>
    <w:rsid w:val="00E953E9"/>
    <w:rsid w:val="00E95B27"/>
    <w:rsid w:val="00E973AC"/>
    <w:rsid w:val="00E973E7"/>
    <w:rsid w:val="00E97571"/>
    <w:rsid w:val="00E976E9"/>
    <w:rsid w:val="00E97759"/>
    <w:rsid w:val="00E97A2B"/>
    <w:rsid w:val="00EA0500"/>
    <w:rsid w:val="00EA0B29"/>
    <w:rsid w:val="00EA0BA1"/>
    <w:rsid w:val="00EA1219"/>
    <w:rsid w:val="00EA1FF9"/>
    <w:rsid w:val="00EA22D9"/>
    <w:rsid w:val="00EA25CD"/>
    <w:rsid w:val="00EA3275"/>
    <w:rsid w:val="00EA3E83"/>
    <w:rsid w:val="00EA3F35"/>
    <w:rsid w:val="00EA40E1"/>
    <w:rsid w:val="00EA4A16"/>
    <w:rsid w:val="00EA4FDF"/>
    <w:rsid w:val="00EA59EE"/>
    <w:rsid w:val="00EA5C19"/>
    <w:rsid w:val="00EA63AB"/>
    <w:rsid w:val="00EA67D2"/>
    <w:rsid w:val="00EA724E"/>
    <w:rsid w:val="00EB09DB"/>
    <w:rsid w:val="00EB0FB8"/>
    <w:rsid w:val="00EB1431"/>
    <w:rsid w:val="00EB1756"/>
    <w:rsid w:val="00EB1889"/>
    <w:rsid w:val="00EB211A"/>
    <w:rsid w:val="00EB2C7C"/>
    <w:rsid w:val="00EB2D1E"/>
    <w:rsid w:val="00EB2F71"/>
    <w:rsid w:val="00EB3354"/>
    <w:rsid w:val="00EB3F3D"/>
    <w:rsid w:val="00EB448E"/>
    <w:rsid w:val="00EB4770"/>
    <w:rsid w:val="00EB50CC"/>
    <w:rsid w:val="00EB5635"/>
    <w:rsid w:val="00EB57FC"/>
    <w:rsid w:val="00EB5B19"/>
    <w:rsid w:val="00EB5B77"/>
    <w:rsid w:val="00EB5C5B"/>
    <w:rsid w:val="00EB625B"/>
    <w:rsid w:val="00EB6F15"/>
    <w:rsid w:val="00EB7220"/>
    <w:rsid w:val="00EC0E55"/>
    <w:rsid w:val="00EC1A59"/>
    <w:rsid w:val="00EC1B17"/>
    <w:rsid w:val="00EC2442"/>
    <w:rsid w:val="00EC27F7"/>
    <w:rsid w:val="00EC40CD"/>
    <w:rsid w:val="00EC4729"/>
    <w:rsid w:val="00EC48F8"/>
    <w:rsid w:val="00EC5107"/>
    <w:rsid w:val="00EC59EF"/>
    <w:rsid w:val="00EC6195"/>
    <w:rsid w:val="00EC6327"/>
    <w:rsid w:val="00EC684A"/>
    <w:rsid w:val="00EC71F4"/>
    <w:rsid w:val="00EC78F9"/>
    <w:rsid w:val="00EC7FE0"/>
    <w:rsid w:val="00ED0422"/>
    <w:rsid w:val="00ED0CE1"/>
    <w:rsid w:val="00ED1453"/>
    <w:rsid w:val="00ED27AE"/>
    <w:rsid w:val="00ED3AE7"/>
    <w:rsid w:val="00ED4F53"/>
    <w:rsid w:val="00ED64CF"/>
    <w:rsid w:val="00ED6C1F"/>
    <w:rsid w:val="00ED6C82"/>
    <w:rsid w:val="00ED6E59"/>
    <w:rsid w:val="00ED7802"/>
    <w:rsid w:val="00ED7A5F"/>
    <w:rsid w:val="00EE1158"/>
    <w:rsid w:val="00EE1601"/>
    <w:rsid w:val="00EE2535"/>
    <w:rsid w:val="00EE26FE"/>
    <w:rsid w:val="00EE2BE9"/>
    <w:rsid w:val="00EE32CB"/>
    <w:rsid w:val="00EE35EF"/>
    <w:rsid w:val="00EE3B9E"/>
    <w:rsid w:val="00EE3F0E"/>
    <w:rsid w:val="00EE41D2"/>
    <w:rsid w:val="00EE4DB1"/>
    <w:rsid w:val="00EE54A1"/>
    <w:rsid w:val="00EE5760"/>
    <w:rsid w:val="00EE63FB"/>
    <w:rsid w:val="00EE6A31"/>
    <w:rsid w:val="00EE6E6A"/>
    <w:rsid w:val="00EE726B"/>
    <w:rsid w:val="00EE7343"/>
    <w:rsid w:val="00EE7A13"/>
    <w:rsid w:val="00EE7EBF"/>
    <w:rsid w:val="00EE7FDD"/>
    <w:rsid w:val="00EF0282"/>
    <w:rsid w:val="00EF1375"/>
    <w:rsid w:val="00EF1471"/>
    <w:rsid w:val="00EF154F"/>
    <w:rsid w:val="00EF1740"/>
    <w:rsid w:val="00EF2C91"/>
    <w:rsid w:val="00EF302D"/>
    <w:rsid w:val="00EF3A77"/>
    <w:rsid w:val="00EF3F66"/>
    <w:rsid w:val="00EF4395"/>
    <w:rsid w:val="00EF49C1"/>
    <w:rsid w:val="00EF6332"/>
    <w:rsid w:val="00EF7297"/>
    <w:rsid w:val="00EF7F6E"/>
    <w:rsid w:val="00F000E4"/>
    <w:rsid w:val="00F00225"/>
    <w:rsid w:val="00F01383"/>
    <w:rsid w:val="00F01898"/>
    <w:rsid w:val="00F02540"/>
    <w:rsid w:val="00F02E7A"/>
    <w:rsid w:val="00F03DE7"/>
    <w:rsid w:val="00F042C2"/>
    <w:rsid w:val="00F04315"/>
    <w:rsid w:val="00F050B2"/>
    <w:rsid w:val="00F050E6"/>
    <w:rsid w:val="00F055C0"/>
    <w:rsid w:val="00F05814"/>
    <w:rsid w:val="00F0694A"/>
    <w:rsid w:val="00F06EAD"/>
    <w:rsid w:val="00F10280"/>
    <w:rsid w:val="00F10481"/>
    <w:rsid w:val="00F10742"/>
    <w:rsid w:val="00F1191A"/>
    <w:rsid w:val="00F11930"/>
    <w:rsid w:val="00F119C1"/>
    <w:rsid w:val="00F11D31"/>
    <w:rsid w:val="00F11E95"/>
    <w:rsid w:val="00F11F22"/>
    <w:rsid w:val="00F11F3C"/>
    <w:rsid w:val="00F11FB0"/>
    <w:rsid w:val="00F12155"/>
    <w:rsid w:val="00F12987"/>
    <w:rsid w:val="00F1324C"/>
    <w:rsid w:val="00F1348F"/>
    <w:rsid w:val="00F13E56"/>
    <w:rsid w:val="00F142A7"/>
    <w:rsid w:val="00F14708"/>
    <w:rsid w:val="00F15A4D"/>
    <w:rsid w:val="00F15ACC"/>
    <w:rsid w:val="00F1722B"/>
    <w:rsid w:val="00F17676"/>
    <w:rsid w:val="00F178B8"/>
    <w:rsid w:val="00F17992"/>
    <w:rsid w:val="00F17AEA"/>
    <w:rsid w:val="00F17D73"/>
    <w:rsid w:val="00F2085D"/>
    <w:rsid w:val="00F20AFB"/>
    <w:rsid w:val="00F20B07"/>
    <w:rsid w:val="00F215C0"/>
    <w:rsid w:val="00F21B8E"/>
    <w:rsid w:val="00F22FF0"/>
    <w:rsid w:val="00F24061"/>
    <w:rsid w:val="00F2461D"/>
    <w:rsid w:val="00F2508F"/>
    <w:rsid w:val="00F25992"/>
    <w:rsid w:val="00F25C81"/>
    <w:rsid w:val="00F25EAC"/>
    <w:rsid w:val="00F2600B"/>
    <w:rsid w:val="00F30B6F"/>
    <w:rsid w:val="00F3221D"/>
    <w:rsid w:val="00F32567"/>
    <w:rsid w:val="00F33383"/>
    <w:rsid w:val="00F3392E"/>
    <w:rsid w:val="00F33AC4"/>
    <w:rsid w:val="00F33BAB"/>
    <w:rsid w:val="00F3402D"/>
    <w:rsid w:val="00F340AB"/>
    <w:rsid w:val="00F345D5"/>
    <w:rsid w:val="00F34C98"/>
    <w:rsid w:val="00F36029"/>
    <w:rsid w:val="00F369FC"/>
    <w:rsid w:val="00F36DCA"/>
    <w:rsid w:val="00F37D4F"/>
    <w:rsid w:val="00F40C55"/>
    <w:rsid w:val="00F4118C"/>
    <w:rsid w:val="00F41649"/>
    <w:rsid w:val="00F423F8"/>
    <w:rsid w:val="00F42F81"/>
    <w:rsid w:val="00F43402"/>
    <w:rsid w:val="00F43539"/>
    <w:rsid w:val="00F442E7"/>
    <w:rsid w:val="00F4447E"/>
    <w:rsid w:val="00F45469"/>
    <w:rsid w:val="00F4549A"/>
    <w:rsid w:val="00F45A14"/>
    <w:rsid w:val="00F45C4C"/>
    <w:rsid w:val="00F46012"/>
    <w:rsid w:val="00F465B9"/>
    <w:rsid w:val="00F46763"/>
    <w:rsid w:val="00F46C8B"/>
    <w:rsid w:val="00F473CD"/>
    <w:rsid w:val="00F47791"/>
    <w:rsid w:val="00F47BA7"/>
    <w:rsid w:val="00F47DB4"/>
    <w:rsid w:val="00F50046"/>
    <w:rsid w:val="00F506E2"/>
    <w:rsid w:val="00F50A2B"/>
    <w:rsid w:val="00F51271"/>
    <w:rsid w:val="00F516C3"/>
    <w:rsid w:val="00F517B7"/>
    <w:rsid w:val="00F51B0B"/>
    <w:rsid w:val="00F5222C"/>
    <w:rsid w:val="00F53008"/>
    <w:rsid w:val="00F53412"/>
    <w:rsid w:val="00F54254"/>
    <w:rsid w:val="00F5451F"/>
    <w:rsid w:val="00F54909"/>
    <w:rsid w:val="00F54E92"/>
    <w:rsid w:val="00F54FCF"/>
    <w:rsid w:val="00F55AEE"/>
    <w:rsid w:val="00F56074"/>
    <w:rsid w:val="00F5636F"/>
    <w:rsid w:val="00F56F60"/>
    <w:rsid w:val="00F571B2"/>
    <w:rsid w:val="00F576FE"/>
    <w:rsid w:val="00F60936"/>
    <w:rsid w:val="00F619B6"/>
    <w:rsid w:val="00F61A58"/>
    <w:rsid w:val="00F61D21"/>
    <w:rsid w:val="00F6286D"/>
    <w:rsid w:val="00F6297C"/>
    <w:rsid w:val="00F629B5"/>
    <w:rsid w:val="00F62D06"/>
    <w:rsid w:val="00F631B6"/>
    <w:rsid w:val="00F63746"/>
    <w:rsid w:val="00F64294"/>
    <w:rsid w:val="00F64949"/>
    <w:rsid w:val="00F65794"/>
    <w:rsid w:val="00F65F05"/>
    <w:rsid w:val="00F666DE"/>
    <w:rsid w:val="00F66B66"/>
    <w:rsid w:val="00F67C53"/>
    <w:rsid w:val="00F704CC"/>
    <w:rsid w:val="00F70A3E"/>
    <w:rsid w:val="00F70B2E"/>
    <w:rsid w:val="00F7195B"/>
    <w:rsid w:val="00F722A9"/>
    <w:rsid w:val="00F72C4A"/>
    <w:rsid w:val="00F734E2"/>
    <w:rsid w:val="00F73999"/>
    <w:rsid w:val="00F73D50"/>
    <w:rsid w:val="00F73E7B"/>
    <w:rsid w:val="00F748B6"/>
    <w:rsid w:val="00F74A2F"/>
    <w:rsid w:val="00F74B7C"/>
    <w:rsid w:val="00F7539A"/>
    <w:rsid w:val="00F7555E"/>
    <w:rsid w:val="00F75A91"/>
    <w:rsid w:val="00F75BD2"/>
    <w:rsid w:val="00F75D11"/>
    <w:rsid w:val="00F760E2"/>
    <w:rsid w:val="00F760FD"/>
    <w:rsid w:val="00F7649D"/>
    <w:rsid w:val="00F76C07"/>
    <w:rsid w:val="00F7764C"/>
    <w:rsid w:val="00F776E1"/>
    <w:rsid w:val="00F77B00"/>
    <w:rsid w:val="00F77FCA"/>
    <w:rsid w:val="00F80380"/>
    <w:rsid w:val="00F80806"/>
    <w:rsid w:val="00F808EF"/>
    <w:rsid w:val="00F80C9F"/>
    <w:rsid w:val="00F81353"/>
    <w:rsid w:val="00F81725"/>
    <w:rsid w:val="00F81B95"/>
    <w:rsid w:val="00F820F9"/>
    <w:rsid w:val="00F82A50"/>
    <w:rsid w:val="00F82EA4"/>
    <w:rsid w:val="00F8307F"/>
    <w:rsid w:val="00F8327C"/>
    <w:rsid w:val="00F843E2"/>
    <w:rsid w:val="00F8537A"/>
    <w:rsid w:val="00F856FF"/>
    <w:rsid w:val="00F85F8B"/>
    <w:rsid w:val="00F862C4"/>
    <w:rsid w:val="00F86F2E"/>
    <w:rsid w:val="00F911F2"/>
    <w:rsid w:val="00F9167F"/>
    <w:rsid w:val="00F91799"/>
    <w:rsid w:val="00F92F02"/>
    <w:rsid w:val="00F92F8A"/>
    <w:rsid w:val="00F931C4"/>
    <w:rsid w:val="00F93C10"/>
    <w:rsid w:val="00F9409F"/>
    <w:rsid w:val="00F94E06"/>
    <w:rsid w:val="00F952F1"/>
    <w:rsid w:val="00F953E7"/>
    <w:rsid w:val="00F95479"/>
    <w:rsid w:val="00F95855"/>
    <w:rsid w:val="00F96530"/>
    <w:rsid w:val="00F96F15"/>
    <w:rsid w:val="00F96F52"/>
    <w:rsid w:val="00F97B2B"/>
    <w:rsid w:val="00FA01C0"/>
    <w:rsid w:val="00FA0340"/>
    <w:rsid w:val="00FA08BD"/>
    <w:rsid w:val="00FA101D"/>
    <w:rsid w:val="00FA1BEA"/>
    <w:rsid w:val="00FA2AEF"/>
    <w:rsid w:val="00FA3DBC"/>
    <w:rsid w:val="00FA58A4"/>
    <w:rsid w:val="00FA5AB1"/>
    <w:rsid w:val="00FA61A0"/>
    <w:rsid w:val="00FA6BF1"/>
    <w:rsid w:val="00FA75E6"/>
    <w:rsid w:val="00FA7F21"/>
    <w:rsid w:val="00FB00E3"/>
    <w:rsid w:val="00FB0E5A"/>
    <w:rsid w:val="00FB202B"/>
    <w:rsid w:val="00FB2529"/>
    <w:rsid w:val="00FB3A9F"/>
    <w:rsid w:val="00FB3B9C"/>
    <w:rsid w:val="00FB3C65"/>
    <w:rsid w:val="00FB4013"/>
    <w:rsid w:val="00FB43A3"/>
    <w:rsid w:val="00FB43EB"/>
    <w:rsid w:val="00FB459B"/>
    <w:rsid w:val="00FB45B8"/>
    <w:rsid w:val="00FB49D3"/>
    <w:rsid w:val="00FB50A1"/>
    <w:rsid w:val="00FB5768"/>
    <w:rsid w:val="00FB6A02"/>
    <w:rsid w:val="00FB6BD2"/>
    <w:rsid w:val="00FB6D41"/>
    <w:rsid w:val="00FB6FF6"/>
    <w:rsid w:val="00FB7CD6"/>
    <w:rsid w:val="00FC0BD2"/>
    <w:rsid w:val="00FC0C2F"/>
    <w:rsid w:val="00FC162A"/>
    <w:rsid w:val="00FC1B3A"/>
    <w:rsid w:val="00FC1FCF"/>
    <w:rsid w:val="00FC26CA"/>
    <w:rsid w:val="00FC2BD2"/>
    <w:rsid w:val="00FC2EDF"/>
    <w:rsid w:val="00FC30DE"/>
    <w:rsid w:val="00FC32E4"/>
    <w:rsid w:val="00FC3389"/>
    <w:rsid w:val="00FC395C"/>
    <w:rsid w:val="00FC3D25"/>
    <w:rsid w:val="00FC3FB2"/>
    <w:rsid w:val="00FC79D7"/>
    <w:rsid w:val="00FD032C"/>
    <w:rsid w:val="00FD0CA0"/>
    <w:rsid w:val="00FD0E82"/>
    <w:rsid w:val="00FD1637"/>
    <w:rsid w:val="00FD24F3"/>
    <w:rsid w:val="00FD2525"/>
    <w:rsid w:val="00FD2A37"/>
    <w:rsid w:val="00FD32E1"/>
    <w:rsid w:val="00FD3D27"/>
    <w:rsid w:val="00FD47EC"/>
    <w:rsid w:val="00FD51E4"/>
    <w:rsid w:val="00FD53B7"/>
    <w:rsid w:val="00FD53C5"/>
    <w:rsid w:val="00FD61A3"/>
    <w:rsid w:val="00FD67A9"/>
    <w:rsid w:val="00FD699E"/>
    <w:rsid w:val="00FD735F"/>
    <w:rsid w:val="00FD7930"/>
    <w:rsid w:val="00FE12E3"/>
    <w:rsid w:val="00FE15FA"/>
    <w:rsid w:val="00FE171E"/>
    <w:rsid w:val="00FE1896"/>
    <w:rsid w:val="00FE3064"/>
    <w:rsid w:val="00FE3250"/>
    <w:rsid w:val="00FE356C"/>
    <w:rsid w:val="00FE3811"/>
    <w:rsid w:val="00FE38CA"/>
    <w:rsid w:val="00FE3A98"/>
    <w:rsid w:val="00FE47DE"/>
    <w:rsid w:val="00FE5071"/>
    <w:rsid w:val="00FE6AEB"/>
    <w:rsid w:val="00FE7365"/>
    <w:rsid w:val="00FE7726"/>
    <w:rsid w:val="00FE7915"/>
    <w:rsid w:val="00FF0304"/>
    <w:rsid w:val="00FF0A9E"/>
    <w:rsid w:val="00FF12C9"/>
    <w:rsid w:val="00FF1C21"/>
    <w:rsid w:val="00FF1D80"/>
    <w:rsid w:val="00FF3030"/>
    <w:rsid w:val="00FF3266"/>
    <w:rsid w:val="00FF468D"/>
    <w:rsid w:val="00FF4F00"/>
    <w:rsid w:val="00FF52D4"/>
    <w:rsid w:val="00FF6144"/>
    <w:rsid w:val="00FF64D2"/>
    <w:rsid w:val="00FF6846"/>
    <w:rsid w:val="00FF698C"/>
    <w:rsid w:val="00FF6C66"/>
    <w:rsid w:val="00FF700F"/>
    <w:rsid w:val="00FF7D30"/>
    <w:rsid w:val="012ED90D"/>
    <w:rsid w:val="0133189C"/>
    <w:rsid w:val="018EBF6F"/>
    <w:rsid w:val="01920C00"/>
    <w:rsid w:val="01A5BBEB"/>
    <w:rsid w:val="01C53392"/>
    <w:rsid w:val="01C645F4"/>
    <w:rsid w:val="01F3814F"/>
    <w:rsid w:val="01FFC97C"/>
    <w:rsid w:val="020642BC"/>
    <w:rsid w:val="020B8854"/>
    <w:rsid w:val="0219AEA2"/>
    <w:rsid w:val="025977B0"/>
    <w:rsid w:val="0284868A"/>
    <w:rsid w:val="02896DCC"/>
    <w:rsid w:val="02ABAA5D"/>
    <w:rsid w:val="03000E7D"/>
    <w:rsid w:val="0301F247"/>
    <w:rsid w:val="03023AE1"/>
    <w:rsid w:val="031D81D7"/>
    <w:rsid w:val="033ECA0B"/>
    <w:rsid w:val="03657243"/>
    <w:rsid w:val="037ABB40"/>
    <w:rsid w:val="03A64675"/>
    <w:rsid w:val="03EF94D8"/>
    <w:rsid w:val="041BF13C"/>
    <w:rsid w:val="0436261E"/>
    <w:rsid w:val="0440D0BE"/>
    <w:rsid w:val="044EF443"/>
    <w:rsid w:val="048BC1D7"/>
    <w:rsid w:val="04B9577D"/>
    <w:rsid w:val="04F78223"/>
    <w:rsid w:val="05665145"/>
    <w:rsid w:val="057029FB"/>
    <w:rsid w:val="06019658"/>
    <w:rsid w:val="0612151C"/>
    <w:rsid w:val="0629979F"/>
    <w:rsid w:val="06324FE0"/>
    <w:rsid w:val="064B2C3C"/>
    <w:rsid w:val="06557570"/>
    <w:rsid w:val="067A1943"/>
    <w:rsid w:val="06808D32"/>
    <w:rsid w:val="069C560D"/>
    <w:rsid w:val="069CB95F"/>
    <w:rsid w:val="06A981D4"/>
    <w:rsid w:val="06B2C77E"/>
    <w:rsid w:val="06CEEA14"/>
    <w:rsid w:val="06D571DC"/>
    <w:rsid w:val="06DC9D13"/>
    <w:rsid w:val="0739A9D0"/>
    <w:rsid w:val="07772777"/>
    <w:rsid w:val="07B581E3"/>
    <w:rsid w:val="07B7116E"/>
    <w:rsid w:val="07FF8A40"/>
    <w:rsid w:val="085D31B2"/>
    <w:rsid w:val="0872690A"/>
    <w:rsid w:val="08C51568"/>
    <w:rsid w:val="08D7CBEF"/>
    <w:rsid w:val="08E3C26F"/>
    <w:rsid w:val="09415517"/>
    <w:rsid w:val="094EBA6B"/>
    <w:rsid w:val="09801EB9"/>
    <w:rsid w:val="0992C569"/>
    <w:rsid w:val="09A4DBC0"/>
    <w:rsid w:val="09D94545"/>
    <w:rsid w:val="09DD59A7"/>
    <w:rsid w:val="09EDEC06"/>
    <w:rsid w:val="09FF1A5E"/>
    <w:rsid w:val="0A2C9BE6"/>
    <w:rsid w:val="0A461D89"/>
    <w:rsid w:val="0A541E68"/>
    <w:rsid w:val="0A63E368"/>
    <w:rsid w:val="0A643B1F"/>
    <w:rsid w:val="0A78EE7B"/>
    <w:rsid w:val="0A8AC450"/>
    <w:rsid w:val="0ABDB067"/>
    <w:rsid w:val="0AD7598C"/>
    <w:rsid w:val="0B0203A6"/>
    <w:rsid w:val="0B1BCCD4"/>
    <w:rsid w:val="0BBD5EC8"/>
    <w:rsid w:val="0BF6E2EF"/>
    <w:rsid w:val="0BF813CC"/>
    <w:rsid w:val="0C0B2121"/>
    <w:rsid w:val="0C133431"/>
    <w:rsid w:val="0C21D192"/>
    <w:rsid w:val="0C2970C6"/>
    <w:rsid w:val="0C298FB2"/>
    <w:rsid w:val="0C2D445D"/>
    <w:rsid w:val="0C4515EE"/>
    <w:rsid w:val="0C50B881"/>
    <w:rsid w:val="0C66F49A"/>
    <w:rsid w:val="0C7C2776"/>
    <w:rsid w:val="0C9BA6F1"/>
    <w:rsid w:val="0CC4D02D"/>
    <w:rsid w:val="0CD98334"/>
    <w:rsid w:val="0CEBBC34"/>
    <w:rsid w:val="0CF11FAF"/>
    <w:rsid w:val="0D0A1349"/>
    <w:rsid w:val="0D43F94D"/>
    <w:rsid w:val="0D44CF8A"/>
    <w:rsid w:val="0D498356"/>
    <w:rsid w:val="0DD731E3"/>
    <w:rsid w:val="0E026A2F"/>
    <w:rsid w:val="0E075FE9"/>
    <w:rsid w:val="0E0E0DEF"/>
    <w:rsid w:val="0E18BAEA"/>
    <w:rsid w:val="0E3473F5"/>
    <w:rsid w:val="0E4E4579"/>
    <w:rsid w:val="0E535082"/>
    <w:rsid w:val="0ECE53BF"/>
    <w:rsid w:val="0ED5DD9F"/>
    <w:rsid w:val="0F5D325F"/>
    <w:rsid w:val="0F9CED9D"/>
    <w:rsid w:val="0FCA962D"/>
    <w:rsid w:val="0FFE0663"/>
    <w:rsid w:val="101618E9"/>
    <w:rsid w:val="10306649"/>
    <w:rsid w:val="108CCC12"/>
    <w:rsid w:val="109CD301"/>
    <w:rsid w:val="10B11526"/>
    <w:rsid w:val="10E42E35"/>
    <w:rsid w:val="10EBADB7"/>
    <w:rsid w:val="10F4F0E5"/>
    <w:rsid w:val="111D2921"/>
    <w:rsid w:val="113977F8"/>
    <w:rsid w:val="11544884"/>
    <w:rsid w:val="11636544"/>
    <w:rsid w:val="118394B3"/>
    <w:rsid w:val="1196D1BF"/>
    <w:rsid w:val="11CC6F32"/>
    <w:rsid w:val="11CF4741"/>
    <w:rsid w:val="11E02653"/>
    <w:rsid w:val="11EF2461"/>
    <w:rsid w:val="11EF3C2A"/>
    <w:rsid w:val="12091DC9"/>
    <w:rsid w:val="1209E6A5"/>
    <w:rsid w:val="12521A10"/>
    <w:rsid w:val="1253ADC1"/>
    <w:rsid w:val="127609A4"/>
    <w:rsid w:val="12942B2F"/>
    <w:rsid w:val="12973F4B"/>
    <w:rsid w:val="130BFEBE"/>
    <w:rsid w:val="1331C1F6"/>
    <w:rsid w:val="138FA460"/>
    <w:rsid w:val="13979520"/>
    <w:rsid w:val="13A958E6"/>
    <w:rsid w:val="13AC77BE"/>
    <w:rsid w:val="13CAC1FB"/>
    <w:rsid w:val="13D2BDFE"/>
    <w:rsid w:val="13D9AED8"/>
    <w:rsid w:val="13E10FB7"/>
    <w:rsid w:val="14095768"/>
    <w:rsid w:val="143EC814"/>
    <w:rsid w:val="1471D9C6"/>
    <w:rsid w:val="1490AF22"/>
    <w:rsid w:val="14D11251"/>
    <w:rsid w:val="14ECB648"/>
    <w:rsid w:val="14EF2B40"/>
    <w:rsid w:val="156108CC"/>
    <w:rsid w:val="15C551E8"/>
    <w:rsid w:val="15DBC2EB"/>
    <w:rsid w:val="162A19AA"/>
    <w:rsid w:val="165EE392"/>
    <w:rsid w:val="16A2BFED"/>
    <w:rsid w:val="16A5754D"/>
    <w:rsid w:val="16C1058B"/>
    <w:rsid w:val="16F52EEA"/>
    <w:rsid w:val="1716537D"/>
    <w:rsid w:val="1732095A"/>
    <w:rsid w:val="174FCADA"/>
    <w:rsid w:val="179DD1C1"/>
    <w:rsid w:val="17E02EF2"/>
    <w:rsid w:val="17F4667B"/>
    <w:rsid w:val="1887FECB"/>
    <w:rsid w:val="18BA6112"/>
    <w:rsid w:val="191151AB"/>
    <w:rsid w:val="19559C76"/>
    <w:rsid w:val="1999BEE1"/>
    <w:rsid w:val="199E6C61"/>
    <w:rsid w:val="19CD8146"/>
    <w:rsid w:val="1A32F296"/>
    <w:rsid w:val="1A520629"/>
    <w:rsid w:val="1A6464DD"/>
    <w:rsid w:val="1A88912F"/>
    <w:rsid w:val="1BE22CEE"/>
    <w:rsid w:val="1C17602A"/>
    <w:rsid w:val="1C357D2A"/>
    <w:rsid w:val="1C364869"/>
    <w:rsid w:val="1C4C8C04"/>
    <w:rsid w:val="1C6CCDE3"/>
    <w:rsid w:val="1C6F40AF"/>
    <w:rsid w:val="1CD95323"/>
    <w:rsid w:val="1CDCDD19"/>
    <w:rsid w:val="1D36A2CD"/>
    <w:rsid w:val="1D7C1381"/>
    <w:rsid w:val="1D9A9069"/>
    <w:rsid w:val="1DACE96D"/>
    <w:rsid w:val="1E06C643"/>
    <w:rsid w:val="1E11CAAA"/>
    <w:rsid w:val="1E28A819"/>
    <w:rsid w:val="1E2BC0EE"/>
    <w:rsid w:val="1E3EAADC"/>
    <w:rsid w:val="1E4971AD"/>
    <w:rsid w:val="1E6DA344"/>
    <w:rsid w:val="1E866776"/>
    <w:rsid w:val="1E8F3B9F"/>
    <w:rsid w:val="1E9C7565"/>
    <w:rsid w:val="1EA84A8C"/>
    <w:rsid w:val="1EB7A5BF"/>
    <w:rsid w:val="1EBBB852"/>
    <w:rsid w:val="1EF7168D"/>
    <w:rsid w:val="1F24FBD3"/>
    <w:rsid w:val="1F34E72A"/>
    <w:rsid w:val="1F5C131E"/>
    <w:rsid w:val="1F7F0C9B"/>
    <w:rsid w:val="1F89879F"/>
    <w:rsid w:val="1FA4D920"/>
    <w:rsid w:val="1FAE9D0D"/>
    <w:rsid w:val="1FF236CF"/>
    <w:rsid w:val="205CECB2"/>
    <w:rsid w:val="207915AC"/>
    <w:rsid w:val="20A4FDD1"/>
    <w:rsid w:val="20ABFD62"/>
    <w:rsid w:val="20CEC4F1"/>
    <w:rsid w:val="20E141AC"/>
    <w:rsid w:val="21361C6C"/>
    <w:rsid w:val="214B15A5"/>
    <w:rsid w:val="217CCDE3"/>
    <w:rsid w:val="2185AAD5"/>
    <w:rsid w:val="21A56E40"/>
    <w:rsid w:val="2208F4AB"/>
    <w:rsid w:val="22382B75"/>
    <w:rsid w:val="225850F7"/>
    <w:rsid w:val="22D8B82C"/>
    <w:rsid w:val="22F2CC8B"/>
    <w:rsid w:val="22FAA316"/>
    <w:rsid w:val="235F7478"/>
    <w:rsid w:val="238A1DA8"/>
    <w:rsid w:val="239D652A"/>
    <w:rsid w:val="23ACE2A1"/>
    <w:rsid w:val="23DB1E1E"/>
    <w:rsid w:val="2409EFA8"/>
    <w:rsid w:val="24192292"/>
    <w:rsid w:val="244849F3"/>
    <w:rsid w:val="24A391A5"/>
    <w:rsid w:val="24AA5301"/>
    <w:rsid w:val="24EA8D30"/>
    <w:rsid w:val="24F3A6C4"/>
    <w:rsid w:val="2527F40D"/>
    <w:rsid w:val="25422C53"/>
    <w:rsid w:val="257E69ED"/>
    <w:rsid w:val="25800C38"/>
    <w:rsid w:val="259C1640"/>
    <w:rsid w:val="25C7579F"/>
    <w:rsid w:val="25E8544D"/>
    <w:rsid w:val="26032AA7"/>
    <w:rsid w:val="260C6971"/>
    <w:rsid w:val="263AEEDD"/>
    <w:rsid w:val="263E59D6"/>
    <w:rsid w:val="26418CA7"/>
    <w:rsid w:val="269E8AB2"/>
    <w:rsid w:val="26AA97A5"/>
    <w:rsid w:val="26ADF992"/>
    <w:rsid w:val="26C9B435"/>
    <w:rsid w:val="26F69877"/>
    <w:rsid w:val="27104669"/>
    <w:rsid w:val="27321EAD"/>
    <w:rsid w:val="27CEBBEE"/>
    <w:rsid w:val="2819371F"/>
    <w:rsid w:val="283624D2"/>
    <w:rsid w:val="2844264F"/>
    <w:rsid w:val="286CE0A6"/>
    <w:rsid w:val="287AB654"/>
    <w:rsid w:val="289CB7A5"/>
    <w:rsid w:val="28ED3A35"/>
    <w:rsid w:val="28FF5821"/>
    <w:rsid w:val="29234C46"/>
    <w:rsid w:val="294C9706"/>
    <w:rsid w:val="2A10F27A"/>
    <w:rsid w:val="2A1F1A10"/>
    <w:rsid w:val="2A27AFFF"/>
    <w:rsid w:val="2A3DCE96"/>
    <w:rsid w:val="2ADB3A3F"/>
    <w:rsid w:val="2AF7A732"/>
    <w:rsid w:val="2AFCCDB0"/>
    <w:rsid w:val="2B12C4E9"/>
    <w:rsid w:val="2B42D409"/>
    <w:rsid w:val="2B57E5B8"/>
    <w:rsid w:val="2B5A4112"/>
    <w:rsid w:val="2B701525"/>
    <w:rsid w:val="2B93F453"/>
    <w:rsid w:val="2B966C54"/>
    <w:rsid w:val="2BB60551"/>
    <w:rsid w:val="2BBA7C2D"/>
    <w:rsid w:val="2C0FDF78"/>
    <w:rsid w:val="2C2C2AFD"/>
    <w:rsid w:val="2C5DE031"/>
    <w:rsid w:val="2C7E1CDF"/>
    <w:rsid w:val="2C828DF0"/>
    <w:rsid w:val="2CB1B826"/>
    <w:rsid w:val="2CB8AB10"/>
    <w:rsid w:val="2D289BA8"/>
    <w:rsid w:val="2D75DE2C"/>
    <w:rsid w:val="2D80B7E4"/>
    <w:rsid w:val="2D838215"/>
    <w:rsid w:val="2D8933C7"/>
    <w:rsid w:val="2D8D3CDE"/>
    <w:rsid w:val="2DD7F057"/>
    <w:rsid w:val="2DE21F25"/>
    <w:rsid w:val="2DF9EEEC"/>
    <w:rsid w:val="2E5694B8"/>
    <w:rsid w:val="2EA98329"/>
    <w:rsid w:val="2EC64FAF"/>
    <w:rsid w:val="2EC70905"/>
    <w:rsid w:val="2ED3CAF3"/>
    <w:rsid w:val="2F3B22A1"/>
    <w:rsid w:val="2F40D0F4"/>
    <w:rsid w:val="2F6CD707"/>
    <w:rsid w:val="2F876CC4"/>
    <w:rsid w:val="30189B43"/>
    <w:rsid w:val="30203C82"/>
    <w:rsid w:val="30293699"/>
    <w:rsid w:val="30436096"/>
    <w:rsid w:val="307A93D9"/>
    <w:rsid w:val="308B5742"/>
    <w:rsid w:val="30CCB342"/>
    <w:rsid w:val="30E50473"/>
    <w:rsid w:val="3150CF0E"/>
    <w:rsid w:val="317303FA"/>
    <w:rsid w:val="3173F9B3"/>
    <w:rsid w:val="31903193"/>
    <w:rsid w:val="31C61D1F"/>
    <w:rsid w:val="3206727A"/>
    <w:rsid w:val="3207351E"/>
    <w:rsid w:val="3213EC6A"/>
    <w:rsid w:val="3226739E"/>
    <w:rsid w:val="32269674"/>
    <w:rsid w:val="324D2F97"/>
    <w:rsid w:val="328BC9A9"/>
    <w:rsid w:val="3299752E"/>
    <w:rsid w:val="32B4F25A"/>
    <w:rsid w:val="32CFA3E3"/>
    <w:rsid w:val="33449998"/>
    <w:rsid w:val="339B2E90"/>
    <w:rsid w:val="33AFCF9A"/>
    <w:rsid w:val="33B5F3E5"/>
    <w:rsid w:val="33D91511"/>
    <w:rsid w:val="33F3E80B"/>
    <w:rsid w:val="346649E2"/>
    <w:rsid w:val="346B6E58"/>
    <w:rsid w:val="346D4CA2"/>
    <w:rsid w:val="34BE8E53"/>
    <w:rsid w:val="34F9471F"/>
    <w:rsid w:val="350B6E9F"/>
    <w:rsid w:val="352C3C80"/>
    <w:rsid w:val="3535B79D"/>
    <w:rsid w:val="354A4C95"/>
    <w:rsid w:val="35690407"/>
    <w:rsid w:val="35721E6C"/>
    <w:rsid w:val="3576C135"/>
    <w:rsid w:val="3579EAA2"/>
    <w:rsid w:val="358C9E21"/>
    <w:rsid w:val="35A7C057"/>
    <w:rsid w:val="35B6178F"/>
    <w:rsid w:val="35F690C1"/>
    <w:rsid w:val="363F8FE7"/>
    <w:rsid w:val="36526930"/>
    <w:rsid w:val="368B25BB"/>
    <w:rsid w:val="369ABF52"/>
    <w:rsid w:val="36A19A88"/>
    <w:rsid w:val="36A5742B"/>
    <w:rsid w:val="36A711D5"/>
    <w:rsid w:val="36EC6756"/>
    <w:rsid w:val="36F60CA6"/>
    <w:rsid w:val="37551238"/>
    <w:rsid w:val="377C02A2"/>
    <w:rsid w:val="37B36390"/>
    <w:rsid w:val="37B88E2D"/>
    <w:rsid w:val="37FBCBAC"/>
    <w:rsid w:val="3819229A"/>
    <w:rsid w:val="38226B7A"/>
    <w:rsid w:val="384D72FB"/>
    <w:rsid w:val="38854C86"/>
    <w:rsid w:val="38B57DB0"/>
    <w:rsid w:val="38C81A70"/>
    <w:rsid w:val="390062A5"/>
    <w:rsid w:val="3941F975"/>
    <w:rsid w:val="395C90A2"/>
    <w:rsid w:val="3965DAD7"/>
    <w:rsid w:val="39957352"/>
    <w:rsid w:val="39A10E13"/>
    <w:rsid w:val="39D39003"/>
    <w:rsid w:val="3A06ECBA"/>
    <w:rsid w:val="3A157690"/>
    <w:rsid w:val="3A374F6C"/>
    <w:rsid w:val="3A6129B1"/>
    <w:rsid w:val="3A77C99A"/>
    <w:rsid w:val="3AA033C4"/>
    <w:rsid w:val="3ABEFBD1"/>
    <w:rsid w:val="3ACE6F50"/>
    <w:rsid w:val="3AFA092F"/>
    <w:rsid w:val="3B3D66CA"/>
    <w:rsid w:val="3B5C4878"/>
    <w:rsid w:val="3B638B37"/>
    <w:rsid w:val="3B70F141"/>
    <w:rsid w:val="3B7F369B"/>
    <w:rsid w:val="3BB64DAB"/>
    <w:rsid w:val="3BC4D143"/>
    <w:rsid w:val="3BD83FFA"/>
    <w:rsid w:val="3BE348F2"/>
    <w:rsid w:val="3C22AD0F"/>
    <w:rsid w:val="3C2BB40D"/>
    <w:rsid w:val="3C322289"/>
    <w:rsid w:val="3C5551DF"/>
    <w:rsid w:val="3DABFADF"/>
    <w:rsid w:val="3E704B07"/>
    <w:rsid w:val="3E98990B"/>
    <w:rsid w:val="3E989E66"/>
    <w:rsid w:val="3EA0A262"/>
    <w:rsid w:val="3EAF9834"/>
    <w:rsid w:val="3EEFA5DE"/>
    <w:rsid w:val="3F0B9024"/>
    <w:rsid w:val="3F176E90"/>
    <w:rsid w:val="3F18C0C0"/>
    <w:rsid w:val="3F3019D7"/>
    <w:rsid w:val="3F4333BC"/>
    <w:rsid w:val="3F43AD02"/>
    <w:rsid w:val="3F4D00E8"/>
    <w:rsid w:val="3F63D797"/>
    <w:rsid w:val="3F8145E1"/>
    <w:rsid w:val="3FB3D241"/>
    <w:rsid w:val="3FDD454B"/>
    <w:rsid w:val="3FE31FE2"/>
    <w:rsid w:val="3FEF2DD3"/>
    <w:rsid w:val="4007B3C3"/>
    <w:rsid w:val="402B16F7"/>
    <w:rsid w:val="40531CF6"/>
    <w:rsid w:val="40903669"/>
    <w:rsid w:val="40A2F7F7"/>
    <w:rsid w:val="40B26B3C"/>
    <w:rsid w:val="40EAB030"/>
    <w:rsid w:val="40F67DF9"/>
    <w:rsid w:val="4107A048"/>
    <w:rsid w:val="4115A016"/>
    <w:rsid w:val="4168D775"/>
    <w:rsid w:val="416C9DE2"/>
    <w:rsid w:val="41792D97"/>
    <w:rsid w:val="4197B6A0"/>
    <w:rsid w:val="41B70C53"/>
    <w:rsid w:val="41DD8CA3"/>
    <w:rsid w:val="423B4234"/>
    <w:rsid w:val="423FC41C"/>
    <w:rsid w:val="424D31D8"/>
    <w:rsid w:val="424DA7CE"/>
    <w:rsid w:val="4253991E"/>
    <w:rsid w:val="426F821A"/>
    <w:rsid w:val="42950D52"/>
    <w:rsid w:val="42CC1889"/>
    <w:rsid w:val="43320BBF"/>
    <w:rsid w:val="435FAE8D"/>
    <w:rsid w:val="436969F3"/>
    <w:rsid w:val="43A63C2D"/>
    <w:rsid w:val="43CF4482"/>
    <w:rsid w:val="440F3D41"/>
    <w:rsid w:val="44133BA9"/>
    <w:rsid w:val="443CF1A9"/>
    <w:rsid w:val="44481556"/>
    <w:rsid w:val="445685A2"/>
    <w:rsid w:val="44DF16F4"/>
    <w:rsid w:val="44EDE4A3"/>
    <w:rsid w:val="4518CCF3"/>
    <w:rsid w:val="457241BA"/>
    <w:rsid w:val="46080A12"/>
    <w:rsid w:val="461746AC"/>
    <w:rsid w:val="46190CC4"/>
    <w:rsid w:val="4629C3A2"/>
    <w:rsid w:val="464DA2FC"/>
    <w:rsid w:val="4664D6BA"/>
    <w:rsid w:val="4675FB18"/>
    <w:rsid w:val="46924C99"/>
    <w:rsid w:val="46C59ADB"/>
    <w:rsid w:val="46C62D5D"/>
    <w:rsid w:val="4728B141"/>
    <w:rsid w:val="4788B5B7"/>
    <w:rsid w:val="47B26AD0"/>
    <w:rsid w:val="47C19D18"/>
    <w:rsid w:val="47CE2748"/>
    <w:rsid w:val="47E111C6"/>
    <w:rsid w:val="47E19A7D"/>
    <w:rsid w:val="47EC200A"/>
    <w:rsid w:val="47F2BF26"/>
    <w:rsid w:val="481DBAFD"/>
    <w:rsid w:val="481F6AA4"/>
    <w:rsid w:val="4827DAB3"/>
    <w:rsid w:val="4844DC23"/>
    <w:rsid w:val="4872EAA7"/>
    <w:rsid w:val="488692C7"/>
    <w:rsid w:val="48A1E214"/>
    <w:rsid w:val="48A3AC6D"/>
    <w:rsid w:val="48B31B00"/>
    <w:rsid w:val="48F2E0C3"/>
    <w:rsid w:val="49148926"/>
    <w:rsid w:val="493E8D32"/>
    <w:rsid w:val="49423845"/>
    <w:rsid w:val="4945AD9B"/>
    <w:rsid w:val="4947E659"/>
    <w:rsid w:val="49850FF7"/>
    <w:rsid w:val="4993CAB7"/>
    <w:rsid w:val="49A41D4D"/>
    <w:rsid w:val="49B4D6B9"/>
    <w:rsid w:val="49BAF1FB"/>
    <w:rsid w:val="49DFA7E1"/>
    <w:rsid w:val="49E88444"/>
    <w:rsid w:val="4A20E143"/>
    <w:rsid w:val="4A259FA8"/>
    <w:rsid w:val="4A264549"/>
    <w:rsid w:val="4A3C1CE7"/>
    <w:rsid w:val="4A3FFA8C"/>
    <w:rsid w:val="4A43A0DA"/>
    <w:rsid w:val="4A4EC291"/>
    <w:rsid w:val="4A58C53B"/>
    <w:rsid w:val="4A7ADE80"/>
    <w:rsid w:val="4A7CAD37"/>
    <w:rsid w:val="4A8F1A57"/>
    <w:rsid w:val="4A94E156"/>
    <w:rsid w:val="4A96146C"/>
    <w:rsid w:val="4ABF6E70"/>
    <w:rsid w:val="4AC1D759"/>
    <w:rsid w:val="4AC9C61A"/>
    <w:rsid w:val="4BA7E664"/>
    <w:rsid w:val="4BAEE27A"/>
    <w:rsid w:val="4BB353B2"/>
    <w:rsid w:val="4C375F19"/>
    <w:rsid w:val="4C4B71A8"/>
    <w:rsid w:val="4C589596"/>
    <w:rsid w:val="4C8ABFA8"/>
    <w:rsid w:val="4C9D10EA"/>
    <w:rsid w:val="4CEC3364"/>
    <w:rsid w:val="4CFBDAC3"/>
    <w:rsid w:val="4D15F68D"/>
    <w:rsid w:val="4DD2AE81"/>
    <w:rsid w:val="4E1BA9AE"/>
    <w:rsid w:val="4E23C6BE"/>
    <w:rsid w:val="4E242BBF"/>
    <w:rsid w:val="4E414670"/>
    <w:rsid w:val="4E417773"/>
    <w:rsid w:val="4E5D2DE9"/>
    <w:rsid w:val="4EB4FB32"/>
    <w:rsid w:val="4ED767B6"/>
    <w:rsid w:val="4EFE3756"/>
    <w:rsid w:val="4EFF55AF"/>
    <w:rsid w:val="4F0302E0"/>
    <w:rsid w:val="4F22AB08"/>
    <w:rsid w:val="4F4DC2C1"/>
    <w:rsid w:val="4F778BEE"/>
    <w:rsid w:val="4F825CE7"/>
    <w:rsid w:val="4FC8FEAD"/>
    <w:rsid w:val="4FCAF32D"/>
    <w:rsid w:val="4FF9DE60"/>
    <w:rsid w:val="500CB166"/>
    <w:rsid w:val="503E079B"/>
    <w:rsid w:val="50444F4D"/>
    <w:rsid w:val="509CAF83"/>
    <w:rsid w:val="50A16A95"/>
    <w:rsid w:val="50EFA3FC"/>
    <w:rsid w:val="50FDE59D"/>
    <w:rsid w:val="5175F64E"/>
    <w:rsid w:val="5182A3F4"/>
    <w:rsid w:val="51C32BBA"/>
    <w:rsid w:val="51E6C27A"/>
    <w:rsid w:val="51EEB65A"/>
    <w:rsid w:val="51FBAC78"/>
    <w:rsid w:val="5208FDF9"/>
    <w:rsid w:val="5261A081"/>
    <w:rsid w:val="53013CFC"/>
    <w:rsid w:val="5354DF3E"/>
    <w:rsid w:val="537B99C2"/>
    <w:rsid w:val="53CBBEE0"/>
    <w:rsid w:val="54050C85"/>
    <w:rsid w:val="54342F3B"/>
    <w:rsid w:val="5435859E"/>
    <w:rsid w:val="5441B20C"/>
    <w:rsid w:val="5467D92E"/>
    <w:rsid w:val="54C5157C"/>
    <w:rsid w:val="55013F78"/>
    <w:rsid w:val="55160136"/>
    <w:rsid w:val="553B0072"/>
    <w:rsid w:val="554D7DE8"/>
    <w:rsid w:val="557800C9"/>
    <w:rsid w:val="5591D5F1"/>
    <w:rsid w:val="560223F8"/>
    <w:rsid w:val="56186A8E"/>
    <w:rsid w:val="566B4584"/>
    <w:rsid w:val="569F300B"/>
    <w:rsid w:val="56A9FC81"/>
    <w:rsid w:val="56B0FD94"/>
    <w:rsid w:val="56E49291"/>
    <w:rsid w:val="57565DD2"/>
    <w:rsid w:val="575CD854"/>
    <w:rsid w:val="5793C6B1"/>
    <w:rsid w:val="580A2486"/>
    <w:rsid w:val="58315355"/>
    <w:rsid w:val="58D9FDFD"/>
    <w:rsid w:val="58E0393D"/>
    <w:rsid w:val="58EF0769"/>
    <w:rsid w:val="590F8DA9"/>
    <w:rsid w:val="592AFCB1"/>
    <w:rsid w:val="59319672"/>
    <w:rsid w:val="593D2D68"/>
    <w:rsid w:val="5968C98C"/>
    <w:rsid w:val="596E568F"/>
    <w:rsid w:val="597ECFD9"/>
    <w:rsid w:val="5993E00C"/>
    <w:rsid w:val="599730E1"/>
    <w:rsid w:val="599C263D"/>
    <w:rsid w:val="59F40FA5"/>
    <w:rsid w:val="59FA66C0"/>
    <w:rsid w:val="5A362531"/>
    <w:rsid w:val="5A94C446"/>
    <w:rsid w:val="5AAA1D9A"/>
    <w:rsid w:val="5ABA110D"/>
    <w:rsid w:val="5AF4CF0E"/>
    <w:rsid w:val="5B36AE72"/>
    <w:rsid w:val="5B58436F"/>
    <w:rsid w:val="5B9449B9"/>
    <w:rsid w:val="5BA2DD12"/>
    <w:rsid w:val="5BB4439C"/>
    <w:rsid w:val="5BBA9CE0"/>
    <w:rsid w:val="5C01B3E7"/>
    <w:rsid w:val="5C2EB3F9"/>
    <w:rsid w:val="5C3CFCC4"/>
    <w:rsid w:val="5C3E61C5"/>
    <w:rsid w:val="5C4B4700"/>
    <w:rsid w:val="5C52124B"/>
    <w:rsid w:val="5C6E4208"/>
    <w:rsid w:val="5CAFFFD8"/>
    <w:rsid w:val="5CB04DB6"/>
    <w:rsid w:val="5CB682BB"/>
    <w:rsid w:val="5CD6A398"/>
    <w:rsid w:val="5CE4EEFA"/>
    <w:rsid w:val="5D7AE6C4"/>
    <w:rsid w:val="5D952DC5"/>
    <w:rsid w:val="5D98AFA8"/>
    <w:rsid w:val="5DB99B0B"/>
    <w:rsid w:val="5DD22469"/>
    <w:rsid w:val="5DE9020B"/>
    <w:rsid w:val="5E0EF381"/>
    <w:rsid w:val="5E34EEA1"/>
    <w:rsid w:val="5E60107A"/>
    <w:rsid w:val="5ED95773"/>
    <w:rsid w:val="5EE693C9"/>
    <w:rsid w:val="5F06E96C"/>
    <w:rsid w:val="5F14D15D"/>
    <w:rsid w:val="5F32E3D7"/>
    <w:rsid w:val="5F52A3E0"/>
    <w:rsid w:val="5F538863"/>
    <w:rsid w:val="5F5CAAD7"/>
    <w:rsid w:val="5F64CEF2"/>
    <w:rsid w:val="5F7A2F4D"/>
    <w:rsid w:val="5F9B385E"/>
    <w:rsid w:val="5FDC6103"/>
    <w:rsid w:val="5FE58FAE"/>
    <w:rsid w:val="5FECC041"/>
    <w:rsid w:val="6006C926"/>
    <w:rsid w:val="609E0872"/>
    <w:rsid w:val="60B524BD"/>
    <w:rsid w:val="60BCA495"/>
    <w:rsid w:val="60D6C139"/>
    <w:rsid w:val="60E2CBB0"/>
    <w:rsid w:val="61574CB3"/>
    <w:rsid w:val="6161FFAD"/>
    <w:rsid w:val="6165D59F"/>
    <w:rsid w:val="61677A03"/>
    <w:rsid w:val="617402EB"/>
    <w:rsid w:val="6187A321"/>
    <w:rsid w:val="61C30E87"/>
    <w:rsid w:val="61FA62BF"/>
    <w:rsid w:val="625F20ED"/>
    <w:rsid w:val="626ADECA"/>
    <w:rsid w:val="626EC590"/>
    <w:rsid w:val="62D2852D"/>
    <w:rsid w:val="62EFEF64"/>
    <w:rsid w:val="63076FE4"/>
    <w:rsid w:val="63260DCC"/>
    <w:rsid w:val="63554698"/>
    <w:rsid w:val="636A1460"/>
    <w:rsid w:val="637C7D5C"/>
    <w:rsid w:val="63B57F68"/>
    <w:rsid w:val="63EEE9D1"/>
    <w:rsid w:val="63FA8A56"/>
    <w:rsid w:val="6411DAB1"/>
    <w:rsid w:val="642B09B0"/>
    <w:rsid w:val="642EC833"/>
    <w:rsid w:val="642FB1F4"/>
    <w:rsid w:val="6439CE29"/>
    <w:rsid w:val="644F8FD6"/>
    <w:rsid w:val="6453A13D"/>
    <w:rsid w:val="647B5AA6"/>
    <w:rsid w:val="64C1BDF6"/>
    <w:rsid w:val="64D3D10E"/>
    <w:rsid w:val="64EDF50E"/>
    <w:rsid w:val="6520820D"/>
    <w:rsid w:val="65718DE7"/>
    <w:rsid w:val="659C3E30"/>
    <w:rsid w:val="659F19FA"/>
    <w:rsid w:val="65C38B67"/>
    <w:rsid w:val="660FEB0F"/>
    <w:rsid w:val="661F8889"/>
    <w:rsid w:val="664744C7"/>
    <w:rsid w:val="666ED460"/>
    <w:rsid w:val="66FAF6F1"/>
    <w:rsid w:val="66FD94A7"/>
    <w:rsid w:val="6727FACC"/>
    <w:rsid w:val="67415756"/>
    <w:rsid w:val="677EF1F1"/>
    <w:rsid w:val="67AB7303"/>
    <w:rsid w:val="67BB1CEE"/>
    <w:rsid w:val="6835D809"/>
    <w:rsid w:val="6841144A"/>
    <w:rsid w:val="684AA396"/>
    <w:rsid w:val="687950D1"/>
    <w:rsid w:val="689F05AB"/>
    <w:rsid w:val="68A80869"/>
    <w:rsid w:val="68B28366"/>
    <w:rsid w:val="68E4779B"/>
    <w:rsid w:val="69471EB7"/>
    <w:rsid w:val="6956BE95"/>
    <w:rsid w:val="696BF90F"/>
    <w:rsid w:val="697915B7"/>
    <w:rsid w:val="69990CD4"/>
    <w:rsid w:val="69CC7329"/>
    <w:rsid w:val="69E6E690"/>
    <w:rsid w:val="6A05C02E"/>
    <w:rsid w:val="6A0BF24D"/>
    <w:rsid w:val="6A228A4D"/>
    <w:rsid w:val="6A76621E"/>
    <w:rsid w:val="6A768AAB"/>
    <w:rsid w:val="6A79AB5B"/>
    <w:rsid w:val="6A7AE69A"/>
    <w:rsid w:val="6AA15A96"/>
    <w:rsid w:val="6AAD1540"/>
    <w:rsid w:val="6AC91411"/>
    <w:rsid w:val="6AE995D7"/>
    <w:rsid w:val="6B15FED0"/>
    <w:rsid w:val="6B263A31"/>
    <w:rsid w:val="6B2F5FB5"/>
    <w:rsid w:val="6B3E6851"/>
    <w:rsid w:val="6B4E7C05"/>
    <w:rsid w:val="6B515D68"/>
    <w:rsid w:val="6B54EE83"/>
    <w:rsid w:val="6B6F75BE"/>
    <w:rsid w:val="6B71DF69"/>
    <w:rsid w:val="6BE5B3BC"/>
    <w:rsid w:val="6BE7477C"/>
    <w:rsid w:val="6BF0948E"/>
    <w:rsid w:val="6C1BBFF2"/>
    <w:rsid w:val="6C5DF0BE"/>
    <w:rsid w:val="6C650E08"/>
    <w:rsid w:val="6C710842"/>
    <w:rsid w:val="6C8EA709"/>
    <w:rsid w:val="6C90E51C"/>
    <w:rsid w:val="6CEC59AB"/>
    <w:rsid w:val="6D1034D4"/>
    <w:rsid w:val="6D3841AB"/>
    <w:rsid w:val="6D61E947"/>
    <w:rsid w:val="6D95D804"/>
    <w:rsid w:val="6E88B05E"/>
    <w:rsid w:val="6F0A23B1"/>
    <w:rsid w:val="6F5AE77B"/>
    <w:rsid w:val="6F84F546"/>
    <w:rsid w:val="6FD28096"/>
    <w:rsid w:val="6FE4861E"/>
    <w:rsid w:val="704F6773"/>
    <w:rsid w:val="70CC00A7"/>
    <w:rsid w:val="70E185D6"/>
    <w:rsid w:val="70EBAEBB"/>
    <w:rsid w:val="70FE3FD2"/>
    <w:rsid w:val="71082716"/>
    <w:rsid w:val="71150085"/>
    <w:rsid w:val="711C7CED"/>
    <w:rsid w:val="714C2592"/>
    <w:rsid w:val="715F0D5D"/>
    <w:rsid w:val="717E21A2"/>
    <w:rsid w:val="71808759"/>
    <w:rsid w:val="71854174"/>
    <w:rsid w:val="7191D2A4"/>
    <w:rsid w:val="719AF87E"/>
    <w:rsid w:val="71B0ACF4"/>
    <w:rsid w:val="71B981EB"/>
    <w:rsid w:val="71C58B89"/>
    <w:rsid w:val="71CBC8F1"/>
    <w:rsid w:val="71F707F9"/>
    <w:rsid w:val="7205B726"/>
    <w:rsid w:val="720F81F1"/>
    <w:rsid w:val="7234EBB7"/>
    <w:rsid w:val="723981C8"/>
    <w:rsid w:val="72424C17"/>
    <w:rsid w:val="72459C4C"/>
    <w:rsid w:val="72541D1E"/>
    <w:rsid w:val="7255FED0"/>
    <w:rsid w:val="726E2290"/>
    <w:rsid w:val="730054B5"/>
    <w:rsid w:val="7312AC43"/>
    <w:rsid w:val="73140757"/>
    <w:rsid w:val="7325608A"/>
    <w:rsid w:val="7335BC03"/>
    <w:rsid w:val="735343FB"/>
    <w:rsid w:val="735B4BF1"/>
    <w:rsid w:val="73703671"/>
    <w:rsid w:val="738F96EC"/>
    <w:rsid w:val="73A20043"/>
    <w:rsid w:val="73A92CF4"/>
    <w:rsid w:val="740B28FC"/>
    <w:rsid w:val="741CCBF5"/>
    <w:rsid w:val="742DEBBB"/>
    <w:rsid w:val="746A45C5"/>
    <w:rsid w:val="747AF53B"/>
    <w:rsid w:val="7494821C"/>
    <w:rsid w:val="74F95F14"/>
    <w:rsid w:val="750B8C5C"/>
    <w:rsid w:val="75744F2C"/>
    <w:rsid w:val="75979BED"/>
    <w:rsid w:val="75AD37FF"/>
    <w:rsid w:val="75D30622"/>
    <w:rsid w:val="7638B49E"/>
    <w:rsid w:val="7667310A"/>
    <w:rsid w:val="767AD8BE"/>
    <w:rsid w:val="76B173F3"/>
    <w:rsid w:val="76E96813"/>
    <w:rsid w:val="76F7493D"/>
    <w:rsid w:val="77406219"/>
    <w:rsid w:val="7747B4EB"/>
    <w:rsid w:val="7764328D"/>
    <w:rsid w:val="7773FB9C"/>
    <w:rsid w:val="7798F622"/>
    <w:rsid w:val="77A00D37"/>
    <w:rsid w:val="77D7F71B"/>
    <w:rsid w:val="77E1CACD"/>
    <w:rsid w:val="7806F75A"/>
    <w:rsid w:val="785A543D"/>
    <w:rsid w:val="787EBE7C"/>
    <w:rsid w:val="78A447EE"/>
    <w:rsid w:val="78AB5ABF"/>
    <w:rsid w:val="78ABE445"/>
    <w:rsid w:val="78B7A35D"/>
    <w:rsid w:val="78DA0A7A"/>
    <w:rsid w:val="78F8EB50"/>
    <w:rsid w:val="791B49E3"/>
    <w:rsid w:val="7934880B"/>
    <w:rsid w:val="7936FCCE"/>
    <w:rsid w:val="79409207"/>
    <w:rsid w:val="7958AF63"/>
    <w:rsid w:val="795DBE71"/>
    <w:rsid w:val="7A061CCD"/>
    <w:rsid w:val="7A23EF3F"/>
    <w:rsid w:val="7A485CF7"/>
    <w:rsid w:val="7A5C450C"/>
    <w:rsid w:val="7A6E4A9E"/>
    <w:rsid w:val="7A78EADA"/>
    <w:rsid w:val="7A89EA59"/>
    <w:rsid w:val="7A979322"/>
    <w:rsid w:val="7AA56C79"/>
    <w:rsid w:val="7ABCD1A2"/>
    <w:rsid w:val="7AC4CB2B"/>
    <w:rsid w:val="7AD7ACD3"/>
    <w:rsid w:val="7ADBB63A"/>
    <w:rsid w:val="7AE75CB0"/>
    <w:rsid w:val="7B09421F"/>
    <w:rsid w:val="7B2D0FFF"/>
    <w:rsid w:val="7B6AA9FF"/>
    <w:rsid w:val="7BC2CD31"/>
    <w:rsid w:val="7C284BF4"/>
    <w:rsid w:val="7C2F077B"/>
    <w:rsid w:val="7C4D0368"/>
    <w:rsid w:val="7C56C570"/>
    <w:rsid w:val="7C9EE91E"/>
    <w:rsid w:val="7CA3794D"/>
    <w:rsid w:val="7CAA812D"/>
    <w:rsid w:val="7CB020B7"/>
    <w:rsid w:val="7CB9D059"/>
    <w:rsid w:val="7CCCE171"/>
    <w:rsid w:val="7CDB03E1"/>
    <w:rsid w:val="7D5E1D3F"/>
    <w:rsid w:val="7D7532FB"/>
    <w:rsid w:val="7D859EFF"/>
    <w:rsid w:val="7DFEB898"/>
    <w:rsid w:val="7E110F45"/>
    <w:rsid w:val="7E2FE5A8"/>
    <w:rsid w:val="7E329B6A"/>
    <w:rsid w:val="7E554A80"/>
    <w:rsid w:val="7E6E1568"/>
    <w:rsid w:val="7E71FFD9"/>
    <w:rsid w:val="7E9499A0"/>
    <w:rsid w:val="7E9558B6"/>
    <w:rsid w:val="7EA16353"/>
    <w:rsid w:val="7ECD48E7"/>
    <w:rsid w:val="7EF9D1F2"/>
    <w:rsid w:val="7F1B32DB"/>
    <w:rsid w:val="7F21E175"/>
    <w:rsid w:val="7F2B6D9D"/>
    <w:rsid w:val="7F4029E9"/>
    <w:rsid w:val="7F511191"/>
    <w:rsid w:val="7F709933"/>
    <w:rsid w:val="7F823F5B"/>
    <w:rsid w:val="7F87945A"/>
    <w:rsid w:val="7FAB647B"/>
    <w:rsid w:val="7FAF1AD0"/>
    <w:rsid w:val="7FE200E0"/>
    <w:rsid w:val="7FE25B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042742"/>
  <w15:chartTrackingRefBased/>
  <w15:docId w15:val="{635D0894-174D-4137-BA3C-9A30EB06D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07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7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2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72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2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2F"/>
    <w:rPr>
      <w:rFonts w:eastAsiaTheme="majorEastAsia" w:cstheme="majorBidi"/>
      <w:color w:val="272727" w:themeColor="text1" w:themeTint="D8"/>
    </w:rPr>
  </w:style>
  <w:style w:type="paragraph" w:styleId="Title">
    <w:name w:val="Title"/>
    <w:basedOn w:val="Normal"/>
    <w:next w:val="Normal"/>
    <w:link w:val="TitleChar"/>
    <w:uiPriority w:val="10"/>
    <w:qFormat/>
    <w:rsid w:val="00A07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2F"/>
    <w:pPr>
      <w:spacing w:before="160"/>
      <w:jc w:val="center"/>
    </w:pPr>
    <w:rPr>
      <w:i/>
      <w:iCs/>
      <w:color w:val="404040" w:themeColor="text1" w:themeTint="BF"/>
    </w:rPr>
  </w:style>
  <w:style w:type="character" w:customStyle="1" w:styleId="QuoteChar">
    <w:name w:val="Quote Char"/>
    <w:basedOn w:val="DefaultParagraphFont"/>
    <w:link w:val="Quote"/>
    <w:uiPriority w:val="29"/>
    <w:rsid w:val="00A0722F"/>
    <w:rPr>
      <w:i/>
      <w:iCs/>
      <w:color w:val="404040" w:themeColor="text1" w:themeTint="BF"/>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rsid w:val="00A0722F"/>
    <w:pPr>
      <w:ind w:left="720"/>
      <w:contextualSpacing/>
    </w:pPr>
  </w:style>
  <w:style w:type="character" w:styleId="IntenseEmphasis">
    <w:name w:val="Intense Emphasis"/>
    <w:basedOn w:val="DefaultParagraphFont"/>
    <w:uiPriority w:val="21"/>
    <w:qFormat/>
    <w:rsid w:val="00A0722F"/>
    <w:rPr>
      <w:i/>
      <w:iCs/>
      <w:color w:val="0F4761" w:themeColor="accent1" w:themeShade="BF"/>
    </w:rPr>
  </w:style>
  <w:style w:type="paragraph" w:styleId="IntenseQuote">
    <w:name w:val="Intense Quote"/>
    <w:basedOn w:val="Normal"/>
    <w:next w:val="Normal"/>
    <w:link w:val="IntenseQuoteChar"/>
    <w:uiPriority w:val="30"/>
    <w:qFormat/>
    <w:rsid w:val="00A07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2F"/>
    <w:rPr>
      <w:i/>
      <w:iCs/>
      <w:color w:val="0F4761" w:themeColor="accent1" w:themeShade="BF"/>
    </w:rPr>
  </w:style>
  <w:style w:type="character" w:styleId="IntenseReference">
    <w:name w:val="Intense Reference"/>
    <w:basedOn w:val="DefaultParagraphFont"/>
    <w:uiPriority w:val="32"/>
    <w:qFormat/>
    <w:rsid w:val="00A0722F"/>
    <w:rPr>
      <w:b/>
      <w:bCs/>
      <w:smallCaps/>
      <w:color w:val="0F4761" w:themeColor="accent1" w:themeShade="BF"/>
      <w:spacing w:val="5"/>
    </w:rPr>
  </w:style>
  <w:style w:type="character" w:customStyle="1" w:styleId="Marker">
    <w:name w:val="Marker"/>
    <w:basedOn w:val="DefaultParagraphFont"/>
    <w:rsid w:val="00A0722F"/>
    <w:rPr>
      <w:color w:val="0000FF"/>
      <w:shd w:val="clear" w:color="auto" w:fill="auto"/>
    </w:rPr>
  </w:style>
  <w:style w:type="paragraph" w:styleId="Header">
    <w:name w:val="header"/>
    <w:basedOn w:val="Normal"/>
    <w:link w:val="HeaderChar"/>
    <w:uiPriority w:val="99"/>
    <w:unhideWhenUsed/>
    <w:rsid w:val="00A072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2F"/>
  </w:style>
  <w:style w:type="paragraph" w:styleId="Footer">
    <w:name w:val="footer"/>
    <w:basedOn w:val="Normal"/>
    <w:link w:val="FooterChar"/>
    <w:uiPriority w:val="99"/>
    <w:unhideWhenUsed/>
    <w:rsid w:val="00A072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2F"/>
  </w:style>
  <w:style w:type="paragraph" w:customStyle="1" w:styleId="Pagedecouverture">
    <w:name w:val="Page de couverture"/>
    <w:basedOn w:val="Normal"/>
    <w:next w:val="Normal"/>
    <w:rsid w:val="00A0722F"/>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A0722F"/>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A0722F"/>
    <w:rPr>
      <w:rFonts w:ascii="Times New Roman" w:hAnsi="Times New Roman" w:cs="Times New Roman"/>
    </w:rPr>
  </w:style>
  <w:style w:type="paragraph" w:customStyle="1" w:styleId="FooterSensitivity">
    <w:name w:val="Footer Sensitivity"/>
    <w:basedOn w:val="Normal"/>
    <w:link w:val="FooterSensitivityChar"/>
    <w:rsid w:val="00A0722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0722F"/>
    <w:rPr>
      <w:rFonts w:ascii="Times New Roman" w:hAnsi="Times New Roman" w:cs="Times New Roman"/>
      <w:b/>
      <w:sz w:val="32"/>
    </w:rPr>
  </w:style>
  <w:style w:type="paragraph" w:customStyle="1" w:styleId="HeaderCoverPage">
    <w:name w:val="Header Cover Page"/>
    <w:basedOn w:val="Normal"/>
    <w:link w:val="HeaderCoverPageChar"/>
    <w:rsid w:val="00A0722F"/>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0722F"/>
    <w:rPr>
      <w:rFonts w:ascii="Times New Roman" w:hAnsi="Times New Roman" w:cs="Times New Roman"/>
    </w:rPr>
  </w:style>
  <w:style w:type="paragraph" w:customStyle="1" w:styleId="HeaderSensitivity">
    <w:name w:val="Header Sensitivity"/>
    <w:basedOn w:val="Normal"/>
    <w:link w:val="HeaderSensitivityChar"/>
    <w:rsid w:val="00A0722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0722F"/>
    <w:rPr>
      <w:rFonts w:ascii="Times New Roman" w:hAnsi="Times New Roman" w:cs="Times New Roman"/>
      <w:b/>
      <w:sz w:val="32"/>
    </w:rPr>
  </w:style>
  <w:style w:type="paragraph" w:customStyle="1" w:styleId="HeaderSensitivityRight">
    <w:name w:val="Header Sensitivity Right"/>
    <w:basedOn w:val="Normal"/>
    <w:link w:val="HeaderSensitivityRightChar"/>
    <w:rsid w:val="00E7628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0722F"/>
    <w:rPr>
      <w:rFonts w:ascii="Times New Roman" w:hAnsi="Times New Roman" w:cs="Times New Roman"/>
      <w:sz w:val="28"/>
    </w:rPr>
  </w:style>
  <w:style w:type="paragraph" w:styleId="FootnoteText">
    <w:name w:val="footnote text"/>
    <w:basedOn w:val="Normal"/>
    <w:link w:val="FootnoteTextChar"/>
    <w:uiPriority w:val="99"/>
    <w:semiHidden/>
    <w:unhideWhenUsed/>
    <w:rsid w:val="00456B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6B58"/>
    <w:rPr>
      <w:sz w:val="20"/>
      <w:szCs w:val="20"/>
      <w:lang w:val="fr-FR"/>
    </w:rPr>
  </w:style>
  <w:style w:type="character" w:styleId="FootnoteReference">
    <w:name w:val="footnote reference"/>
    <w:basedOn w:val="DefaultParagraphFont"/>
    <w:uiPriority w:val="99"/>
    <w:semiHidden/>
    <w:unhideWhenUsed/>
    <w:rsid w:val="00456B58"/>
    <w:rPr>
      <w:vertAlign w:val="superscript"/>
    </w:rPr>
  </w:style>
  <w:style w:type="character" w:styleId="Hyperlink">
    <w:name w:val="Hyperlink"/>
    <w:basedOn w:val="DefaultParagraphFont"/>
    <w:uiPriority w:val="99"/>
    <w:unhideWhenUsed/>
    <w:rsid w:val="00456B58"/>
    <w:rPr>
      <w:color w:val="467886" w:themeColor="hyperlink"/>
      <w:u w:val="single"/>
    </w:rPr>
  </w:style>
  <w:style w:type="character" w:customStyle="1" w:styleId="UnresolvedMention1">
    <w:name w:val="Unresolved Mention1"/>
    <w:basedOn w:val="DefaultParagraphFont"/>
    <w:uiPriority w:val="99"/>
    <w:semiHidden/>
    <w:unhideWhenUsed/>
    <w:rsid w:val="00456B58"/>
    <w:rPr>
      <w:color w:val="605E5C"/>
      <w:shd w:val="clear" w:color="auto" w:fill="E1DFDD"/>
    </w:rPr>
  </w:style>
  <w:style w:type="table" w:styleId="TableGrid">
    <w:name w:val="Table Grid"/>
    <w:basedOn w:val="TableNormal"/>
    <w:uiPriority w:val="59"/>
    <w:rsid w:val="00456B5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rsid w:val="00456B58"/>
  </w:style>
  <w:style w:type="paragraph" w:customStyle="1" w:styleId="paragraph">
    <w:name w:val="paragraph"/>
    <w:basedOn w:val="Normal"/>
    <w:rsid w:val="00456B58"/>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456B58"/>
  </w:style>
  <w:style w:type="character" w:customStyle="1" w:styleId="eop">
    <w:name w:val="eop"/>
    <w:basedOn w:val="DefaultParagraphFont"/>
    <w:rsid w:val="00456B58"/>
  </w:style>
  <w:style w:type="paragraph" w:styleId="CommentText">
    <w:name w:val="annotation text"/>
    <w:basedOn w:val="Normal"/>
    <w:link w:val="CommentTextChar"/>
    <w:uiPriority w:val="99"/>
    <w:unhideWhenUsed/>
    <w:rsid w:val="00456B58"/>
    <w:pPr>
      <w:spacing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456B58"/>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456B58"/>
    <w:rPr>
      <w:sz w:val="16"/>
      <w:szCs w:val="16"/>
    </w:rPr>
  </w:style>
  <w:style w:type="character" w:styleId="FollowedHyperlink">
    <w:name w:val="FollowedHyperlink"/>
    <w:basedOn w:val="DefaultParagraphFont"/>
    <w:uiPriority w:val="99"/>
    <w:semiHidden/>
    <w:unhideWhenUsed/>
    <w:rsid w:val="00456B58"/>
    <w:rPr>
      <w:color w:val="96607D" w:themeColor="followedHyperlink"/>
      <w:u w:val="single"/>
    </w:rPr>
  </w:style>
  <w:style w:type="paragraph" w:customStyle="1" w:styleId="s2">
    <w:name w:val="s2"/>
    <w:basedOn w:val="Normal"/>
    <w:rsid w:val="00456B58"/>
    <w:pPr>
      <w:spacing w:before="100" w:beforeAutospacing="1" w:after="100" w:afterAutospacing="1" w:line="240" w:lineRule="auto"/>
    </w:pPr>
    <w:rPr>
      <w:rFonts w:ascii="Aptos" w:hAnsi="Aptos" w:cs="Aptos"/>
      <w:kern w:val="0"/>
      <w:lang w:eastAsia="en-IE"/>
      <w14:ligatures w14:val="none"/>
    </w:rPr>
  </w:style>
  <w:style w:type="paragraph" w:styleId="CommentSubject">
    <w:name w:val="annotation subject"/>
    <w:basedOn w:val="CommentText"/>
    <w:next w:val="CommentText"/>
    <w:link w:val="CommentSubjectChar"/>
    <w:uiPriority w:val="99"/>
    <w:semiHidden/>
    <w:unhideWhenUsed/>
    <w:rsid w:val="00456B58"/>
    <w:pPr>
      <w:spacing w:after="200"/>
    </w:pPr>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456B58"/>
    <w:rPr>
      <w:rFonts w:eastAsiaTheme="minorEastAsia"/>
      <w:b/>
      <w:bCs/>
      <w:kern w:val="0"/>
      <w:sz w:val="20"/>
      <w:szCs w:val="20"/>
      <w:lang w:val="fr-FR"/>
      <w14:ligatures w14:val="none"/>
    </w:rPr>
  </w:style>
  <w:style w:type="paragraph" w:styleId="Revision">
    <w:name w:val="Revision"/>
    <w:hidden/>
    <w:uiPriority w:val="99"/>
    <w:semiHidden/>
    <w:rsid w:val="00456B58"/>
    <w:pPr>
      <w:spacing w:after="0" w:line="240" w:lineRule="auto"/>
    </w:pPr>
    <w:rPr>
      <w:sz w:val="22"/>
      <w:szCs w:val="22"/>
    </w:rPr>
  </w:style>
  <w:style w:type="character" w:customStyle="1" w:styleId="Mention1">
    <w:name w:val="Mention1"/>
    <w:basedOn w:val="DefaultParagraphFont"/>
    <w:uiPriority w:val="99"/>
    <w:unhideWhenUsed/>
    <w:rsid w:val="00456B58"/>
    <w:rPr>
      <w:color w:val="2B579A"/>
      <w:shd w:val="clear" w:color="auto" w:fill="E1DFDD"/>
    </w:rPr>
  </w:style>
  <w:style w:type="paragraph" w:styleId="NoSpacing">
    <w:name w:val="No Spacing"/>
    <w:uiPriority w:val="1"/>
    <w:qFormat/>
    <w:rsid w:val="00500FD3"/>
    <w:pPr>
      <w:spacing w:after="0" w:line="240" w:lineRule="auto"/>
    </w:pPr>
  </w:style>
  <w:style w:type="paragraph" w:customStyle="1" w:styleId="Disclaimer">
    <w:name w:val="Disclaimer"/>
    <w:basedOn w:val="Normal"/>
    <w:rsid w:val="00F1193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F11930"/>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F11930"/>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F11930"/>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2282">
      <w:bodyDiv w:val="1"/>
      <w:marLeft w:val="0"/>
      <w:marRight w:val="0"/>
      <w:marTop w:val="0"/>
      <w:marBottom w:val="0"/>
      <w:divBdr>
        <w:top w:val="none" w:sz="0" w:space="0" w:color="auto"/>
        <w:left w:val="none" w:sz="0" w:space="0" w:color="auto"/>
        <w:bottom w:val="none" w:sz="0" w:space="0" w:color="auto"/>
        <w:right w:val="none" w:sz="0" w:space="0" w:color="auto"/>
      </w:divBdr>
    </w:div>
    <w:div w:id="68886334">
      <w:bodyDiv w:val="1"/>
      <w:marLeft w:val="0"/>
      <w:marRight w:val="0"/>
      <w:marTop w:val="0"/>
      <w:marBottom w:val="0"/>
      <w:divBdr>
        <w:top w:val="none" w:sz="0" w:space="0" w:color="auto"/>
        <w:left w:val="none" w:sz="0" w:space="0" w:color="auto"/>
        <w:bottom w:val="none" w:sz="0" w:space="0" w:color="auto"/>
        <w:right w:val="none" w:sz="0" w:space="0" w:color="auto"/>
      </w:divBdr>
    </w:div>
    <w:div w:id="99299058">
      <w:bodyDiv w:val="1"/>
      <w:marLeft w:val="0"/>
      <w:marRight w:val="0"/>
      <w:marTop w:val="0"/>
      <w:marBottom w:val="0"/>
      <w:divBdr>
        <w:top w:val="none" w:sz="0" w:space="0" w:color="auto"/>
        <w:left w:val="none" w:sz="0" w:space="0" w:color="auto"/>
        <w:bottom w:val="none" w:sz="0" w:space="0" w:color="auto"/>
        <w:right w:val="none" w:sz="0" w:space="0" w:color="auto"/>
      </w:divBdr>
    </w:div>
    <w:div w:id="152180436">
      <w:bodyDiv w:val="1"/>
      <w:marLeft w:val="0"/>
      <w:marRight w:val="0"/>
      <w:marTop w:val="0"/>
      <w:marBottom w:val="0"/>
      <w:divBdr>
        <w:top w:val="none" w:sz="0" w:space="0" w:color="auto"/>
        <w:left w:val="none" w:sz="0" w:space="0" w:color="auto"/>
        <w:bottom w:val="none" w:sz="0" w:space="0" w:color="auto"/>
        <w:right w:val="none" w:sz="0" w:space="0" w:color="auto"/>
      </w:divBdr>
    </w:div>
    <w:div w:id="311063075">
      <w:bodyDiv w:val="1"/>
      <w:marLeft w:val="0"/>
      <w:marRight w:val="0"/>
      <w:marTop w:val="0"/>
      <w:marBottom w:val="0"/>
      <w:divBdr>
        <w:top w:val="none" w:sz="0" w:space="0" w:color="auto"/>
        <w:left w:val="none" w:sz="0" w:space="0" w:color="auto"/>
        <w:bottom w:val="none" w:sz="0" w:space="0" w:color="auto"/>
        <w:right w:val="none" w:sz="0" w:space="0" w:color="auto"/>
      </w:divBdr>
    </w:div>
    <w:div w:id="873691211">
      <w:bodyDiv w:val="1"/>
      <w:marLeft w:val="0"/>
      <w:marRight w:val="0"/>
      <w:marTop w:val="0"/>
      <w:marBottom w:val="0"/>
      <w:divBdr>
        <w:top w:val="none" w:sz="0" w:space="0" w:color="auto"/>
        <w:left w:val="none" w:sz="0" w:space="0" w:color="auto"/>
        <w:bottom w:val="none" w:sz="0" w:space="0" w:color="auto"/>
        <w:right w:val="none" w:sz="0" w:space="0" w:color="auto"/>
      </w:divBdr>
    </w:div>
    <w:div w:id="896891652">
      <w:bodyDiv w:val="1"/>
      <w:marLeft w:val="0"/>
      <w:marRight w:val="0"/>
      <w:marTop w:val="0"/>
      <w:marBottom w:val="0"/>
      <w:divBdr>
        <w:top w:val="none" w:sz="0" w:space="0" w:color="auto"/>
        <w:left w:val="none" w:sz="0" w:space="0" w:color="auto"/>
        <w:bottom w:val="none" w:sz="0" w:space="0" w:color="auto"/>
        <w:right w:val="none" w:sz="0" w:space="0" w:color="auto"/>
      </w:divBdr>
    </w:div>
    <w:div w:id="1608536195">
      <w:bodyDiv w:val="1"/>
      <w:marLeft w:val="0"/>
      <w:marRight w:val="0"/>
      <w:marTop w:val="0"/>
      <w:marBottom w:val="0"/>
      <w:divBdr>
        <w:top w:val="none" w:sz="0" w:space="0" w:color="auto"/>
        <w:left w:val="none" w:sz="0" w:space="0" w:color="auto"/>
        <w:bottom w:val="none" w:sz="0" w:space="0" w:color="auto"/>
        <w:right w:val="none" w:sz="0" w:space="0" w:color="auto"/>
      </w:divBdr>
    </w:div>
    <w:div w:id="1626037340">
      <w:bodyDiv w:val="1"/>
      <w:marLeft w:val="0"/>
      <w:marRight w:val="0"/>
      <w:marTop w:val="0"/>
      <w:marBottom w:val="0"/>
      <w:divBdr>
        <w:top w:val="none" w:sz="0" w:space="0" w:color="auto"/>
        <w:left w:val="none" w:sz="0" w:space="0" w:color="auto"/>
        <w:bottom w:val="none" w:sz="0" w:space="0" w:color="auto"/>
        <w:right w:val="none" w:sz="0" w:space="0" w:color="auto"/>
      </w:divBdr>
    </w:div>
    <w:div w:id="17768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crc.org/fr/global-initiative-international-humanitarian-law" TargetMode="External"/><Relationship Id="rId13" Type="http://schemas.openxmlformats.org/officeDocument/2006/relationships/hyperlink" Target="https://gisf.ngo/themes/coordination-for-hsrm/saving-lives-together/" TargetMode="External"/><Relationship Id="rId18" Type="http://schemas.openxmlformats.org/officeDocument/2006/relationships/hyperlink" Target="http://www.dgecho-partners-helpdesk.eu/programmatic-partnership/programmatic-partnership" TargetMode="External"/><Relationship Id="rId3" Type="http://schemas.openxmlformats.org/officeDocument/2006/relationships/hyperlink" Target="http://www.unhcr.org/sites/default/files/2025-11/mid-year-trends-report-2025.pdf" TargetMode="External"/><Relationship Id="rId21" Type="http://schemas.openxmlformats.org/officeDocument/2006/relationships/hyperlink" Target="https://www.oecd.org/fr/publications/etats-de-fragilite-2025_3797ea0f-fr.html" TargetMode="External"/><Relationship Id="rId7" Type="http://schemas.openxmlformats.org/officeDocument/2006/relationships/hyperlink" Target="https://ec.europa.eu/info/law/better-regulation/have-your-say/initiatives/16012-Communication-sur-laide-humanitaire_fr" TargetMode="External"/><Relationship Id="rId12" Type="http://schemas.openxmlformats.org/officeDocument/2006/relationships/hyperlink" Target="https://www.foreignminister.gov.au/minister/penny-wong/media-release/declaration-protection-humanitarian-personnel" TargetMode="External"/><Relationship Id="rId17" Type="http://schemas.openxmlformats.org/officeDocument/2006/relationships/hyperlink" Target="http://www.dgecho-partners-helpdesk.eu/ngo/actions-implementation/crisis-modifier" TargetMode="External"/><Relationship Id="rId2" Type="http://schemas.openxmlformats.org/officeDocument/2006/relationships/hyperlink" Target="https://www.icrc.org/sites/default/files/2026-02/ICRC-Appeals-2026-Overview.pdf" TargetMode="External"/><Relationship Id="rId16" Type="http://schemas.openxmlformats.org/officeDocument/2006/relationships/hyperlink" Target="https://ec.europa.eu/echo/files/policies/sectoral/gender_thematic_policy_document_fr.pdf" TargetMode="External"/><Relationship Id="rId20" Type="http://schemas.openxmlformats.org/officeDocument/2006/relationships/hyperlink" Target="https://drmkc.jrc.ec.europa.eu/inform-index/" TargetMode="External"/><Relationship Id="rId1" Type="http://schemas.openxmlformats.org/officeDocument/2006/relationships/hyperlink" Target="https://drmkc.jrc.ec.europa.eu/inform-index/INFORM-Severity/Severity-Facts-Figures" TargetMode="External"/><Relationship Id="rId6" Type="http://schemas.openxmlformats.org/officeDocument/2006/relationships/hyperlink" Target="https://ec.europa.eu/echo/files/funding/hip2026/thematic_policies_annex_2026.pdf" TargetMode="External"/><Relationship Id="rId11" Type="http://schemas.openxmlformats.org/officeDocument/2006/relationships/hyperlink" Target="https://digitallibrary.un.org/record/4049572" TargetMode="External"/><Relationship Id="rId5" Type="http://schemas.openxmlformats.org/officeDocument/2006/relationships/hyperlink" Target="https://fts.unocha.org/" TargetMode="External"/><Relationship Id="rId15" Type="http://schemas.openxmlformats.org/officeDocument/2006/relationships/hyperlink" Target="https://data.europa.eu/doi/10.2795/653711" TargetMode="External"/><Relationship Id="rId10" Type="http://schemas.openxmlformats.org/officeDocument/2006/relationships/hyperlink" Target="https://humanitarianoutcomes.org/AWSR_2025" TargetMode="External"/><Relationship Id="rId19" Type="http://schemas.openxmlformats.org/officeDocument/2006/relationships/hyperlink" Target="https://www.calpnetwork.org/fr/publication/common-donor-approach-to-humanitarian-cash-assistance-2025/" TargetMode="External"/><Relationship Id="rId4" Type="http://schemas.openxmlformats.org/officeDocument/2006/relationships/hyperlink" Target="https://doi.org/10.4060/cd9424en" TargetMode="External"/><Relationship Id="rId9" Type="http://schemas.openxmlformats.org/officeDocument/2006/relationships/hyperlink" Target="https://www.eeas.europa.eu/eeas/eu-special-representatives_en" TargetMode="External"/><Relationship Id="rId14" Type="http://schemas.openxmlformats.org/officeDocument/2006/relationships/hyperlink" Target="https://protectaidworkers.org/fr/" TargetMode="External"/><Relationship Id="rId22" Type="http://schemas.openxmlformats.org/officeDocument/2006/relationships/hyperlink" Target="https://data.europa.eu/doi/10.2795/369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58C94-59A6-4447-8F65-729A0700B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10051</Words>
  <Characters>57296</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2026-05-26T19:14:00Z</dcterms:created>
  <dcterms:modified xsi:type="dcterms:W3CDTF">2026-06-15T07:02:00Z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2026-05-22T06:23:26Z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139256d1-ae87-4bdf-8bff-10b0dace9e1d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CP-015</vt:lpwstr>
  </property>
</Properties>
</file>