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8081B" w14:textId="242291D0" w:rsidR="00A0722F" w:rsidRPr="00E76282" w:rsidRDefault="00F23F86" w:rsidP="00F23F86">
      <w:pPr>
        <w:pStyle w:val="Pagedecouverture"/>
        <w:rPr>
          <w:noProof/>
        </w:rPr>
      </w:pPr>
      <w:bookmarkStart w:id="0" w:name="LW_BM_COVERPAGE"/>
      <w:r>
        <w:rPr>
          <w:noProof/>
        </w:rPr>
        <w:pict w14:anchorId="123BA0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263DF6-883F-4CF7-B172-36310498925C" style="width:455.25pt;height:300pt">
            <v:imagedata r:id="rId8" o:title=""/>
          </v:shape>
        </w:pict>
      </w:r>
    </w:p>
    <w:bookmarkEnd w:id="0"/>
    <w:p w14:paraId="5C6742EC" w14:textId="17207FB9" w:rsidR="00855BE5" w:rsidRPr="00A15D12" w:rsidRDefault="00855BE5" w:rsidP="00855BE5">
      <w:pPr>
        <w:rPr>
          <w:rFonts w:ascii="Times New Roman" w:hAnsi="Times New Roman" w:cs="Times New Roman"/>
          <w:noProof/>
          <w:color w:val="000000"/>
          <w:kern w:val="0"/>
          <w:lang w:val="en-US"/>
        </w:rPr>
        <w:sectPr w:rsidR="00855BE5" w:rsidRPr="00A15D12" w:rsidSect="00F23F8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A45BD73" w14:textId="41164EE5" w:rsidR="00456B58" w:rsidRPr="009B0811" w:rsidRDefault="00456B58" w:rsidP="00456B58">
      <w:pPr>
        <w:spacing w:line="240" w:lineRule="auto"/>
        <w:jc w:val="both"/>
        <w:rPr>
          <w:rFonts w:ascii="Times New Roman" w:hAnsi="Times New Roman"/>
          <w:b/>
          <w:noProof/>
        </w:rPr>
      </w:pPr>
      <w:bookmarkStart w:id="1" w:name="_GoBack"/>
      <w:bookmarkEnd w:id="1"/>
      <w:r>
        <w:rPr>
          <w:rFonts w:ascii="Times New Roman" w:hAnsi="Times New Roman"/>
          <w:b/>
          <w:noProof/>
        </w:rPr>
        <w:lastRenderedPageBreak/>
        <w:t>Introducere</w:t>
      </w:r>
    </w:p>
    <w:p w14:paraId="3D1B7DD4" w14:textId="22A134B4" w:rsidR="00456B58" w:rsidRPr="00ED3AE7" w:rsidRDefault="00456B58" w:rsidP="00456B58">
      <w:pPr>
        <w:spacing w:line="240" w:lineRule="auto"/>
        <w:jc w:val="both"/>
        <w:rPr>
          <w:rFonts w:ascii="Times New Roman" w:hAnsi="Times New Roman"/>
          <w:noProof/>
        </w:rPr>
      </w:pPr>
      <w:r>
        <w:rPr>
          <w:rFonts w:ascii="Times New Roman" w:hAnsi="Times New Roman"/>
          <w:b/>
          <w:noProof/>
        </w:rPr>
        <w:t>Ajutorul umanitar(</w:t>
      </w:r>
      <w:r>
        <w:rPr>
          <w:rStyle w:val="FootnoteReference"/>
          <w:rFonts w:ascii="Times New Roman" w:hAnsi="Times New Roman"/>
          <w:b/>
          <w:bCs/>
          <w:noProof/>
          <w:lang w:val="en-GB"/>
        </w:rPr>
        <w:footnoteReference w:id="2"/>
      </w:r>
      <w:r>
        <w:rPr>
          <w:rFonts w:ascii="Times New Roman" w:hAnsi="Times New Roman"/>
          <w:b/>
          <w:noProof/>
        </w:rPr>
        <w:t>) salvează vieți, reduce suferința și reflectă valorile fondatoare ale Uniunii Europene, și anume umanitatea, pacea și solidaritatea.</w:t>
      </w:r>
      <w:r>
        <w:rPr>
          <w:rFonts w:ascii="Times New Roman" w:hAnsi="Times New Roman"/>
          <w:noProof/>
        </w:rPr>
        <w:t xml:space="preserve"> Începând din anul 1992, UE și-a menținut angajamentul de a furniza ajutor umanitar în conformitate cu principiile internaționale ale </w:t>
      </w:r>
      <w:r>
        <w:rPr>
          <w:rFonts w:ascii="Times New Roman" w:hAnsi="Times New Roman"/>
          <w:b/>
          <w:noProof/>
        </w:rPr>
        <w:t>umanității, imparțialității, neutralității și independenței</w:t>
      </w:r>
      <w:r>
        <w:rPr>
          <w:rFonts w:ascii="Times New Roman" w:hAnsi="Times New Roman"/>
          <w:noProof/>
        </w:rPr>
        <w:t>, astfel cum sunt consacrate la articolul 214 alineatul (2) din Tratatul privind funcționarea Uniunii Europene, în Regulamentul privind ajutorul umanitar (1996)(</w:t>
      </w:r>
      <w:r>
        <w:rPr>
          <w:rStyle w:val="FootnoteReference"/>
          <w:rFonts w:ascii="Times New Roman" w:hAnsi="Times New Roman"/>
          <w:noProof/>
          <w:lang w:val="en-GB"/>
        </w:rPr>
        <w:footnoteReference w:id="3"/>
      </w:r>
      <w:r>
        <w:rPr>
          <w:rFonts w:ascii="Times New Roman" w:hAnsi="Times New Roman"/>
          <w:noProof/>
        </w:rPr>
        <w:t>) și în Consensul european privind ajutorul umanitar (2007)(</w:t>
      </w:r>
      <w:r>
        <w:rPr>
          <w:rStyle w:val="FootnoteReference"/>
          <w:rFonts w:ascii="Times New Roman" w:hAnsi="Times New Roman"/>
          <w:noProof/>
          <w:lang w:val="en-GB"/>
        </w:rPr>
        <w:footnoteReference w:id="4"/>
      </w:r>
      <w:r>
        <w:rPr>
          <w:rFonts w:ascii="Times New Roman" w:hAnsi="Times New Roman"/>
          <w:noProof/>
        </w:rPr>
        <w:t xml:space="preserve">). Deși nu este vorba de un obiectiv propriu-zis, asistența umanitară consolidează și securitatea umană și contribuie la atenuarea consecințelor regionale și globale mai ample ale conflictelor și dezastrelor, sprijinind astfel un </w:t>
      </w:r>
      <w:r>
        <w:rPr>
          <w:rFonts w:ascii="Times New Roman" w:hAnsi="Times New Roman"/>
          <w:b/>
          <w:noProof/>
        </w:rPr>
        <w:t>mediu global mai sigur și mai stabil</w:t>
      </w:r>
      <w:r>
        <w:rPr>
          <w:rFonts w:ascii="Times New Roman" w:hAnsi="Times New Roman"/>
          <w:noProof/>
        </w:rPr>
        <w:t>, în concordanță cu valorile și interesele fundamentale ale UE(</w:t>
      </w:r>
      <w:r>
        <w:rPr>
          <w:rStyle w:val="FootnoteReference"/>
          <w:rFonts w:ascii="Times New Roman" w:hAnsi="Times New Roman"/>
          <w:noProof/>
          <w:lang w:val="en-GB"/>
        </w:rPr>
        <w:footnoteReference w:id="5"/>
      </w:r>
      <w:r>
        <w:rPr>
          <w:rFonts w:ascii="Times New Roman" w:hAnsi="Times New Roman"/>
          <w:noProof/>
        </w:rPr>
        <w:t>).</w:t>
      </w:r>
    </w:p>
    <w:p w14:paraId="62B706F4" w14:textId="1D6FA2A0" w:rsidR="00456B58" w:rsidRPr="00E76282" w:rsidRDefault="00683898" w:rsidP="00456B58">
      <w:pPr>
        <w:spacing w:line="240" w:lineRule="auto"/>
        <w:jc w:val="both"/>
        <w:rPr>
          <w:rFonts w:ascii="Times New Roman" w:hAnsi="Times New Roman"/>
          <w:noProof/>
        </w:rPr>
      </w:pPr>
      <w:r>
        <w:rPr>
          <w:rFonts w:ascii="Times New Roman" w:hAnsi="Times New Roman"/>
          <w:noProof/>
        </w:rPr>
        <w:t xml:space="preserve">În prezent, </w:t>
      </w:r>
      <w:r>
        <w:rPr>
          <w:rFonts w:ascii="Times New Roman" w:hAnsi="Times New Roman"/>
          <w:b/>
          <w:noProof/>
        </w:rPr>
        <w:t>sistemul umanitar mondial se află într-un punct critic.</w:t>
      </w:r>
      <w:r>
        <w:rPr>
          <w:rFonts w:ascii="Times New Roman" w:hAnsi="Times New Roman"/>
          <w:noProof/>
        </w:rPr>
        <w:t xml:space="preserve"> Proliferarea conflictelor și a dezastrelor legate de climă determină o sporire fără precedent a nevoilor umanitare, în timp ce resursele financiare și spațiul operațional sunt în scădere. Conflictele și pericolele naturale afectează mai mulți oameni și mai multe țări decât în orice alt moment de la sfârșitul Războiului Rece(</w:t>
      </w:r>
      <w:r>
        <w:rPr>
          <w:rStyle w:val="FootnoteReference"/>
          <w:rFonts w:ascii="Times New Roman" w:hAnsi="Times New Roman"/>
          <w:noProof/>
          <w:lang w:val="en-GB"/>
        </w:rPr>
        <w:footnoteReference w:id="6"/>
      </w:r>
      <w:r>
        <w:rPr>
          <w:rFonts w:ascii="Times New Roman" w:hAnsi="Times New Roman"/>
          <w:noProof/>
        </w:rPr>
        <w:t xml:space="preserve">). În prezent, se desfășoară </w:t>
      </w:r>
      <w:r>
        <w:rPr>
          <w:rFonts w:ascii="Times New Roman" w:hAnsi="Times New Roman"/>
          <w:b/>
          <w:noProof/>
        </w:rPr>
        <w:t>aproximativ 130 de conflicte la nivel mondial</w:t>
      </w:r>
      <w:r>
        <w:rPr>
          <w:rFonts w:ascii="Times New Roman" w:hAnsi="Times New Roman"/>
          <w:noProof/>
        </w:rPr>
        <w:t>, de peste două ori mai multe decât acum 15 ani(</w:t>
      </w:r>
      <w:r>
        <w:rPr>
          <w:rStyle w:val="FootnoteReference"/>
          <w:rFonts w:ascii="Times New Roman" w:hAnsi="Times New Roman"/>
          <w:noProof/>
          <w:lang w:val="en-GB"/>
        </w:rPr>
        <w:footnoteReference w:id="7"/>
      </w:r>
      <w:r>
        <w:rPr>
          <w:rFonts w:ascii="Times New Roman" w:hAnsi="Times New Roman"/>
          <w:noProof/>
        </w:rPr>
        <w:t xml:space="preserve">), reprezentând aproximativ 70 % din nevoile umanitare la nivel mondial. În paralel, </w:t>
      </w:r>
      <w:r>
        <w:rPr>
          <w:rFonts w:ascii="Times New Roman" w:hAnsi="Times New Roman"/>
          <w:b/>
          <w:noProof/>
        </w:rPr>
        <w:t>schimbările climatice și degradarea mediului</w:t>
      </w:r>
      <w:r>
        <w:rPr>
          <w:rFonts w:ascii="Times New Roman" w:hAnsi="Times New Roman"/>
          <w:noProof/>
        </w:rPr>
        <w:t xml:space="preserve"> sporesc frecvența pericolelor naturale, afectând în mod disproporționat contextele cele fragile, în care comunitățile au cea mai redusă capacitate de rezistență. Această situație duce la strămutări, insecuritate alimentară, deficit de apă, epidemii și prăbușirea mijloacelor de subzistență, subminând câștigurile în materie de dezvoltare și sporind instabilitatea la nivel mondial. </w:t>
      </w:r>
    </w:p>
    <w:p w14:paraId="2292AFC9" w14:textId="67C2B09D"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Prin urmare, </w:t>
      </w:r>
      <w:r>
        <w:rPr>
          <w:rFonts w:ascii="Times New Roman" w:hAnsi="Times New Roman"/>
          <w:b/>
          <w:noProof/>
        </w:rPr>
        <w:t>nevoile umanitare sunt în continuă creștere.</w:t>
      </w:r>
      <w:r>
        <w:rPr>
          <w:rFonts w:ascii="Times New Roman" w:hAnsi="Times New Roman"/>
          <w:noProof/>
        </w:rPr>
        <w:t xml:space="preserve"> Numărul persoanelor strămutate în mod forțat sau care solicită azil s-a dublat în ultimul deceniu, ajungând la 117,3 milioane în 2025(</w:t>
      </w:r>
      <w:r>
        <w:rPr>
          <w:rStyle w:val="FootnoteReference"/>
          <w:rFonts w:ascii="Times New Roman" w:hAnsi="Times New Roman"/>
          <w:noProof/>
          <w:lang w:val="en-GB"/>
        </w:rPr>
        <w:footnoteReference w:id="8"/>
      </w:r>
      <w:r>
        <w:rPr>
          <w:rFonts w:ascii="Times New Roman" w:hAnsi="Times New Roman"/>
          <w:noProof/>
        </w:rPr>
        <w:t xml:space="preserve">). Aproximativ 20 % din </w:t>
      </w:r>
      <w:r>
        <w:rPr>
          <w:rFonts w:ascii="Times New Roman" w:hAnsi="Times New Roman"/>
          <w:b/>
          <w:noProof/>
        </w:rPr>
        <w:t>copiii</w:t>
      </w:r>
      <w:r>
        <w:rPr>
          <w:rFonts w:ascii="Times New Roman" w:hAnsi="Times New Roman"/>
          <w:noProof/>
        </w:rPr>
        <w:t xml:space="preserve"> din întreaga lume (circa o jumătate de miliard) trăiesc în zone de conflict sau fug din acestea. </w:t>
      </w:r>
      <w:r>
        <w:rPr>
          <w:rFonts w:ascii="Times New Roman" w:hAnsi="Times New Roman"/>
          <w:b/>
          <w:noProof/>
        </w:rPr>
        <w:t>Violența sexuală și bazată pe gen</w:t>
      </w:r>
      <w:r>
        <w:rPr>
          <w:rFonts w:ascii="Times New Roman" w:hAnsi="Times New Roman"/>
          <w:noProof/>
        </w:rPr>
        <w:t>, inclusiv violența sexuală legată de conflicte, este în continuă creștere, iar numărul persoanelor care se confruntă cu foamete acută atinge niveluri catastrofale(</w:t>
      </w:r>
      <w:r>
        <w:rPr>
          <w:rStyle w:val="FootnoteReference"/>
          <w:rFonts w:ascii="Times New Roman" w:hAnsi="Times New Roman"/>
          <w:noProof/>
          <w:lang w:val="en-GB"/>
        </w:rPr>
        <w:footnoteReference w:id="9"/>
      </w:r>
      <w:r>
        <w:rPr>
          <w:rFonts w:ascii="Times New Roman" w:hAnsi="Times New Roman"/>
          <w:noProof/>
        </w:rPr>
        <w:t>). ONU estimează că, în 2026, 239 de milioane de persoane din întreaga lume au nevoie de asistență umanitară, în creștere comparativ cu cifra de 31 milioane din anul 2006.</w:t>
      </w:r>
    </w:p>
    <w:p w14:paraId="706E7022" w14:textId="55AC06F7" w:rsidR="00456B58" w:rsidRPr="00970492" w:rsidRDefault="00AD115B" w:rsidP="00456B58">
      <w:pPr>
        <w:spacing w:line="240" w:lineRule="auto"/>
        <w:jc w:val="both"/>
        <w:rPr>
          <w:rFonts w:ascii="Times New Roman" w:hAnsi="Times New Roman" w:cs="Times New Roman"/>
          <w:noProof/>
        </w:rPr>
      </w:pPr>
      <w:r>
        <w:rPr>
          <w:rFonts w:ascii="Times New Roman" w:hAnsi="Times New Roman"/>
          <w:b/>
          <w:noProof/>
        </w:rPr>
        <w:t>Actorii umanitari răspund cu greu acestui val de nevoi tot mai mari și își desfășoară activitatea în condiții din ce în ce mai periculoase și mai dificile.</w:t>
      </w:r>
      <w:r>
        <w:rPr>
          <w:rFonts w:ascii="Times New Roman" w:hAnsi="Times New Roman"/>
          <w:noProof/>
        </w:rPr>
        <w:t xml:space="preserve"> Dreptul internațional umanitar este trecut cu vederea, iar cazurile de încălcare sunt rareori pedepsite. Actorii umanitari, cărora li se refuză adesea accesul de care au nevoie pentru a furniza ajutor, se confruntă cu o insecuritate din ce în ce mai mare, cu obstacole administrative, cu obligația de a plăti diverse taxe și ingerințe politice care întârzie, deturnează sau condiționează asistența. Atacurile deliberate asupra personalului umanitar au crescut exponențial, iar atacurile împotriva unităților medicale s-au dublat între 2023 și 2024(</w:t>
      </w:r>
      <w:r>
        <w:rPr>
          <w:rStyle w:val="FootnoteReference"/>
          <w:rFonts w:ascii="Times New Roman" w:hAnsi="Times New Roman" w:cs="Times New Roman"/>
          <w:noProof/>
          <w:lang w:val="en-GB"/>
        </w:rPr>
        <w:footnoteReference w:id="10"/>
      </w:r>
      <w:r>
        <w:rPr>
          <w:rFonts w:ascii="Times New Roman" w:hAnsi="Times New Roman"/>
          <w:noProof/>
        </w:rPr>
        <w:t xml:space="preserve">) . </w:t>
      </w:r>
      <w:r>
        <w:rPr>
          <w:rFonts w:ascii="Times New Roman" w:hAnsi="Times New Roman"/>
          <w:b/>
          <w:noProof/>
        </w:rPr>
        <w:t>Grupurile vulnerabile și marginalizate</w:t>
      </w:r>
      <w:r>
        <w:rPr>
          <w:rFonts w:ascii="Times New Roman" w:hAnsi="Times New Roman"/>
          <w:noProof/>
        </w:rPr>
        <w:t xml:space="preserve"> expuse riscului de discriminare sunt afectate în mod disproporționat, în timp ce eforturile de asigurare a incluziunii, a accesibilității și a răspunsurilor umanitare care iau în considerare dimensiunea de gen sunt din ce în ce mai contestate. În plus, creșterea bruscă a dezinformării subminează acțiunile umanitare(</w:t>
      </w:r>
      <w:r>
        <w:rPr>
          <w:rFonts w:ascii="Times New Roman" w:hAnsi="Times New Roman" w:cs="Times New Roman"/>
          <w:noProof/>
          <w:vertAlign w:val="superscript"/>
        </w:rPr>
        <w:footnoteReference w:id="11"/>
      </w:r>
      <w:r>
        <w:rPr>
          <w:rFonts w:ascii="Times New Roman" w:hAnsi="Times New Roman"/>
          <w:noProof/>
        </w:rPr>
        <w:t>).</w:t>
      </w:r>
    </w:p>
    <w:p w14:paraId="57D0B871" w14:textId="7385A7A1" w:rsidR="00456B58" w:rsidRPr="00B42457" w:rsidRDefault="00456B58" w:rsidP="00456B58">
      <w:pPr>
        <w:spacing w:line="240" w:lineRule="auto"/>
        <w:jc w:val="both"/>
        <w:rPr>
          <w:rFonts w:ascii="Times New Roman" w:hAnsi="Times New Roman" w:cs="Times New Roman"/>
          <w:noProof/>
        </w:rPr>
      </w:pPr>
      <w:r>
        <w:rPr>
          <w:rFonts w:ascii="Times New Roman" w:hAnsi="Times New Roman"/>
          <w:noProof/>
        </w:rPr>
        <w:t xml:space="preserve">În ultimul an, sistemul a fost supus unor presiuni suplimentare ca urmare a unor decizii politice majore și a drasticelor </w:t>
      </w:r>
      <w:r>
        <w:rPr>
          <w:rFonts w:ascii="Times New Roman" w:hAnsi="Times New Roman"/>
          <w:b/>
          <w:noProof/>
        </w:rPr>
        <w:t>reduceri ale finanțării</w:t>
      </w:r>
      <w:r>
        <w:rPr>
          <w:rFonts w:ascii="Times New Roman" w:hAnsi="Times New Roman"/>
          <w:noProof/>
        </w:rPr>
        <w:t>, în special din partea Statelor Unite și a altor donatori importanți. Organizațiile umanitare s-au văzut astfel obligate să prioritizeze în mod dramatic operațiunile, neputând interveni decât pentru o mică parte dintre cei care au nevoie de ajutor(</w:t>
      </w:r>
      <w:r>
        <w:rPr>
          <w:rFonts w:ascii="Times New Roman" w:hAnsi="Times New Roman" w:cs="Times New Roman"/>
          <w:noProof/>
          <w:vertAlign w:val="superscript"/>
          <w:lang w:val="en-GB"/>
        </w:rPr>
        <w:footnoteReference w:id="12"/>
      </w:r>
      <w:r>
        <w:rPr>
          <w:rFonts w:ascii="Times New Roman" w:hAnsi="Times New Roman"/>
          <w:noProof/>
        </w:rPr>
        <w:t>). În plus, asistența este din ce în ce mai mult influențată de considerente politice sau ideologice, în loc să aibă ca punct de reper principiile umanității și imparțialității, ceea ce slăbește fundamentele sistemului umanitar internațional.</w:t>
      </w:r>
    </w:p>
    <w:p w14:paraId="7D40BD0F" w14:textId="63152481" w:rsidR="00456B58" w:rsidRPr="00EA0BA1" w:rsidRDefault="00A13CF7" w:rsidP="00456B58">
      <w:pPr>
        <w:spacing w:line="240" w:lineRule="auto"/>
        <w:jc w:val="both"/>
        <w:rPr>
          <w:rFonts w:ascii="Times New Roman" w:hAnsi="Times New Roman"/>
          <w:noProof/>
        </w:rPr>
      </w:pPr>
      <w:r>
        <w:rPr>
          <w:rFonts w:ascii="Times New Roman" w:hAnsi="Times New Roman"/>
          <w:noProof/>
        </w:rPr>
        <w:t xml:space="preserve">Aceste evoluții fac ca reforma sistemului umanitar multilateral să fie atât urgentă, cât și inevitabilă. </w:t>
      </w:r>
      <w:r>
        <w:rPr>
          <w:rFonts w:ascii="Times New Roman" w:hAnsi="Times New Roman"/>
          <w:b/>
          <w:noProof/>
        </w:rPr>
        <w:t>„Resetarea” asistenței umanitare a ONU</w:t>
      </w:r>
      <w:r>
        <w:rPr>
          <w:rFonts w:ascii="Times New Roman" w:hAnsi="Times New Roman"/>
          <w:noProof/>
        </w:rPr>
        <w:t xml:space="preserve">, lansată în luna martie 2025, urmărește să consolideze acțiunea umanitară colectivă, să îmbunătățească eficiența, să transfere competențele decizionale și resursele cât mai aproape de de populațiile afectate de crize și să protejeze acțiunea bazată pe principii. În calitate de partener de prim rang care acționează conform principiilor sale, UE sprijină cu fermitate aceste eforturi pentru un sistem umanitar mai rezilient, pregătit pentru viitor. În plus, UE va continua să promoveze </w:t>
      </w:r>
      <w:r>
        <w:rPr>
          <w:rFonts w:ascii="Times New Roman" w:hAnsi="Times New Roman"/>
          <w:b/>
          <w:noProof/>
        </w:rPr>
        <w:t>sistemul multilateral</w:t>
      </w:r>
      <w:r>
        <w:rPr>
          <w:rFonts w:ascii="Times New Roman" w:hAnsi="Times New Roman"/>
          <w:noProof/>
        </w:rPr>
        <w:t>, să sprijine Carta Organizației Națiunilor Unite și inițiativa ONU80 ca proces mai amplu de reformă a ONU, pentru a se asigura că această organizație rămâne eficace, eficientă din punctul de vedere al costurilor și reactivă(</w:t>
      </w:r>
      <w:r>
        <w:rPr>
          <w:rStyle w:val="FootnoteReference"/>
          <w:rFonts w:ascii="Times New Roman" w:hAnsi="Times New Roman"/>
          <w:noProof/>
          <w:lang w:val="en-GB"/>
        </w:rPr>
        <w:footnoteReference w:id="13"/>
      </w:r>
      <w:r>
        <w:rPr>
          <w:rFonts w:ascii="Times New Roman" w:hAnsi="Times New Roman"/>
          <w:noProof/>
        </w:rPr>
        <w:t>) .</w:t>
      </w:r>
    </w:p>
    <w:p w14:paraId="6AD26218" w14:textId="7A2ED61D" w:rsidR="00ED3AE7" w:rsidRDefault="00456B58" w:rsidP="00687D0F">
      <w:pPr>
        <w:spacing w:line="240" w:lineRule="auto"/>
        <w:jc w:val="both"/>
        <w:rPr>
          <w:rFonts w:ascii="Times New Roman" w:hAnsi="Times New Roman" w:cs="Times New Roman"/>
          <w:noProof/>
        </w:rPr>
      </w:pPr>
      <w:r>
        <w:rPr>
          <w:rFonts w:ascii="Times New Roman" w:hAnsi="Times New Roman"/>
          <w:b/>
          <w:noProof/>
        </w:rPr>
        <w:t>Împreună, UE și statele sale membre rămân donatori fiabili și previzibili, furnizând cea mai mare parte a finanțării umanitare la nivel mondial (34 % în 2025)</w:t>
      </w:r>
      <w:r>
        <w:rPr>
          <w:rFonts w:ascii="Times New Roman" w:hAnsi="Times New Roman"/>
          <w:noProof/>
        </w:rPr>
        <w:t>(</w:t>
      </w:r>
      <w:r>
        <w:rPr>
          <w:rStyle w:val="FootnoteReference"/>
          <w:rFonts w:ascii="Times New Roman" w:hAnsi="Times New Roman" w:cs="Times New Roman"/>
          <w:noProof/>
          <w:lang w:val="en-GB"/>
        </w:rPr>
        <w:footnoteReference w:id="14"/>
      </w:r>
      <w:r>
        <w:rPr>
          <w:rFonts w:ascii="Times New Roman" w:hAnsi="Times New Roman"/>
          <w:noProof/>
        </w:rPr>
        <w:t>). UE va continua să ofere asistență în funcție de nevoi, favorabilă incluziunii și nediscriminatorie(</w:t>
      </w:r>
      <w:r>
        <w:rPr>
          <w:rStyle w:val="FootnoteReference"/>
          <w:rFonts w:ascii="Times New Roman" w:hAnsi="Times New Roman" w:cs="Times New Roman"/>
          <w:noProof/>
          <w:lang w:val="en-GB"/>
        </w:rPr>
        <w:footnoteReference w:id="15"/>
      </w:r>
      <w:r>
        <w:rPr>
          <w:rFonts w:ascii="Times New Roman" w:hAnsi="Times New Roman"/>
          <w:noProof/>
        </w:rPr>
        <w:t xml:space="preserve">) pentru a salva vieți omenești și a proteja demnitatea umană. Sprijinul va fi în continuare furnizat prin intermediul partenerilor săi umanitari de lungă durată, în special al ONU, al Mișcării de Cruce Roșie și Semilună Roșie, precum și al organizațiilor neguvernamentale internaționale, valorificând punctele forte ale acestora. </w:t>
      </w:r>
    </w:p>
    <w:p w14:paraId="37A1EBE0" w14:textId="3FEB7353" w:rsidR="00456B58" w:rsidRPr="00970492" w:rsidRDefault="00671068" w:rsidP="00411191">
      <w:pPr>
        <w:spacing w:line="240" w:lineRule="auto"/>
        <w:jc w:val="both"/>
        <w:rPr>
          <w:rFonts w:ascii="Times New Roman" w:hAnsi="Times New Roman" w:cs="Times New Roman"/>
          <w:noProof/>
        </w:rPr>
      </w:pPr>
      <w:r>
        <w:rPr>
          <w:rFonts w:ascii="Times New Roman" w:hAnsi="Times New Roman"/>
          <w:noProof/>
        </w:rPr>
        <w:t>În același timp, UE se adaptează rapid la realitățile în schimbare și se poziționează drept catalizator al reformelor. Obiectivul său este să urmeze în acest sens o abordare colectivă, de tip „</w:t>
      </w:r>
      <w:r>
        <w:rPr>
          <w:rFonts w:ascii="Times New Roman" w:hAnsi="Times New Roman"/>
          <w:b/>
          <w:noProof/>
        </w:rPr>
        <w:t>Echipa Europa</w:t>
      </w:r>
      <w:r>
        <w:rPr>
          <w:rFonts w:ascii="Times New Roman" w:hAnsi="Times New Roman"/>
          <w:noProof/>
        </w:rPr>
        <w:t>”(</w:t>
      </w:r>
      <w:r>
        <w:rPr>
          <w:rStyle w:val="FootnoteReference"/>
          <w:rFonts w:ascii="Times New Roman" w:hAnsi="Times New Roman" w:cs="Times New Roman"/>
          <w:noProof/>
        </w:rPr>
        <w:footnoteReference w:id="16"/>
      </w:r>
      <w:r>
        <w:rPr>
          <w:rFonts w:ascii="Times New Roman" w:hAnsi="Times New Roman"/>
          <w:noProof/>
        </w:rPr>
        <w:t xml:space="preserve">), sporind astfel impactul UE pe baza a </w:t>
      </w:r>
      <w:r>
        <w:rPr>
          <w:rFonts w:ascii="Times New Roman" w:hAnsi="Times New Roman"/>
          <w:b/>
          <w:noProof/>
        </w:rPr>
        <w:t>trei piloni principali</w:t>
      </w:r>
      <w:r>
        <w:rPr>
          <w:rFonts w:ascii="Times New Roman" w:hAnsi="Times New Roman"/>
          <w:noProof/>
        </w:rPr>
        <w:t>(</w:t>
      </w:r>
      <w:r>
        <w:rPr>
          <w:rStyle w:val="FootnoteReference"/>
          <w:rFonts w:ascii="Times New Roman" w:hAnsi="Times New Roman" w:cs="Times New Roman"/>
          <w:noProof/>
          <w:lang w:val="en-GB"/>
        </w:rPr>
        <w:footnoteReference w:id="17"/>
      </w:r>
      <w:r>
        <w:rPr>
          <w:rFonts w:ascii="Times New Roman" w:hAnsi="Times New Roman"/>
          <w:noProof/>
        </w:rPr>
        <w:t>), pentru a oferi soluții concrete, ajutor și protecție bazate pe principii și de înaltă calitate pentru milioane de persoane aflate în dificultate:</w:t>
      </w:r>
    </w:p>
    <w:p w14:paraId="59E2BAED" w14:textId="59EAD744" w:rsidR="00456B58" w:rsidRPr="00970492" w:rsidRDefault="00456B58" w:rsidP="00301E74">
      <w:pPr>
        <w:pStyle w:val="ListParagraph"/>
        <w:numPr>
          <w:ilvl w:val="0"/>
          <w:numId w:val="23"/>
        </w:numPr>
        <w:spacing w:after="200" w:line="240" w:lineRule="auto"/>
        <w:jc w:val="both"/>
        <w:rPr>
          <w:rFonts w:ascii="Times New Roman" w:hAnsi="Times New Roman" w:cs="Times New Roman"/>
          <w:noProof/>
        </w:rPr>
      </w:pPr>
      <w:r>
        <w:rPr>
          <w:rFonts w:ascii="Times New Roman" w:hAnsi="Times New Roman"/>
          <w:b/>
          <w:noProof/>
        </w:rPr>
        <w:t>Protecție:</w:t>
      </w:r>
      <w:r>
        <w:rPr>
          <w:rFonts w:ascii="Times New Roman" w:hAnsi="Times New Roman"/>
          <w:noProof/>
        </w:rPr>
        <w:t xml:space="preserve"> respectarea principiilor umanitare, apărarea dreptului internațional umanitar și asigurarea capacității organizațiilor umanitare</w:t>
      </w:r>
      <w:r w:rsidR="006346F7">
        <w:rPr>
          <w:rFonts w:ascii="Times New Roman" w:hAnsi="Times New Roman"/>
          <w:noProof/>
        </w:rPr>
        <w:t xml:space="preserve"> </w:t>
      </w:r>
      <w:r>
        <w:rPr>
          <w:rFonts w:ascii="Times New Roman" w:hAnsi="Times New Roman"/>
          <w:noProof/>
        </w:rPr>
        <w:t>de a funcționa în mod eficace, prin dezvoltarea unei abordări strategice a diplomației umanitare, protejarea lucrătorilor umanitari și a civililor și plasarea persoanelor afectate în centrul răspunsului.</w:t>
      </w:r>
    </w:p>
    <w:p w14:paraId="6A2A0C08" w14:textId="436FFC45" w:rsidR="00456B58" w:rsidRDefault="00456B58" w:rsidP="00301E74">
      <w:pPr>
        <w:pStyle w:val="ListParagraph"/>
        <w:numPr>
          <w:ilvl w:val="0"/>
          <w:numId w:val="23"/>
        </w:numPr>
        <w:spacing w:after="200" w:line="240" w:lineRule="auto"/>
        <w:jc w:val="both"/>
        <w:rPr>
          <w:rFonts w:ascii="Times New Roman" w:hAnsi="Times New Roman" w:cs="Times New Roman"/>
          <w:noProof/>
        </w:rPr>
      </w:pPr>
      <w:r>
        <w:rPr>
          <w:rFonts w:ascii="Times New Roman" w:hAnsi="Times New Roman"/>
          <w:b/>
          <w:noProof/>
        </w:rPr>
        <w:t xml:space="preserve">Concretizare: </w:t>
      </w:r>
      <w:r>
        <w:rPr>
          <w:rFonts w:ascii="Times New Roman" w:hAnsi="Times New Roman"/>
          <w:noProof/>
        </w:rPr>
        <w:t>îmbunătățirea furnizării de ajutor umanitar într-un mod eficient din punct de vedere al costurilor și rezilient prin reformarea lanțurilor de aprovizionare, maximizarea valorii finanțării din partea UE și sprijinirea funcțiilor sistemice care permit acordarea de</w:t>
      </w:r>
      <w:r w:rsidR="006346F7">
        <w:rPr>
          <w:rFonts w:ascii="Times New Roman" w:hAnsi="Times New Roman"/>
          <w:noProof/>
        </w:rPr>
        <w:t xml:space="preserve"> </w:t>
      </w:r>
      <w:r>
        <w:rPr>
          <w:rFonts w:ascii="Times New Roman" w:hAnsi="Times New Roman"/>
          <w:noProof/>
        </w:rPr>
        <w:t>ajutor umanitar.</w:t>
      </w:r>
    </w:p>
    <w:p w14:paraId="6F7A4CD1" w14:textId="095A4865" w:rsidR="00EA0BA1" w:rsidRPr="0041300A" w:rsidRDefault="00456B58" w:rsidP="0041300A">
      <w:pPr>
        <w:pStyle w:val="ListParagraph"/>
        <w:numPr>
          <w:ilvl w:val="0"/>
          <w:numId w:val="23"/>
        </w:numPr>
        <w:spacing w:after="200" w:line="240" w:lineRule="auto"/>
        <w:jc w:val="both"/>
        <w:rPr>
          <w:rFonts w:ascii="Times New Roman" w:hAnsi="Times New Roman" w:cs="Times New Roman"/>
          <w:noProof/>
        </w:rPr>
      </w:pPr>
      <w:r>
        <w:rPr>
          <w:rFonts w:ascii="Times New Roman" w:hAnsi="Times New Roman"/>
          <w:b/>
          <w:noProof/>
        </w:rPr>
        <w:t>Lucru în parteneriat:</w:t>
      </w:r>
      <w:r>
        <w:rPr>
          <w:rFonts w:ascii="Times New Roman" w:hAnsi="Times New Roman"/>
          <w:noProof/>
        </w:rPr>
        <w:t xml:space="preserve"> colaborarea mai strânsă cu actorii din domeniul dezvoltării, al păcii și al diplomației în cadrul abordării bazate pe legătura dintre ajutorul umanitar, dezvoltare și pace (HDP), consolidarea parteneriatelor cu instituțiile financiare internaționale (IFI) și cu sectorul privat pentru a aborda situațiile de fragilitate, a spori reziliența și gradul de pregătire pentru intervenție în caz de dezastre, a promova soluții durabile și, reducând astfel nevoile umanitare și sprijinind obiectivele strategice ale UE. </w:t>
      </w:r>
    </w:p>
    <w:p w14:paraId="641B3D4F" w14:textId="553C3D2B" w:rsidR="00456B58" w:rsidRPr="00EA0BA1" w:rsidRDefault="00456B58" w:rsidP="00EA0BA1">
      <w:pPr>
        <w:spacing w:after="200" w:line="240" w:lineRule="auto"/>
        <w:jc w:val="both"/>
        <w:rPr>
          <w:rFonts w:ascii="Times New Roman" w:hAnsi="Times New Roman" w:cs="Times New Roman"/>
          <w:noProof/>
        </w:rPr>
      </w:pPr>
      <w:r>
        <w:rPr>
          <w:rFonts w:ascii="Times New Roman" w:hAnsi="Times New Roman"/>
          <w:noProof/>
        </w:rPr>
        <w:t xml:space="preserve">Prezenta comunicare comună detaliază prioritățile strategice ale UE și acțiunile-cheie din cadrul acestor trei piloni. Trei </w:t>
      </w:r>
      <w:r>
        <w:rPr>
          <w:rFonts w:ascii="Times New Roman" w:hAnsi="Times New Roman"/>
          <w:b/>
          <w:noProof/>
        </w:rPr>
        <w:t>documente de lucru însoțitoare ale serviciilor Comisiei</w:t>
      </w:r>
      <w:r>
        <w:rPr>
          <w:rFonts w:ascii="Times New Roman" w:hAnsi="Times New Roman"/>
          <w:noProof/>
        </w:rPr>
        <w:t xml:space="preserve"> aprofundează în continuare activitatea cu privire la următoarele aspecte centrale ale comunicării comune: O abordare strategică în ceea ce privește diplomația UE în domeniul umanitar(</w:t>
      </w:r>
      <w:r>
        <w:rPr>
          <w:rStyle w:val="FootnoteReference"/>
          <w:rFonts w:ascii="Times New Roman" w:hAnsi="Times New Roman" w:cs="Times New Roman"/>
          <w:noProof/>
          <w:lang w:val="en-GB"/>
        </w:rPr>
        <w:footnoteReference w:id="18"/>
      </w:r>
      <w:r>
        <w:rPr>
          <w:rFonts w:ascii="Times New Roman" w:hAnsi="Times New Roman"/>
          <w:noProof/>
        </w:rPr>
        <w:t>) ; Lanțuri de aprovizionare umanitară(</w:t>
      </w:r>
      <w:r>
        <w:rPr>
          <w:rStyle w:val="FootnoteReference"/>
          <w:rFonts w:ascii="Times New Roman" w:hAnsi="Times New Roman" w:cs="Times New Roman"/>
          <w:noProof/>
          <w:lang w:val="en-GB"/>
        </w:rPr>
        <w:footnoteReference w:id="19"/>
      </w:r>
      <w:r>
        <w:rPr>
          <w:rFonts w:ascii="Times New Roman" w:hAnsi="Times New Roman"/>
          <w:noProof/>
        </w:rPr>
        <w:t xml:space="preserve"> )și o Abordare integrată a vulnerabilităților (</w:t>
      </w:r>
      <w:r>
        <w:rPr>
          <w:rStyle w:val="FootnoteReference"/>
          <w:rFonts w:ascii="Times New Roman" w:hAnsi="Times New Roman" w:cs="Times New Roman"/>
          <w:noProof/>
          <w:lang w:val="en-GB"/>
        </w:rPr>
        <w:footnoteReference w:id="20"/>
      </w:r>
      <w:r>
        <w:rPr>
          <w:rFonts w:ascii="Times New Roman" w:hAnsi="Times New Roman"/>
          <w:noProof/>
        </w:rPr>
        <w:t xml:space="preserve">) . </w:t>
      </w:r>
    </w:p>
    <w:p w14:paraId="4FF3F09B" w14:textId="10E7C7AC" w:rsidR="00456B58" w:rsidRPr="0041300A" w:rsidRDefault="00456B58" w:rsidP="0041300A">
      <w:pPr>
        <w:pStyle w:val="ListParagraph"/>
        <w:numPr>
          <w:ilvl w:val="0"/>
          <w:numId w:val="24"/>
        </w:numPr>
        <w:spacing w:line="240" w:lineRule="auto"/>
        <w:jc w:val="both"/>
        <w:rPr>
          <w:rFonts w:ascii="Times New Roman" w:hAnsi="Times New Roman" w:cs="Times New Roman"/>
          <w:b/>
          <w:bCs/>
          <w:noProof/>
        </w:rPr>
      </w:pPr>
      <w:r>
        <w:rPr>
          <w:rFonts w:ascii="Times New Roman" w:hAnsi="Times New Roman"/>
          <w:b/>
          <w:noProof/>
        </w:rPr>
        <w:t>Protecție: oameni, principii și acțiuni umanitare sigure</w:t>
      </w:r>
    </w:p>
    <w:p w14:paraId="5C623A41" w14:textId="3D3A2824" w:rsidR="00456B58" w:rsidRPr="00970492" w:rsidRDefault="00456B58" w:rsidP="00456B58">
      <w:pPr>
        <w:spacing w:line="240" w:lineRule="auto"/>
        <w:jc w:val="both"/>
        <w:rPr>
          <w:rFonts w:ascii="Times New Roman" w:hAnsi="Times New Roman" w:cs="Times New Roman"/>
          <w:b/>
          <w:bCs/>
          <w:noProof/>
        </w:rPr>
      </w:pPr>
      <w:r>
        <w:rPr>
          <w:rFonts w:ascii="Times New Roman" w:hAnsi="Times New Roman"/>
          <w:noProof/>
        </w:rPr>
        <w:t xml:space="preserve">În această perioadă în care principiile de bază ale umanității sunt contestate, UE își menține angajamentul ferm de a proteja dreptul internațional umanitar, principiile umanitare, personalul umanitar și, în primul rând, persoanele afectate. Contextul actual necesită </w:t>
      </w:r>
      <w:r>
        <w:rPr>
          <w:rFonts w:ascii="Times New Roman" w:hAnsi="Times New Roman"/>
          <w:b/>
          <w:noProof/>
        </w:rPr>
        <w:t>o nouă abordare strategică în ceea ce privește diplomația umanitară</w:t>
      </w:r>
      <w:r>
        <w:rPr>
          <w:rFonts w:ascii="Times New Roman" w:hAnsi="Times New Roman"/>
          <w:noProof/>
        </w:rPr>
        <w:t>, orientată către apărarea spațiului și principiilor umanitare, concomitent cu consolidarea unei asistențe umanitare centrate pe oameni, sigure și favorabile incluziunii.</w:t>
      </w:r>
    </w:p>
    <w:p w14:paraId="3F61C88C" w14:textId="3FC931E9" w:rsidR="00456B58" w:rsidRPr="00970492" w:rsidRDefault="00456B58" w:rsidP="00321376">
      <w:pPr>
        <w:pStyle w:val="ListParagraph"/>
        <w:numPr>
          <w:ilvl w:val="1"/>
          <w:numId w:val="13"/>
        </w:numPr>
        <w:spacing w:after="200" w:line="240" w:lineRule="auto"/>
        <w:jc w:val="both"/>
        <w:rPr>
          <w:rFonts w:ascii="Times New Roman" w:hAnsi="Times New Roman" w:cs="Times New Roman"/>
          <w:b/>
          <w:bCs/>
          <w:i/>
          <w:iCs/>
          <w:noProof/>
        </w:rPr>
      </w:pPr>
      <w:r>
        <w:rPr>
          <w:rFonts w:ascii="Times New Roman" w:hAnsi="Times New Roman"/>
          <w:b/>
          <w:i/>
          <w:noProof/>
        </w:rPr>
        <w:t>Intensificarea diplomației umanitare</w:t>
      </w:r>
    </w:p>
    <w:p w14:paraId="317A7489" w14:textId="5686E6FD" w:rsidR="00456B58" w:rsidRPr="00A07E7A" w:rsidRDefault="75979BED" w:rsidP="00456B58">
      <w:pPr>
        <w:pStyle w:val="paragraph"/>
        <w:spacing w:before="0" w:beforeAutospacing="0" w:after="0" w:afterAutospacing="0"/>
        <w:jc w:val="both"/>
        <w:textAlignment w:val="baseline"/>
        <w:rPr>
          <w:rStyle w:val="normaltextrun"/>
          <w:rFonts w:eastAsiaTheme="majorEastAsia"/>
          <w:bCs/>
          <w:noProof/>
        </w:rPr>
      </w:pPr>
      <w:bookmarkStart w:id="2" w:name="_Hlk229488371"/>
      <w:r>
        <w:rPr>
          <w:rStyle w:val="normaltextrun"/>
          <w:noProof/>
        </w:rPr>
        <w:t xml:space="preserve">Într-un context global marcat de numeroase conflicte și de instituții multilaterale din ce în ce mai contestate, este este mai urgent ca niciodată să se întreprindă acțiuni ferme de apărare a dreptului internațional umanitar și a spațiului umanitar bazat pe principii. </w:t>
      </w:r>
      <w:r>
        <w:rPr>
          <w:rStyle w:val="normaltextrun"/>
          <w:b/>
          <w:noProof/>
        </w:rPr>
        <w:t>Prin urmare, UE va spori eficacitatea</w:t>
      </w:r>
      <w:r>
        <w:rPr>
          <w:rStyle w:val="normaltextrun"/>
          <w:noProof/>
        </w:rPr>
        <w:t xml:space="preserve"> </w:t>
      </w:r>
      <w:r>
        <w:rPr>
          <w:rStyle w:val="normaltextrun"/>
          <w:b/>
          <w:noProof/>
        </w:rPr>
        <w:t>diplomației sale</w:t>
      </w:r>
      <w:r>
        <w:rPr>
          <w:noProof/>
        </w:rPr>
        <w:t xml:space="preserve"> </w:t>
      </w:r>
      <w:r>
        <w:rPr>
          <w:b/>
          <w:noProof/>
        </w:rPr>
        <w:t>umanitare, mobilizând instrumente umanitare, politice, economice, de securitate sau diplomatice.</w:t>
      </w:r>
      <w:r>
        <w:rPr>
          <w:noProof/>
          <w:color w:val="000000" w:themeColor="text1"/>
        </w:rPr>
        <w:t xml:space="preserve"> Reprezentanții oficiali ai UE vor dialoga cu factorii decizionali, cu protagoniștii conflictelor armate și cu sponsorii sau persoanele care exercită influență asupra acestora, pentru a contribui la prevenirea, atenuarea și soluționarea crizelor umanitare, pentru a îmbunătăți respectarea de către părți a dreptului internațional umanitar și pentru a promova o mai bună aliniere la principiile și obiectivele umanitare internaționale.</w:t>
      </w:r>
    </w:p>
    <w:bookmarkEnd w:id="2"/>
    <w:p w14:paraId="255CBC7A" w14:textId="77777777" w:rsidR="00456B58" w:rsidRPr="006346F7" w:rsidRDefault="00456B58" w:rsidP="00456B58">
      <w:pPr>
        <w:pStyle w:val="paragraph"/>
        <w:spacing w:before="0" w:beforeAutospacing="0" w:after="0" w:afterAutospacing="0"/>
        <w:jc w:val="both"/>
        <w:textAlignment w:val="baseline"/>
        <w:rPr>
          <w:rStyle w:val="normaltextrun"/>
          <w:rFonts w:eastAsiaTheme="majorEastAsia"/>
          <w:noProof/>
        </w:rPr>
      </w:pPr>
    </w:p>
    <w:p w14:paraId="2008CD6F" w14:textId="28505865" w:rsidR="00456B58" w:rsidRPr="00970492" w:rsidRDefault="00BB0FC8" w:rsidP="00D24073">
      <w:pPr>
        <w:pStyle w:val="ListParagraph"/>
        <w:spacing w:after="120" w:line="240" w:lineRule="auto"/>
        <w:ind w:left="0"/>
        <w:contextualSpacing w:val="0"/>
        <w:jc w:val="both"/>
        <w:rPr>
          <w:rFonts w:ascii="Times New Roman" w:eastAsia="Times New Roman" w:hAnsi="Times New Roman" w:cs="Times New Roman"/>
          <w:noProof/>
        </w:rPr>
      </w:pPr>
      <w:r>
        <w:rPr>
          <w:rFonts w:ascii="Times New Roman" w:hAnsi="Times New Roman"/>
          <w:b/>
          <w:noProof/>
        </w:rPr>
        <w:t>Diplomația umanitară a UE</w:t>
      </w:r>
      <w:r>
        <w:rPr>
          <w:rFonts w:ascii="Times New Roman" w:hAnsi="Times New Roman"/>
          <w:noProof/>
        </w:rPr>
        <w:t xml:space="preserve"> se bazează pe următoarele </w:t>
      </w:r>
      <w:r>
        <w:rPr>
          <w:rFonts w:ascii="Times New Roman" w:hAnsi="Times New Roman"/>
          <w:b/>
          <w:noProof/>
        </w:rPr>
        <w:t>principii și valori esențiale</w:t>
      </w:r>
      <w:r>
        <w:rPr>
          <w:rFonts w:ascii="Times New Roman" w:hAnsi="Times New Roman"/>
          <w:noProof/>
        </w:rPr>
        <w:t>:</w:t>
      </w:r>
    </w:p>
    <w:p w14:paraId="01FF1382" w14:textId="469480C5" w:rsidR="00456B58" w:rsidRPr="00970492" w:rsidRDefault="00F05814" w:rsidP="00BB7655">
      <w:pPr>
        <w:pStyle w:val="ListParagraph"/>
        <w:numPr>
          <w:ilvl w:val="0"/>
          <w:numId w:val="21"/>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este </w:t>
      </w:r>
      <w:r>
        <w:rPr>
          <w:rFonts w:ascii="Times New Roman" w:hAnsi="Times New Roman"/>
          <w:b/>
          <w:noProof/>
        </w:rPr>
        <w:t>parte integrantă a acțiunii și a politicii externe a UE</w:t>
      </w:r>
      <w:r>
        <w:rPr>
          <w:rFonts w:ascii="Times New Roman" w:hAnsi="Times New Roman"/>
          <w:noProof/>
        </w:rPr>
        <w:t xml:space="preserve"> și se reflectă în mod sistematic în intervențiile și negocierile sale diplomatice; </w:t>
      </w:r>
    </w:p>
    <w:p w14:paraId="7F876559" w14:textId="4A1CDAFD" w:rsidR="00456B58"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aderă la principiile </w:t>
      </w:r>
      <w:r>
        <w:rPr>
          <w:rFonts w:ascii="Times New Roman" w:hAnsi="Times New Roman"/>
          <w:b/>
          <w:noProof/>
        </w:rPr>
        <w:t>umanității, neutralității, imparțialității și independenței</w:t>
      </w:r>
      <w:r>
        <w:rPr>
          <w:rFonts w:ascii="Times New Roman" w:hAnsi="Times New Roman"/>
          <w:noProof/>
        </w:rPr>
        <w:t xml:space="preserve"> care stau la baza asistenței umanitare, depunând toate eforturile pentru a evita daunele nedorite. De asemenea, diplomația ar trebui să țină seama de conflicte, de dimensiunea de gen și de situație;</w:t>
      </w:r>
    </w:p>
    <w:p w14:paraId="0C9B721F" w14:textId="05A9B97F" w:rsidR="008D487F"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scopul său este de a maximiza </w:t>
      </w:r>
      <w:r>
        <w:rPr>
          <w:rFonts w:ascii="Times New Roman" w:hAnsi="Times New Roman"/>
          <w:b/>
          <w:noProof/>
        </w:rPr>
        <w:t>coordonarea UE</w:t>
      </w:r>
      <w:r>
        <w:rPr>
          <w:rFonts w:ascii="Times New Roman" w:hAnsi="Times New Roman"/>
          <w:noProof/>
        </w:rPr>
        <w:t xml:space="preserve"> și impactul </w:t>
      </w:r>
      <w:r>
        <w:rPr>
          <w:rFonts w:ascii="Times New Roman" w:hAnsi="Times New Roman"/>
          <w:b/>
          <w:noProof/>
        </w:rPr>
        <w:t>abordării „Echipa Europa”</w:t>
      </w:r>
      <w:r>
        <w:rPr>
          <w:rFonts w:ascii="Times New Roman" w:hAnsi="Times New Roman"/>
          <w:noProof/>
        </w:rPr>
        <w:t xml:space="preserve">, valorificând mandatele distincte ale reprezentanților speciali ai Uniunii și ale trimișilor speciali relevanți, ale misiunilor și operațiunilor din cadrul politicii de securitate și apărare comune (PSAC), ale Comisiei, ale </w:t>
      </w:r>
      <w:r>
        <w:rPr>
          <w:rStyle w:val="normaltextrun"/>
          <w:rFonts w:ascii="Times New Roman" w:hAnsi="Times New Roman"/>
          <w:noProof/>
        </w:rPr>
        <w:t>Înaltului reprezentant</w:t>
      </w:r>
      <w:r w:rsidR="006346F7">
        <w:rPr>
          <w:rStyle w:val="normaltextrun"/>
          <w:rFonts w:ascii="Times New Roman" w:hAnsi="Times New Roman"/>
          <w:noProof/>
        </w:rPr>
        <w:t xml:space="preserve"> </w:t>
      </w:r>
      <w:r>
        <w:rPr>
          <w:rFonts w:ascii="Times New Roman" w:hAnsi="Times New Roman"/>
          <w:noProof/>
        </w:rPr>
        <w:t>și ale statelor membre, integrând în același timp în mod sistematic informațiile în timp real, inclusiv pe cele obținute datorită prezenței UE pe teren;</w:t>
      </w:r>
    </w:p>
    <w:p w14:paraId="449984C1" w14:textId="56DAEA8A" w:rsidR="00311B63"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asigură implicarea și participarea semnificativă a </w:t>
      </w:r>
      <w:r>
        <w:rPr>
          <w:rFonts w:ascii="Times New Roman" w:hAnsi="Times New Roman"/>
          <w:b/>
          <w:noProof/>
        </w:rPr>
        <w:t>organizațiilor locale și a vocilor comunității</w:t>
      </w:r>
      <w:r>
        <w:rPr>
          <w:rFonts w:ascii="Times New Roman" w:hAnsi="Times New Roman"/>
          <w:noProof/>
        </w:rPr>
        <w:t>, inclusiv a organizațiilor care reprezintă femeile, persoanele cu handicap, persoanele în vârstă, tinerii LGBTIQ +, persoanele care aparțin minorităților și alte grupuri vulnerabile expuse riscului de discriminare. Aceasta plasează în centrul atenției nevoile și vulnerabilitățile specifice ale populațiilor afectate de conflicte, printr-o abordare diferențiată și favorabilă incluziunii;</w:t>
      </w:r>
    </w:p>
    <w:p w14:paraId="495EF5B0" w14:textId="440B4C91" w:rsidR="00311B63" w:rsidRPr="00970492" w:rsidRDefault="00B615C9"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se bazează pe </w:t>
      </w:r>
      <w:r>
        <w:rPr>
          <w:rFonts w:ascii="Times New Roman" w:hAnsi="Times New Roman"/>
          <w:b/>
          <w:noProof/>
        </w:rPr>
        <w:t>alianțe strategice cu organizații și donatori</w:t>
      </w:r>
      <w:r>
        <w:rPr>
          <w:rFonts w:ascii="Times New Roman" w:hAnsi="Times New Roman"/>
          <w:noProof/>
        </w:rPr>
        <w:t xml:space="preserve"> care și-au luat angajamentul de a îmbunătăți coordonarea operațională a diplomației umanitare și de a atinge obiective umanitare comune. Include parteneriate regionale și bilaterale, participarea la forumuri multilaterale și sprijinirea Comitetului Internațional al Crucii Roșii (CICR), precum și punerea în aplicare a inițiativei sale globale privind DIU(</w:t>
      </w:r>
      <w:r>
        <w:rPr>
          <w:rStyle w:val="FootnoteReference"/>
          <w:rFonts w:ascii="Times New Roman" w:eastAsia="Times New Roman" w:hAnsi="Times New Roman" w:cs="Times New Roman"/>
          <w:noProof/>
          <w:lang w:val="en-GB"/>
        </w:rPr>
        <w:footnoteReference w:id="21"/>
      </w:r>
      <w:r>
        <w:rPr>
          <w:rFonts w:ascii="Times New Roman" w:hAnsi="Times New Roman"/>
          <w:noProof/>
        </w:rPr>
        <w:t>) .</w:t>
      </w:r>
    </w:p>
    <w:p w14:paraId="6C7B014B" w14:textId="4C222DBF" w:rsidR="00456B58" w:rsidRPr="00970492" w:rsidRDefault="00B615C9" w:rsidP="00BB7655">
      <w:pPr>
        <w:pStyle w:val="ListParagraph"/>
        <w:numPr>
          <w:ilvl w:val="0"/>
          <w:numId w:val="22"/>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se adaptează la </w:t>
      </w:r>
      <w:r>
        <w:rPr>
          <w:rFonts w:ascii="Times New Roman" w:hAnsi="Times New Roman"/>
          <w:b/>
          <w:noProof/>
        </w:rPr>
        <w:t>contexte și circumstanțe specifice</w:t>
      </w:r>
      <w:r>
        <w:rPr>
          <w:rFonts w:ascii="Times New Roman" w:hAnsi="Times New Roman"/>
          <w:noProof/>
        </w:rPr>
        <w:t>, se bazează pe dovezi riguroase, inclusiv prin contacte periodice cu principalii actori umanitari, și se desfășoară în mod public sau discret.</w:t>
      </w:r>
    </w:p>
    <w:p w14:paraId="6B788328" w14:textId="4E942019" w:rsidR="001C1699" w:rsidRPr="00970492" w:rsidRDefault="416C9DE2" w:rsidP="7B2D0FFF">
      <w:pPr>
        <w:pStyle w:val="ListParagraph"/>
        <w:spacing w:after="120" w:line="240" w:lineRule="auto"/>
        <w:ind w:left="0"/>
        <w:contextualSpacing w:val="0"/>
        <w:jc w:val="both"/>
        <w:rPr>
          <w:rFonts w:ascii="Times New Roman" w:eastAsia="Times New Roman" w:hAnsi="Times New Roman" w:cs="Times New Roman"/>
          <w:noProof/>
        </w:rPr>
      </w:pPr>
      <w:r>
        <w:rPr>
          <w:rFonts w:ascii="Times New Roman" w:hAnsi="Times New Roman"/>
          <w:noProof/>
        </w:rPr>
        <w:t xml:space="preserve">Deși poate contribui la o gamă largă de rezultate umanitare, diplomația umanitară se axează pe o serie de </w:t>
      </w:r>
      <w:r>
        <w:rPr>
          <w:rFonts w:ascii="Times New Roman" w:hAnsi="Times New Roman"/>
          <w:b/>
          <w:noProof/>
        </w:rPr>
        <w:t>priorități tematice esențiale</w:t>
      </w:r>
      <w:r>
        <w:rPr>
          <w:rFonts w:ascii="Times New Roman" w:hAnsi="Times New Roman"/>
          <w:noProof/>
        </w:rPr>
        <w:t>:</w:t>
      </w:r>
    </w:p>
    <w:p w14:paraId="35F56894" w14:textId="5641D659" w:rsidR="001C1699" w:rsidRPr="00970492" w:rsidRDefault="001C1699"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prevenirea încălcărilor </w:t>
      </w:r>
      <w:r>
        <w:rPr>
          <w:rFonts w:ascii="Times New Roman" w:hAnsi="Times New Roman"/>
          <w:b/>
          <w:noProof/>
        </w:rPr>
        <w:t>dreptului internațional umanitar și ale drepturilor omului</w:t>
      </w:r>
      <w:r>
        <w:rPr>
          <w:rFonts w:ascii="Times New Roman" w:hAnsi="Times New Roman"/>
          <w:noProof/>
        </w:rPr>
        <w:t xml:space="preserve"> și sprijinirea respectării acestora, precum și promovarea unui nivel strict de </w:t>
      </w:r>
      <w:r>
        <w:rPr>
          <w:rFonts w:ascii="Times New Roman" w:hAnsi="Times New Roman"/>
          <w:b/>
          <w:noProof/>
        </w:rPr>
        <w:t>responsabilizare</w:t>
      </w:r>
      <w:r>
        <w:rPr>
          <w:rFonts w:ascii="Times New Roman" w:hAnsi="Times New Roman"/>
          <w:noProof/>
        </w:rPr>
        <w:t>;</w:t>
      </w:r>
    </w:p>
    <w:p w14:paraId="49EEA68E" w14:textId="2B934381" w:rsidR="001C1699" w:rsidRPr="00970492" w:rsidRDefault="21361C6C"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susținerea sprijinului pentru </w:t>
      </w:r>
      <w:r>
        <w:rPr>
          <w:rFonts w:ascii="Times New Roman" w:hAnsi="Times New Roman"/>
          <w:b/>
          <w:noProof/>
        </w:rPr>
        <w:t>protecția civililor și a infrastructurii civile pe parcursul conflictelor armate</w:t>
      </w:r>
      <w:r>
        <w:rPr>
          <w:rFonts w:ascii="Times New Roman" w:hAnsi="Times New Roman"/>
          <w:noProof/>
        </w:rPr>
        <w:t>, cu un accent deosebit pe persoanele expuse cel mai mult riscurilor. Aceasta include luarea în considerare a nevoilor unor grupuri specifice, precum persoanele cu handicap(</w:t>
      </w:r>
      <w:r>
        <w:rPr>
          <w:rStyle w:val="FootnoteReference"/>
          <w:rFonts w:ascii="Times New Roman" w:eastAsia="Times New Roman" w:hAnsi="Times New Roman" w:cs="Times New Roman"/>
          <w:noProof/>
          <w:lang w:val="en-GB"/>
        </w:rPr>
        <w:footnoteReference w:id="22"/>
      </w:r>
      <w:r>
        <w:rPr>
          <w:rFonts w:ascii="Times New Roman" w:hAnsi="Times New Roman"/>
          <w:noProof/>
        </w:rPr>
        <w:t>) ;</w:t>
      </w:r>
    </w:p>
    <w:p w14:paraId="627F86A7" w14:textId="2764A16D" w:rsidR="001C1699" w:rsidRPr="00C25C24" w:rsidRDefault="00CE0E29"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utilizarea tuturor instrumentelor disponibile pentru a </w:t>
      </w:r>
      <w:r>
        <w:rPr>
          <w:rFonts w:ascii="Times New Roman" w:hAnsi="Times New Roman"/>
          <w:b/>
          <w:noProof/>
        </w:rPr>
        <w:t>preveni și a pune capăt infracțiunilor grave împotriva copiilor</w:t>
      </w:r>
      <w:r>
        <w:rPr>
          <w:rFonts w:ascii="Times New Roman" w:hAnsi="Times New Roman"/>
          <w:noProof/>
        </w:rPr>
        <w:t xml:space="preserve"> și a proteja drepturile și starea de bine a acestora, precum și promovarea </w:t>
      </w:r>
      <w:r>
        <w:rPr>
          <w:rFonts w:ascii="Times New Roman" w:hAnsi="Times New Roman"/>
          <w:b/>
          <w:noProof/>
        </w:rPr>
        <w:t>dreptului la educație</w:t>
      </w:r>
      <w:r>
        <w:rPr>
          <w:rFonts w:ascii="Times New Roman" w:hAnsi="Times New Roman"/>
          <w:noProof/>
        </w:rPr>
        <w:t xml:space="preserve"> și a învățării în condiții de înaltă calitate </w:t>
      </w:r>
      <w:r>
        <w:rPr>
          <w:rFonts w:ascii="Times New Roman" w:hAnsi="Times New Roman"/>
          <w:b/>
          <w:noProof/>
        </w:rPr>
        <w:t>în zonele de conflict</w:t>
      </w:r>
      <w:r>
        <w:rPr>
          <w:rFonts w:ascii="Times New Roman" w:hAnsi="Times New Roman"/>
          <w:noProof/>
        </w:rPr>
        <w:t>. Aceasta include</w:t>
      </w:r>
      <w:r>
        <w:rPr>
          <w:rFonts w:ascii="Times New Roman" w:hAnsi="Times New Roman"/>
          <w:noProof/>
          <w:color w:val="000000" w:themeColor="text1"/>
        </w:rPr>
        <w:t xml:space="preserve"> încurajarea țărilor să aprobe instrumentele și angajamentele internaționale privind protecția copiilor afectați de conflicte</w:t>
      </w:r>
      <w:r>
        <w:rPr>
          <w:rFonts w:ascii="Times New Roman" w:hAnsi="Times New Roman"/>
          <w:noProof/>
        </w:rPr>
        <w:t>;</w:t>
      </w:r>
    </w:p>
    <w:p w14:paraId="575B9F90" w14:textId="1F802E28" w:rsidR="004962F4" w:rsidRPr="00C25C24" w:rsidRDefault="004962F4" w:rsidP="004962F4">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având în vedere restricțiile pe scară largă impuse accesului umanitar, </w:t>
      </w:r>
      <w:r>
        <w:rPr>
          <w:rFonts w:ascii="Times New Roman" w:hAnsi="Times New Roman"/>
          <w:b/>
          <w:noProof/>
        </w:rPr>
        <w:t>apărarea și extinderea spațiului umanitar, precum și prevenirea politizării acțiunii umanitare</w:t>
      </w:r>
      <w:r>
        <w:rPr>
          <w:rFonts w:ascii="Times New Roman" w:hAnsi="Times New Roman"/>
          <w:noProof/>
        </w:rPr>
        <w:t xml:space="preserve">, inclusiv prin combaterea dezinformării. </w:t>
      </w:r>
      <w:bookmarkStart w:id="3" w:name="_Hlk229487003"/>
      <w:r>
        <w:rPr>
          <w:rFonts w:ascii="Times New Roman" w:hAnsi="Times New Roman"/>
          <w:noProof/>
        </w:rPr>
        <w:t xml:space="preserve">Aceasta include facilitarea eliminării obstacolelor birocratice, abordarea restricțiilor de securitate și alte acțiuni care să permită tuturor actorilor umanitari să își desfășoare activitatea; </w:t>
      </w:r>
    </w:p>
    <w:bookmarkEnd w:id="3"/>
    <w:p w14:paraId="1D888395" w14:textId="36076422" w:rsidR="001C1699" w:rsidRPr="00970492" w:rsidRDefault="4FC8FEAD"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garantarea </w:t>
      </w:r>
      <w:r>
        <w:rPr>
          <w:rFonts w:ascii="Times New Roman" w:hAnsi="Times New Roman"/>
          <w:b/>
          <w:bCs/>
          <w:noProof/>
        </w:rPr>
        <w:t>siguranței personalului umanitar și medical</w:t>
      </w:r>
      <w:r>
        <w:rPr>
          <w:rFonts w:ascii="Times New Roman" w:hAnsi="Times New Roman"/>
          <w:noProof/>
        </w:rPr>
        <w:t>, inclusiv tragerea la răspundere pentru atacurile îndreptate împotriva acestuia;</w:t>
      </w:r>
    </w:p>
    <w:p w14:paraId="720257A6" w14:textId="1C5E4063" w:rsidR="001C1699" w:rsidRPr="00C54B98" w:rsidRDefault="72459C4C" w:rsidP="00321376">
      <w:pPr>
        <w:pStyle w:val="ListParagraph"/>
        <w:numPr>
          <w:ilvl w:val="0"/>
          <w:numId w:val="19"/>
        </w:numPr>
        <w:spacing w:after="120" w:line="240" w:lineRule="auto"/>
        <w:contextualSpacing w:val="0"/>
        <w:jc w:val="both"/>
        <w:rPr>
          <w:rFonts w:ascii="Times New Roman" w:eastAsia="Times New Roman" w:hAnsi="Times New Roman" w:cs="Times New Roman"/>
          <w:noProof/>
        </w:rPr>
      </w:pPr>
      <w:r>
        <w:rPr>
          <w:rFonts w:ascii="Times New Roman" w:hAnsi="Times New Roman"/>
          <w:noProof/>
        </w:rPr>
        <w:t xml:space="preserve">prevenirea și atenuarea </w:t>
      </w:r>
      <w:r>
        <w:rPr>
          <w:rFonts w:ascii="Times New Roman" w:hAnsi="Times New Roman"/>
          <w:b/>
          <w:noProof/>
        </w:rPr>
        <w:t>violenței sexuale și bazate pe gen</w:t>
      </w:r>
      <w:r>
        <w:rPr>
          <w:rFonts w:ascii="Times New Roman" w:hAnsi="Times New Roman"/>
          <w:noProof/>
        </w:rPr>
        <w:t xml:space="preserve"> și răspunsul la aceste forme de violență în cadrul situațiilor de urgență și conflictelor;</w:t>
      </w:r>
    </w:p>
    <w:p w14:paraId="68D4C136" w14:textId="02F0FFCF" w:rsidR="00FF64D2" w:rsidRPr="00FF64D2" w:rsidRDefault="238A1DA8" w:rsidP="00FF64D2">
      <w:pPr>
        <w:pStyle w:val="ListParagraph"/>
        <w:numPr>
          <w:ilvl w:val="0"/>
          <w:numId w:val="19"/>
        </w:numPr>
        <w:spacing w:after="120" w:line="240" w:lineRule="auto"/>
        <w:contextualSpacing w:val="0"/>
        <w:jc w:val="both"/>
        <w:rPr>
          <w:rFonts w:ascii="Times New Roman" w:eastAsia="Times New Roman" w:hAnsi="Times New Roman" w:cs="Times New Roman"/>
          <w:b/>
          <w:bCs/>
          <w:noProof/>
        </w:rPr>
      </w:pPr>
      <w:r>
        <w:rPr>
          <w:rFonts w:ascii="Times New Roman" w:hAnsi="Times New Roman"/>
          <w:noProof/>
        </w:rPr>
        <w:t xml:space="preserve">luarea în considerare a priorităților umanitare în cadrul </w:t>
      </w:r>
      <w:r>
        <w:rPr>
          <w:rFonts w:ascii="Times New Roman" w:hAnsi="Times New Roman"/>
          <w:b/>
          <w:noProof/>
        </w:rPr>
        <w:t>eforturilor de consolidare a păcii, de mediere și de soluționare a conflictelor</w:t>
      </w:r>
      <w:r>
        <w:rPr>
          <w:rFonts w:ascii="Times New Roman" w:hAnsi="Times New Roman"/>
          <w:noProof/>
        </w:rPr>
        <w:t>.</w:t>
      </w:r>
    </w:p>
    <w:tbl>
      <w:tblPr>
        <w:tblStyle w:val="TableGrid"/>
        <w:tblW w:w="0" w:type="auto"/>
        <w:tblLook w:val="04A0" w:firstRow="1" w:lastRow="0" w:firstColumn="1" w:lastColumn="0" w:noHBand="0" w:noVBand="1"/>
      </w:tblPr>
      <w:tblGrid>
        <w:gridCol w:w="9062"/>
      </w:tblGrid>
      <w:tr w:rsidR="00456B58" w:rsidRPr="00970492" w14:paraId="02CA2473" w14:textId="77777777" w:rsidTr="46C62D5D">
        <w:tc>
          <w:tcPr>
            <w:tcW w:w="9288" w:type="dxa"/>
            <w:shd w:val="clear" w:color="auto" w:fill="F2F2F2" w:themeFill="background1" w:themeFillShade="F2"/>
          </w:tcPr>
          <w:p w14:paraId="14AB22A1" w14:textId="5DC9F97E" w:rsidR="00456B58" w:rsidRPr="00F17992" w:rsidRDefault="00456B58" w:rsidP="004942CF">
            <w:pPr>
              <w:pStyle w:val="paragraph"/>
              <w:spacing w:before="0" w:beforeAutospacing="0" w:after="0" w:afterAutospacing="0"/>
              <w:jc w:val="both"/>
              <w:textAlignment w:val="baseline"/>
              <w:rPr>
                <w:rStyle w:val="normaltextrun"/>
                <w:rFonts w:eastAsiaTheme="majorEastAsia"/>
                <w:b/>
                <w:bCs/>
                <w:noProof/>
                <w:sz w:val="24"/>
                <w:szCs w:val="24"/>
              </w:rPr>
            </w:pPr>
            <w:r>
              <w:rPr>
                <w:rStyle w:val="normaltextrun"/>
                <w:b/>
                <w:noProof/>
                <w:sz w:val="24"/>
              </w:rPr>
              <w:t>Acțiuni-cheie</w:t>
            </w:r>
          </w:p>
          <w:p w14:paraId="5EC994FF" w14:textId="51AAC66E" w:rsidR="00456B58" w:rsidRPr="00F17992" w:rsidRDefault="72541D1E" w:rsidP="004942CF">
            <w:pPr>
              <w:pStyle w:val="paragraph"/>
              <w:spacing w:before="0" w:beforeAutospacing="0" w:after="0" w:afterAutospacing="0"/>
              <w:jc w:val="both"/>
              <w:textAlignment w:val="baseline"/>
              <w:rPr>
                <w:rFonts w:eastAsiaTheme="majorEastAsia"/>
                <w:noProof/>
                <w:sz w:val="24"/>
                <w:szCs w:val="24"/>
              </w:rPr>
            </w:pPr>
            <w:r>
              <w:rPr>
                <w:rStyle w:val="normaltextrun"/>
                <w:noProof/>
                <w:sz w:val="24"/>
              </w:rPr>
              <w:t>Comisia, în colaborare cu</w:t>
            </w:r>
            <w:r>
              <w:rPr>
                <w:noProof/>
                <w:sz w:val="24"/>
              </w:rPr>
              <w:t xml:space="preserve"> Înaltul Reprezentant al Uniunii pentru afaceri externe și politica de securitate, în contextul exercitării funcțiilor acestuia, și</w:t>
            </w:r>
            <w:r>
              <w:rPr>
                <w:rStyle w:val="normaltextrun"/>
                <w:noProof/>
                <w:sz w:val="24"/>
              </w:rPr>
              <w:t xml:space="preserve">, după caz, cu sprijinul reprezentanților speciali ai UE, </w:t>
            </w:r>
            <w:r>
              <w:rPr>
                <w:noProof/>
                <w:sz w:val="24"/>
              </w:rPr>
              <w:t>(</w:t>
            </w:r>
            <w:r>
              <w:rPr>
                <w:rStyle w:val="FootnoteReference"/>
                <w:rFonts w:eastAsiaTheme="majorEastAsia"/>
                <w:noProof/>
                <w:sz w:val="24"/>
                <w:szCs w:val="24"/>
                <w:lang w:val="en-GB"/>
              </w:rPr>
              <w:footnoteReference w:id="23"/>
            </w:r>
            <w:r>
              <w:rPr>
                <w:noProof/>
                <w:sz w:val="24"/>
              </w:rPr>
              <w:t>)va lua următoarele măsuri:</w:t>
            </w:r>
          </w:p>
          <w:p w14:paraId="43284091" w14:textId="7B8ECD3A" w:rsidR="6165D59F" w:rsidRPr="00F17992" w:rsidRDefault="007D3A65" w:rsidP="00321376">
            <w:pPr>
              <w:pStyle w:val="ListParagraph"/>
              <w:numPr>
                <w:ilvl w:val="0"/>
                <w:numId w:val="14"/>
              </w:numPr>
              <w:spacing w:line="257" w:lineRule="auto"/>
              <w:jc w:val="both"/>
              <w:rPr>
                <w:rFonts w:ascii="Times New Roman" w:eastAsia="Times New Roman" w:hAnsi="Times New Roman" w:cs="Times New Roman"/>
                <w:b/>
                <w:bCs/>
                <w:noProof/>
                <w:sz w:val="24"/>
                <w:szCs w:val="24"/>
              </w:rPr>
            </w:pPr>
            <w:r>
              <w:rPr>
                <w:rFonts w:ascii="Times New Roman" w:hAnsi="Times New Roman"/>
                <w:b/>
                <w:noProof/>
                <w:sz w:val="24"/>
              </w:rPr>
              <w:t>consolidarea coeziunii instituționale pentru o diplomație umanitară eficace</w:t>
            </w:r>
          </w:p>
          <w:p w14:paraId="7665E661" w14:textId="287D47B7" w:rsidR="00456B58"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consolidarea capacității UE în ceea ce privește </w:t>
            </w:r>
            <w:r>
              <w:rPr>
                <w:rFonts w:ascii="Times New Roman" w:hAnsi="Times New Roman"/>
                <w:b/>
                <w:noProof/>
                <w:sz w:val="24"/>
              </w:rPr>
              <w:t>diplomația umanitară coordonată</w:t>
            </w:r>
            <w:r>
              <w:rPr>
                <w:rFonts w:ascii="Times New Roman" w:hAnsi="Times New Roman"/>
                <w:noProof/>
                <w:sz w:val="24"/>
              </w:rPr>
              <w:t xml:space="preserve"> printr-o abordare strategică, elaborată în jurul obiectivelor și principiilor fundamentale stabilite mai sus, precum și adaptată la situația specifică a fiecărei crize. Acest lucru presupune îmbunătățirea mecanismelor instituționale de coordonare, a dialogului intern periodic, precum și a proceselor comune de planificare, monitorizare și evaluare. Această coordonare va fi facilitată, după caz, de punctele focale pentru diplomația umanitară, în limitele resurselor existente;</w:t>
            </w:r>
          </w:p>
          <w:p w14:paraId="5B03D21B" w14:textId="6935087A" w:rsidR="244849F3" w:rsidRPr="00F17992" w:rsidRDefault="00B615C9" w:rsidP="00321376">
            <w:pPr>
              <w:pStyle w:val="ListParagraph"/>
              <w:numPr>
                <w:ilvl w:val="1"/>
                <w:numId w:val="14"/>
              </w:numPr>
              <w:spacing w:after="120"/>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consolidarea</w:t>
            </w:r>
            <w:r>
              <w:rPr>
                <w:rFonts w:ascii="Times New Roman" w:hAnsi="Times New Roman"/>
                <w:noProof/>
                <w:sz w:val="24"/>
              </w:rPr>
              <w:t xml:space="preserve"> </w:t>
            </w:r>
            <w:r>
              <w:rPr>
                <w:rFonts w:ascii="Times New Roman" w:hAnsi="Times New Roman"/>
                <w:b/>
                <w:noProof/>
                <w:sz w:val="24"/>
              </w:rPr>
              <w:t>abordării „Echipa Europa”</w:t>
            </w:r>
            <w:r>
              <w:rPr>
                <w:rFonts w:ascii="Times New Roman" w:hAnsi="Times New Roman"/>
                <w:noProof/>
                <w:sz w:val="24"/>
              </w:rPr>
              <w:t xml:space="preserve"> </w:t>
            </w:r>
            <w:r>
              <w:rPr>
                <w:rStyle w:val="normaltextrun"/>
                <w:rFonts w:ascii="Times New Roman" w:hAnsi="Times New Roman"/>
                <w:noProof/>
                <w:sz w:val="24"/>
              </w:rPr>
              <w:t>în ceea ce privește diplomația umanitară prin coordonarea cu statele membre ale UE pe plan strategic. Acest lucru presupune elaborarea</w:t>
            </w:r>
            <w:r>
              <w:rPr>
                <w:rFonts w:ascii="Times New Roman" w:hAnsi="Times New Roman"/>
                <w:noProof/>
                <w:sz w:val="24"/>
              </w:rPr>
              <w:t xml:space="preserve"> de mesaje comune și propunerea de acțiuni comune în principalele situații de criză în care sunt sesizate încălcări ale dreptului internațional umanitar și restricționări ale accesului;</w:t>
            </w:r>
          </w:p>
          <w:p w14:paraId="39AA3E36" w14:textId="329317B9" w:rsidR="7C56C570" w:rsidRPr="00F17992" w:rsidRDefault="007D3A65" w:rsidP="00321376">
            <w:pPr>
              <w:pStyle w:val="ListParagraph"/>
              <w:numPr>
                <w:ilvl w:val="0"/>
                <w:numId w:val="14"/>
              </w:numPr>
              <w:spacing w:line="257" w:lineRule="auto"/>
              <w:rPr>
                <w:rFonts w:ascii="Times New Roman" w:hAnsi="Times New Roman" w:cs="Times New Roman"/>
                <w:noProof/>
                <w:sz w:val="24"/>
                <w:szCs w:val="24"/>
              </w:rPr>
            </w:pPr>
            <w:r>
              <w:rPr>
                <w:rFonts w:ascii="Times New Roman" w:hAnsi="Times New Roman"/>
                <w:b/>
                <w:noProof/>
                <w:sz w:val="24"/>
              </w:rPr>
              <w:t>valorificarea instrumentelor diplomatice pentru un impact maxim</w:t>
            </w:r>
          </w:p>
          <w:p w14:paraId="3E441F15" w14:textId="7327AA46" w:rsidR="00456B58"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promovarea eforturilor de </w:t>
            </w:r>
            <w:r>
              <w:rPr>
                <w:rFonts w:ascii="Times New Roman" w:hAnsi="Times New Roman"/>
                <w:b/>
                <w:noProof/>
                <w:sz w:val="24"/>
              </w:rPr>
              <w:t>a pleda împotriva încălcărilor dreptului internațional umanitar și a restricțiilor privind accesul umanitar</w:t>
            </w:r>
            <w:r>
              <w:rPr>
                <w:rFonts w:ascii="Times New Roman" w:hAnsi="Times New Roman"/>
                <w:noProof/>
                <w:sz w:val="24"/>
              </w:rPr>
              <w:t xml:space="preserve"> în dialogurile politice și cele legate de securitate, în dialogurile privind drepturile omului și în demersurile diplomatice care au loc între reprezentanții UE și țările sau părțile interesate implicate în conflicte sau afectate de acestea;</w:t>
            </w:r>
          </w:p>
          <w:p w14:paraId="70600BAC" w14:textId="74CE5F08" w:rsidR="46C59ADB"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intensificarea eforturilor de </w:t>
            </w:r>
            <w:r>
              <w:rPr>
                <w:rFonts w:ascii="Times New Roman" w:hAnsi="Times New Roman"/>
                <w:b/>
                <w:noProof/>
                <w:sz w:val="24"/>
              </w:rPr>
              <w:t>comunicare strategică</w:t>
            </w:r>
            <w:r>
              <w:rPr>
                <w:rFonts w:ascii="Times New Roman" w:hAnsi="Times New Roman"/>
                <w:noProof/>
                <w:sz w:val="24"/>
              </w:rPr>
              <w:t xml:space="preserve"> și consolidarea instrumentelor diplomației umanitare, luptând în același timp împotriva manipulării informațiilor;</w:t>
            </w:r>
          </w:p>
          <w:p w14:paraId="21465264" w14:textId="7BAF9C18" w:rsidR="00FD24F3"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facilitarea elaborării unor </w:t>
            </w:r>
            <w:r>
              <w:rPr>
                <w:rFonts w:ascii="Times New Roman" w:hAnsi="Times New Roman"/>
                <w:b/>
                <w:noProof/>
                <w:sz w:val="24"/>
              </w:rPr>
              <w:t>evaluări comune și a unor mesaje de susținere și promovare (</w:t>
            </w:r>
            <w:r>
              <w:rPr>
                <w:rFonts w:ascii="Times New Roman" w:hAnsi="Times New Roman"/>
                <w:b/>
                <w:i/>
                <w:iCs/>
                <w:noProof/>
                <w:sz w:val="24"/>
              </w:rPr>
              <w:t>advocacy</w:t>
            </w:r>
            <w:r>
              <w:rPr>
                <w:rFonts w:ascii="Times New Roman" w:hAnsi="Times New Roman"/>
                <w:b/>
                <w:noProof/>
                <w:sz w:val="24"/>
              </w:rPr>
              <w:t>)</w:t>
            </w:r>
            <w:r>
              <w:rPr>
                <w:rFonts w:ascii="Times New Roman" w:hAnsi="Times New Roman"/>
                <w:noProof/>
                <w:sz w:val="24"/>
              </w:rPr>
              <w:t xml:space="preserve"> de către partenerii umanitari și comunitatea diplomatică cu privire la contexte umanitare complexe, inclusiv prin intermediul unui grup de donatori dedicat diplomației umanitare și accesului umanitar; </w:t>
            </w:r>
          </w:p>
          <w:p w14:paraId="56694E9B" w14:textId="1B043D0E" w:rsidR="00456B58" w:rsidRPr="00F17992" w:rsidRDefault="00B615C9" w:rsidP="00321376">
            <w:pPr>
              <w:pStyle w:val="ListParagraph"/>
              <w:numPr>
                <w:ilvl w:val="1"/>
                <w:numId w:val="14"/>
              </w:numPr>
              <w:jc w:val="both"/>
              <w:rPr>
                <w:rFonts w:ascii="Times New Roman" w:hAnsi="Times New Roman" w:cs="Times New Roman"/>
                <w:noProof/>
                <w:sz w:val="24"/>
                <w:szCs w:val="24"/>
              </w:rPr>
            </w:pPr>
            <w:r>
              <w:rPr>
                <w:rFonts w:ascii="Times New Roman" w:hAnsi="Times New Roman"/>
                <w:noProof/>
                <w:sz w:val="24"/>
              </w:rPr>
              <w:t xml:space="preserve">consolidarea </w:t>
            </w:r>
            <w:r>
              <w:rPr>
                <w:rFonts w:ascii="Times New Roman" w:hAnsi="Times New Roman"/>
                <w:b/>
                <w:noProof/>
                <w:sz w:val="24"/>
              </w:rPr>
              <w:t>alianțelor strategice cu principalele state și organizații multilaterale</w:t>
            </w:r>
            <w:r>
              <w:rPr>
                <w:rFonts w:ascii="Times New Roman" w:hAnsi="Times New Roman"/>
                <w:noProof/>
                <w:sz w:val="24"/>
              </w:rPr>
              <w:t xml:space="preserve"> și întărirea sprijinului pentru rolul ONU în diplomația umanitară, inclusiv în cadrul procesului ONU80, al Resetării umanitare și al Inițiativei globale de mobilizare a angajamentului politic față de dreptul internațional umanitar;</w:t>
            </w:r>
          </w:p>
          <w:p w14:paraId="6FCB0A00" w14:textId="0CA71124" w:rsidR="00456B58" w:rsidRPr="00F17992" w:rsidRDefault="007D3A65" w:rsidP="00321376">
            <w:pPr>
              <w:pStyle w:val="ListParagraph"/>
              <w:numPr>
                <w:ilvl w:val="0"/>
                <w:numId w:val="14"/>
              </w:numPr>
              <w:spacing w:after="120"/>
              <w:jc w:val="both"/>
              <w:rPr>
                <w:rFonts w:ascii="Times New Roman" w:hAnsi="Times New Roman" w:cs="Times New Roman"/>
                <w:noProof/>
                <w:sz w:val="24"/>
                <w:szCs w:val="24"/>
              </w:rPr>
            </w:pPr>
            <w:r>
              <w:rPr>
                <w:rFonts w:ascii="Times New Roman" w:hAnsi="Times New Roman"/>
                <w:b/>
                <w:noProof/>
                <w:sz w:val="24"/>
              </w:rPr>
              <w:t>investiții în sustenabilitatea diplomației umanitare a UE</w:t>
            </w:r>
          </w:p>
          <w:p w14:paraId="20F97251" w14:textId="13DEE2B4" w:rsidR="00456B58" w:rsidRPr="00F17992" w:rsidRDefault="00B615C9" w:rsidP="00321376">
            <w:pPr>
              <w:pStyle w:val="ListParagraph"/>
              <w:numPr>
                <w:ilvl w:val="1"/>
                <w:numId w:val="14"/>
              </w:num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lansarea unui </w:t>
            </w:r>
            <w:r>
              <w:rPr>
                <w:rFonts w:ascii="Times New Roman" w:hAnsi="Times New Roman"/>
                <w:b/>
                <w:noProof/>
                <w:sz w:val="24"/>
              </w:rPr>
              <w:t>program de formare</w:t>
            </w:r>
            <w:r>
              <w:rPr>
                <w:rFonts w:ascii="Times New Roman" w:hAnsi="Times New Roman"/>
                <w:noProof/>
                <w:sz w:val="24"/>
              </w:rPr>
              <w:t xml:space="preserve"> pentru a îmbunătăți competențele și cunoștințele diplomaților UE și ale altor membri ai personalului din domeniul diplomației umanitare;</w:t>
            </w:r>
          </w:p>
          <w:p w14:paraId="415C08CB" w14:textId="7465C499" w:rsidR="00456B58" w:rsidRPr="00970492" w:rsidRDefault="003B78F4" w:rsidP="00321376">
            <w:pPr>
              <w:pStyle w:val="ListParagraph"/>
              <w:numPr>
                <w:ilvl w:val="1"/>
                <w:numId w:val="14"/>
              </w:numPr>
              <w:spacing w:after="120"/>
              <w:jc w:val="both"/>
              <w:rPr>
                <w:rStyle w:val="normaltextrun"/>
                <w:rFonts w:ascii="Times New Roman" w:eastAsia="Times New Roman" w:hAnsi="Times New Roman" w:cs="Times New Roman"/>
                <w:noProof/>
                <w:sz w:val="24"/>
                <w:szCs w:val="24"/>
              </w:rPr>
            </w:pPr>
            <w:r>
              <w:rPr>
                <w:rFonts w:ascii="Times New Roman" w:hAnsi="Times New Roman"/>
                <w:b/>
                <w:noProof/>
                <w:sz w:val="24"/>
              </w:rPr>
              <w:t>sprijinirea din punct de vedere financiar a diplomației umanitare</w:t>
            </w:r>
            <w:r>
              <w:rPr>
                <w:rFonts w:ascii="Times New Roman" w:hAnsi="Times New Roman"/>
                <w:noProof/>
                <w:sz w:val="24"/>
              </w:rPr>
              <w:t xml:space="preserve"> pentru a consolida instrumentele aflate la dispoziția actorilor umanitari în vederea susținerii acesteia. Aceasta include</w:t>
            </w:r>
            <w:r>
              <w:rPr>
                <w:noProof/>
              </w:rPr>
              <w:t xml:space="preserve"> </w:t>
            </w:r>
            <w:bookmarkStart w:id="4" w:name="_Hlk228358213"/>
            <w:r>
              <w:rPr>
                <w:rFonts w:ascii="Times New Roman" w:hAnsi="Times New Roman"/>
                <w:noProof/>
                <w:sz w:val="24"/>
              </w:rPr>
              <w:t xml:space="preserve">capacitatea actorilor locali de a negocia accesul umanitar necesar și colectarea și analiza unor date fiabile privind încălcările dreptului internațional umanitar, care sunt esențiale pentru sprijinirea diplomației bazate pe fapte, combaterea manipulării informațiilor, inclusiv a dezinformării, și promovarea asumării răspunderii. </w:t>
            </w:r>
            <w:bookmarkEnd w:id="4"/>
          </w:p>
        </w:tc>
      </w:tr>
    </w:tbl>
    <w:p w14:paraId="1FE4F4F2" w14:textId="77777777" w:rsidR="00456B58" w:rsidRPr="006346F7" w:rsidRDefault="00456B58" w:rsidP="00456B58">
      <w:pPr>
        <w:pStyle w:val="paragraph"/>
        <w:spacing w:before="0" w:beforeAutospacing="0" w:after="0" w:afterAutospacing="0"/>
        <w:jc w:val="both"/>
        <w:textAlignment w:val="baseline"/>
        <w:rPr>
          <w:rFonts w:ascii="Segoe UI" w:hAnsi="Segoe UI" w:cs="Segoe UI"/>
          <w:noProof/>
          <w:sz w:val="18"/>
          <w:szCs w:val="18"/>
        </w:rPr>
      </w:pPr>
    </w:p>
    <w:p w14:paraId="2D959EFD" w14:textId="36D65FEF" w:rsidR="00456B58" w:rsidRPr="00970492" w:rsidRDefault="00456B58" w:rsidP="00321376">
      <w:pPr>
        <w:pStyle w:val="ListParagraph"/>
        <w:numPr>
          <w:ilvl w:val="1"/>
          <w:numId w:val="13"/>
        </w:numPr>
        <w:spacing w:after="200" w:line="240" w:lineRule="auto"/>
        <w:jc w:val="both"/>
        <w:rPr>
          <w:rFonts w:ascii="Times New Roman" w:hAnsi="Times New Roman" w:cs="Times New Roman"/>
          <w:b/>
          <w:bCs/>
          <w:i/>
          <w:iCs/>
          <w:noProof/>
        </w:rPr>
      </w:pPr>
      <w:bookmarkStart w:id="5" w:name="_Hlk221099504"/>
      <w:r>
        <w:rPr>
          <w:rFonts w:ascii="Times New Roman" w:hAnsi="Times New Roman"/>
          <w:b/>
          <w:i/>
          <w:noProof/>
        </w:rPr>
        <w:t>Protecția personalului umanitar</w:t>
      </w:r>
    </w:p>
    <w:p w14:paraId="3012D6A0" w14:textId="1E7A0DFB" w:rsidR="00426386" w:rsidRPr="00970492" w:rsidRDefault="113977F8" w:rsidP="00456B58">
      <w:pPr>
        <w:spacing w:after="240" w:line="240" w:lineRule="auto"/>
        <w:jc w:val="both"/>
        <w:rPr>
          <w:rFonts w:ascii="Times New Roman" w:eastAsia="Times New Roman" w:hAnsi="Times New Roman" w:cs="Times New Roman"/>
          <w:noProof/>
        </w:rPr>
      </w:pPr>
      <w:r>
        <w:rPr>
          <w:rFonts w:ascii="Times New Roman" w:hAnsi="Times New Roman"/>
          <w:b/>
          <w:noProof/>
          <w:color w:val="2E2E2E"/>
        </w:rPr>
        <w:t>Violența împotriva personalului umanitar a atins niveluri fără precedent.</w:t>
      </w:r>
      <w:r>
        <w:rPr>
          <w:rFonts w:ascii="Times New Roman" w:hAnsi="Times New Roman"/>
          <w:noProof/>
        </w:rPr>
        <w:t xml:space="preserve"> În 2025, 334 de persoane au fost ucise,</w:t>
      </w:r>
      <w:r>
        <w:rPr>
          <w:rFonts w:ascii="Times New Roman" w:hAnsi="Times New Roman"/>
          <w:noProof/>
          <w:color w:val="2E2E2E"/>
        </w:rPr>
        <w:t xml:space="preserve"> 192 rănite, 109 răpite și 45 arestate ilegal(</w:t>
      </w:r>
      <w:r>
        <w:rPr>
          <w:rStyle w:val="FootnoteReference"/>
          <w:rFonts w:ascii="Times New Roman" w:eastAsia="Times New Roman" w:hAnsi="Times New Roman" w:cs="Times New Roman"/>
          <w:noProof/>
          <w:lang w:val="en-GB"/>
        </w:rPr>
        <w:footnoteReference w:id="24"/>
      </w:r>
      <w:r>
        <w:rPr>
          <w:rFonts w:ascii="Times New Roman" w:hAnsi="Times New Roman"/>
          <w:noProof/>
          <w:color w:val="2E2E2E"/>
        </w:rPr>
        <w:t>) ,</w:t>
      </w:r>
      <w:r>
        <w:rPr>
          <w:rStyle w:val="FootnoteReference"/>
          <w:rFonts w:ascii="Times New Roman" w:hAnsi="Times New Roman"/>
          <w:noProof/>
        </w:rPr>
        <w:t xml:space="preserve"> </w:t>
      </w:r>
      <w:r>
        <w:rPr>
          <w:rFonts w:ascii="Times New Roman" w:hAnsi="Times New Roman"/>
          <w:noProof/>
        </w:rPr>
        <w:t>marea majoritate a acestora fiind membri ai personalului național. Manipularea informațiilor, inclusiv dezinformarea, precum și discursurile de incitare la ură care vizează organizațiile umanitare și personalul medical sunt în creștere(</w:t>
      </w:r>
      <w:r>
        <w:rPr>
          <w:rStyle w:val="FootnoteReference"/>
          <w:rFonts w:ascii="Times New Roman" w:eastAsia="Times New Roman" w:hAnsi="Times New Roman" w:cs="Times New Roman"/>
          <w:noProof/>
          <w:lang w:val="en-GB"/>
        </w:rPr>
        <w:footnoteReference w:id="25"/>
      </w:r>
      <w:r>
        <w:rPr>
          <w:rFonts w:ascii="Times New Roman" w:hAnsi="Times New Roman"/>
          <w:noProof/>
        </w:rPr>
        <w:t xml:space="preserve">), degenerând deseori în restricții de acces și amenințări la adresa securității pe teren. În unele cazuri, personalul și organizațiile umanitare sunt supuse sancțiunilor penale și se confruntă cu </w:t>
      </w:r>
      <w:r>
        <w:rPr>
          <w:rFonts w:ascii="Times New Roman" w:hAnsi="Times New Roman"/>
          <w:b/>
          <w:noProof/>
        </w:rPr>
        <w:t>urmărirea penală, detenția sau impedimente juridice</w:t>
      </w:r>
      <w:r>
        <w:rPr>
          <w:rFonts w:ascii="Times New Roman" w:hAnsi="Times New Roman"/>
          <w:noProof/>
        </w:rPr>
        <w:t>. Eforturile de protejare a personalului umanitar sunt, de asemenea, afectate de deficitul tot mai mare de finanțare. Garantarea siguranței și securității personalului umanitar, precum și asigurarea conștientizării responsabilităților legate de obligația de diligență sunt mai esențiale decât niciodată.</w:t>
      </w:r>
    </w:p>
    <w:p w14:paraId="76AD73BB" w14:textId="06A6FDFD" w:rsidR="001E0BC0" w:rsidRPr="00970492" w:rsidRDefault="113977F8" w:rsidP="00456B58">
      <w:pPr>
        <w:spacing w:after="240" w:line="240" w:lineRule="auto"/>
        <w:jc w:val="both"/>
        <w:rPr>
          <w:rFonts w:ascii="Times New Roman" w:eastAsia="Times New Roman" w:hAnsi="Times New Roman" w:cs="Times New Roman"/>
          <w:noProof/>
        </w:rPr>
      </w:pPr>
      <w:r>
        <w:rPr>
          <w:rFonts w:ascii="Times New Roman" w:hAnsi="Times New Roman"/>
          <w:b/>
          <w:noProof/>
        </w:rPr>
        <w:t>UE este un susținător convins al siguranței și securității personalului umanitar</w:t>
      </w:r>
      <w:r>
        <w:rPr>
          <w:rFonts w:ascii="Times New Roman" w:hAnsi="Times New Roman"/>
          <w:noProof/>
        </w:rPr>
        <w:t>, așa cum a subliniat conducătorii săi în Rezoluția anuală a Adunării Generale a ONU privind protecția personalului umanitar și a personalului ONU. UE și statele sale membre și-au asumat angajamente corespunzătoare în cadrul celei de a 34-a Conferințe internaționale a Societăților de Cruce Roșie și Semilună Roșie și s-au alăturat inițiativei australiene(</w:t>
      </w:r>
      <w:r>
        <w:rPr>
          <w:rStyle w:val="FootnoteReference"/>
          <w:rFonts w:ascii="Times New Roman" w:eastAsia="Times New Roman" w:hAnsi="Times New Roman" w:cs="Times New Roman"/>
          <w:noProof/>
          <w:lang w:val="en-GB"/>
        </w:rPr>
        <w:footnoteReference w:id="26"/>
      </w:r>
      <w:r>
        <w:rPr>
          <w:rFonts w:ascii="Times New Roman" w:hAnsi="Times New Roman"/>
          <w:noProof/>
        </w:rPr>
        <w:t>) de consolidare a protecției personalului umanitar.</w:t>
      </w:r>
    </w:p>
    <w:p w14:paraId="3BAB6AB8" w14:textId="1C024854" w:rsidR="00456B58" w:rsidRPr="00970492" w:rsidRDefault="00456B58" w:rsidP="001E0BC0">
      <w:pPr>
        <w:spacing w:after="240" w:line="240" w:lineRule="auto"/>
        <w:jc w:val="both"/>
        <w:rPr>
          <w:rFonts w:ascii="Times New Roman" w:eastAsia="Times New Roman" w:hAnsi="Times New Roman" w:cs="Times New Roman"/>
          <w:noProof/>
        </w:rPr>
      </w:pPr>
      <w:r>
        <w:rPr>
          <w:rFonts w:ascii="Times New Roman" w:hAnsi="Times New Roman"/>
          <w:b/>
          <w:noProof/>
        </w:rPr>
        <w:t>UE își va intensifica angajamentul de a consolida protecția și securitatea în cadrul operațiunilor umanitare.</w:t>
      </w:r>
      <w:r>
        <w:rPr>
          <w:rFonts w:ascii="Times New Roman" w:hAnsi="Times New Roman"/>
          <w:noProof/>
        </w:rPr>
        <w:t xml:space="preserve"> Pentru a preveni incidentele de securitate, UE va utiliza instrumentele diplomației umanitare, astfel cum a fost subliniat în secțiunea anterioară, pentru a convinge guvernele țărilor gazdă sau autoritățile </w:t>
      </w:r>
      <w:r>
        <w:rPr>
          <w:rFonts w:ascii="Times New Roman" w:hAnsi="Times New Roman"/>
          <w:i/>
          <w:iCs/>
          <w:noProof/>
        </w:rPr>
        <w:t>de facto</w:t>
      </w:r>
      <w:r>
        <w:rPr>
          <w:rFonts w:ascii="Times New Roman" w:hAnsi="Times New Roman"/>
          <w:noProof/>
        </w:rPr>
        <w:t xml:space="preserve"> să ofere garanții de trecere în siguranță. UE va investi, de asemenea,</w:t>
      </w:r>
      <w:r>
        <w:rPr>
          <w:rFonts w:ascii="Times New Roman" w:hAnsi="Times New Roman"/>
          <w:b/>
          <w:noProof/>
        </w:rPr>
        <w:t xml:space="preserve"> în consolidarea capacităților și în instruirea</w:t>
      </w:r>
      <w:r>
        <w:rPr>
          <w:rFonts w:ascii="Times New Roman" w:hAnsi="Times New Roman"/>
          <w:noProof/>
        </w:rPr>
        <w:t xml:space="preserve"> în domeniul gestionării riscurilor de securitate și în creșterea gradului de sensibilizare a organizațiilor umanitare cu privire la responsabilitățile legate de obligația de diligență, inclusiv prin finanțare specifică și sprijin pentru elaborarea unor standarde comune minime de securitate.</w:t>
      </w:r>
    </w:p>
    <w:p w14:paraId="3A29F74D" w14:textId="3298D8F7" w:rsidR="00456B58" w:rsidRPr="00970492" w:rsidRDefault="113977F8" w:rsidP="00456B58">
      <w:pPr>
        <w:spacing w:line="240" w:lineRule="auto"/>
        <w:jc w:val="both"/>
        <w:rPr>
          <w:rFonts w:ascii="Times New Roman" w:hAnsi="Times New Roman" w:cs="Times New Roman"/>
          <w:noProof/>
        </w:rPr>
      </w:pPr>
      <w:r>
        <w:rPr>
          <w:rFonts w:ascii="Times New Roman" w:hAnsi="Times New Roman"/>
          <w:noProof/>
        </w:rPr>
        <w:t xml:space="preserve">De asemenea, UE va promova </w:t>
      </w:r>
      <w:r>
        <w:rPr>
          <w:rFonts w:ascii="Times New Roman" w:hAnsi="Times New Roman"/>
          <w:b/>
          <w:noProof/>
        </w:rPr>
        <w:t>o mai bună coordonare și cooperare în materie de securitate operațională</w:t>
      </w:r>
      <w:r>
        <w:rPr>
          <w:rFonts w:ascii="Times New Roman" w:hAnsi="Times New Roman"/>
          <w:noProof/>
        </w:rPr>
        <w:t xml:space="preserve"> între organizațiile umanitare, prin intermediul unor platforme precum Saving Lives Together (SLT)(</w:t>
      </w:r>
      <w:r>
        <w:rPr>
          <w:rStyle w:val="FootnoteReference"/>
          <w:rFonts w:ascii="Times New Roman" w:hAnsi="Times New Roman" w:cs="Times New Roman"/>
          <w:noProof/>
          <w:lang w:val="en-GB"/>
        </w:rPr>
        <w:footnoteReference w:id="27"/>
      </w:r>
      <w:r>
        <w:rPr>
          <w:rFonts w:ascii="Times New Roman" w:hAnsi="Times New Roman"/>
          <w:noProof/>
        </w:rPr>
        <w:t>) . UE va pleda pentru ca ONU, Mișcarea de Cruce Roșie și Semilună Roșie și partenerii din societatea civilă să își consolideze capacitățile de securitate, să își pună în comun resursele și să elaboreze inițiative comune, inclusiv în ceea ce privește evaluarea riscurilor și planificarea pentru situații neprevăzute.</w:t>
      </w:r>
    </w:p>
    <w:p w14:paraId="7701125F" w14:textId="23019671" w:rsidR="00456B58" w:rsidRPr="00970492" w:rsidRDefault="113977F8" w:rsidP="00456B58">
      <w:pPr>
        <w:spacing w:line="240" w:lineRule="auto"/>
        <w:jc w:val="both"/>
        <w:rPr>
          <w:rFonts w:ascii="Times New Roman" w:hAnsi="Times New Roman" w:cs="Times New Roman"/>
          <w:noProof/>
        </w:rPr>
      </w:pPr>
      <w:r>
        <w:rPr>
          <w:rFonts w:ascii="Times New Roman" w:hAnsi="Times New Roman"/>
          <w:noProof/>
        </w:rPr>
        <w:t>În cazul în care nu a fost posibil să se atenueze amenințările, bunăstarea și redresarea personalului umanitar reprezintă o prioritate-cheie. Mecanismul „Protecția lucrătorilor umanitari” [Protect Aid Workers (PAW)](</w:t>
      </w:r>
      <w:r>
        <w:rPr>
          <w:rStyle w:val="FootnoteReference"/>
          <w:rFonts w:ascii="Times New Roman" w:hAnsi="Times New Roman" w:cs="Times New Roman"/>
          <w:noProof/>
          <w:lang w:val="en-GB"/>
        </w:rPr>
        <w:footnoteReference w:id="28"/>
      </w:r>
      <w:r>
        <w:rPr>
          <w:rFonts w:ascii="Times New Roman" w:hAnsi="Times New Roman"/>
          <w:noProof/>
        </w:rPr>
        <w:t>) oferă sprijin financiar și psihologic personalului care s-a confruntat cu un incident critic în timpul serviciului.</w:t>
      </w:r>
    </w:p>
    <w:p w14:paraId="4DE9B1F7" w14:textId="5C5B1100" w:rsidR="00A15D12" w:rsidRDefault="00456B58" w:rsidP="00456B58">
      <w:pPr>
        <w:spacing w:line="240" w:lineRule="auto"/>
        <w:jc w:val="both"/>
        <w:rPr>
          <w:rFonts w:ascii="Times New Roman" w:eastAsia="Times New Roman" w:hAnsi="Times New Roman" w:cs="Times New Roman"/>
          <w:noProof/>
        </w:rPr>
      </w:pPr>
      <w:r>
        <w:rPr>
          <w:rFonts w:ascii="Times New Roman" w:hAnsi="Times New Roman"/>
          <w:noProof/>
        </w:rPr>
        <w:t xml:space="preserve">UE este pregătită să ia măsuri și cu privire la amenințările mai noi la adresa organizațiilor umanitare și a civililor și își revizuiește și modernizează în mod constant propria capacitate de monitorizare, detectare și răspuns la </w:t>
      </w:r>
      <w:r>
        <w:rPr>
          <w:rFonts w:ascii="Times New Roman" w:hAnsi="Times New Roman"/>
          <w:b/>
          <w:noProof/>
        </w:rPr>
        <w:t>manipularea informațiilor</w:t>
      </w:r>
      <w:r>
        <w:rPr>
          <w:rFonts w:ascii="Times New Roman" w:hAnsi="Times New Roman"/>
          <w:noProof/>
        </w:rPr>
        <w:t xml:space="preserve">, inclusiv la </w:t>
      </w:r>
      <w:r>
        <w:rPr>
          <w:rFonts w:ascii="Times New Roman" w:hAnsi="Times New Roman"/>
          <w:b/>
          <w:noProof/>
        </w:rPr>
        <w:t>dezinformare</w:t>
      </w:r>
      <w:r>
        <w:rPr>
          <w:rFonts w:ascii="Times New Roman" w:hAnsi="Times New Roman"/>
          <w:noProof/>
        </w:rPr>
        <w:t>, sprijinindu-și partenerii umanitari în eforturile lor de a garanta integritatea informațiilor.</w:t>
      </w:r>
    </w:p>
    <w:tbl>
      <w:tblPr>
        <w:tblStyle w:val="TableGrid"/>
        <w:tblW w:w="0" w:type="auto"/>
        <w:tblLook w:val="04A0" w:firstRow="1" w:lastRow="0" w:firstColumn="1" w:lastColumn="0" w:noHBand="0" w:noVBand="1"/>
      </w:tblPr>
      <w:tblGrid>
        <w:gridCol w:w="9062"/>
      </w:tblGrid>
      <w:tr w:rsidR="00456B58" w:rsidRPr="00970492" w14:paraId="443E56F2" w14:textId="77777777" w:rsidTr="00A15D12">
        <w:tc>
          <w:tcPr>
            <w:tcW w:w="9062" w:type="dxa"/>
            <w:shd w:val="clear" w:color="auto" w:fill="F2F2F2" w:themeFill="background1" w:themeFillShade="F2"/>
          </w:tcPr>
          <w:p w14:paraId="0B395415" w14:textId="55067B38" w:rsidR="00456B58" w:rsidRPr="00F17992" w:rsidRDefault="00456B58" w:rsidP="004942CF">
            <w:pPr>
              <w:shd w:val="clear" w:color="auto" w:fill="F2F2F2" w:themeFill="background1" w:themeFillShade="F2"/>
              <w:jc w:val="both"/>
              <w:rPr>
                <w:rFonts w:ascii="Times New Roman" w:hAnsi="Times New Roman" w:cs="Times New Roman"/>
                <w:b/>
                <w:bCs/>
                <w:noProof/>
                <w:sz w:val="24"/>
                <w:szCs w:val="24"/>
              </w:rPr>
            </w:pPr>
            <w:r>
              <w:rPr>
                <w:rFonts w:ascii="Times New Roman" w:hAnsi="Times New Roman"/>
                <w:b/>
                <w:noProof/>
                <w:sz w:val="24"/>
              </w:rPr>
              <w:t>Acțiuni-cheie</w:t>
            </w:r>
          </w:p>
          <w:p w14:paraId="315B5F21" w14:textId="77777777" w:rsidR="00456B58" w:rsidRPr="006346F7" w:rsidRDefault="00456B58" w:rsidP="004942CF">
            <w:pPr>
              <w:shd w:val="clear" w:color="auto" w:fill="F2F2F2" w:themeFill="background1" w:themeFillShade="F2"/>
              <w:jc w:val="both"/>
              <w:rPr>
                <w:rFonts w:ascii="Times New Roman" w:hAnsi="Times New Roman" w:cs="Times New Roman"/>
                <w:noProof/>
                <w:sz w:val="24"/>
                <w:szCs w:val="24"/>
                <w:lang w:val="fr-FR"/>
              </w:rPr>
            </w:pPr>
          </w:p>
          <w:p w14:paraId="195D42FE" w14:textId="7D3E337A" w:rsidR="00456B58" w:rsidRPr="00F17992" w:rsidRDefault="00C02ED7" w:rsidP="004942CF">
            <w:pPr>
              <w:shd w:val="clear" w:color="auto" w:fill="F2F2F2" w:themeFill="background1" w:themeFillShade="F2"/>
              <w:jc w:val="both"/>
              <w:rPr>
                <w:rFonts w:ascii="Times New Roman" w:hAnsi="Times New Roman" w:cs="Times New Roman"/>
                <w:noProof/>
                <w:sz w:val="24"/>
                <w:szCs w:val="24"/>
              </w:rPr>
            </w:pPr>
            <w:r>
              <w:rPr>
                <w:rFonts w:ascii="Times New Roman" w:hAnsi="Times New Roman"/>
                <w:noProof/>
                <w:sz w:val="24"/>
              </w:rPr>
              <w:t>Comisia va întreprinde următoarele acțiuni:</w:t>
            </w:r>
          </w:p>
          <w:p w14:paraId="29DFC11F" w14:textId="3E463C18" w:rsidR="00456B58" w:rsidRPr="00F17992" w:rsidRDefault="007D3A65" w:rsidP="00321376">
            <w:pPr>
              <w:pStyle w:val="ListParagraph"/>
              <w:numPr>
                <w:ilvl w:val="0"/>
                <w:numId w:val="10"/>
              </w:numPr>
              <w:jc w:val="both"/>
              <w:rPr>
                <w:rFonts w:ascii="Times New Roman" w:eastAsia="Times New Roman" w:hAnsi="Times New Roman" w:cs="Times New Roman"/>
                <w:noProof/>
                <w:sz w:val="24"/>
                <w:szCs w:val="24"/>
              </w:rPr>
            </w:pPr>
            <w:r>
              <w:rPr>
                <w:rFonts w:ascii="Times New Roman" w:hAnsi="Times New Roman"/>
                <w:noProof/>
                <w:sz w:val="24"/>
              </w:rPr>
              <w:t xml:space="preserve">consolidarea </w:t>
            </w:r>
            <w:r>
              <w:rPr>
                <w:rFonts w:ascii="Times New Roman" w:hAnsi="Times New Roman"/>
                <w:b/>
                <w:noProof/>
                <w:sz w:val="24"/>
              </w:rPr>
              <w:t>prevenției incidentelor de securitate</w:t>
            </w:r>
            <w:r>
              <w:rPr>
                <w:rFonts w:ascii="Times New Roman" w:hAnsi="Times New Roman"/>
                <w:noProof/>
                <w:sz w:val="24"/>
              </w:rPr>
              <w:t xml:space="preserve"> prin sprijinirea consolidării capacităților și a programelor de formare, în special pentru personalul umanitar local;</w:t>
            </w:r>
          </w:p>
          <w:p w14:paraId="08009A9B" w14:textId="30E4ED36" w:rsidR="00456B58" w:rsidRPr="00F17992" w:rsidRDefault="007D3A65" w:rsidP="00321376">
            <w:pPr>
              <w:pStyle w:val="ListParagraph"/>
              <w:numPr>
                <w:ilvl w:val="0"/>
                <w:numId w:val="10"/>
              </w:numPr>
              <w:jc w:val="both"/>
              <w:rPr>
                <w:rFonts w:ascii="Times New Roman" w:eastAsia="Times New Roman" w:hAnsi="Times New Roman" w:cs="Times New Roman"/>
                <w:noProof/>
                <w:sz w:val="24"/>
                <w:szCs w:val="24"/>
              </w:rPr>
            </w:pPr>
            <w:r>
              <w:rPr>
                <w:rFonts w:ascii="Times New Roman" w:hAnsi="Times New Roman"/>
                <w:noProof/>
                <w:sz w:val="24"/>
              </w:rPr>
              <w:t xml:space="preserve">conducerea elaborării unor </w:t>
            </w:r>
            <w:r>
              <w:rPr>
                <w:rFonts w:ascii="Times New Roman" w:hAnsi="Times New Roman"/>
                <w:b/>
                <w:noProof/>
                <w:sz w:val="24"/>
              </w:rPr>
              <w:t>standarde minime comune de securitate</w:t>
            </w:r>
            <w:r>
              <w:rPr>
                <w:rFonts w:ascii="Times New Roman" w:hAnsi="Times New Roman"/>
                <w:noProof/>
                <w:sz w:val="24"/>
              </w:rPr>
              <w:t xml:space="preserve"> în întreaga comunitate umanitară, asigurându-se că întregul personal umanitar, în special personalul local, dispune de cunoștințele și instrumentele necesare pentru a acționa în condiții de siguranță;</w:t>
            </w:r>
          </w:p>
          <w:p w14:paraId="1A37E5B5" w14:textId="04F4DFD4" w:rsidR="00456B58" w:rsidRPr="00F17992" w:rsidRDefault="007D3A65" w:rsidP="00321376">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intensificarea </w:t>
            </w:r>
            <w:r>
              <w:rPr>
                <w:rFonts w:ascii="Times New Roman" w:hAnsi="Times New Roman"/>
                <w:b/>
                <w:noProof/>
                <w:sz w:val="24"/>
              </w:rPr>
              <w:t>sprijinului operațional</w:t>
            </w:r>
            <w:r>
              <w:rPr>
                <w:rFonts w:ascii="Times New Roman" w:hAnsi="Times New Roman"/>
                <w:noProof/>
                <w:sz w:val="24"/>
              </w:rPr>
              <w:t xml:space="preserve"> pentru personalul umanitar, inclusiv prin îmbunătățirea cooperării și a coordonării în materie de securitate prin intermediul unor platforme precum „Salvăm vieți împreună” și prin asigurarea faptului că datele critice în materie de securitate sunt disponibile pe scară mai largă;</w:t>
            </w:r>
          </w:p>
          <w:p w14:paraId="6D740979" w14:textId="07BB5F1C" w:rsidR="00456B58" w:rsidRPr="00F17992" w:rsidRDefault="007D3A65" w:rsidP="00321376">
            <w:pPr>
              <w:pStyle w:val="ListParagraph"/>
              <w:numPr>
                <w:ilvl w:val="0"/>
                <w:numId w:val="10"/>
              </w:numPr>
              <w:jc w:val="both"/>
              <w:rPr>
                <w:rFonts w:ascii="Times New Roman" w:hAnsi="Times New Roman" w:cs="Times New Roman"/>
                <w:noProof/>
                <w:sz w:val="24"/>
                <w:szCs w:val="24"/>
              </w:rPr>
            </w:pPr>
            <w:r>
              <w:rPr>
                <w:rFonts w:ascii="Times New Roman" w:hAnsi="Times New Roman"/>
                <w:b/>
                <w:noProof/>
                <w:sz w:val="24"/>
              </w:rPr>
              <w:t>îmbunătățirea îngrijirii</w:t>
            </w:r>
            <w:r>
              <w:rPr>
                <w:rFonts w:ascii="Times New Roman" w:hAnsi="Times New Roman"/>
                <w:noProof/>
                <w:sz w:val="24"/>
              </w:rPr>
              <w:t xml:space="preserve"> victimelor și a supraviețuitorilor atacurilor asupra personalului umanitar prin transformarea mecanismului Protect Aid Workers într-un program mondial;</w:t>
            </w:r>
          </w:p>
          <w:p w14:paraId="6351628B" w14:textId="6E0803B1" w:rsidR="00456B58" w:rsidRPr="00F17992" w:rsidRDefault="007D3A65" w:rsidP="00F17992">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asigurarea faptului că organizațiile partenere </w:t>
            </w:r>
            <w:r>
              <w:rPr>
                <w:rFonts w:ascii="Times New Roman" w:hAnsi="Times New Roman"/>
                <w:b/>
                <w:bCs/>
                <w:noProof/>
                <w:sz w:val="24"/>
              </w:rPr>
              <w:t>combat exploatarea sexuală, abuzul sexual și hărțuirea sexuale, încurajează asumarea răspunderii și mediile de lucru sigure pentru întregul personal</w:t>
            </w:r>
            <w:r>
              <w:rPr>
                <w:rFonts w:ascii="Times New Roman" w:hAnsi="Times New Roman"/>
                <w:noProof/>
                <w:sz w:val="24"/>
              </w:rPr>
              <w:t>, inclusiv pentru partenerii locali, și promovează inițiative de colectare a unor date armonizate pentru o mai bună înțelegere a acestor riscuri.</w:t>
            </w:r>
          </w:p>
        </w:tc>
      </w:tr>
      <w:bookmarkEnd w:id="5"/>
    </w:tbl>
    <w:p w14:paraId="269A63B3" w14:textId="77777777" w:rsidR="00456B58" w:rsidRPr="006346F7" w:rsidRDefault="00456B58" w:rsidP="00456B58">
      <w:pPr>
        <w:spacing w:line="240" w:lineRule="auto"/>
        <w:jc w:val="both"/>
        <w:rPr>
          <w:rFonts w:ascii="Times New Roman" w:hAnsi="Times New Roman" w:cs="Times New Roman"/>
          <w:b/>
          <w:bCs/>
          <w:noProof/>
        </w:rPr>
      </w:pPr>
    </w:p>
    <w:p w14:paraId="0BEF7F15" w14:textId="6BAB984E" w:rsidR="00456B58" w:rsidRPr="00970492" w:rsidRDefault="00456B58" w:rsidP="00456B58">
      <w:pPr>
        <w:spacing w:line="240" w:lineRule="auto"/>
        <w:jc w:val="both"/>
        <w:rPr>
          <w:rFonts w:ascii="Times New Roman" w:hAnsi="Times New Roman" w:cs="Times New Roman"/>
          <w:b/>
          <w:bCs/>
          <w:i/>
          <w:iCs/>
          <w:noProof/>
        </w:rPr>
      </w:pPr>
      <w:r>
        <w:rPr>
          <w:rFonts w:ascii="Times New Roman" w:hAnsi="Times New Roman"/>
          <w:b/>
          <w:i/>
          <w:noProof/>
        </w:rPr>
        <w:t>1.3. Un răspuns umanitar axat pe oameni, condus la nivel local, orientat către protecție și favorabil incluziunii</w:t>
      </w:r>
    </w:p>
    <w:p w14:paraId="7DEAECD1" w14:textId="454F5AC6"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În fiecare criză, </w:t>
      </w:r>
      <w:r>
        <w:rPr>
          <w:rFonts w:ascii="Times New Roman" w:hAnsi="Times New Roman"/>
          <w:b/>
          <w:noProof/>
        </w:rPr>
        <w:t>membrii comunității sunt cei care asigură prima intervenție</w:t>
      </w:r>
      <w:r>
        <w:rPr>
          <w:rFonts w:ascii="Times New Roman" w:hAnsi="Times New Roman"/>
          <w:noProof/>
        </w:rPr>
        <w:t>. Oamenii și structurile lor locale se ajută reciproc prin rețele care încep de acasă și se răspândesc adesea peste tot în lume. Acest ajutor este esențial pentru supraviețuirea oamenilor. Angajamentul UE de a răspunde în fața populațiilor afectate plasează comunitățile afectate de crize în centrul deciziilor și proceselor care le afectează. Recunoașterea capacităților de adaptare și a nevoilor diverse ale persoanelor afectate contribuie la asigurarea relevanței și sustenabilității asistenței acordate.</w:t>
      </w:r>
    </w:p>
    <w:p w14:paraId="388C03DD" w14:textId="5B5F5DDC"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Transpunerea în practică a </w:t>
      </w:r>
      <w:r>
        <w:rPr>
          <w:rFonts w:ascii="Times New Roman" w:hAnsi="Times New Roman"/>
          <w:b/>
          <w:noProof/>
        </w:rPr>
        <w:t>abordării participative</w:t>
      </w:r>
      <w:r>
        <w:rPr>
          <w:rFonts w:ascii="Times New Roman" w:hAnsi="Times New Roman"/>
          <w:noProof/>
        </w:rPr>
        <w:t xml:space="preserve"> contribuie la asigurarea faptului că asistența este direcționată către comunități în modul cel mai semnificativ și, prin urmare, ajută să se consolideze încrederea în sistemul umanitar. UE va oferi stimulente mai puternice pentru a permite, în mod sistematic, </w:t>
      </w:r>
      <w:r>
        <w:rPr>
          <w:rFonts w:ascii="Times New Roman" w:hAnsi="Times New Roman"/>
          <w:b/>
          <w:noProof/>
        </w:rPr>
        <w:t>implicarea la nivelul comunității</w:t>
      </w:r>
      <w:r>
        <w:rPr>
          <w:rFonts w:ascii="Times New Roman" w:hAnsi="Times New Roman"/>
          <w:noProof/>
        </w:rPr>
        <w:t xml:space="preserve">. Acesta va sprijini, de asemenea, coordonarea bazată pe teritoriu pentru a răspunde nevoilor oamenilor într-un mod cuprinzător, trecând de la punctele de intrare sectoriale la un răspuns umanitar mai integrat. </w:t>
      </w:r>
    </w:p>
    <w:p w14:paraId="6E7D0B86" w14:textId="5887EE96" w:rsidR="00456B58" w:rsidRPr="00970492" w:rsidRDefault="113977F8" w:rsidP="00456B58">
      <w:pPr>
        <w:spacing w:line="240" w:lineRule="auto"/>
        <w:jc w:val="both"/>
        <w:rPr>
          <w:rFonts w:ascii="Times New Roman" w:hAnsi="Times New Roman" w:cs="Times New Roman"/>
          <w:noProof/>
        </w:rPr>
      </w:pPr>
      <w:r>
        <w:rPr>
          <w:rFonts w:ascii="Times New Roman" w:hAnsi="Times New Roman"/>
          <w:noProof/>
        </w:rPr>
        <w:t xml:space="preserve">Persoanele care intervin la nivel local joacă un rol esențial în acțiunile umanitare. </w:t>
      </w:r>
      <w:r>
        <w:rPr>
          <w:rFonts w:ascii="Times New Roman" w:hAnsi="Times New Roman"/>
          <w:b/>
          <w:noProof/>
        </w:rPr>
        <w:t>Orientările Comisiei din 2023 privind promovarea parteneriatelor echitabile cu persoanele care intervin la nivel local</w:t>
      </w:r>
      <w:r>
        <w:rPr>
          <w:rFonts w:ascii="Times New Roman" w:hAnsi="Times New Roman"/>
          <w:noProof/>
        </w:rPr>
        <w:t>(</w:t>
      </w:r>
      <w:r>
        <w:rPr>
          <w:rStyle w:val="FootnoteReference"/>
          <w:rFonts w:ascii="Times New Roman" w:hAnsi="Times New Roman" w:cs="Times New Roman"/>
          <w:noProof/>
          <w:lang w:val="en-GB"/>
        </w:rPr>
        <w:footnoteReference w:id="29"/>
      </w:r>
      <w:r>
        <w:rPr>
          <w:rFonts w:ascii="Times New Roman" w:hAnsi="Times New Roman"/>
          <w:noProof/>
        </w:rPr>
        <w:t xml:space="preserve">) au inițiat o tendință pozitivă în acest sector. De atunci, s-au înregistrat progrese importante, iar ponderea finanțării umanitare a UE pentru actorii locali a crescut de la 6 % la 11 % la sfârșitul anului 2024. În 2025, Comisia și-a fixat obiective și mai ambițioase, printr-o </w:t>
      </w:r>
      <w:r>
        <w:rPr>
          <w:rFonts w:ascii="Times New Roman" w:hAnsi="Times New Roman"/>
          <w:b/>
          <w:bCs/>
          <w:noProof/>
        </w:rPr>
        <w:t>foaie actualizată de parcurs privind localizarea</w:t>
      </w:r>
      <w:r>
        <w:rPr>
          <w:rFonts w:ascii="Times New Roman" w:hAnsi="Times New Roman"/>
          <w:noProof/>
        </w:rPr>
        <w:t>, angajându-se să furnizeze 25 % din finanțarea sa cât mai direct posibil actorilor locali începând din 2027, în conformitate cu Regulamentul financiar al UE. Comisia va analiza și posibilitățile de consolidare a capacității actorilor locali și a rolului acestora în cadrul organelor de decizie internaționale.</w:t>
      </w:r>
    </w:p>
    <w:p w14:paraId="4E301681" w14:textId="718A41AF" w:rsidR="00456B58" w:rsidRPr="00970492" w:rsidRDefault="00456B58" w:rsidP="00456B58">
      <w:pPr>
        <w:spacing w:line="240" w:lineRule="auto"/>
        <w:jc w:val="both"/>
        <w:rPr>
          <w:rFonts w:ascii="Times New Roman" w:eastAsia="Times New Roman" w:hAnsi="Times New Roman" w:cs="Times New Roman"/>
          <w:noProof/>
        </w:rPr>
      </w:pPr>
      <w:r>
        <w:rPr>
          <w:rFonts w:ascii="Times New Roman" w:hAnsi="Times New Roman"/>
          <w:b/>
          <w:noProof/>
        </w:rPr>
        <w:t>Protecția</w:t>
      </w:r>
      <w:r>
        <w:rPr>
          <w:rFonts w:ascii="Times New Roman" w:hAnsi="Times New Roman"/>
          <w:noProof/>
        </w:rPr>
        <w:t xml:space="preserve"> contribuie la garantarea siguranței, demnității și drepturilor persoanelor afectate de crize. Aceasta este </w:t>
      </w:r>
      <w:r>
        <w:rPr>
          <w:rFonts w:ascii="Times New Roman" w:hAnsi="Times New Roman"/>
          <w:b/>
          <w:noProof/>
        </w:rPr>
        <w:t>esențială pentru acțiunea umanitară a UE</w:t>
      </w:r>
      <w:r>
        <w:rPr>
          <w:rFonts w:ascii="Times New Roman" w:hAnsi="Times New Roman"/>
          <w:noProof/>
        </w:rPr>
        <w:t>: toți actorii umanitari trebuie să se implice în mod coordonat pentru a reduce expunerea persoanelor afectate la riscul de violență, deprivare și abuz.</w:t>
      </w:r>
    </w:p>
    <w:p w14:paraId="25DC3266" w14:textId="6F9E273A" w:rsidR="00456B58" w:rsidRPr="00970492" w:rsidRDefault="113977F8" w:rsidP="00456B58">
      <w:pPr>
        <w:spacing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Copiii</w:t>
      </w:r>
      <w:r>
        <w:rPr>
          <w:rFonts w:ascii="Times New Roman" w:hAnsi="Times New Roman"/>
          <w:noProof/>
        </w:rPr>
        <w:t xml:space="preserve"> au dreptul la protecție specială în temeiul dreptului internațional al drepturilor omului și al dreptului internațional umanitar</w:t>
      </w:r>
      <w:r>
        <w:rPr>
          <w:rStyle w:val="normaltextrun"/>
          <w:rFonts w:ascii="Times New Roman" w:hAnsi="Times New Roman"/>
          <w:noProof/>
        </w:rPr>
        <w:t xml:space="preserve">. </w:t>
      </w:r>
      <w:r>
        <w:rPr>
          <w:rStyle w:val="normaltextrun"/>
          <w:rFonts w:ascii="Times New Roman" w:hAnsi="Times New Roman"/>
          <w:noProof/>
          <w:shd w:val="clear" w:color="auto" w:fill="FFFFFF"/>
        </w:rPr>
        <w:t>Situația precară a copiilor afectați de crizele umanitare, nivelul fără precedent al încălcărilor dreptului lor la integritate și bunăstare (cazurile de încălcare a acestor drepturi au crescut cu 25% în ultimii ani)(</w:t>
      </w:r>
      <w:r>
        <w:rPr>
          <w:rStyle w:val="FootnoteReference"/>
          <w:rFonts w:ascii="Times New Roman" w:hAnsi="Times New Roman" w:cs="Times New Roman"/>
          <w:noProof/>
          <w:lang w:val="en-GB"/>
        </w:rPr>
        <w:footnoteReference w:id="30"/>
      </w:r>
      <w:r>
        <w:rPr>
          <w:rStyle w:val="normaltextrun"/>
          <w:rFonts w:ascii="Times New Roman" w:hAnsi="Times New Roman"/>
          <w:noProof/>
          <w:shd w:val="clear" w:color="auto" w:fill="FFFFFF"/>
        </w:rPr>
        <w:t>) , precum și</w:t>
      </w:r>
      <w:r w:rsidR="006346F7">
        <w:rPr>
          <w:rStyle w:val="normaltextrun"/>
          <w:rFonts w:ascii="Times New Roman" w:hAnsi="Times New Roman"/>
          <w:noProof/>
          <w:shd w:val="clear" w:color="auto" w:fill="FFFFFF"/>
        </w:rPr>
        <w:t xml:space="preserve"> </w:t>
      </w:r>
      <w:r>
        <w:rPr>
          <w:rStyle w:val="normaltextrun"/>
          <w:rFonts w:ascii="Times New Roman" w:hAnsi="Times New Roman"/>
          <w:noProof/>
          <w:shd w:val="clear" w:color="auto" w:fill="FFFFFF"/>
        </w:rPr>
        <w:t xml:space="preserve">lipsa de respect față de protecția specială la care </w:t>
      </w:r>
      <w:r>
        <w:rPr>
          <w:rStyle w:val="normaltextrun"/>
          <w:rFonts w:ascii="Times New Roman" w:hAnsi="Times New Roman"/>
          <w:noProof/>
        </w:rPr>
        <w:t xml:space="preserve">aceștia </w:t>
      </w:r>
      <w:r>
        <w:rPr>
          <w:rStyle w:val="normaltextrun"/>
          <w:rFonts w:ascii="Times New Roman" w:hAnsi="Times New Roman"/>
          <w:noProof/>
          <w:shd w:val="clear" w:color="auto" w:fill="FFFFFF"/>
        </w:rPr>
        <w:t xml:space="preserve">au dreptul necesită o atenție sporită. UE se angajează </w:t>
      </w:r>
      <w:r>
        <w:rPr>
          <w:rStyle w:val="normaltextrun"/>
          <w:rFonts w:ascii="Times New Roman" w:hAnsi="Times New Roman"/>
          <w:b/>
          <w:bCs/>
          <w:noProof/>
          <w:shd w:val="clear" w:color="auto" w:fill="FFFFFF"/>
        </w:rPr>
        <w:t>să prevină, să atenueze și să reducă violența, abuzurile, neglijarea și toate celelalte amenințări specifice cu care se confruntă copiii în contexte umanitare</w:t>
      </w:r>
      <w:r>
        <w:rPr>
          <w:rStyle w:val="normaltextrun"/>
          <w:rFonts w:ascii="Times New Roman" w:hAnsi="Times New Roman"/>
          <w:noProof/>
          <w:shd w:val="clear" w:color="auto" w:fill="FFFFFF"/>
        </w:rPr>
        <w:t>, inclusiv prin sprijinirea educației în situații de urgență(</w:t>
      </w:r>
      <w:r>
        <w:rPr>
          <w:rStyle w:val="FootnoteReference"/>
          <w:rFonts w:ascii="Times New Roman" w:hAnsi="Times New Roman" w:cs="Times New Roman"/>
          <w:noProof/>
          <w:shd w:val="clear" w:color="auto" w:fill="FFFFFF"/>
          <w:lang w:val="en-GB"/>
        </w:rPr>
        <w:footnoteReference w:id="31"/>
      </w:r>
      <w:r>
        <w:rPr>
          <w:rStyle w:val="normaltextrun"/>
          <w:rFonts w:ascii="Times New Roman" w:hAnsi="Times New Roman"/>
          <w:noProof/>
          <w:shd w:val="clear" w:color="auto" w:fill="FFFFFF"/>
        </w:rPr>
        <w:t xml:space="preserve">) </w:t>
      </w:r>
      <w:r>
        <w:rPr>
          <w:rStyle w:val="normaltextrun"/>
          <w:rFonts w:ascii="Times New Roman" w:hAnsi="Times New Roman"/>
          <w:noProof/>
        </w:rPr>
        <w:t>și prin asigurarea faptului că toate intervențiile umanitare sunt ghidate de drepturile copiilor, inclusiv de interesul superior al copilului.</w:t>
      </w:r>
    </w:p>
    <w:p w14:paraId="0B863D3D" w14:textId="0948575A" w:rsidR="00456B58" w:rsidRPr="00970492" w:rsidRDefault="001D00AC" w:rsidP="00456B58">
      <w:pPr>
        <w:spacing w:line="240" w:lineRule="auto"/>
        <w:jc w:val="both"/>
        <w:rPr>
          <w:rFonts w:ascii="Times New Roman" w:eastAsia="Times New Roman" w:hAnsi="Times New Roman" w:cs="Times New Roman"/>
          <w:noProof/>
        </w:rPr>
      </w:pPr>
      <w:r>
        <w:rPr>
          <w:rFonts w:ascii="Times New Roman" w:hAnsi="Times New Roman"/>
          <w:noProof/>
        </w:rPr>
        <w:t xml:space="preserve">Considerentele legate de egalitate sunt adesea trecute cu vederea în situații de criză. </w:t>
      </w:r>
      <w:r>
        <w:rPr>
          <w:rFonts w:ascii="Times New Roman" w:hAnsi="Times New Roman"/>
          <w:b/>
          <w:noProof/>
        </w:rPr>
        <w:t>Femeile și fetele, alături de persoanele LGBTIQ +, continuă să fie primele afectate de violența sexuală și bazată pe gen</w:t>
      </w:r>
      <w:r>
        <w:rPr>
          <w:rFonts w:ascii="Times New Roman" w:hAnsi="Times New Roman"/>
          <w:noProof/>
        </w:rPr>
        <w:t xml:space="preserve">, inclusiv de violența sexuală legată de conflicte. De asemenea, în situații de criză, aceste persoane sunt expuse unui risc mai mare de căsătorie forțată și de trafic de persoane. </w:t>
      </w:r>
      <w:r>
        <w:rPr>
          <w:rFonts w:ascii="Times New Roman" w:hAnsi="Times New Roman"/>
          <w:b/>
          <w:noProof/>
        </w:rPr>
        <w:t>Persoanele cu handicap</w:t>
      </w:r>
      <w:r>
        <w:rPr>
          <w:rFonts w:ascii="Times New Roman" w:hAnsi="Times New Roman"/>
          <w:noProof/>
        </w:rPr>
        <w:t xml:space="preserve"> sunt, la rândul lor, afectate în mod disproporționat, confruntându-se cu obstacole multiple în calea accesului la asistență. Pentru a se aborda contexte și nevoi specifice, este esențial să se adopte o abordare centrată pe supraviețuitori, iar Comisia va pune la dispoziție orientări de politică în această privință. Grupurile vulnerabile oferă, și ele, o contribuție valoroasă, asigurând prima intervenție la nivel local în contexte umanitare, iar identificarea nevoilor și priorităților lor specifice în ceea ce privește sprijinul suplimentar poate spori eficacitatea intervențiilor.</w:t>
      </w:r>
    </w:p>
    <w:p w14:paraId="32A16A19" w14:textId="1F979E4B" w:rsidR="3B638B37" w:rsidRPr="00970492" w:rsidRDefault="00267438" w:rsidP="3B638B37">
      <w:pPr>
        <w:spacing w:line="240" w:lineRule="auto"/>
        <w:jc w:val="both"/>
        <w:rPr>
          <w:rFonts w:ascii="Times New Roman" w:eastAsia="Times New Roman" w:hAnsi="Times New Roman" w:cs="Times New Roman"/>
          <w:noProof/>
        </w:rPr>
      </w:pPr>
      <w:r>
        <w:rPr>
          <w:rFonts w:ascii="Times New Roman" w:hAnsi="Times New Roman"/>
          <w:noProof/>
        </w:rPr>
        <w:t>Integrarea perspectivei de gen și includerea sănătății sexuale și reproductive în proiectele umanitare sunt subminate într-un ritm alarmant, ceea ce amenință progrese vitale pentru promovarea unor societăți echitabile și prospere. UE își va consolida</w:t>
      </w:r>
      <w:r>
        <w:rPr>
          <w:rFonts w:ascii="Times New Roman" w:hAnsi="Times New Roman"/>
          <w:b/>
          <w:noProof/>
        </w:rPr>
        <w:t xml:space="preserve"> angajamentul față de sănătatea sexuală și reproductivă și față de combaterea violenței bazate pe gen</w:t>
      </w:r>
      <w:r>
        <w:rPr>
          <w:rFonts w:ascii="Times New Roman" w:hAnsi="Times New Roman"/>
          <w:noProof/>
        </w:rPr>
        <w:t>, inclusiv prin lansarea programului (</w:t>
      </w:r>
      <w:r>
        <w:rPr>
          <w:rStyle w:val="FootnoteReference"/>
          <w:rFonts w:ascii="Times New Roman" w:eastAsia="Times New Roman" w:hAnsi="Times New Roman" w:cs="Times New Roman"/>
          <w:noProof/>
          <w:lang w:val="en-GB"/>
        </w:rPr>
        <w:footnoteReference w:id="32"/>
      </w:r>
      <w:r>
        <w:rPr>
          <w:rFonts w:ascii="Times New Roman" w:hAnsi="Times New Roman"/>
          <w:noProof/>
        </w:rPr>
        <w:t>)SHIELD (Sănătatea sexuală și reproductivă în situații de urgență și pentru o viață demnă). De asemenea, UE va susține promovarea aspectelor legate de egalitate în cadrul discuțiilor strategice cu alți donatori și în toate forurile relevante, inclusiv în cadrul organismelor de conducere ale agențiilor ONU.</w:t>
      </w:r>
    </w:p>
    <w:p w14:paraId="3025050C" w14:textId="6DA7345C" w:rsidR="3B638B37" w:rsidRPr="006346F7" w:rsidRDefault="3B638B37" w:rsidP="3B638B37">
      <w:pPr>
        <w:spacing w:line="240" w:lineRule="auto"/>
        <w:jc w:val="both"/>
        <w:rPr>
          <w:rFonts w:ascii="Times New Roman" w:eastAsia="Times New Roman" w:hAnsi="Times New Roman" w:cs="Times New Roman"/>
          <w:noProof/>
          <w:sz w:val="2"/>
          <w:szCs w:val="2"/>
        </w:rPr>
      </w:pPr>
    </w:p>
    <w:tbl>
      <w:tblPr>
        <w:tblStyle w:val="TableGrid"/>
        <w:tblW w:w="0" w:type="auto"/>
        <w:tblLook w:val="04A0" w:firstRow="1" w:lastRow="0" w:firstColumn="1" w:lastColumn="0" w:noHBand="0" w:noVBand="1"/>
      </w:tblPr>
      <w:tblGrid>
        <w:gridCol w:w="9062"/>
      </w:tblGrid>
      <w:tr w:rsidR="00456B58" w:rsidRPr="0041300A" w14:paraId="6BC2897A" w14:textId="77777777" w:rsidTr="46C62D5D">
        <w:tc>
          <w:tcPr>
            <w:tcW w:w="9288" w:type="dxa"/>
            <w:shd w:val="clear" w:color="auto" w:fill="F2F2F2" w:themeFill="background1" w:themeFillShade="F2"/>
          </w:tcPr>
          <w:p w14:paraId="596A8A86" w14:textId="36A7B932" w:rsidR="00456B58" w:rsidRPr="00720DD9" w:rsidRDefault="00456B58" w:rsidP="004942CF">
            <w:pPr>
              <w:jc w:val="both"/>
              <w:rPr>
                <w:rFonts w:ascii="Times New Roman" w:hAnsi="Times New Roman" w:cs="Times New Roman"/>
                <w:b/>
                <w:bCs/>
                <w:noProof/>
                <w:sz w:val="24"/>
                <w:szCs w:val="24"/>
              </w:rPr>
            </w:pPr>
            <w:r>
              <w:rPr>
                <w:rFonts w:ascii="Times New Roman" w:hAnsi="Times New Roman"/>
                <w:b/>
                <w:noProof/>
                <w:sz w:val="24"/>
              </w:rPr>
              <w:t>Acțiuni-cheie</w:t>
            </w:r>
          </w:p>
          <w:p w14:paraId="675129B1" w14:textId="77777777" w:rsidR="00456B58" w:rsidRPr="006346F7" w:rsidRDefault="00456B58" w:rsidP="004942CF">
            <w:pPr>
              <w:jc w:val="both"/>
              <w:rPr>
                <w:rFonts w:ascii="Times New Roman" w:hAnsi="Times New Roman" w:cs="Times New Roman"/>
                <w:b/>
                <w:bCs/>
                <w:noProof/>
                <w:sz w:val="24"/>
                <w:szCs w:val="24"/>
                <w:lang w:val="fr-FR"/>
              </w:rPr>
            </w:pPr>
          </w:p>
          <w:p w14:paraId="2FB96489" w14:textId="594F5A89" w:rsidR="00456B58" w:rsidRPr="00720DD9" w:rsidRDefault="00456B58" w:rsidP="004942CF">
            <w:pPr>
              <w:jc w:val="both"/>
              <w:rPr>
                <w:rFonts w:ascii="Times New Roman" w:hAnsi="Times New Roman" w:cs="Times New Roman"/>
                <w:noProof/>
                <w:sz w:val="24"/>
                <w:szCs w:val="24"/>
              </w:rPr>
            </w:pPr>
            <w:r>
              <w:rPr>
                <w:rFonts w:ascii="Times New Roman" w:hAnsi="Times New Roman"/>
                <w:noProof/>
                <w:sz w:val="24"/>
              </w:rPr>
              <w:t>Comisia va întreprinde următoarele acțiuni:</w:t>
            </w:r>
          </w:p>
          <w:p w14:paraId="38FC0CBD" w14:textId="4515DD19" w:rsidR="00066AA7" w:rsidRPr="00720DD9" w:rsidRDefault="007D3A65" w:rsidP="00066AA7">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furnizarea a </w:t>
            </w:r>
            <w:r>
              <w:rPr>
                <w:rFonts w:ascii="Times New Roman" w:hAnsi="Times New Roman"/>
                <w:b/>
                <w:noProof/>
                <w:sz w:val="24"/>
              </w:rPr>
              <w:t>25 % din finanțarea sa umanitară</w:t>
            </w:r>
            <w:r>
              <w:rPr>
                <w:rFonts w:ascii="Times New Roman" w:hAnsi="Times New Roman"/>
                <w:noProof/>
                <w:sz w:val="24"/>
              </w:rPr>
              <w:t xml:space="preserve"> într-un mod cât mai direct către </w:t>
            </w:r>
            <w:r>
              <w:rPr>
                <w:rFonts w:ascii="Times New Roman" w:hAnsi="Times New Roman"/>
                <w:b/>
                <w:noProof/>
                <w:sz w:val="24"/>
              </w:rPr>
              <w:t>actorii locali</w:t>
            </w:r>
            <w:r>
              <w:rPr>
                <w:rFonts w:ascii="Times New Roman" w:hAnsi="Times New Roman"/>
                <w:noProof/>
                <w:sz w:val="24"/>
              </w:rPr>
              <w:t xml:space="preserve"> începând din 2027;</w:t>
            </w:r>
          </w:p>
          <w:p w14:paraId="7652B18F" w14:textId="2E9EE671" w:rsidR="00456B58" w:rsidRPr="00720DD9" w:rsidRDefault="007D3A65" w:rsidP="00321376">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sprijinirea </w:t>
            </w:r>
            <w:r>
              <w:rPr>
                <w:rFonts w:ascii="Times New Roman" w:hAnsi="Times New Roman"/>
                <w:b/>
                <w:noProof/>
                <w:sz w:val="24"/>
              </w:rPr>
              <w:t>structurilor de coordonare descentralizate</w:t>
            </w:r>
            <w:r>
              <w:rPr>
                <w:rFonts w:ascii="Times New Roman" w:hAnsi="Times New Roman"/>
                <w:noProof/>
                <w:sz w:val="24"/>
              </w:rPr>
              <w:t xml:space="preserve"> care promovează conducerea locală, în special coordonarea bazată pe zone. Planificarea integrată și transsectorială ar trebui să devină norma, cu </w:t>
            </w:r>
            <w:r>
              <w:rPr>
                <w:rFonts w:ascii="Times New Roman" w:hAnsi="Times New Roman"/>
                <w:b/>
                <w:noProof/>
                <w:sz w:val="24"/>
              </w:rPr>
              <w:t>mecanisme solide de trimitere</w:t>
            </w:r>
            <w:r>
              <w:rPr>
                <w:rFonts w:ascii="Times New Roman" w:hAnsi="Times New Roman"/>
                <w:noProof/>
                <w:sz w:val="24"/>
              </w:rPr>
              <w:t xml:space="preserve"> către servicii specializate, după caz;</w:t>
            </w:r>
          </w:p>
          <w:p w14:paraId="543D39BA" w14:textId="637B0EEE" w:rsidR="00265254" w:rsidRPr="00720DD9" w:rsidRDefault="007D3A65" w:rsidP="00321376">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asigurarea sistematică a </w:t>
            </w:r>
            <w:r>
              <w:rPr>
                <w:rFonts w:ascii="Times New Roman" w:hAnsi="Times New Roman"/>
                <w:b/>
                <w:noProof/>
                <w:sz w:val="24"/>
              </w:rPr>
              <w:t>includerii comunităților afectate în conceperea, furnizarea și monitorizarea asistenței</w:t>
            </w:r>
            <w:r>
              <w:rPr>
                <w:rFonts w:ascii="Times New Roman" w:hAnsi="Times New Roman"/>
                <w:noProof/>
                <w:sz w:val="24"/>
              </w:rPr>
              <w:t>, precum și depunerea unor eforturi pentru a răspunde nevoilor și aspirațiilor acestora;</w:t>
            </w:r>
          </w:p>
          <w:p w14:paraId="1562FA44" w14:textId="1BCA8E05" w:rsidR="00456B58" w:rsidRPr="00720DD9" w:rsidRDefault="007D3A65" w:rsidP="00321376">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orientarea eforturilor în direcția </w:t>
            </w:r>
            <w:r>
              <w:rPr>
                <w:rFonts w:ascii="Times New Roman" w:hAnsi="Times New Roman"/>
                <w:b/>
                <w:noProof/>
                <w:sz w:val="24"/>
              </w:rPr>
              <w:t>eliminării barierelor rămase</w:t>
            </w:r>
            <w:r>
              <w:rPr>
                <w:rFonts w:ascii="Times New Roman" w:hAnsi="Times New Roman"/>
                <w:noProof/>
                <w:sz w:val="24"/>
              </w:rPr>
              <w:t xml:space="preserve">, astfel încât </w:t>
            </w:r>
            <w:r>
              <w:rPr>
                <w:rFonts w:ascii="Times New Roman" w:hAnsi="Times New Roman"/>
                <w:b/>
                <w:noProof/>
                <w:sz w:val="24"/>
              </w:rPr>
              <w:t>persoanele care intervin la nivel local</w:t>
            </w:r>
            <w:r>
              <w:rPr>
                <w:rFonts w:ascii="Times New Roman" w:hAnsi="Times New Roman"/>
                <w:noProof/>
                <w:sz w:val="24"/>
              </w:rPr>
              <w:t xml:space="preserve"> să joace un rol mai important în acțiunile umanitare, prin consolidarea capacităților și formare, prin reducerea sarcinii administrative pentru actorii locali și prin extinderea finanțării la fondurile umanitare comune gestionate la nivel local;</w:t>
            </w:r>
          </w:p>
          <w:p w14:paraId="7F632752" w14:textId="3DB5A1DE" w:rsidR="007222C4" w:rsidRPr="00720DD9" w:rsidRDefault="007D3A65" w:rsidP="00321376">
            <w:pPr>
              <w:pStyle w:val="ListParagraph"/>
              <w:numPr>
                <w:ilvl w:val="0"/>
                <w:numId w:val="9"/>
              </w:numPr>
              <w:ind w:left="360"/>
              <w:jc w:val="both"/>
              <w:rPr>
                <w:rFonts w:ascii="Times New Roman" w:hAnsi="Times New Roman" w:cs="Times New Roman"/>
                <w:noProof/>
                <w:sz w:val="24"/>
                <w:szCs w:val="24"/>
              </w:rPr>
            </w:pPr>
            <w:r>
              <w:rPr>
                <w:rFonts w:ascii="Times New Roman" w:hAnsi="Times New Roman"/>
                <w:noProof/>
                <w:sz w:val="24"/>
              </w:rPr>
              <w:t xml:space="preserve">sporirea eforturilor de </w:t>
            </w:r>
            <w:r>
              <w:rPr>
                <w:rFonts w:ascii="Times New Roman" w:hAnsi="Times New Roman"/>
                <w:b/>
                <w:noProof/>
                <w:sz w:val="24"/>
              </w:rPr>
              <w:t>promovare și susținere a sectorului protecției</w:t>
            </w:r>
            <w:r>
              <w:rPr>
                <w:rFonts w:ascii="Times New Roman" w:hAnsi="Times New Roman"/>
                <w:noProof/>
                <w:sz w:val="24"/>
              </w:rPr>
              <w:t>, inclusiv a protecției copilului, și menținerea rolului central acordat protecției în cadrul acțiunii umanitare;</w:t>
            </w:r>
          </w:p>
          <w:p w14:paraId="28BBFA8F" w14:textId="7F22ECB0" w:rsidR="00B25B6D" w:rsidRPr="00720DD9" w:rsidRDefault="007D3A65">
            <w:pPr>
              <w:pStyle w:val="ListParagraph"/>
              <w:numPr>
                <w:ilvl w:val="0"/>
                <w:numId w:val="9"/>
              </w:numPr>
              <w:ind w:left="360"/>
              <w:jc w:val="both"/>
              <w:rPr>
                <w:rFonts w:ascii="Times New Roman" w:hAnsi="Times New Roman" w:cs="Times New Roman"/>
                <w:b/>
                <w:noProof/>
                <w:sz w:val="24"/>
                <w:szCs w:val="24"/>
              </w:rPr>
            </w:pPr>
            <w:r>
              <w:rPr>
                <w:rFonts w:ascii="Times New Roman" w:hAnsi="Times New Roman"/>
                <w:noProof/>
                <w:sz w:val="24"/>
              </w:rPr>
              <w:t xml:space="preserve">întărirea </w:t>
            </w:r>
            <w:r>
              <w:rPr>
                <w:rFonts w:ascii="Times New Roman" w:hAnsi="Times New Roman"/>
                <w:b/>
                <w:noProof/>
                <w:sz w:val="24"/>
              </w:rPr>
              <w:t>sprijinului acordat persoanelor vizate de problematica sănătății sexuale și reproductive și combaterea violenței sexuală și bazate pe gen</w:t>
            </w:r>
            <w:r>
              <w:rPr>
                <w:rFonts w:ascii="Times New Roman" w:hAnsi="Times New Roman"/>
                <w:noProof/>
                <w:sz w:val="24"/>
              </w:rPr>
              <w:t>, inclusiv a violenței sexuală legate de conflicte;</w:t>
            </w:r>
          </w:p>
          <w:p w14:paraId="3C7EE922" w14:textId="79DF2414" w:rsidR="00456B58" w:rsidRPr="0041300A" w:rsidRDefault="007D3A65" w:rsidP="00A15D12">
            <w:pPr>
              <w:pStyle w:val="ListParagraph"/>
              <w:numPr>
                <w:ilvl w:val="0"/>
                <w:numId w:val="9"/>
              </w:numPr>
              <w:ind w:left="360"/>
              <w:jc w:val="both"/>
              <w:rPr>
                <w:rFonts w:ascii="Times New Roman" w:hAnsi="Times New Roman" w:cs="Times New Roman"/>
                <w:b/>
                <w:noProof/>
              </w:rPr>
            </w:pPr>
            <w:r>
              <w:rPr>
                <w:rFonts w:ascii="Times New Roman" w:hAnsi="Times New Roman"/>
                <w:noProof/>
                <w:sz w:val="24"/>
              </w:rPr>
              <w:t xml:space="preserve">actualizarea </w:t>
            </w:r>
            <w:r>
              <w:rPr>
                <w:rFonts w:ascii="Times New Roman" w:hAnsi="Times New Roman"/>
                <w:b/>
                <w:noProof/>
                <w:sz w:val="24"/>
              </w:rPr>
              <w:t>documentului tematic de politică privind dimensiunea de gen</w:t>
            </w:r>
            <w:r>
              <w:rPr>
                <w:rFonts w:ascii="Times New Roman" w:hAnsi="Times New Roman"/>
                <w:noProof/>
                <w:sz w:val="24"/>
              </w:rPr>
              <w:t>(</w:t>
            </w:r>
            <w:r>
              <w:rPr>
                <w:rStyle w:val="FootnoteReference"/>
                <w:rFonts w:ascii="Times New Roman" w:hAnsi="Times New Roman" w:cs="Times New Roman"/>
                <w:bCs/>
                <w:noProof/>
                <w:sz w:val="24"/>
                <w:szCs w:val="24"/>
                <w:lang w:val="en-GB"/>
              </w:rPr>
              <w:footnoteReference w:id="33"/>
            </w:r>
            <w:r>
              <w:rPr>
                <w:rFonts w:ascii="Times New Roman" w:hAnsi="Times New Roman"/>
                <w:noProof/>
                <w:sz w:val="24"/>
              </w:rPr>
              <w:t>) .</w:t>
            </w:r>
          </w:p>
        </w:tc>
      </w:tr>
    </w:tbl>
    <w:p w14:paraId="648D79BB" w14:textId="77777777" w:rsidR="00FF64D2" w:rsidRPr="006346F7" w:rsidRDefault="00FF64D2" w:rsidP="00FF64D2">
      <w:pPr>
        <w:pStyle w:val="ListParagraph"/>
        <w:spacing w:line="240" w:lineRule="auto"/>
        <w:ind w:left="420"/>
        <w:jc w:val="both"/>
        <w:rPr>
          <w:rFonts w:ascii="Times New Roman" w:hAnsi="Times New Roman" w:cs="Times New Roman"/>
          <w:b/>
          <w:bCs/>
          <w:noProof/>
          <w:lang w:val="fr-FR"/>
        </w:rPr>
      </w:pPr>
    </w:p>
    <w:p w14:paraId="04F10253" w14:textId="5D7820C1" w:rsidR="00456B58" w:rsidRPr="0041300A" w:rsidRDefault="00456B58" w:rsidP="0041300A">
      <w:pPr>
        <w:pStyle w:val="ListParagraph"/>
        <w:numPr>
          <w:ilvl w:val="0"/>
          <w:numId w:val="13"/>
        </w:numPr>
        <w:spacing w:line="240" w:lineRule="auto"/>
        <w:jc w:val="both"/>
        <w:rPr>
          <w:rFonts w:ascii="Times New Roman" w:hAnsi="Times New Roman" w:cs="Times New Roman"/>
          <w:b/>
          <w:bCs/>
          <w:noProof/>
        </w:rPr>
      </w:pPr>
      <w:r>
        <w:rPr>
          <w:rFonts w:ascii="Times New Roman" w:hAnsi="Times New Roman"/>
          <w:b/>
          <w:noProof/>
        </w:rPr>
        <w:t>Concretizare: Creșterea eficienței și îmbunătățirea raportului cost-eficacitate al acțiunii umanitare pentru un impact mai puternic</w:t>
      </w:r>
    </w:p>
    <w:p w14:paraId="2CF2EA11" w14:textId="208AA49D" w:rsidR="00456B58" w:rsidRPr="0041300A" w:rsidRDefault="000363A7" w:rsidP="00456B58">
      <w:pPr>
        <w:spacing w:line="240" w:lineRule="auto"/>
        <w:jc w:val="both"/>
        <w:rPr>
          <w:rFonts w:ascii="Times New Roman" w:hAnsi="Times New Roman" w:cs="Times New Roman"/>
          <w:noProof/>
        </w:rPr>
      </w:pPr>
      <w:r>
        <w:rPr>
          <w:rFonts w:ascii="Times New Roman" w:hAnsi="Times New Roman"/>
          <w:noProof/>
        </w:rPr>
        <w:t xml:space="preserve">În contextul </w:t>
      </w:r>
      <w:r>
        <w:rPr>
          <w:rFonts w:ascii="Times New Roman" w:hAnsi="Times New Roman"/>
          <w:b/>
          <w:noProof/>
        </w:rPr>
        <w:t>nevoilor tot mai mari și al înăspririi constrângerilor bugetare</w:t>
      </w:r>
      <w:r>
        <w:rPr>
          <w:rFonts w:ascii="Times New Roman" w:hAnsi="Times New Roman"/>
          <w:noProof/>
        </w:rPr>
        <w:t xml:space="preserve">, eficiența maximă din punctul de vedere al costurilor poate fi atinsă doar în cazul în care comunitățile afectate, actorii umanitari și donatorii colaborează pentru a elabora răspunsuri de impact la crize. Există posibilități considerabile de reducere a ineficiențelor modelului actual de finanțare, iar UE va încuraja o evoluție a situației în această direcție. UE a identificat </w:t>
      </w:r>
      <w:r>
        <w:rPr>
          <w:rFonts w:ascii="Times New Roman" w:hAnsi="Times New Roman"/>
          <w:b/>
          <w:noProof/>
        </w:rPr>
        <w:t>trei priorități principale</w:t>
      </w:r>
      <w:r>
        <w:rPr>
          <w:rFonts w:ascii="Times New Roman" w:hAnsi="Times New Roman"/>
          <w:noProof/>
        </w:rPr>
        <w:t>: reformarea lanțului de aprovizionare umanitar, maximizarea valorii finanțării umanitare a UE și sprijinirea serviciilor colective de facilitare.</w:t>
      </w:r>
    </w:p>
    <w:p w14:paraId="7E0A65B0" w14:textId="6800B52A" w:rsidR="00456B58" w:rsidRPr="00D044B0" w:rsidRDefault="0D43F94D" w:rsidP="46C62D5D">
      <w:pPr>
        <w:spacing w:line="240" w:lineRule="auto"/>
        <w:jc w:val="both"/>
        <w:rPr>
          <w:rFonts w:ascii="Times New Roman" w:hAnsi="Times New Roman"/>
          <w:b/>
          <w:i/>
          <w:noProof/>
        </w:rPr>
      </w:pPr>
      <w:r>
        <w:rPr>
          <w:rFonts w:ascii="Times New Roman" w:hAnsi="Times New Roman"/>
          <w:b/>
          <w:i/>
          <w:noProof/>
        </w:rPr>
        <w:t>2.1. Reformarea lanțurilor de aprovizionare strategice umanitare</w:t>
      </w:r>
    </w:p>
    <w:p w14:paraId="14D52312" w14:textId="08740688" w:rsidR="004E59C8" w:rsidRPr="00970492" w:rsidRDefault="004E59C8" w:rsidP="004E59C8">
      <w:pPr>
        <w:spacing w:after="150" w:line="240" w:lineRule="auto"/>
        <w:jc w:val="both"/>
        <w:rPr>
          <w:rFonts w:ascii="Times New Roman" w:eastAsia="Times New Roman" w:hAnsi="Times New Roman" w:cs="Times New Roman"/>
          <w:noProof/>
        </w:rPr>
      </w:pPr>
      <w:r>
        <w:rPr>
          <w:rFonts w:ascii="Times New Roman" w:hAnsi="Times New Roman"/>
          <w:noProof/>
        </w:rPr>
        <w:t>Lanțurile de aprovizionare umanitare sunt esențiale pentru operațiunile din acest domeniu. Acestea ar trebui să asigure faptul că, în caz de dificultate, comunitățile primesc ajutoarele adecvate, de calitate corespunzătoare, la momentul potrivit, în locul potrivit și la costul potrivit. Cu toate acestea, modelul actual al lanțului de aprovizionare nu mai este adaptat la amploarea nevoilor. De-a lungul timpului, organizațiile umanitare au dezvoltat lanțuri de aprovizionare paralele și deconectate, ceea ce a dus la fragmentare și la suprapuneri inutile, de exemplu atunci când concurează pentru a achiziționa aceleași produse de ajutorare sau operează flote și antrepozite separate. Acest lucru reduce eficiența și, în ultimă instanță, impactul ajutorului umanitar.</w:t>
      </w:r>
    </w:p>
    <w:p w14:paraId="4FAF2781" w14:textId="01D9DF86" w:rsidR="004E59C8" w:rsidRPr="00E76282" w:rsidRDefault="004E59C8" w:rsidP="004E59C8">
      <w:pPr>
        <w:spacing w:after="150" w:line="240" w:lineRule="auto"/>
        <w:jc w:val="both"/>
        <w:rPr>
          <w:rFonts w:ascii="Times New Roman" w:hAnsi="Times New Roman"/>
          <w:noProof/>
        </w:rPr>
      </w:pPr>
      <w:r>
        <w:rPr>
          <w:rFonts w:ascii="Times New Roman" w:hAnsi="Times New Roman"/>
          <w:noProof/>
        </w:rPr>
        <w:t xml:space="preserve">Pentru a aborda aceste provocări, în 2024, Comisia a lansat </w:t>
      </w:r>
      <w:r>
        <w:rPr>
          <w:rFonts w:ascii="Times New Roman" w:hAnsi="Times New Roman"/>
          <w:b/>
          <w:noProof/>
        </w:rPr>
        <w:t>Grupul de de lideri în domeniul umanitar privind lanțul de aprovizionare (HLGSC)</w:t>
      </w:r>
      <w:r>
        <w:rPr>
          <w:rFonts w:ascii="Times New Roman" w:hAnsi="Times New Roman"/>
          <w:noProof/>
        </w:rPr>
        <w:t xml:space="preserve">, care reunește donatori, ONU, Mișcarea de Cruce Roșie și Semilună Roșie, organizații neguvernamentale, sectorul privat și mediul academic. Acest grup a convenit asupra unei viziuni comune pentru un </w:t>
      </w:r>
      <w:r>
        <w:rPr>
          <w:rFonts w:ascii="Times New Roman" w:hAnsi="Times New Roman"/>
          <w:b/>
          <w:noProof/>
        </w:rPr>
        <w:t>nou model de lanț de aprovizionare umanitar</w:t>
      </w:r>
      <w:r>
        <w:rPr>
          <w:rFonts w:ascii="Times New Roman" w:hAnsi="Times New Roman"/>
          <w:noProof/>
        </w:rPr>
        <w:t xml:space="preserve"> – o rețea mai colaborativă și mai coerentă care sporește impactul prin principiile interdependente ale unei mai bune alinieri, interoperabilități și ale unor mai bune schimburi de date, precum și prin utilizarea mai sistematică a platformelor și operațiunilor comune. Obiectivul general este un sistem care funcționează mai bine pentru oameni, furnizând asistență mai rapid și cu o mai mare previzibilitate și în moduri care sunt mai eficiente din punctul de vedere al costurilor și consolidează capacitățile și reziliența de pe plan local, în conformitate cu principiile umanitare. </w:t>
      </w:r>
    </w:p>
    <w:p w14:paraId="0D8B6206" w14:textId="010AA2C1" w:rsidR="004E59C8" w:rsidRPr="00E76282" w:rsidRDefault="004E59C8" w:rsidP="004E59C8">
      <w:pPr>
        <w:spacing w:after="150" w:line="240" w:lineRule="auto"/>
        <w:jc w:val="both"/>
        <w:rPr>
          <w:rFonts w:ascii="Times New Roman" w:hAnsi="Times New Roman"/>
          <w:noProof/>
        </w:rPr>
      </w:pPr>
      <w:r>
        <w:rPr>
          <w:rFonts w:ascii="Times New Roman" w:hAnsi="Times New Roman"/>
          <w:noProof/>
        </w:rPr>
        <w:t xml:space="preserve">Eforturile de reformă ale HLGSC s-au reflectat în inițiative complementare, în special în inițiativa comună a ONU de instituire a unui sistem mai integrat de lanțuri de aprovizionare umanitară, ca parte a procesului de reformă ONU80 sau în cadrul G7. Aceste eforturi ar trebui continuate, deoarece constituie un element esențial al reformei generale a lanțurilor de aprovizionare umanitare. Comisia va continua să monitorizeze îndeaproape și să încurajeze aceste procese. </w:t>
      </w:r>
    </w:p>
    <w:p w14:paraId="1B4BC911" w14:textId="1299E709" w:rsidR="004E59C8" w:rsidRPr="00E76282" w:rsidRDefault="004E59C8" w:rsidP="0041300A">
      <w:pPr>
        <w:spacing w:after="150" w:line="240" w:lineRule="auto"/>
        <w:jc w:val="both"/>
        <w:rPr>
          <w:rFonts w:ascii="Times New Roman" w:hAnsi="Times New Roman"/>
          <w:noProof/>
        </w:rPr>
      </w:pPr>
      <w:r>
        <w:rPr>
          <w:rFonts w:ascii="Times New Roman" w:hAnsi="Times New Roman"/>
          <w:noProof/>
        </w:rPr>
        <w:t>Reformarea și modernizarea modelului de lanț de aprovizionare oferă o posibilitate importantă de creștere a eficienței și de deblocare a resurselor pentru persoanele aflate în dificultate. Este necesară o schimbare de paradigmă prin care funcțiile lanțului de aprovizionare să fie recunoscute ca factori determinanți strategici ai impactului umanitar. Acest proces la nivelul întregului sistem, axat pe colaborare, punerea în comun a resurselor și partajarea capacităților, ar trebui să abordeze, în conformitate cu HLGSC, următoarele aspecte interdependente:</w:t>
      </w:r>
    </w:p>
    <w:p w14:paraId="456D629F" w14:textId="3FC58950" w:rsidR="004E59C8" w:rsidRPr="00E76282" w:rsidRDefault="008852D3" w:rsidP="0041300A">
      <w:pPr>
        <w:pStyle w:val="ListParagraph"/>
        <w:numPr>
          <w:ilvl w:val="0"/>
          <w:numId w:val="2"/>
        </w:numPr>
        <w:spacing w:after="150" w:line="240" w:lineRule="auto"/>
        <w:jc w:val="both"/>
        <w:rPr>
          <w:rFonts w:ascii="Times New Roman" w:hAnsi="Times New Roman"/>
          <w:noProof/>
        </w:rPr>
      </w:pPr>
      <w:r>
        <w:rPr>
          <w:rFonts w:ascii="Times New Roman" w:hAnsi="Times New Roman"/>
          <w:b/>
          <w:noProof/>
        </w:rPr>
        <w:t>achizițiile publice</w:t>
      </w:r>
      <w:r>
        <w:rPr>
          <w:rFonts w:ascii="Times New Roman" w:hAnsi="Times New Roman"/>
          <w:noProof/>
        </w:rPr>
        <w:t xml:space="preserve"> trebuie integrate încă de la început în proiectarea operațiunilor pentru a îmbunătăți eficiența, impactul și gestiunea financiară, în special prin recunoașterea reciprocă a deciziilor privind achizițiile publice și prin achiziții publice comune între organizațiile umanitare;</w:t>
      </w:r>
    </w:p>
    <w:p w14:paraId="106D589D" w14:textId="027B4DEB" w:rsidR="004E59C8" w:rsidRPr="00C02F0D" w:rsidRDefault="008852D3" w:rsidP="0041300A">
      <w:pPr>
        <w:pStyle w:val="ListParagraph"/>
        <w:numPr>
          <w:ilvl w:val="0"/>
          <w:numId w:val="2"/>
        </w:numPr>
        <w:spacing w:after="150" w:line="240" w:lineRule="auto"/>
        <w:jc w:val="both"/>
        <w:rPr>
          <w:rFonts w:ascii="Times New Roman" w:hAnsi="Times New Roman"/>
          <w:noProof/>
        </w:rPr>
      </w:pPr>
      <w:r>
        <w:rPr>
          <w:rFonts w:ascii="Times New Roman" w:hAnsi="Times New Roman"/>
          <w:b/>
          <w:noProof/>
        </w:rPr>
        <w:t>durabilitatea mediului</w:t>
      </w:r>
      <w:r>
        <w:rPr>
          <w:rFonts w:ascii="Times New Roman" w:hAnsi="Times New Roman"/>
          <w:noProof/>
        </w:rPr>
        <w:t xml:space="preserve"> trebuie să fie integrată în acțiunile umanitare, împreună cu trecerea de la reducerea la minimum a costurilor pe termen scurt la optimizarea valorii pe termen lung, în special prin reducerea emisiilor de gaze cu efect de seră, de exemplu prin favorizarea soluțiilor locale în domeniul energiei din surse regenerabile, prin îmbunătățirea evaluărilor ciclului de viață și a specificațiilor produselor verzi, prin gestionarea responsabilă a deșeurilor și prin sprijinirea măsurilor privind economia circulară;</w:t>
      </w:r>
    </w:p>
    <w:p w14:paraId="11A2F17D" w14:textId="3BADC587" w:rsidR="000638F9" w:rsidRPr="00A44E14" w:rsidRDefault="008852D3" w:rsidP="0041300A">
      <w:pPr>
        <w:pStyle w:val="ListParagraph"/>
        <w:numPr>
          <w:ilvl w:val="0"/>
          <w:numId w:val="2"/>
        </w:numPr>
        <w:spacing w:after="150" w:line="240" w:lineRule="auto"/>
        <w:jc w:val="both"/>
        <w:rPr>
          <w:rFonts w:ascii="Times New Roman" w:eastAsia="Times New Roman" w:hAnsi="Times New Roman" w:cs="Times New Roman"/>
          <w:noProof/>
        </w:rPr>
      </w:pPr>
      <w:r>
        <w:rPr>
          <w:rFonts w:ascii="Times New Roman" w:hAnsi="Times New Roman"/>
          <w:b/>
          <w:noProof/>
        </w:rPr>
        <w:t>sistemele digitale</w:t>
      </w:r>
      <w:r>
        <w:rPr>
          <w:rFonts w:ascii="Times New Roman" w:hAnsi="Times New Roman"/>
          <w:noProof/>
        </w:rPr>
        <w:t>, inclusiv soluțiile IA, trebuie să facă parte dintr-un ecosistem interoperabil cu cadre de guvernanță bazate pe standarde deschise comune, adaptate la capacitățile locale și însoțite de garanții adecvate în materie de protecție a datelor;</w:t>
      </w:r>
    </w:p>
    <w:p w14:paraId="1FD45BF9" w14:textId="7E56B46D" w:rsidR="004E59C8" w:rsidRPr="00E76282" w:rsidRDefault="008852D3" w:rsidP="0041300A">
      <w:pPr>
        <w:pStyle w:val="ListParagraph"/>
        <w:numPr>
          <w:ilvl w:val="0"/>
          <w:numId w:val="2"/>
        </w:numPr>
        <w:spacing w:after="150" w:line="240" w:lineRule="auto"/>
        <w:jc w:val="both"/>
        <w:rPr>
          <w:rFonts w:ascii="Times New Roman" w:hAnsi="Times New Roman"/>
          <w:noProof/>
        </w:rPr>
      </w:pPr>
      <w:r>
        <w:rPr>
          <w:rFonts w:ascii="Times New Roman" w:hAnsi="Times New Roman"/>
          <w:b/>
          <w:noProof/>
        </w:rPr>
        <w:t>pregătirea</w:t>
      </w:r>
      <w:r>
        <w:rPr>
          <w:rFonts w:ascii="Times New Roman" w:hAnsi="Times New Roman"/>
          <w:noProof/>
        </w:rPr>
        <w:t xml:space="preserve"> ar trebui să devină norma, pe baza unui cadru comun ancorat în capacitățile locale și în participarea actorilor la planificare, sprijinit de previziuni și prepoziționare, asigurând în același timp adoptarea și extinderea soluțiilor inovatoare;</w:t>
      </w:r>
    </w:p>
    <w:p w14:paraId="6B8357C9" w14:textId="44AC39BA" w:rsidR="002A63C8" w:rsidRPr="00A65EA7" w:rsidRDefault="008852D3" w:rsidP="0041300A">
      <w:pPr>
        <w:pStyle w:val="ListParagraph"/>
        <w:numPr>
          <w:ilvl w:val="0"/>
          <w:numId w:val="2"/>
        </w:numPr>
        <w:spacing w:after="150" w:line="240" w:lineRule="auto"/>
        <w:jc w:val="both"/>
        <w:rPr>
          <w:rFonts w:ascii="Times New Roman" w:hAnsi="Times New Roman"/>
          <w:noProof/>
        </w:rPr>
      </w:pPr>
      <w:r>
        <w:rPr>
          <w:rFonts w:ascii="Times New Roman" w:hAnsi="Times New Roman"/>
          <w:b/>
          <w:noProof/>
        </w:rPr>
        <w:t>localizarea lanțurilor de aprovizionare sustenabile</w:t>
      </w:r>
      <w:r>
        <w:rPr>
          <w:rFonts w:ascii="Times New Roman" w:hAnsi="Times New Roman"/>
          <w:noProof/>
        </w:rPr>
        <w:t xml:space="preserve"> impune actorilor umanitari internaționali să transfere treptat autoritatea, resursele și procesul decizional către actorii locali, consolidând în același timp piețele locale.</w:t>
      </w:r>
    </w:p>
    <w:p w14:paraId="7D707EE2" w14:textId="19788009" w:rsidR="002A63C8" w:rsidRPr="002A63C8" w:rsidRDefault="00B535DC" w:rsidP="002A63C8">
      <w:pPr>
        <w:spacing w:after="150" w:line="240" w:lineRule="auto"/>
        <w:jc w:val="both"/>
        <w:rPr>
          <w:rFonts w:ascii="Times New Roman" w:hAnsi="Times New Roman"/>
          <w:noProof/>
        </w:rPr>
      </w:pPr>
      <w:r>
        <w:rPr>
          <w:rFonts w:ascii="Times New Roman" w:hAnsi="Times New Roman"/>
          <w:noProof/>
        </w:rPr>
        <w:t xml:space="preserve">Transformarea acestui model în realitate depinde de mai multe </w:t>
      </w:r>
      <w:r>
        <w:rPr>
          <w:rFonts w:ascii="Times New Roman" w:hAnsi="Times New Roman"/>
          <w:b/>
          <w:noProof/>
        </w:rPr>
        <w:t>condiții favorizante</w:t>
      </w:r>
      <w:r>
        <w:rPr>
          <w:rFonts w:ascii="Times New Roman" w:hAnsi="Times New Roman"/>
          <w:noProof/>
        </w:rPr>
        <w:t>:</w:t>
      </w:r>
    </w:p>
    <w:p w14:paraId="4A75AA56" w14:textId="523A6A45" w:rsidR="004E59C8" w:rsidRPr="00E76282" w:rsidRDefault="008852D3" w:rsidP="002A63C8">
      <w:pPr>
        <w:pStyle w:val="ListParagraph"/>
        <w:numPr>
          <w:ilvl w:val="0"/>
          <w:numId w:val="1"/>
        </w:numPr>
        <w:spacing w:after="150" w:line="240" w:lineRule="auto"/>
        <w:jc w:val="both"/>
        <w:rPr>
          <w:rFonts w:ascii="Times New Roman" w:hAnsi="Times New Roman"/>
          <w:noProof/>
        </w:rPr>
      </w:pPr>
      <w:r>
        <w:rPr>
          <w:rFonts w:ascii="Times New Roman" w:hAnsi="Times New Roman"/>
          <w:noProof/>
        </w:rPr>
        <w:t>integrarea considerentelor legate de lanțul de aprovizionare în procesul decizional strategic și operațional al organizațiilor umanitare;</w:t>
      </w:r>
    </w:p>
    <w:p w14:paraId="1F148959" w14:textId="260BA9FE" w:rsidR="004E59C8" w:rsidRPr="002A63C8" w:rsidRDefault="008852D3" w:rsidP="004E59C8">
      <w:pPr>
        <w:pStyle w:val="ListParagraph"/>
        <w:numPr>
          <w:ilvl w:val="0"/>
          <w:numId w:val="1"/>
        </w:numPr>
        <w:spacing w:after="150" w:line="240" w:lineRule="auto"/>
        <w:jc w:val="both"/>
        <w:rPr>
          <w:rFonts w:ascii="Times New Roman" w:hAnsi="Times New Roman"/>
          <w:noProof/>
        </w:rPr>
      </w:pPr>
      <w:r>
        <w:rPr>
          <w:rFonts w:ascii="Times New Roman" w:hAnsi="Times New Roman"/>
          <w:noProof/>
        </w:rPr>
        <w:t>consolidarea colaborării dintre donatori pentru a promova o mai bună aliniere a abordărilor în materie de conformitate și de reglementare, precum și a priorităților de finanțare;</w:t>
      </w:r>
    </w:p>
    <w:p w14:paraId="71E5E895" w14:textId="28852F58" w:rsidR="004E59C8" w:rsidRPr="00E76282" w:rsidRDefault="008852D3" w:rsidP="004E59C8">
      <w:pPr>
        <w:pStyle w:val="ListParagraph"/>
        <w:numPr>
          <w:ilvl w:val="0"/>
          <w:numId w:val="1"/>
        </w:numPr>
        <w:spacing w:after="150" w:line="240" w:lineRule="auto"/>
        <w:jc w:val="both"/>
        <w:rPr>
          <w:rFonts w:ascii="Times New Roman" w:hAnsi="Times New Roman"/>
          <w:noProof/>
        </w:rPr>
      </w:pPr>
      <w:r>
        <w:rPr>
          <w:rFonts w:ascii="Times New Roman" w:hAnsi="Times New Roman"/>
          <w:noProof/>
        </w:rPr>
        <w:t>promovarea unor mecanisme de finanțare inovatoare pentru a garanta investiții pe termen lung și recunoașterea costurilor lanțului de aprovizionare, inclusiv pentru digitalizare și mediu, drept cheltuieli esențiale ale programului;</w:t>
      </w:r>
    </w:p>
    <w:p w14:paraId="1C188063" w14:textId="1876140B" w:rsidR="004E59C8" w:rsidRPr="00F36DCA" w:rsidRDefault="008852D3" w:rsidP="004E59C8">
      <w:pPr>
        <w:pStyle w:val="ListParagraph"/>
        <w:numPr>
          <w:ilvl w:val="0"/>
          <w:numId w:val="1"/>
        </w:numPr>
        <w:spacing w:after="150" w:line="240" w:lineRule="auto"/>
        <w:jc w:val="both"/>
        <w:rPr>
          <w:noProof/>
        </w:rPr>
      </w:pPr>
      <w:r>
        <w:rPr>
          <w:rFonts w:ascii="Times New Roman" w:hAnsi="Times New Roman"/>
          <w:noProof/>
        </w:rPr>
        <w:t>implicarea sectorului privat în proiectarea în comun și sprijinirea transformării la nivelul întregului sistem și</w:t>
      </w:r>
    </w:p>
    <w:p w14:paraId="38358ED2" w14:textId="04EBB202" w:rsidR="00426386" w:rsidRPr="002A63C8" w:rsidRDefault="008852D3" w:rsidP="00687FDD">
      <w:pPr>
        <w:pStyle w:val="ListParagraph"/>
        <w:numPr>
          <w:ilvl w:val="0"/>
          <w:numId w:val="1"/>
        </w:numPr>
        <w:spacing w:after="150" w:line="240" w:lineRule="auto"/>
        <w:jc w:val="both"/>
        <w:rPr>
          <w:noProof/>
        </w:rPr>
      </w:pPr>
      <w:r>
        <w:rPr>
          <w:rFonts w:ascii="Times New Roman" w:hAnsi="Times New Roman"/>
          <w:noProof/>
        </w:rPr>
        <w:t>consolidarea în continuare a profesionalizării pentru a asigura o forță de muncă înalt calificată.</w:t>
      </w:r>
    </w:p>
    <w:p w14:paraId="3D29F368" w14:textId="61189931" w:rsidR="00CF2CBD" w:rsidRPr="00E76282" w:rsidRDefault="00426386" w:rsidP="00CF2CBD">
      <w:pPr>
        <w:spacing w:after="150" w:line="240" w:lineRule="auto"/>
        <w:jc w:val="both"/>
        <w:rPr>
          <w:rFonts w:ascii="Times New Roman" w:hAnsi="Times New Roman"/>
          <w:noProof/>
        </w:rPr>
      </w:pPr>
      <w:r>
        <w:rPr>
          <w:rFonts w:ascii="Times New Roman" w:hAnsi="Times New Roman"/>
          <w:noProof/>
        </w:rPr>
        <w:t xml:space="preserve">Comisia va conduce acest proces, colaborând îndeaproape cu statele membre ale UE și, după caz, cu donatorii din afara UE. De asemenea, Comisia va integra noul model de lanț de aprovizionare în modul în care este gestionat și finanțat propriul său ajutor umanitar, oferind orientări clare și sprijin adecvat partenerilor săi. Prezența UE pe teren va contribui, de asemenea, la promovarea acestor eforturi. </w:t>
      </w:r>
    </w:p>
    <w:tbl>
      <w:tblPr>
        <w:tblStyle w:val="TableGrid"/>
        <w:tblW w:w="0" w:type="auto"/>
        <w:tblLook w:val="04A0" w:firstRow="1" w:lastRow="0" w:firstColumn="1" w:lastColumn="0" w:noHBand="0" w:noVBand="1"/>
      </w:tblPr>
      <w:tblGrid>
        <w:gridCol w:w="9052"/>
      </w:tblGrid>
      <w:tr w:rsidR="004E59C8" w:rsidRPr="00970492" w14:paraId="2F009B4B" w14:textId="77777777" w:rsidTr="00A15D12">
        <w:trPr>
          <w:trHeight w:val="300"/>
        </w:trPr>
        <w:tc>
          <w:tcPr>
            <w:tcW w:w="90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3020AF0" w14:textId="50F0DD23" w:rsidR="004E59C8" w:rsidRPr="00720DD9" w:rsidRDefault="004E59C8" w:rsidP="00EF1471">
            <w:pPr>
              <w:jc w:val="both"/>
              <w:rPr>
                <w:rFonts w:ascii="Times New Roman" w:hAnsi="Times New Roman"/>
                <w:b/>
                <w:noProof/>
                <w:color w:val="000000" w:themeColor="text1"/>
                <w:sz w:val="24"/>
                <w:szCs w:val="24"/>
              </w:rPr>
            </w:pPr>
            <w:r>
              <w:rPr>
                <w:rFonts w:ascii="Times New Roman" w:hAnsi="Times New Roman"/>
                <w:b/>
                <w:noProof/>
                <w:sz w:val="24"/>
              </w:rPr>
              <w:t>Acțiuni-cheie</w:t>
            </w:r>
          </w:p>
          <w:p w14:paraId="306A8323" w14:textId="77777777" w:rsidR="004E59C8" w:rsidRPr="006346F7" w:rsidRDefault="004E59C8" w:rsidP="00EF1471">
            <w:pPr>
              <w:jc w:val="both"/>
              <w:rPr>
                <w:rFonts w:ascii="Times New Roman" w:hAnsi="Times New Roman"/>
                <w:noProof/>
                <w:sz w:val="24"/>
                <w:szCs w:val="24"/>
                <w:lang w:val="fr-FR"/>
              </w:rPr>
            </w:pPr>
          </w:p>
          <w:p w14:paraId="0135A990" w14:textId="1F5D1CBC" w:rsidR="004E59C8" w:rsidRPr="00720DD9" w:rsidRDefault="004E59C8" w:rsidP="00EF1471">
            <w:pPr>
              <w:jc w:val="both"/>
              <w:rPr>
                <w:rFonts w:ascii="Times New Roman" w:hAnsi="Times New Roman"/>
                <w:noProof/>
                <w:color w:val="000000" w:themeColor="text1"/>
                <w:sz w:val="24"/>
                <w:szCs w:val="24"/>
              </w:rPr>
            </w:pPr>
            <w:r>
              <w:rPr>
                <w:rFonts w:ascii="Times New Roman" w:hAnsi="Times New Roman"/>
                <w:noProof/>
                <w:sz w:val="24"/>
              </w:rPr>
              <w:t>Comisia va întreprinde următoarele acțiuni:</w:t>
            </w:r>
          </w:p>
          <w:p w14:paraId="02B6B69C" w14:textId="737BE463" w:rsidR="004E59C8" w:rsidRPr="00720DD9" w:rsidRDefault="007D3A65" w:rsidP="00321376">
            <w:pPr>
              <w:pStyle w:val="ListParagraph"/>
              <w:numPr>
                <w:ilvl w:val="0"/>
                <w:numId w:val="8"/>
              </w:numPr>
              <w:ind w:left="360"/>
              <w:jc w:val="both"/>
              <w:rPr>
                <w:rFonts w:ascii="Times New Roman" w:hAnsi="Times New Roman"/>
                <w:noProof/>
                <w:color w:val="000000" w:themeColor="text1"/>
                <w:sz w:val="24"/>
                <w:szCs w:val="24"/>
              </w:rPr>
            </w:pPr>
            <w:r>
              <w:rPr>
                <w:rFonts w:ascii="Times New Roman" w:hAnsi="Times New Roman"/>
                <w:noProof/>
                <w:sz w:val="24"/>
              </w:rPr>
              <w:t xml:space="preserve">lansarea unei </w:t>
            </w:r>
            <w:r>
              <w:rPr>
                <w:rFonts w:ascii="Times New Roman" w:hAnsi="Times New Roman"/>
                <w:b/>
                <w:noProof/>
                <w:sz w:val="24"/>
              </w:rPr>
              <w:t>Carte a lanțului de aprovizionare umanitar</w:t>
            </w:r>
            <w:r>
              <w:rPr>
                <w:rFonts w:ascii="Times New Roman" w:hAnsi="Times New Roman"/>
                <w:noProof/>
                <w:sz w:val="24"/>
              </w:rPr>
              <w:t xml:space="preserve"> – un cadru voluntar, multipartit și colaborativ – deschisă spre semnare părților interesate din domeniul umanitar, inclusiv donatorilor, pentru a accelera punerea în aplicare a reformei. Carta va stabili angajamente specifice și răspunderea colectivă și va fi sprijinită de o platformă care va acționa ca secretariat tehnic și centru de coordonare;</w:t>
            </w:r>
          </w:p>
          <w:p w14:paraId="5245A4F2" w14:textId="6F090B02" w:rsidR="00687FDD" w:rsidRPr="00720DD9" w:rsidRDefault="007D3A65" w:rsidP="00321376">
            <w:pPr>
              <w:pStyle w:val="ListParagraph"/>
              <w:numPr>
                <w:ilvl w:val="0"/>
                <w:numId w:val="8"/>
              </w:numPr>
              <w:ind w:left="360"/>
              <w:jc w:val="both"/>
              <w:rPr>
                <w:rFonts w:ascii="Times New Roman" w:hAnsi="Times New Roman"/>
                <w:noProof/>
                <w:color w:val="000000" w:themeColor="text1"/>
                <w:sz w:val="24"/>
                <w:szCs w:val="24"/>
              </w:rPr>
            </w:pPr>
            <w:r>
              <w:rPr>
                <w:rFonts w:ascii="Times New Roman" w:hAnsi="Times New Roman"/>
                <w:noProof/>
                <w:sz w:val="24"/>
              </w:rPr>
              <w:t xml:space="preserve">alocarea de </w:t>
            </w:r>
            <w:r>
              <w:rPr>
                <w:rFonts w:ascii="Times New Roman" w:hAnsi="Times New Roman"/>
                <w:b/>
                <w:bCs/>
                <w:noProof/>
                <w:sz w:val="24"/>
              </w:rPr>
              <w:t>resurse financiare</w:t>
            </w:r>
            <w:r>
              <w:rPr>
                <w:rFonts w:ascii="Times New Roman" w:hAnsi="Times New Roman"/>
                <w:noProof/>
                <w:sz w:val="24"/>
              </w:rPr>
              <w:t xml:space="preserve"> adecvate pentru a sprijini punerea în aplicare a reformei lanțului de aprovizionare, inclusiv activitatea HLGSC, prin stabilirea treptată a condițiilor de finanțare pentru selectarea proiectelor. Acest lucru va ajuta organizațiile umanitare să funcționeze mai eficient, deblocând resurse pentru a ajuta persoanele aflate în dificultate. Va fi promovată</w:t>
            </w:r>
            <w:r>
              <w:rPr>
                <w:rFonts w:ascii="Times New Roman" w:hAnsi="Times New Roman"/>
                <w:b/>
                <w:noProof/>
                <w:sz w:val="24"/>
              </w:rPr>
              <w:t xml:space="preserve"> punerea în aplicare pe teren</w:t>
            </w:r>
            <w:r>
              <w:rPr>
                <w:rFonts w:ascii="Times New Roman" w:hAnsi="Times New Roman"/>
                <w:noProof/>
                <w:sz w:val="24"/>
              </w:rPr>
              <w:t>, începând cu țările-pilot;</w:t>
            </w:r>
          </w:p>
          <w:p w14:paraId="3688221D" w14:textId="108E22AF" w:rsidR="004E59C8" w:rsidRPr="00720DD9" w:rsidRDefault="007D3A65" w:rsidP="00321376">
            <w:pPr>
              <w:pStyle w:val="ListParagraph"/>
              <w:numPr>
                <w:ilvl w:val="0"/>
                <w:numId w:val="8"/>
              </w:numPr>
              <w:ind w:left="360"/>
              <w:jc w:val="both"/>
              <w:rPr>
                <w:rFonts w:ascii="Times New Roman" w:hAnsi="Times New Roman"/>
                <w:noProof/>
                <w:color w:val="000000" w:themeColor="text1"/>
                <w:sz w:val="24"/>
                <w:szCs w:val="24"/>
              </w:rPr>
            </w:pPr>
            <w:r>
              <w:rPr>
                <w:rFonts w:ascii="Times New Roman" w:hAnsi="Times New Roman"/>
                <w:noProof/>
                <w:sz w:val="24"/>
              </w:rPr>
              <w:t xml:space="preserve">instituirea unui </w:t>
            </w:r>
            <w:r>
              <w:rPr>
                <w:rFonts w:ascii="Times New Roman" w:hAnsi="Times New Roman"/>
                <w:b/>
                <w:noProof/>
                <w:sz w:val="24"/>
              </w:rPr>
              <w:t>cadru de recunoaștere</w:t>
            </w:r>
            <w:r>
              <w:rPr>
                <w:rFonts w:ascii="Times New Roman" w:hAnsi="Times New Roman"/>
                <w:noProof/>
                <w:sz w:val="24"/>
              </w:rPr>
              <w:t xml:space="preserve"> cu criterii clare de eligibilitate și standarde minime pentru </w:t>
            </w:r>
            <w:r>
              <w:rPr>
                <w:rFonts w:ascii="Times New Roman" w:hAnsi="Times New Roman"/>
                <w:b/>
                <w:noProof/>
                <w:sz w:val="24"/>
              </w:rPr>
              <w:t>centrele de achiziții pentru acțiuni umanitare</w:t>
            </w:r>
            <w:r>
              <w:rPr>
                <w:rFonts w:ascii="Times New Roman" w:hAnsi="Times New Roman"/>
                <w:noProof/>
                <w:sz w:val="24"/>
              </w:rPr>
              <w:t>, pe care partenerii și statele membre ale UE să îl poată utiliza pentru achiziții mai simple și mai eficiente;</w:t>
            </w:r>
          </w:p>
          <w:p w14:paraId="1F9194A7" w14:textId="256AA6E4" w:rsidR="004E59C8" w:rsidRPr="00970492" w:rsidRDefault="007D3A65" w:rsidP="00321376">
            <w:pPr>
              <w:pStyle w:val="ListParagraph"/>
              <w:numPr>
                <w:ilvl w:val="0"/>
                <w:numId w:val="8"/>
              </w:numPr>
              <w:ind w:left="360"/>
              <w:jc w:val="both"/>
              <w:rPr>
                <w:rFonts w:ascii="Times New Roman" w:eastAsia="Times New Roman" w:hAnsi="Times New Roman" w:cs="Times New Roman"/>
                <w:b/>
                <w:bCs/>
                <w:noProof/>
                <w:color w:val="000000" w:themeColor="text1"/>
                <w:sz w:val="24"/>
                <w:szCs w:val="24"/>
              </w:rPr>
            </w:pPr>
            <w:r>
              <w:rPr>
                <w:rFonts w:ascii="Times New Roman" w:hAnsi="Times New Roman"/>
                <w:noProof/>
                <w:sz w:val="24"/>
              </w:rPr>
              <w:t xml:space="preserve">stabilirea unei strânse coordonări cu statele membre ale UE și cu donatorii din afara UE pentru a promova </w:t>
            </w:r>
            <w:r>
              <w:rPr>
                <w:rFonts w:ascii="Times New Roman" w:hAnsi="Times New Roman"/>
                <w:b/>
                <w:noProof/>
                <w:sz w:val="24"/>
              </w:rPr>
              <w:t>simplificarea administrativă, sinergiile operaționale</w:t>
            </w:r>
            <w:r>
              <w:rPr>
                <w:rFonts w:ascii="Times New Roman" w:hAnsi="Times New Roman"/>
                <w:noProof/>
                <w:sz w:val="24"/>
              </w:rPr>
              <w:t xml:space="preserve">, precum și </w:t>
            </w:r>
            <w:r>
              <w:rPr>
                <w:rFonts w:ascii="Times New Roman" w:hAnsi="Times New Roman"/>
                <w:b/>
                <w:noProof/>
                <w:sz w:val="24"/>
              </w:rPr>
              <w:t>alinierea priorităților</w:t>
            </w:r>
            <w:r w:rsidR="006346F7">
              <w:rPr>
                <w:rFonts w:ascii="Times New Roman" w:hAnsi="Times New Roman"/>
                <w:b/>
                <w:noProof/>
                <w:sz w:val="24"/>
              </w:rPr>
              <w:t xml:space="preserve"> </w:t>
            </w:r>
            <w:r>
              <w:rPr>
                <w:rFonts w:ascii="Times New Roman" w:hAnsi="Times New Roman"/>
                <w:b/>
                <w:noProof/>
                <w:sz w:val="24"/>
              </w:rPr>
              <w:t>și a modalităților de finanțare.</w:t>
            </w:r>
          </w:p>
        </w:tc>
      </w:tr>
    </w:tbl>
    <w:p w14:paraId="4E2D369D" w14:textId="77777777" w:rsidR="00A15D12" w:rsidRPr="006346F7" w:rsidRDefault="00A15D12" w:rsidP="00456B58">
      <w:pPr>
        <w:spacing w:line="240" w:lineRule="auto"/>
        <w:rPr>
          <w:rFonts w:ascii="Times New Roman" w:hAnsi="Times New Roman" w:cs="Times New Roman"/>
          <w:b/>
          <w:bCs/>
          <w:i/>
          <w:iCs/>
          <w:noProof/>
        </w:rPr>
      </w:pPr>
    </w:p>
    <w:p w14:paraId="0D72E1C9" w14:textId="1CBDD80D" w:rsidR="00456B58" w:rsidRPr="00970492" w:rsidRDefault="00456B58" w:rsidP="00456B58">
      <w:pPr>
        <w:spacing w:line="240" w:lineRule="auto"/>
        <w:rPr>
          <w:rFonts w:ascii="Times New Roman" w:hAnsi="Times New Roman" w:cs="Times New Roman"/>
          <w:b/>
          <w:bCs/>
          <w:i/>
          <w:iCs/>
          <w:noProof/>
        </w:rPr>
      </w:pPr>
      <w:r>
        <w:rPr>
          <w:rFonts w:ascii="Times New Roman" w:hAnsi="Times New Roman"/>
          <w:b/>
          <w:i/>
          <w:noProof/>
        </w:rPr>
        <w:t>2.2. Finanțare umanitară transformatoare și simplificare</w:t>
      </w:r>
    </w:p>
    <w:p w14:paraId="12B54B0C" w14:textId="34423A6A"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Într-un moment în care reducerile de fonduri pun la grea încercare actorii umanitari, UE, în calitate de donator umanitar responsabil și angajat, trebuie să contribuie într-un mod care să stimuleze </w:t>
      </w:r>
      <w:r>
        <w:rPr>
          <w:rFonts w:ascii="Times New Roman" w:hAnsi="Times New Roman"/>
          <w:b/>
          <w:noProof/>
        </w:rPr>
        <w:t>eficiența</w:t>
      </w:r>
      <w:r>
        <w:rPr>
          <w:rFonts w:ascii="Times New Roman" w:hAnsi="Times New Roman"/>
          <w:noProof/>
        </w:rPr>
        <w:t xml:space="preserve"> și să reducă </w:t>
      </w:r>
      <w:r>
        <w:rPr>
          <w:rFonts w:ascii="Times New Roman" w:hAnsi="Times New Roman"/>
          <w:b/>
          <w:noProof/>
        </w:rPr>
        <w:t>sarcina administrativ</w:t>
      </w:r>
      <w:r>
        <w:rPr>
          <w:rFonts w:ascii="Times New Roman" w:hAnsi="Times New Roman"/>
          <w:b/>
          <w:bCs/>
          <w:noProof/>
        </w:rPr>
        <w:t>ă</w:t>
      </w:r>
      <w:r>
        <w:rPr>
          <w:rFonts w:ascii="Times New Roman" w:hAnsi="Times New Roman"/>
          <w:noProof/>
        </w:rPr>
        <w:t>. UE va continua să apeleze pe deplin la flexibilitatea oferită de setul său de instrumente de finanțare existent, inclusiv prin utilizarea mecanismelor de influențare a evoluției crizei(</w:t>
      </w:r>
      <w:r>
        <w:rPr>
          <w:rStyle w:val="FootnoteReference"/>
          <w:rFonts w:ascii="Times New Roman" w:hAnsi="Times New Roman" w:cs="Times New Roman"/>
          <w:noProof/>
          <w:lang w:val="en-GB"/>
        </w:rPr>
        <w:footnoteReference w:id="34"/>
      </w:r>
      <w:r>
        <w:rPr>
          <w:rFonts w:ascii="Times New Roman" w:hAnsi="Times New Roman"/>
          <w:noProof/>
        </w:rPr>
        <w:t>) și a parteneriatelor programatice (</w:t>
      </w:r>
      <w:r>
        <w:rPr>
          <w:rStyle w:val="FootnoteReference"/>
          <w:rFonts w:ascii="Times New Roman" w:hAnsi="Times New Roman" w:cs="Times New Roman"/>
          <w:noProof/>
          <w:lang w:val="en-GB"/>
        </w:rPr>
        <w:footnoteReference w:id="35"/>
      </w:r>
      <w:r>
        <w:rPr>
          <w:rFonts w:ascii="Times New Roman" w:hAnsi="Times New Roman"/>
          <w:noProof/>
        </w:rPr>
        <w:t>), dar și prin încurajarea colaborării dintre parteneri și consorții. În plus, finanțarea transformatoare și tipurile de intervenție care încurajează eficiența, astfel cum sunt descrise mai jos, vor fi prioritizate și extinse.</w:t>
      </w:r>
    </w:p>
    <w:p w14:paraId="500CC1B8" w14:textId="433B9822"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Finanțarea furnizată prin intermediul </w:t>
      </w:r>
      <w:r>
        <w:rPr>
          <w:rFonts w:ascii="Times New Roman" w:hAnsi="Times New Roman"/>
          <w:b/>
          <w:bCs/>
          <w:noProof/>
        </w:rPr>
        <w:t>actorilor locali</w:t>
      </w:r>
      <w:r>
        <w:rPr>
          <w:rFonts w:ascii="Times New Roman" w:hAnsi="Times New Roman"/>
          <w:noProof/>
        </w:rPr>
        <w:t xml:space="preserve"> le consolidează capacitatea de acțiune și îmbunătățește promptitudinea, eficiența din punctul de vedere al costurilor, dar și sustenabilitatea răspunsului. Furnizarea de sprijin prin </w:t>
      </w:r>
      <w:r>
        <w:rPr>
          <w:rFonts w:ascii="Times New Roman" w:hAnsi="Times New Roman"/>
          <w:b/>
          <w:bCs/>
          <w:noProof/>
        </w:rPr>
        <w:t>acțiuni anticipative</w:t>
      </w:r>
      <w:r>
        <w:rPr>
          <w:rFonts w:ascii="Times New Roman" w:hAnsi="Times New Roman"/>
          <w:noProof/>
        </w:rPr>
        <w:t xml:space="preserve"> le permite partenerilor să acționeze din timp, ajutând comunitățile expuse riscurilor înainte de un șoc, reducând astfel impactul acestuia, salvând vieți și mijloace de subzistență, sprijinind în același timp reziliența climatică și de mediu. </w:t>
      </w:r>
    </w:p>
    <w:p w14:paraId="14709470" w14:textId="776D7DE6" w:rsidR="00456B58" w:rsidRPr="00970492" w:rsidRDefault="00E479F7" w:rsidP="00456B58">
      <w:pPr>
        <w:spacing w:line="240" w:lineRule="auto"/>
        <w:jc w:val="both"/>
        <w:rPr>
          <w:rFonts w:ascii="Times New Roman" w:hAnsi="Times New Roman" w:cs="Times New Roman"/>
          <w:noProof/>
        </w:rPr>
      </w:pPr>
      <w:r>
        <w:rPr>
          <w:rFonts w:ascii="Times New Roman" w:hAnsi="Times New Roman"/>
          <w:b/>
          <w:bCs/>
          <w:noProof/>
        </w:rPr>
        <w:t>Asistența în numerar</w:t>
      </w:r>
      <w:r>
        <w:rPr>
          <w:rFonts w:ascii="Times New Roman" w:hAnsi="Times New Roman"/>
          <w:noProof/>
        </w:rPr>
        <w:t xml:space="preserve"> s-a dovedit în mod constant a prezenta un raport cost-eficiență mult mai bun decât asistența în natură, deoarece ajunge la un număr mai mare de persoane cu aceeași valoare a finanțării, răspunzând în același timp mai multor nevoi sectoriale. La rândul lor, persoanele afectate preferă asistența în numerar, deoarece această strategie le ia în considerare capacitatea de acțiune, libertatea de alegere și demnitatea. Numerarul sprijină și economia locală, contribuind la consolidarea rezilienței pe termen lung. UE va continua să acorde prioritate asistenței în numerar cu scopuri multiple și să pledeze pentru utilizarea acesteia la nivel de sistem. </w:t>
      </w:r>
    </w:p>
    <w:p w14:paraId="3DFB4DBA" w14:textId="6732C519"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Trecerea de la finanțarea anuală la </w:t>
      </w:r>
      <w:r>
        <w:rPr>
          <w:rFonts w:ascii="Times New Roman" w:hAnsi="Times New Roman"/>
          <w:b/>
          <w:bCs/>
          <w:noProof/>
        </w:rPr>
        <w:t>contracte multianuale</w:t>
      </w:r>
      <w:r>
        <w:rPr>
          <w:rFonts w:ascii="Times New Roman" w:hAnsi="Times New Roman"/>
          <w:noProof/>
        </w:rPr>
        <w:t xml:space="preserve"> îmbunătățește previzibilitatea răspunsului, aduce câștiguri în materie de eficiență și economii de scară, oferind posibilitatea unei colaborări mai strategice cu organizațiile partenere. De asemenea, aceasta contribuie la corelarea cadrelor temporale umanitare cu intervențiile pentru dezvoltare și pace și sprijină tranzițiile către răspunsuri mai sistemice și, în final, ieșirea din ajutorul umanitar. În cazul crizelor prelungite, finanțarea multianuală ar trebui să devină implicită. </w:t>
      </w:r>
    </w:p>
    <w:p w14:paraId="6CE1A585" w14:textId="00E0BFF6" w:rsidR="00456B58" w:rsidRPr="00970492" w:rsidRDefault="00456B58" w:rsidP="00456B58">
      <w:pPr>
        <w:spacing w:line="240" w:lineRule="auto"/>
        <w:jc w:val="both"/>
        <w:rPr>
          <w:rFonts w:ascii="Times New Roman" w:hAnsi="Times New Roman" w:cs="Times New Roman"/>
          <w:noProof/>
        </w:rPr>
      </w:pPr>
      <w:r>
        <w:rPr>
          <w:rFonts w:ascii="Times New Roman" w:hAnsi="Times New Roman"/>
          <w:b/>
          <w:noProof/>
        </w:rPr>
        <w:t>Finanțarea fără alocare precisă sau cu alocare flexibilă</w:t>
      </w:r>
      <w:r>
        <w:rPr>
          <w:rFonts w:ascii="Times New Roman" w:hAnsi="Times New Roman"/>
          <w:noProof/>
        </w:rPr>
        <w:t xml:space="preserve"> permite răspunsuri mai flexibile și oferă partenerilor opțiuni mai accesibile pentru a se adapta la circumstanțele în continuă schimbare. Pe lângă extinderea anvergurii acțiunilor desfășurate cu donatori multipli sau a acțiunilor regionale, UE va lua în considerare și sporirea contribuțiilor la diverse fonduri puse în comun, precum fondurile comune la nivel de țară (CBPF) sau Fondul de urgență pentru răspuns în caz de dezastre (DREF), în cazul în care acestea oferă un avantaj comparativ. Respectarea principiilor umanitare, parametrii de performanță bine definiți, guvernanța incluzivă, supravegherea, controlul și responsabilitatea bine consolidate, participarea la eforturile de localizare și vizibilitatea UE se vor aplica, de asemenea, contribuțiilor la aceste fonduri.</w:t>
      </w:r>
    </w:p>
    <w:p w14:paraId="2797CE10" w14:textId="1A35931C"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 xml:space="preserve">Pentru a reduce sarcina administrativă, UE va analiza modalități de </w:t>
      </w:r>
      <w:r>
        <w:rPr>
          <w:rFonts w:ascii="Times New Roman" w:hAnsi="Times New Roman"/>
          <w:b/>
          <w:bCs/>
          <w:noProof/>
        </w:rPr>
        <w:t>simplificare a cerințelor de raportare</w:t>
      </w:r>
      <w:r>
        <w:rPr>
          <w:rFonts w:ascii="Times New Roman" w:hAnsi="Times New Roman"/>
          <w:noProof/>
        </w:rPr>
        <w:t xml:space="preserve"> pentru partenerii săi, în conformitate cu angajamentele internaționale și cu agenda de simplificare a UE. Aceasta include modernizarea gestionării granturilor de către Comisie prin instituirea unor sisteme digitale interoperabile. Această tranziție va spori transparența și va îmbunătăți trasabilitatea fondurilor UE, protejând în același timp flexibilitatea operațională.</w:t>
      </w:r>
    </w:p>
    <w:tbl>
      <w:tblPr>
        <w:tblStyle w:val="TableGrid"/>
        <w:tblW w:w="0" w:type="auto"/>
        <w:tblLook w:val="04A0" w:firstRow="1" w:lastRow="0" w:firstColumn="1" w:lastColumn="0" w:noHBand="0" w:noVBand="1"/>
      </w:tblPr>
      <w:tblGrid>
        <w:gridCol w:w="9062"/>
      </w:tblGrid>
      <w:tr w:rsidR="00456B58" w:rsidRPr="00970492" w14:paraId="2BC4AB8B" w14:textId="77777777" w:rsidTr="46C62D5D">
        <w:tc>
          <w:tcPr>
            <w:tcW w:w="9288" w:type="dxa"/>
            <w:shd w:val="clear" w:color="auto" w:fill="F2F2F2" w:themeFill="background1" w:themeFillShade="F2"/>
          </w:tcPr>
          <w:p w14:paraId="05C90146" w14:textId="3049E2A2" w:rsidR="00456B58" w:rsidRPr="00FD51E4" w:rsidRDefault="00456B58" w:rsidP="004942CF">
            <w:pPr>
              <w:spacing w:after="240"/>
              <w:jc w:val="both"/>
              <w:rPr>
                <w:rFonts w:ascii="Times New Roman" w:hAnsi="Times New Roman" w:cs="Times New Roman"/>
                <w:b/>
                <w:bCs/>
                <w:noProof/>
                <w:sz w:val="24"/>
                <w:szCs w:val="24"/>
              </w:rPr>
            </w:pPr>
            <w:r>
              <w:rPr>
                <w:rFonts w:ascii="Times New Roman" w:hAnsi="Times New Roman"/>
                <w:b/>
                <w:noProof/>
                <w:sz w:val="24"/>
              </w:rPr>
              <w:t>Acțiuni-cheie</w:t>
            </w:r>
          </w:p>
          <w:p w14:paraId="0B429C85" w14:textId="73F127D5" w:rsidR="00456B58" w:rsidRPr="00FD51E4" w:rsidRDefault="00456B58" w:rsidP="00500FD3">
            <w:pPr>
              <w:pStyle w:val="NoSpacing"/>
              <w:rPr>
                <w:rFonts w:ascii="Times New Roman" w:hAnsi="Times New Roman" w:cs="Times New Roman"/>
                <w:noProof/>
                <w:sz w:val="24"/>
                <w:szCs w:val="24"/>
              </w:rPr>
            </w:pPr>
            <w:r>
              <w:rPr>
                <w:rFonts w:ascii="Times New Roman" w:hAnsi="Times New Roman"/>
                <w:noProof/>
                <w:sz w:val="24"/>
              </w:rPr>
              <w:t>Comisia va întreprinde următoarele acțiuni:</w:t>
            </w:r>
          </w:p>
          <w:p w14:paraId="302C1B9C" w14:textId="1124D8A9" w:rsidR="00B27C8F" w:rsidRPr="00FD51E4" w:rsidRDefault="007D3A65" w:rsidP="00321376">
            <w:pPr>
              <w:pStyle w:val="NoSpacing"/>
              <w:numPr>
                <w:ilvl w:val="0"/>
                <w:numId w:val="18"/>
              </w:numPr>
              <w:jc w:val="both"/>
              <w:rPr>
                <w:rFonts w:ascii="Times New Roman" w:hAnsi="Times New Roman" w:cs="Times New Roman"/>
                <w:noProof/>
                <w:sz w:val="24"/>
                <w:szCs w:val="24"/>
              </w:rPr>
            </w:pPr>
            <w:r>
              <w:rPr>
                <w:rFonts w:ascii="Times New Roman" w:hAnsi="Times New Roman"/>
                <w:noProof/>
                <w:sz w:val="24"/>
              </w:rPr>
              <w:t xml:space="preserve">extinderea utilizării </w:t>
            </w:r>
            <w:r>
              <w:rPr>
                <w:rFonts w:ascii="Times New Roman" w:hAnsi="Times New Roman"/>
                <w:b/>
                <w:bCs/>
                <w:noProof/>
                <w:sz w:val="24"/>
              </w:rPr>
              <w:t>modalităților transformatoare</w:t>
            </w:r>
            <w:r>
              <w:rPr>
                <w:rFonts w:ascii="Times New Roman" w:hAnsi="Times New Roman"/>
                <w:noProof/>
                <w:sz w:val="24"/>
              </w:rPr>
              <w:t xml:space="preserve"> (finanțare multianuală flexibilă și previzibilă, asistență în numerar, o gamă largă de fonduri comune, acțiuni anticipative și sprijin pentru actorii locali) pentru a constitui </w:t>
            </w:r>
            <w:r>
              <w:rPr>
                <w:rFonts w:ascii="Times New Roman" w:hAnsi="Times New Roman"/>
                <w:b/>
                <w:bCs/>
                <w:noProof/>
                <w:sz w:val="24"/>
              </w:rPr>
              <w:t>cel puțin două treimi din finanțarea sa umanitară</w:t>
            </w:r>
            <w:r>
              <w:rPr>
                <w:rFonts w:ascii="Times New Roman" w:hAnsi="Times New Roman"/>
                <w:noProof/>
                <w:sz w:val="24"/>
              </w:rPr>
              <w:t>.</w:t>
            </w:r>
          </w:p>
          <w:p w14:paraId="3794E8B6" w14:textId="722D75CE" w:rsidR="00456B58" w:rsidRPr="00FD51E4" w:rsidRDefault="007D3A65" w:rsidP="00321376">
            <w:pPr>
              <w:pStyle w:val="ListParagraph"/>
              <w:numPr>
                <w:ilvl w:val="0"/>
                <w:numId w:val="17"/>
              </w:numPr>
              <w:spacing w:after="240"/>
              <w:jc w:val="both"/>
              <w:rPr>
                <w:rFonts w:ascii="Times New Roman" w:hAnsi="Times New Roman" w:cs="Times New Roman"/>
                <w:noProof/>
                <w:sz w:val="24"/>
                <w:szCs w:val="24"/>
              </w:rPr>
            </w:pPr>
            <w:r>
              <w:rPr>
                <w:rFonts w:ascii="Times New Roman" w:hAnsi="Times New Roman"/>
                <w:noProof/>
                <w:sz w:val="24"/>
              </w:rPr>
              <w:t xml:space="preserve">mărirea substanțială a ponderii </w:t>
            </w:r>
            <w:r>
              <w:rPr>
                <w:rFonts w:ascii="Times New Roman" w:hAnsi="Times New Roman"/>
                <w:b/>
                <w:bCs/>
                <w:noProof/>
                <w:sz w:val="24"/>
              </w:rPr>
              <w:t>finanțării multianuale</w:t>
            </w:r>
            <w:r>
              <w:rPr>
                <w:rFonts w:ascii="Times New Roman" w:hAnsi="Times New Roman"/>
                <w:noProof/>
                <w:sz w:val="24"/>
              </w:rPr>
              <w:t xml:space="preserve"> în cazul crizelor prelungite;</w:t>
            </w:r>
          </w:p>
          <w:p w14:paraId="0105B9ED" w14:textId="7B83A450" w:rsidR="004F147D" w:rsidRPr="00FD51E4" w:rsidRDefault="007D3A65" w:rsidP="00321376">
            <w:pPr>
              <w:pStyle w:val="ListParagraph"/>
              <w:numPr>
                <w:ilvl w:val="0"/>
                <w:numId w:val="17"/>
              </w:numPr>
              <w:spacing w:after="240"/>
              <w:jc w:val="both"/>
              <w:rPr>
                <w:rFonts w:ascii="Times New Roman" w:hAnsi="Times New Roman" w:cs="Times New Roman"/>
                <w:noProof/>
                <w:sz w:val="24"/>
                <w:szCs w:val="24"/>
              </w:rPr>
            </w:pPr>
            <w:r>
              <w:rPr>
                <w:rFonts w:ascii="Times New Roman" w:hAnsi="Times New Roman"/>
                <w:noProof/>
                <w:sz w:val="24"/>
              </w:rPr>
              <w:t xml:space="preserve">promovarea unei abordări de tip „Echipa Europa” în ceea ce privește </w:t>
            </w:r>
            <w:r>
              <w:rPr>
                <w:rFonts w:ascii="Times New Roman" w:hAnsi="Times New Roman"/>
                <w:b/>
                <w:bCs/>
                <w:noProof/>
                <w:sz w:val="24"/>
              </w:rPr>
              <w:t>fondurile comune la nivel de țară</w:t>
            </w:r>
            <w:r>
              <w:rPr>
                <w:rFonts w:ascii="Times New Roman" w:hAnsi="Times New Roman"/>
                <w:noProof/>
                <w:sz w:val="24"/>
              </w:rPr>
              <w:t>, consolidând coordonarea UE în cadrul forumurilor de guvernanță ale CBPF pentru un impact colectiv mai mare al UE</w:t>
            </w:r>
            <w:r>
              <w:rPr>
                <w:noProof/>
                <w:sz w:val="24"/>
              </w:rPr>
              <w:t>;</w:t>
            </w:r>
          </w:p>
          <w:p w14:paraId="66B058AB" w14:textId="2DE3DE24" w:rsidR="00456B58" w:rsidRPr="00FD51E4" w:rsidRDefault="007D3A65" w:rsidP="00321376">
            <w:pPr>
              <w:pStyle w:val="ListParagraph"/>
              <w:numPr>
                <w:ilvl w:val="0"/>
                <w:numId w:val="15"/>
              </w:numPr>
              <w:spacing w:after="240"/>
              <w:jc w:val="both"/>
              <w:rPr>
                <w:rFonts w:ascii="Times New Roman" w:hAnsi="Times New Roman" w:cs="Times New Roman"/>
                <w:noProof/>
                <w:sz w:val="24"/>
                <w:szCs w:val="24"/>
              </w:rPr>
            </w:pPr>
            <w:r>
              <w:rPr>
                <w:rFonts w:ascii="Times New Roman" w:hAnsi="Times New Roman"/>
                <w:noProof/>
                <w:sz w:val="24"/>
              </w:rPr>
              <w:t xml:space="preserve">punerea în aplicare, împreună cu statele membre interesate, a unei </w:t>
            </w:r>
            <w:r>
              <w:rPr>
                <w:rFonts w:ascii="Times New Roman" w:hAnsi="Times New Roman"/>
                <w:b/>
                <w:bCs/>
                <w:noProof/>
                <w:sz w:val="24"/>
              </w:rPr>
              <w:t>abordări comune a donatorilor în ceea ce privește asistența în numerar</w:t>
            </w:r>
            <w:r>
              <w:rPr>
                <w:rFonts w:ascii="Times New Roman" w:hAnsi="Times New Roman"/>
                <w:noProof/>
                <w:sz w:val="24"/>
              </w:rPr>
              <w:t xml:space="preserve"> (</w:t>
            </w:r>
            <w:r>
              <w:rPr>
                <w:rStyle w:val="FootnoteReference"/>
                <w:rFonts w:ascii="Times New Roman" w:hAnsi="Times New Roman"/>
                <w:noProof/>
                <w:sz w:val="24"/>
                <w:szCs w:val="24"/>
                <w:lang w:val="en-GB"/>
              </w:rPr>
              <w:footnoteReference w:id="36"/>
            </w:r>
            <w:r>
              <w:rPr>
                <w:rFonts w:ascii="Times New Roman" w:hAnsi="Times New Roman"/>
                <w:noProof/>
                <w:sz w:val="24"/>
              </w:rPr>
              <w:t>)și susținerea într-un mod mai ferm a asistenței în numerar ca modalitate implicită de răspuns umanitar;</w:t>
            </w:r>
          </w:p>
          <w:p w14:paraId="16468E10" w14:textId="19CDD15D" w:rsidR="00456B58" w:rsidRPr="00970492" w:rsidRDefault="007D3A65" w:rsidP="00321376">
            <w:pPr>
              <w:pStyle w:val="ListParagraph"/>
              <w:numPr>
                <w:ilvl w:val="0"/>
                <w:numId w:val="15"/>
              </w:numPr>
              <w:spacing w:after="240"/>
              <w:jc w:val="both"/>
              <w:rPr>
                <w:rFonts w:ascii="Times New Roman" w:hAnsi="Times New Roman" w:cs="Times New Roman"/>
                <w:noProof/>
                <w:sz w:val="24"/>
                <w:szCs w:val="24"/>
              </w:rPr>
            </w:pPr>
            <w:r>
              <w:rPr>
                <w:rFonts w:ascii="Times New Roman" w:hAnsi="Times New Roman"/>
                <w:noProof/>
                <w:sz w:val="24"/>
              </w:rPr>
              <w:t xml:space="preserve">simplificarea într-o măsură și mai mare a </w:t>
            </w:r>
            <w:r>
              <w:rPr>
                <w:rFonts w:ascii="Times New Roman" w:hAnsi="Times New Roman"/>
                <w:b/>
                <w:bCs/>
                <w:noProof/>
                <w:sz w:val="24"/>
              </w:rPr>
              <w:t>sistemului de gestionare a granturilor.</w:t>
            </w:r>
          </w:p>
        </w:tc>
      </w:tr>
    </w:tbl>
    <w:p w14:paraId="32F5C206" w14:textId="77777777" w:rsidR="00456B58" w:rsidRPr="006346F7" w:rsidRDefault="00456B58" w:rsidP="00456B58">
      <w:pPr>
        <w:spacing w:line="240" w:lineRule="auto"/>
        <w:jc w:val="both"/>
        <w:rPr>
          <w:rFonts w:ascii="Times New Roman" w:hAnsi="Times New Roman" w:cs="Times New Roman"/>
          <w:noProof/>
          <w:lang w:val="fr-FR"/>
        </w:rPr>
      </w:pPr>
    </w:p>
    <w:p w14:paraId="19212172" w14:textId="77777777" w:rsidR="00456B58" w:rsidRPr="00970492" w:rsidRDefault="00456B58" w:rsidP="00456B58">
      <w:pPr>
        <w:spacing w:line="240" w:lineRule="auto"/>
        <w:jc w:val="both"/>
        <w:rPr>
          <w:rFonts w:ascii="Times New Roman" w:hAnsi="Times New Roman" w:cs="Times New Roman"/>
          <w:b/>
          <w:bCs/>
          <w:i/>
          <w:iCs/>
          <w:noProof/>
        </w:rPr>
      </w:pPr>
      <w:r>
        <w:rPr>
          <w:rFonts w:ascii="Times New Roman" w:hAnsi="Times New Roman"/>
          <w:b/>
          <w:i/>
          <w:noProof/>
        </w:rPr>
        <w:t>2.3. Facilitarea acordării de ajutor umanitar bazat pe principii prin inițiative de colaborare în materie de date</w:t>
      </w:r>
    </w:p>
    <w:p w14:paraId="270CCDE9" w14:textId="0747A6C7" w:rsidR="00456B58" w:rsidRPr="00970492" w:rsidRDefault="00AC7A15" w:rsidP="00456B58">
      <w:pPr>
        <w:spacing w:line="240" w:lineRule="auto"/>
        <w:jc w:val="both"/>
        <w:rPr>
          <w:rFonts w:ascii="Times New Roman" w:hAnsi="Times New Roman" w:cs="Times New Roman"/>
          <w:noProof/>
        </w:rPr>
      </w:pPr>
      <w:r>
        <w:rPr>
          <w:rFonts w:ascii="Times New Roman" w:hAnsi="Times New Roman"/>
          <w:b/>
          <w:bCs/>
          <w:noProof/>
        </w:rPr>
        <w:t>Serviciile colective care permit furnizarea de ajutor umanitar</w:t>
      </w:r>
      <w:r>
        <w:rPr>
          <w:rFonts w:ascii="Times New Roman" w:hAnsi="Times New Roman"/>
          <w:noProof/>
        </w:rPr>
        <w:t xml:space="preserve"> sunt esențiale pentru a asigura un sprijin eficace, coordonat și de înaltă calitate, bazat pe date concrete. În mod tradițional, UE a sprijinit multe dintre inițiativele la nivel de sistem care promovează această activitate, precum instrumentele INFORM(</w:t>
      </w:r>
      <w:r>
        <w:rPr>
          <w:rStyle w:val="FootnoteReference"/>
          <w:rFonts w:ascii="Times New Roman" w:hAnsi="Times New Roman" w:cs="Times New Roman"/>
          <w:noProof/>
          <w:lang w:val="en-GB"/>
        </w:rPr>
        <w:footnoteReference w:id="37"/>
      </w:r>
      <w:r>
        <w:rPr>
          <w:rFonts w:ascii="Times New Roman" w:hAnsi="Times New Roman"/>
          <w:noProof/>
        </w:rPr>
        <w:t>) . Răspunzând reducerilor drastice, care au amenințat capacitatea acestor servicii de a continua să funcționeze, UE și-a majorat investițiile în acest domeniu în 2025 cu 50 %, majorându-le la 150 de milioane EUR în total. UE își va menține angajamentul de a finanța servicii de facilitare, inclusiv în materie de date și dovezi, securitate și acces(</w:t>
      </w:r>
      <w:r>
        <w:rPr>
          <w:rStyle w:val="FootnoteReference"/>
          <w:rFonts w:ascii="Times New Roman" w:hAnsi="Times New Roman" w:cs="Times New Roman"/>
          <w:noProof/>
          <w:lang w:val="en-GB"/>
        </w:rPr>
        <w:footnoteReference w:id="38"/>
      </w:r>
      <w:r>
        <w:rPr>
          <w:rFonts w:ascii="Times New Roman" w:hAnsi="Times New Roman"/>
          <w:noProof/>
        </w:rPr>
        <w:t>) , logistică și coordonare.</w:t>
      </w:r>
    </w:p>
    <w:p w14:paraId="31441FAA" w14:textId="202E74EB" w:rsidR="00456B58" w:rsidRPr="00970492" w:rsidRDefault="00456B58" w:rsidP="00456B58">
      <w:pPr>
        <w:spacing w:line="240" w:lineRule="auto"/>
        <w:jc w:val="both"/>
        <w:rPr>
          <w:rFonts w:ascii="Times New Roman" w:hAnsi="Times New Roman" w:cs="Times New Roman"/>
          <w:noProof/>
        </w:rPr>
      </w:pPr>
      <w:r>
        <w:rPr>
          <w:rFonts w:ascii="Times New Roman" w:hAnsi="Times New Roman"/>
          <w:b/>
          <w:bCs/>
          <w:noProof/>
        </w:rPr>
        <w:t>Datele fiabile</w:t>
      </w:r>
      <w:r>
        <w:rPr>
          <w:rFonts w:ascii="Times New Roman" w:hAnsi="Times New Roman"/>
          <w:noProof/>
        </w:rPr>
        <w:t xml:space="preserve"> reprezintă piatra de temelie a răspunsului umanitar, deoarece contribuie la identificarea nevoilor și a gravității acestora, dar și la măsurarea impactului. Sistemul actual de colectare și analiză a datelor a fost dezvoltat de numeroși actori diferiți, ceea ce face ca orientarea în peisajul datelor să fie complexă și dificilă. Este necesar să se îmbunătățească dezagregarea (în funcție de sex, vârstă și handicap), gradul de acoperire, fiabilitatea și comparabilitatea datelor, transformându-le într-o sursă deschisă în mod implicit. Prin investiții în calitatea și interoperabilitatea datelor, precum și prin consolidarea instrumentelor analitice și de raportare, inclusiv prin valorificarea utilizării etice a IA, a observării Pământului și a instrumentelor de modelizare (printre care serviciile prin satelit relevante, precum programul Copernicus), UE va îmbunătăți procesul decizional bazat pe dovezi și va permite răspunsuri mai rapide, mai coordonate și mai eficace pe parcursul tuturor crizelor.</w:t>
      </w:r>
    </w:p>
    <w:p w14:paraId="1D7F8331" w14:textId="66E9DCE0" w:rsidR="00456B58" w:rsidRPr="00970492" w:rsidRDefault="113977F8" w:rsidP="00456B58">
      <w:pPr>
        <w:spacing w:line="240" w:lineRule="auto"/>
        <w:jc w:val="both"/>
        <w:rPr>
          <w:rFonts w:ascii="Times New Roman" w:hAnsi="Times New Roman" w:cs="Times New Roman"/>
          <w:noProof/>
        </w:rPr>
      </w:pPr>
      <w:r>
        <w:rPr>
          <w:rFonts w:ascii="Times New Roman" w:hAnsi="Times New Roman"/>
          <w:noProof/>
        </w:rPr>
        <w:t>Schimbul de date între organizațiile umanitare cu privire la persoanele care primesc asistență și la disponibilitatea serviciilor în condiții de siguranță și în mod responsabil este esențial. Această practică a condus deja la economii semnificative(</w:t>
      </w:r>
      <w:r>
        <w:rPr>
          <w:rStyle w:val="FootnoteReference"/>
          <w:rFonts w:ascii="Times New Roman" w:hAnsi="Times New Roman" w:cs="Times New Roman"/>
          <w:noProof/>
          <w:lang w:val="en-GB"/>
        </w:rPr>
        <w:footnoteReference w:id="39"/>
      </w:r>
      <w:r>
        <w:rPr>
          <w:rFonts w:ascii="Times New Roman" w:hAnsi="Times New Roman"/>
          <w:noProof/>
        </w:rPr>
        <w:t>) prin prevenirea duplicării asistenței și a lacunelor în ceea ce privește răspunsul. Cu toate acestea, acordurile privind partajarea de date între organizații rămân greu de realizat și, în cazul în care acestea există la nivel mondial, adesea nu sunt puse în aplicare pe teren.</w:t>
      </w:r>
    </w:p>
    <w:p w14:paraId="3FD8BEC0" w14:textId="6A1DBE52"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UE sprijină tehnologia din surse deschise, sistemele federate și guvernanța descentralizată. În ultimii ani, UE a sprijinit mai multe proiecte-pilot privind partajarea de date în condiții de siguranță prin intermediul tehnologiilor verificate. UE va promova această tendință și va insista asupra partajării de date în condiții de siguranță, deoarece</w:t>
      </w:r>
      <w:r w:rsidR="006346F7">
        <w:rPr>
          <w:rFonts w:ascii="Times New Roman" w:hAnsi="Times New Roman"/>
          <w:noProof/>
        </w:rPr>
        <w:t xml:space="preserve"> </w:t>
      </w:r>
      <w:r>
        <w:rPr>
          <w:rFonts w:ascii="Times New Roman" w:hAnsi="Times New Roman"/>
          <w:noProof/>
        </w:rPr>
        <w:t>acesta conduce la un răspuns umanitar mai transparent și mai coerent.</w:t>
      </w:r>
    </w:p>
    <w:tbl>
      <w:tblPr>
        <w:tblStyle w:val="TableGrid"/>
        <w:tblW w:w="0" w:type="auto"/>
        <w:tblLook w:val="04A0" w:firstRow="1" w:lastRow="0" w:firstColumn="1" w:lastColumn="0" w:noHBand="0" w:noVBand="1"/>
      </w:tblPr>
      <w:tblGrid>
        <w:gridCol w:w="9062"/>
      </w:tblGrid>
      <w:tr w:rsidR="00456B58" w:rsidRPr="00970492" w14:paraId="542F1928" w14:textId="77777777" w:rsidTr="004942CF">
        <w:tc>
          <w:tcPr>
            <w:tcW w:w="9288" w:type="dxa"/>
            <w:shd w:val="clear" w:color="auto" w:fill="F2F2F2" w:themeFill="background1" w:themeFillShade="F2"/>
          </w:tcPr>
          <w:p w14:paraId="791A9E51" w14:textId="7254F81D" w:rsidR="00456B58" w:rsidRPr="00FD51E4" w:rsidRDefault="00456B58" w:rsidP="004942CF">
            <w:pPr>
              <w:jc w:val="both"/>
              <w:rPr>
                <w:rFonts w:ascii="Times New Roman" w:hAnsi="Times New Roman" w:cs="Times New Roman"/>
                <w:b/>
                <w:bCs/>
                <w:noProof/>
                <w:sz w:val="24"/>
                <w:szCs w:val="24"/>
              </w:rPr>
            </w:pPr>
            <w:r>
              <w:rPr>
                <w:rFonts w:ascii="Times New Roman" w:hAnsi="Times New Roman"/>
                <w:b/>
                <w:noProof/>
                <w:sz w:val="24"/>
              </w:rPr>
              <w:t>Acțiuni-cheie</w:t>
            </w:r>
          </w:p>
          <w:p w14:paraId="0D389013" w14:textId="77777777" w:rsidR="00456B58" w:rsidRPr="006346F7" w:rsidRDefault="00456B58" w:rsidP="00500FD3">
            <w:pPr>
              <w:pStyle w:val="NoSpacing"/>
              <w:rPr>
                <w:rFonts w:ascii="Times New Roman" w:hAnsi="Times New Roman" w:cs="Times New Roman"/>
                <w:noProof/>
                <w:sz w:val="24"/>
                <w:szCs w:val="24"/>
                <w:lang w:val="fr-FR"/>
              </w:rPr>
            </w:pPr>
          </w:p>
          <w:p w14:paraId="4DFBEC1D" w14:textId="4C5982F4" w:rsidR="00456B58" w:rsidRPr="00FD51E4" w:rsidRDefault="00456B58" w:rsidP="00500FD3">
            <w:pPr>
              <w:pStyle w:val="NoSpacing"/>
              <w:rPr>
                <w:rFonts w:ascii="Times New Roman" w:hAnsi="Times New Roman" w:cs="Times New Roman"/>
                <w:noProof/>
                <w:sz w:val="24"/>
                <w:szCs w:val="24"/>
                <w:u w:val="single"/>
              </w:rPr>
            </w:pPr>
            <w:r>
              <w:rPr>
                <w:rFonts w:ascii="Times New Roman" w:hAnsi="Times New Roman"/>
                <w:noProof/>
                <w:sz w:val="24"/>
              </w:rPr>
              <w:t>Comisia va întreprinde următoarele acțiuni:</w:t>
            </w:r>
          </w:p>
          <w:p w14:paraId="549DEBC0" w14:textId="5152770F" w:rsidR="00456B58" w:rsidRPr="00FD51E4" w:rsidRDefault="007D3A65" w:rsidP="00321376">
            <w:pPr>
              <w:pStyle w:val="NoSpacing"/>
              <w:numPr>
                <w:ilvl w:val="0"/>
                <w:numId w:val="20"/>
              </w:numPr>
              <w:jc w:val="both"/>
              <w:rPr>
                <w:rFonts w:ascii="Times New Roman" w:hAnsi="Times New Roman" w:cs="Times New Roman"/>
                <w:noProof/>
                <w:sz w:val="24"/>
                <w:szCs w:val="24"/>
                <w:u w:val="single"/>
              </w:rPr>
            </w:pPr>
            <w:r>
              <w:rPr>
                <w:rFonts w:ascii="Times New Roman" w:hAnsi="Times New Roman"/>
                <w:noProof/>
                <w:sz w:val="24"/>
              </w:rPr>
              <w:t xml:space="preserve">elaborarea unui </w:t>
            </w:r>
            <w:r>
              <w:rPr>
                <w:rFonts w:ascii="Times New Roman" w:hAnsi="Times New Roman"/>
                <w:b/>
                <w:bCs/>
                <w:noProof/>
                <w:sz w:val="24"/>
              </w:rPr>
              <w:t>nou program mondial de evaluări ale nevoilor multisectoriale</w:t>
            </w:r>
            <w:r>
              <w:rPr>
                <w:rFonts w:ascii="Times New Roman" w:hAnsi="Times New Roman"/>
                <w:noProof/>
                <w:sz w:val="24"/>
              </w:rPr>
              <w:t xml:space="preserve">, promovând o cooperare mai strânsă între actori și reducând fragmentarea. Acest lucru va asigura faptul că datele-cheie privind nevoile oamenilor sunt </w:t>
            </w:r>
            <w:r>
              <w:rPr>
                <w:rFonts w:ascii="Times New Roman" w:hAnsi="Times New Roman"/>
                <w:b/>
                <w:bCs/>
                <w:noProof/>
                <w:sz w:val="24"/>
              </w:rPr>
              <w:t>comparabile</w:t>
            </w:r>
            <w:r>
              <w:rPr>
                <w:rFonts w:ascii="Times New Roman" w:hAnsi="Times New Roman"/>
                <w:noProof/>
                <w:sz w:val="24"/>
              </w:rPr>
              <w:t xml:space="preserve"> în diferite contexte, </w:t>
            </w:r>
            <w:r>
              <w:rPr>
                <w:rFonts w:ascii="Times New Roman" w:hAnsi="Times New Roman"/>
                <w:b/>
                <w:bCs/>
                <w:noProof/>
                <w:sz w:val="24"/>
              </w:rPr>
              <w:t>incluzive</w:t>
            </w:r>
            <w:r>
              <w:rPr>
                <w:rFonts w:ascii="Times New Roman" w:hAnsi="Times New Roman"/>
                <w:noProof/>
                <w:sz w:val="24"/>
              </w:rPr>
              <w:t xml:space="preserve"> și </w:t>
            </w:r>
            <w:r>
              <w:rPr>
                <w:rFonts w:ascii="Times New Roman" w:hAnsi="Times New Roman"/>
                <w:b/>
                <w:bCs/>
                <w:noProof/>
                <w:sz w:val="24"/>
              </w:rPr>
              <w:t>accesibile tuturor</w:t>
            </w:r>
            <w:r>
              <w:rPr>
                <w:rFonts w:ascii="Times New Roman" w:hAnsi="Times New Roman"/>
                <w:noProof/>
                <w:sz w:val="24"/>
              </w:rPr>
              <w:t>;</w:t>
            </w:r>
          </w:p>
          <w:p w14:paraId="496A0F13" w14:textId="32DE814E" w:rsidR="00456B58" w:rsidRPr="00FD51E4" w:rsidRDefault="007D3A65" w:rsidP="00321376">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va solicita utilizarea unor </w:t>
            </w:r>
            <w:r>
              <w:rPr>
                <w:rFonts w:ascii="Times New Roman" w:hAnsi="Times New Roman"/>
                <w:b/>
                <w:bCs/>
                <w:noProof/>
                <w:sz w:val="24"/>
              </w:rPr>
              <w:t>acorduri de partajare de date în condiții de siguranță</w:t>
            </w:r>
            <w:r>
              <w:rPr>
                <w:rFonts w:ascii="Times New Roman" w:hAnsi="Times New Roman"/>
                <w:noProof/>
                <w:sz w:val="24"/>
              </w:rPr>
              <w:t xml:space="preserve"> între parteneri pentru a reduce suprapunerile și a spori eficacitatea răspunsului. Partajarea de date în condiții de siguranță între organizații va fi inclusă cu titlu de o condiție pentru finanțare;</w:t>
            </w:r>
          </w:p>
          <w:p w14:paraId="04D11C14" w14:textId="0A5BF2B1" w:rsidR="00456B58" w:rsidRPr="00FD51E4" w:rsidRDefault="007D3A65" w:rsidP="00321376">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îmbunătățirea utilizării de către sectorul umanitar a programelor </w:t>
            </w:r>
            <w:r>
              <w:rPr>
                <w:rFonts w:ascii="Times New Roman" w:hAnsi="Times New Roman"/>
                <w:b/>
                <w:bCs/>
                <w:noProof/>
                <w:sz w:val="24"/>
              </w:rPr>
              <w:t>Copernicus și INFORM</w:t>
            </w:r>
            <w:r>
              <w:rPr>
                <w:rFonts w:ascii="Times New Roman" w:hAnsi="Times New Roman"/>
                <w:noProof/>
                <w:sz w:val="24"/>
              </w:rPr>
              <w:t xml:space="preserve"> pentru a ghida acțiunile de ajutor umanitar; </w:t>
            </w:r>
          </w:p>
          <w:p w14:paraId="652EEC60" w14:textId="047A1638" w:rsidR="00456B58" w:rsidRPr="00970492" w:rsidRDefault="007D3A65" w:rsidP="00321376">
            <w:pPr>
              <w:pStyle w:val="ListParagraph"/>
              <w:numPr>
                <w:ilvl w:val="0"/>
                <w:numId w:val="10"/>
              </w:numPr>
              <w:spacing w:after="240"/>
              <w:jc w:val="both"/>
              <w:rPr>
                <w:rFonts w:ascii="Times New Roman" w:hAnsi="Times New Roman" w:cs="Times New Roman"/>
                <w:noProof/>
                <w:sz w:val="24"/>
                <w:szCs w:val="24"/>
              </w:rPr>
            </w:pPr>
            <w:r>
              <w:rPr>
                <w:rFonts w:ascii="Times New Roman" w:hAnsi="Times New Roman"/>
                <w:noProof/>
                <w:sz w:val="24"/>
              </w:rPr>
              <w:t xml:space="preserve">promovarea în continuare a </w:t>
            </w:r>
            <w:r>
              <w:rPr>
                <w:rFonts w:ascii="Times New Roman" w:hAnsi="Times New Roman"/>
                <w:b/>
                <w:bCs/>
                <w:noProof/>
                <w:sz w:val="24"/>
              </w:rPr>
              <w:t>sistemelor digitale interoperabile</w:t>
            </w:r>
            <w:r>
              <w:rPr>
                <w:rFonts w:ascii="Times New Roman" w:hAnsi="Times New Roman"/>
                <w:noProof/>
                <w:sz w:val="24"/>
              </w:rPr>
              <w:t xml:space="preserve"> și a standardelor comune în materie de date pe parcursul întregului ciclu de viață al finanțării ajutorului umanitar, cu scopul de a reduce fragmentarea și a îmbunătăți trasabilitatea.</w:t>
            </w:r>
          </w:p>
        </w:tc>
      </w:tr>
    </w:tbl>
    <w:p w14:paraId="44F70A37" w14:textId="2E852AD6" w:rsidR="00456B58" w:rsidRPr="006346F7" w:rsidRDefault="00456B58" w:rsidP="00456B58">
      <w:pPr>
        <w:spacing w:line="240" w:lineRule="auto"/>
        <w:rPr>
          <w:rFonts w:ascii="Times New Roman" w:hAnsi="Times New Roman" w:cs="Times New Roman"/>
          <w:noProof/>
        </w:rPr>
      </w:pPr>
    </w:p>
    <w:p w14:paraId="544FB6F9" w14:textId="02FC8107" w:rsidR="00456B58" w:rsidRPr="0041300A" w:rsidRDefault="00456B58" w:rsidP="0041300A">
      <w:pPr>
        <w:pStyle w:val="ListParagraph"/>
        <w:numPr>
          <w:ilvl w:val="0"/>
          <w:numId w:val="13"/>
        </w:numPr>
        <w:spacing w:line="240" w:lineRule="auto"/>
        <w:jc w:val="both"/>
        <w:rPr>
          <w:rFonts w:ascii="Times New Roman" w:hAnsi="Times New Roman" w:cs="Times New Roman"/>
          <w:b/>
          <w:bCs/>
          <w:noProof/>
        </w:rPr>
      </w:pPr>
      <w:r>
        <w:rPr>
          <w:rFonts w:ascii="Times New Roman" w:hAnsi="Times New Roman"/>
          <w:b/>
          <w:noProof/>
        </w:rPr>
        <w:t>Lucru în parteneriat: valorificarea alianțelor pentru a-i sprijini pe cei aflați în dificultate</w:t>
      </w:r>
    </w:p>
    <w:p w14:paraId="112B43E1" w14:textId="3AF2CACD" w:rsidR="00456B58" w:rsidRPr="00970492" w:rsidRDefault="00456B58" w:rsidP="00456B58">
      <w:pPr>
        <w:spacing w:line="240" w:lineRule="auto"/>
        <w:jc w:val="both"/>
        <w:rPr>
          <w:rFonts w:ascii="Times New Roman" w:hAnsi="Times New Roman" w:cs="Times New Roman"/>
          <w:noProof/>
        </w:rPr>
      </w:pPr>
      <w:r>
        <w:rPr>
          <w:rFonts w:ascii="Times New Roman" w:hAnsi="Times New Roman"/>
          <w:noProof/>
        </w:rPr>
        <w:t>Amploarea crizei sistemului umanitar nu poate fi abordată exclusiv de actorii umanitari. Trebuie utilizat întregul spectru de acțiuni din cadrul abordării bazate pe legătura dintre ajutorul umanitar, dezvoltare și pace</w:t>
      </w:r>
      <w:r w:rsidR="006346F7">
        <w:rPr>
          <w:rFonts w:ascii="Times New Roman" w:hAnsi="Times New Roman"/>
          <w:noProof/>
        </w:rPr>
        <w:t xml:space="preserve"> </w:t>
      </w:r>
      <w:r>
        <w:rPr>
          <w:rFonts w:ascii="Times New Roman" w:hAnsi="Times New Roman"/>
          <w:noProof/>
        </w:rPr>
        <w:t>și este necesar să se aprofundeze alianțele strategice cu o gamă largă de actori pentru a reduce nevoile umanitare tot mai mari și pentru a aborda crizele într-un mod durabil. Comisia se va concentra pe consolidarea acestor legături prin activități comune de abordare a fragilității și de creștere a rezilienței, precum și prin colaborarea mai strânsă cu o gamă mai largă de parteneri, precum sectorul privat. Aprofundarea impactului unei abordări de tip „Echipa Europa” în acest domeniu este, de asemenea, esențială.</w:t>
      </w:r>
    </w:p>
    <w:p w14:paraId="43D7C4E9" w14:textId="3B461D36" w:rsidR="00456B58" w:rsidRPr="00970492" w:rsidRDefault="599C263D" w:rsidP="61C30E87">
      <w:pPr>
        <w:spacing w:line="240" w:lineRule="auto"/>
        <w:jc w:val="both"/>
        <w:rPr>
          <w:rFonts w:ascii="Times New Roman" w:hAnsi="Times New Roman" w:cs="Times New Roman"/>
          <w:b/>
          <w:bCs/>
          <w:i/>
          <w:iCs/>
          <w:noProof/>
        </w:rPr>
      </w:pPr>
      <w:r>
        <w:rPr>
          <w:rFonts w:ascii="Times New Roman" w:hAnsi="Times New Roman"/>
          <w:b/>
          <w:i/>
          <w:noProof/>
        </w:rPr>
        <w:t xml:space="preserve">3.1. Dezvoltarea unei abordări integrate a fragilității </w:t>
      </w:r>
    </w:p>
    <w:p w14:paraId="2A9229BD" w14:textId="24CAAE13" w:rsidR="00B46114" w:rsidRPr="00970492" w:rsidRDefault="4827DAB3" w:rsidP="00EC7FE0">
      <w:pPr>
        <w:spacing w:after="200" w:line="240" w:lineRule="auto"/>
        <w:jc w:val="both"/>
        <w:rPr>
          <w:rFonts w:ascii="Times New Roman" w:eastAsia="Times New Roman" w:hAnsi="Times New Roman" w:cs="Times New Roman"/>
          <w:noProof/>
        </w:rPr>
      </w:pPr>
      <w:r>
        <w:rPr>
          <w:rFonts w:ascii="Times New Roman" w:hAnsi="Times New Roman"/>
          <w:noProof/>
        </w:rPr>
        <w:t xml:space="preserve">La nivel mondial, </w:t>
      </w:r>
      <w:r>
        <w:rPr>
          <w:rFonts w:ascii="Times New Roman" w:hAnsi="Times New Roman"/>
          <w:b/>
          <w:noProof/>
        </w:rPr>
        <w:t>fragilitatea</w:t>
      </w:r>
      <w:r>
        <w:rPr>
          <w:rFonts w:ascii="Times New Roman" w:hAnsi="Times New Roman"/>
          <w:noProof/>
        </w:rPr>
        <w:t>(</w:t>
      </w:r>
      <w:r>
        <w:rPr>
          <w:rStyle w:val="FootnoteReference"/>
          <w:rFonts w:ascii="Times New Roman" w:hAnsi="Times New Roman" w:cs="Times New Roman"/>
          <w:i/>
          <w:iCs/>
          <w:noProof/>
          <w:lang w:val="en-GB"/>
        </w:rPr>
        <w:footnoteReference w:id="40"/>
      </w:r>
      <w:r>
        <w:rPr>
          <w:rFonts w:ascii="Times New Roman" w:hAnsi="Times New Roman"/>
          <w:noProof/>
        </w:rPr>
        <w:t xml:space="preserve">) </w:t>
      </w:r>
      <w:r>
        <w:rPr>
          <w:rFonts w:ascii="Times New Roman" w:hAnsi="Times New Roman"/>
          <w:b/>
          <w:noProof/>
        </w:rPr>
        <w:t>este în creștere</w:t>
      </w:r>
      <w:r>
        <w:rPr>
          <w:rFonts w:ascii="Times New Roman" w:hAnsi="Times New Roman"/>
          <w:noProof/>
        </w:rPr>
        <w:t>, alimentând insecuritatea, perturbând progresele în materie de dezvoltare la nivel mondial și având efecte de propagare de natură să afecteze securitatea și prosperitatea UE. În regiunile-cheie, punctele slabe pot fi instrumentalizate de actori ostili cu scopul de a obține câștiguri geopolitice. Neabordarea acestor contexte fragile într-un mod cuprinzător riscă să submineze și mai mult normele globale, inclusiv drepturile omului și DIU. În plus, fragilitatea reprezintă o amenințare la adresa păcii, securității și stabilității internaționale, afectează mijloacele de subzistență și accesul la serviciile de bază,</w:t>
      </w:r>
      <w:r>
        <w:rPr>
          <w:noProof/>
        </w:rPr>
        <w:t xml:space="preserve"> </w:t>
      </w:r>
      <w:bookmarkStart w:id="6" w:name="_Hlk230010511"/>
      <w:r>
        <w:rPr>
          <w:rFonts w:ascii="Times New Roman" w:hAnsi="Times New Roman"/>
          <w:noProof/>
        </w:rPr>
        <w:t>exacerbează vulnerabilitățile existente la impactul schimbărilor climatice și al degradării mediului</w:t>
      </w:r>
      <w:bookmarkEnd w:id="6"/>
      <w:r>
        <w:rPr>
          <w:rFonts w:ascii="Times New Roman" w:hAnsi="Times New Roman"/>
          <w:noProof/>
        </w:rPr>
        <w:t>, perturbă piețele, lanțurile de aprovizionare și securitatea economică și accentuează provocările legate de strămutare și migrație.</w:t>
      </w:r>
    </w:p>
    <w:p w14:paraId="50519C66" w14:textId="12AB8258" w:rsidR="00C67420" w:rsidRPr="00F668AB" w:rsidRDefault="4827DAB3" w:rsidP="00C67420">
      <w:pPr>
        <w:spacing w:after="120" w:line="240" w:lineRule="auto"/>
        <w:jc w:val="both"/>
        <w:rPr>
          <w:rFonts w:ascii="Times New Roman" w:eastAsia="Times New Roman" w:hAnsi="Times New Roman" w:cs="Times New Roman"/>
          <w:noProof/>
        </w:rPr>
      </w:pPr>
      <w:r>
        <w:rPr>
          <w:rFonts w:ascii="Times New Roman" w:hAnsi="Times New Roman"/>
          <w:b/>
          <w:bCs/>
          <w:noProof/>
        </w:rPr>
        <w:t>Abordarea cauzelor profunde ale fragilității</w:t>
      </w:r>
      <w:r>
        <w:rPr>
          <w:rFonts w:ascii="Times New Roman" w:hAnsi="Times New Roman"/>
          <w:noProof/>
        </w:rPr>
        <w:t xml:space="preserve"> constituie, prin urmare, atât un act de solidaritate, cât și o necesitate urgentă și strategică pentru UE, dar și pentru comunitatea internațională. </w:t>
      </w:r>
      <w:r>
        <w:rPr>
          <w:rFonts w:ascii="Times New Roman" w:hAnsi="Times New Roman"/>
          <w:b/>
          <w:bCs/>
          <w:noProof/>
        </w:rPr>
        <w:t>Obiectivele UE</w:t>
      </w:r>
      <w:r>
        <w:rPr>
          <w:rFonts w:ascii="Times New Roman" w:hAnsi="Times New Roman"/>
          <w:noProof/>
        </w:rPr>
        <w:t xml:space="preserve"> în aceste contexte constau în reducerea suferinței umane și abordarea cauzelor fragilității pentru a pune capăt sărăciei, dependenței de ajutor și vulnerabilității legate de climă, precum și în sprijinirea dezvoltării durabile. În plus, UE promovează drepturile omului, democrația și statul de drept, egalitatea de gen, incluziunea, capacitarea tinerilor și un mediu propice pentru societatea civilă.</w:t>
      </w:r>
    </w:p>
    <w:p w14:paraId="2D224693" w14:textId="0E84E36D" w:rsidR="00FA6BF1" w:rsidRPr="00377263" w:rsidRDefault="001D2E5B" w:rsidP="00EC7FE0">
      <w:pPr>
        <w:spacing w:after="200" w:line="240" w:lineRule="auto"/>
        <w:jc w:val="both"/>
        <w:rPr>
          <w:rFonts w:ascii="Times New Roman" w:eastAsia="Times New Roman" w:hAnsi="Times New Roman" w:cs="Times New Roman"/>
          <w:noProof/>
        </w:rPr>
      </w:pPr>
      <w:r>
        <w:rPr>
          <w:rFonts w:ascii="Times New Roman" w:hAnsi="Times New Roman"/>
          <w:b/>
          <w:bCs/>
          <w:noProof/>
        </w:rPr>
        <w:t>Intervențiile strategice pe termen lung</w:t>
      </w:r>
      <w:r>
        <w:rPr>
          <w:rFonts w:ascii="Times New Roman" w:hAnsi="Times New Roman"/>
          <w:noProof/>
        </w:rPr>
        <w:t xml:space="preserve"> în situații de fragilitate sunt esențiale pentru consolidarea rezilienței, anticiparea crizelor și a dezastrelor, prevenirea conflictelor, precum și pentru promovarea păcii, stabilității și securității durabile. </w:t>
      </w:r>
    </w:p>
    <w:p w14:paraId="6B14989F" w14:textId="084B758A" w:rsidR="4827DAB3" w:rsidRPr="00970492" w:rsidRDefault="4827DAB3" w:rsidP="00EC7FE0">
      <w:pPr>
        <w:spacing w:after="200" w:line="240" w:lineRule="auto"/>
        <w:jc w:val="both"/>
        <w:rPr>
          <w:rFonts w:ascii="Times New Roman" w:eastAsia="Times New Roman" w:hAnsi="Times New Roman" w:cs="Times New Roman"/>
          <w:noProof/>
        </w:rPr>
      </w:pPr>
      <w:r>
        <w:rPr>
          <w:rFonts w:ascii="Times New Roman" w:hAnsi="Times New Roman"/>
          <w:noProof/>
        </w:rPr>
        <w:t xml:space="preserve">UE și statele sale membre sunt prezente de mai multe decenii acolo unde există contexte fragile și se află într-o poziție unică din care își pot valorifica setul cuprinzător de instrumente pentru a </w:t>
      </w:r>
      <w:r>
        <w:rPr>
          <w:rFonts w:ascii="Times New Roman" w:hAnsi="Times New Roman"/>
          <w:b/>
          <w:bCs/>
          <w:noProof/>
        </w:rPr>
        <w:t>promova pacea, stabilitatea și reziliența.</w:t>
      </w:r>
      <w:r>
        <w:rPr>
          <w:rFonts w:ascii="Times New Roman" w:hAnsi="Times New Roman"/>
          <w:noProof/>
        </w:rPr>
        <w:t xml:space="preserve"> UE a avut un rol esențial în sprijinirea structurilor de guvernare ale statelor și a creșterii economice a acestora, ajutându-le să atingă obiectivele de dezvoltare durabilă (ODD).</w:t>
      </w:r>
    </w:p>
    <w:p w14:paraId="00B25FA9" w14:textId="1909CCE4" w:rsidR="4827DAB3" w:rsidRPr="000035B1" w:rsidRDefault="4827DAB3" w:rsidP="004E59C8">
      <w:pPr>
        <w:spacing w:after="120" w:line="240" w:lineRule="auto"/>
        <w:jc w:val="both"/>
        <w:rPr>
          <w:rFonts w:ascii="Times New Roman" w:hAnsi="Times New Roman" w:cs="Times New Roman"/>
          <w:noProof/>
        </w:rPr>
      </w:pPr>
      <w:r>
        <w:rPr>
          <w:rFonts w:ascii="Times New Roman" w:hAnsi="Times New Roman"/>
          <w:noProof/>
        </w:rPr>
        <w:t xml:space="preserve">În același timp, pentru a aborda în mod eficace </w:t>
      </w:r>
      <w:r>
        <w:rPr>
          <w:rFonts w:ascii="Times New Roman" w:hAnsi="Times New Roman"/>
          <w:b/>
          <w:bCs/>
          <w:noProof/>
        </w:rPr>
        <w:t>realitățile geopolitice în continuă evoluție și provocările multidimensionale cauzate de fragilitate</w:t>
      </w:r>
      <w:r>
        <w:rPr>
          <w:rFonts w:ascii="Times New Roman" w:hAnsi="Times New Roman"/>
          <w:noProof/>
        </w:rPr>
        <w:t xml:space="preserve">, UE trebuie să își recalibreze intervențiile și să își optimizeze strategiile pentru a rămâne un partener de încredere, sprijinind în același timp persoanele cele defavorizate și obținând un impact mai mare. Prin urmare, prezenta comunicare comună se bazează pe instrumentele existente pentru a stabili o </w:t>
      </w:r>
      <w:r>
        <w:rPr>
          <w:rFonts w:ascii="Times New Roman" w:hAnsi="Times New Roman"/>
          <w:b/>
          <w:bCs/>
          <w:noProof/>
        </w:rPr>
        <w:t>abordare integrată a UE în ceea ce privește fragilitatea</w:t>
      </w:r>
      <w:r>
        <w:rPr>
          <w:rFonts w:ascii="Times New Roman" w:hAnsi="Times New Roman"/>
          <w:noProof/>
        </w:rPr>
        <w:t xml:space="preserve"> – un cadru strategic pentru consolidarea implicării UE în aceste contexte. Aceasta este ghidată de următoarele </w:t>
      </w:r>
      <w:r>
        <w:rPr>
          <w:rFonts w:ascii="Times New Roman" w:hAnsi="Times New Roman"/>
          <w:b/>
          <w:bCs/>
          <w:noProof/>
        </w:rPr>
        <w:t>principii și priorități</w:t>
      </w:r>
      <w:r>
        <w:rPr>
          <w:rFonts w:ascii="Times New Roman" w:hAnsi="Times New Roman"/>
          <w:noProof/>
        </w:rPr>
        <w:t>:</w:t>
      </w:r>
    </w:p>
    <w:p w14:paraId="18403A82" w14:textId="0EBE9557" w:rsidR="4827DAB3" w:rsidRPr="0056012C" w:rsidRDefault="4827DAB3" w:rsidP="00321376">
      <w:pPr>
        <w:pStyle w:val="ListParagraph"/>
        <w:numPr>
          <w:ilvl w:val="0"/>
          <w:numId w:val="7"/>
        </w:numPr>
        <w:spacing w:after="0" w:line="240" w:lineRule="auto"/>
        <w:jc w:val="both"/>
        <w:rPr>
          <w:rFonts w:ascii="Times New Roman" w:hAnsi="Times New Roman" w:cs="Times New Roman"/>
          <w:b/>
          <w:bCs/>
          <w:noProof/>
        </w:rPr>
      </w:pPr>
      <w:r>
        <w:rPr>
          <w:rFonts w:ascii="Times New Roman" w:hAnsi="Times New Roman"/>
          <w:b/>
          <w:noProof/>
        </w:rPr>
        <w:t xml:space="preserve">Menținerea implicării, concomitent cu asigurarea unor răspunsuri specifice contextului care iau în considerare situațiile de conflict (principiul de a nu face rău) </w:t>
      </w:r>
    </w:p>
    <w:p w14:paraId="4B74EA6A" w14:textId="33BDC6AD" w:rsidR="4827DAB3" w:rsidRPr="00970492" w:rsidRDefault="4827DAB3" w:rsidP="004E59C8">
      <w:pPr>
        <w:spacing w:after="200" w:line="240" w:lineRule="auto"/>
        <w:jc w:val="both"/>
        <w:rPr>
          <w:rFonts w:ascii="Times New Roman" w:eastAsia="Times New Roman" w:hAnsi="Times New Roman" w:cs="Times New Roman"/>
          <w:noProof/>
        </w:rPr>
      </w:pPr>
      <w:r>
        <w:rPr>
          <w:rFonts w:ascii="Times New Roman" w:hAnsi="Times New Roman"/>
          <w:noProof/>
        </w:rPr>
        <w:t xml:space="preserve">UE își reafirmă angajamentul de a </w:t>
      </w:r>
      <w:r>
        <w:rPr>
          <w:rFonts w:ascii="Times New Roman" w:hAnsi="Times New Roman"/>
          <w:b/>
          <w:bCs/>
          <w:noProof/>
        </w:rPr>
        <w:t>rămâne implicată în toate contextele influențate de niveluri ridicate și extrem de ridicate de fragilitate</w:t>
      </w:r>
      <w:r>
        <w:rPr>
          <w:rFonts w:ascii="Times New Roman" w:hAnsi="Times New Roman"/>
          <w:noProof/>
        </w:rPr>
        <w:t>, inclusiv în cele complexe sau dificile din punct de vedere politic, în conformitate cu interesele UE. Acest lucru se va realiza printr-o strategie flexibilă, ușor de modificat și care ia în considerare conflictele, adaptând implicarea la nevoile țărilor partenere afectate și ale populațiilor acestora în cadrul unei abordări diferențiate, urmărind în același timp propriile obiective strategice ale UE.</w:t>
      </w:r>
    </w:p>
    <w:p w14:paraId="72B7FC4F" w14:textId="14C9874B" w:rsidR="4827DAB3" w:rsidRPr="0056012C" w:rsidRDefault="00377263" w:rsidP="00321376">
      <w:pPr>
        <w:pStyle w:val="ListParagraph"/>
        <w:numPr>
          <w:ilvl w:val="0"/>
          <w:numId w:val="7"/>
        </w:numPr>
        <w:spacing w:after="0" w:line="240" w:lineRule="auto"/>
        <w:jc w:val="both"/>
        <w:rPr>
          <w:rFonts w:ascii="Times New Roman" w:hAnsi="Times New Roman"/>
          <w:b/>
          <w:bCs/>
          <w:noProof/>
        </w:rPr>
      </w:pPr>
      <w:r>
        <w:rPr>
          <w:rFonts w:ascii="Times New Roman" w:hAnsi="Times New Roman"/>
          <w:b/>
          <w:noProof/>
        </w:rPr>
        <w:t>Aplicarea unei abordări multidimensionale în ceea ce privește reziliența și a durabilitatea</w:t>
      </w:r>
    </w:p>
    <w:p w14:paraId="51F9C571" w14:textId="0C57065C" w:rsidR="4827DAB3" w:rsidRPr="000035B1" w:rsidRDefault="4827DAB3" w:rsidP="004E59C8">
      <w:pPr>
        <w:spacing w:after="200" w:line="240" w:lineRule="auto"/>
        <w:jc w:val="both"/>
        <w:rPr>
          <w:rFonts w:ascii="Times New Roman" w:hAnsi="Times New Roman"/>
          <w:noProof/>
        </w:rPr>
      </w:pPr>
      <w:r>
        <w:rPr>
          <w:rFonts w:ascii="Times New Roman" w:hAnsi="Times New Roman"/>
          <w:noProof/>
        </w:rPr>
        <w:t xml:space="preserve">Abordarea cauzelor fragilității necesită o abordare multidimensională care să țină seama de factorii societali, economici, politici, de securitate și de mediu. UE va acorda prioritate abordărilor cu </w:t>
      </w:r>
      <w:r>
        <w:rPr>
          <w:rFonts w:ascii="Times New Roman" w:hAnsi="Times New Roman"/>
          <w:b/>
          <w:bCs/>
          <w:noProof/>
        </w:rPr>
        <w:t>potențial transformator</w:t>
      </w:r>
      <w:r>
        <w:rPr>
          <w:rFonts w:ascii="Times New Roman" w:hAnsi="Times New Roman"/>
          <w:noProof/>
        </w:rPr>
        <w:t xml:space="preserve"> pentru a promova dezvoltarea durabilă și pacea pe termen lung. Pornind de la setul său cuprinzător de instrumente, </w:t>
      </w:r>
      <w:r>
        <w:rPr>
          <w:rFonts w:ascii="Times New Roman" w:hAnsi="Times New Roman"/>
          <w:b/>
          <w:bCs/>
          <w:noProof/>
        </w:rPr>
        <w:t>prioritățile tematice</w:t>
      </w:r>
      <w:r>
        <w:rPr>
          <w:rFonts w:ascii="Times New Roman" w:hAnsi="Times New Roman"/>
          <w:noProof/>
        </w:rPr>
        <w:t xml:space="preserve"> includ, printre altele: a) dezvoltarea umană și consolidarea rezilienței; b) dezvoltarea economică prin promovarea unui mediu favorabil investițiilor și prin consolidarea cooperării cu instituțiile financiare internaționale; c) adaptarea la efectele schimbărilor climatice, ale degradării mediului și ale deficitului de apă, precum și atenuarea acestora; d) consolidarea drepturilor omului, a democrației și a statului de drept, precum și e) prevenirea conflictelor, medierea, stabilizarea, consolidarea păcii și securitatea. Accentul va fi pus pe grupurile aflate în cele mai vulnerabile situații, inclusiv femeile, copiii și tinerii, persoanele în vârstă, persoanele cu handicap, persoanele care aparțin minorităților, refugiații, persoanele strămutate forțat și persoanele returnate, precum și pe incluziunea lor financiară.</w:t>
      </w:r>
    </w:p>
    <w:p w14:paraId="0FB555B3" w14:textId="732E741A" w:rsidR="4827DAB3" w:rsidRPr="0056012C" w:rsidRDefault="4827DAB3" w:rsidP="00321376">
      <w:pPr>
        <w:pStyle w:val="ListParagraph"/>
        <w:numPr>
          <w:ilvl w:val="0"/>
          <w:numId w:val="7"/>
        </w:numPr>
        <w:spacing w:after="0" w:line="240" w:lineRule="auto"/>
        <w:jc w:val="both"/>
        <w:rPr>
          <w:rFonts w:ascii="Times New Roman" w:hAnsi="Times New Roman"/>
          <w:b/>
          <w:bCs/>
          <w:noProof/>
        </w:rPr>
      </w:pPr>
      <w:r>
        <w:rPr>
          <w:rFonts w:ascii="Times New Roman" w:hAnsi="Times New Roman"/>
          <w:b/>
          <w:noProof/>
        </w:rPr>
        <w:t xml:space="preserve">Consolidarea abordării „Echipa Europa” și a parteneriatelor strategice în cadrul unei abordări bazate pe legătura dintre ajutorul umanitar, dezvoltare și pace </w:t>
      </w:r>
    </w:p>
    <w:p w14:paraId="1D9D1857" w14:textId="18BF2E26" w:rsidR="4827DAB3" w:rsidRPr="00D06ED3" w:rsidRDefault="4827DAB3" w:rsidP="004E59C8">
      <w:pPr>
        <w:spacing w:after="200" w:line="240" w:lineRule="auto"/>
        <w:jc w:val="both"/>
        <w:rPr>
          <w:rFonts w:ascii="Times New Roman" w:hAnsi="Times New Roman"/>
          <w:noProof/>
        </w:rPr>
      </w:pPr>
      <w:r>
        <w:rPr>
          <w:rFonts w:ascii="Times New Roman" w:hAnsi="Times New Roman"/>
          <w:noProof/>
        </w:rPr>
        <w:t xml:space="preserve">Prin întărirea legăturii dintre ajutorul umanitar, dezvoltare și pace, UE va articula mai bine </w:t>
      </w:r>
      <w:r>
        <w:rPr>
          <w:rFonts w:ascii="Times New Roman" w:hAnsi="Times New Roman"/>
          <w:b/>
          <w:bCs/>
          <w:noProof/>
        </w:rPr>
        <w:t>abordările și intervențiile complementare</w:t>
      </w:r>
      <w:r>
        <w:rPr>
          <w:rFonts w:ascii="Times New Roman" w:hAnsi="Times New Roman"/>
          <w:noProof/>
        </w:rPr>
        <w:t xml:space="preserve">, pentru a anticipa crizele, a se pregăti pentru acestea și a răspunde la ele într-un mod mai eficace. Valorificând flexibilitatea instrumentului „Europa globală”, care urmează a fi lansat, UE va intensifica în mod activ utilizarea </w:t>
      </w:r>
      <w:r>
        <w:rPr>
          <w:rFonts w:ascii="Times New Roman" w:hAnsi="Times New Roman"/>
          <w:b/>
          <w:bCs/>
          <w:noProof/>
        </w:rPr>
        <w:t>mecanismelor de finanțare inovatoare și adaptabile</w:t>
      </w:r>
      <w:r>
        <w:rPr>
          <w:rFonts w:ascii="Times New Roman" w:hAnsi="Times New Roman"/>
          <w:noProof/>
        </w:rPr>
        <w:t xml:space="preserve"> pentru a atrage mai multe fonduri private, capacitând în același timp sectorul privat local. De asemenea, UE va îmbunătăți colaborarea cu instituțiile financiare internaționale, inclusiv cu Banca Europeană de Investiții, și cu băncile de dezvoltare ale statelor membre UE pentru a promova investițiile care permit reziliența economică în contexte fragile și reducerea structurală a nevoilor umanitare.</w:t>
      </w:r>
    </w:p>
    <w:p w14:paraId="05872149" w14:textId="0FBB6A9B" w:rsidR="4827DAB3" w:rsidRDefault="4827DAB3" w:rsidP="004E59C8">
      <w:pPr>
        <w:spacing w:after="200" w:line="240" w:lineRule="auto"/>
        <w:jc w:val="both"/>
        <w:rPr>
          <w:rFonts w:ascii="Times New Roman" w:hAnsi="Times New Roman"/>
          <w:noProof/>
        </w:rPr>
      </w:pPr>
      <w:r>
        <w:rPr>
          <w:rFonts w:ascii="Times New Roman" w:hAnsi="Times New Roman"/>
          <w:noProof/>
        </w:rPr>
        <w:t xml:space="preserve">Prin toate aceste eforturi, UE va promova o </w:t>
      </w:r>
      <w:r>
        <w:rPr>
          <w:rFonts w:ascii="Times New Roman" w:hAnsi="Times New Roman"/>
          <w:b/>
          <w:bCs/>
          <w:noProof/>
        </w:rPr>
        <w:t>abordare de tip „Echipa Europa”</w:t>
      </w:r>
      <w:r>
        <w:rPr>
          <w:rFonts w:ascii="Times New Roman" w:hAnsi="Times New Roman"/>
          <w:noProof/>
        </w:rPr>
        <w:t xml:space="preserve">, care este esențială pentru asigurarea unei poziții vizibile, unificate și bine coordonate în ceea ce privește abordarea fragilității. De asemenea, UE va aprofunda coordonarea și cooperarea cu </w:t>
      </w:r>
      <w:r>
        <w:rPr>
          <w:rFonts w:ascii="Times New Roman" w:hAnsi="Times New Roman"/>
          <w:b/>
          <w:noProof/>
        </w:rPr>
        <w:t>alți parteneri și actori</w:t>
      </w:r>
      <w:r>
        <w:rPr>
          <w:rFonts w:ascii="Times New Roman" w:hAnsi="Times New Roman"/>
          <w:noProof/>
        </w:rPr>
        <w:t xml:space="preserve">, inclusiv la nivel local, precum societatea civilă, sectorul privat și organizații-cheie, printre care ONU, Mișcarea de Cruce Roșie și Semilună Roșie, dar și cu organizațiile regionale. </w:t>
      </w:r>
    </w:p>
    <w:tbl>
      <w:tblPr>
        <w:tblStyle w:val="TableGrid"/>
        <w:tblW w:w="0" w:type="auto"/>
        <w:tblLook w:val="04A0" w:firstRow="1" w:lastRow="0" w:firstColumn="1" w:lastColumn="0" w:noHBand="0" w:noVBand="1"/>
      </w:tblPr>
      <w:tblGrid>
        <w:gridCol w:w="9052"/>
      </w:tblGrid>
      <w:tr w:rsidR="61C30E87" w:rsidRPr="00970492" w14:paraId="2409CA73" w14:textId="77777777" w:rsidTr="00AF4908">
        <w:trPr>
          <w:trHeight w:val="1540"/>
        </w:trPr>
        <w:tc>
          <w:tcPr>
            <w:tcW w:w="90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4C4BFAC1" w14:textId="61E1D1A5" w:rsidR="61C30E87" w:rsidRPr="00F17992" w:rsidRDefault="61C30E87" w:rsidP="004E59C8">
            <w:pPr>
              <w:spacing w:after="200" w:line="276"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Acțiuni-cheie</w:t>
            </w:r>
          </w:p>
          <w:p w14:paraId="7F7686F8" w14:textId="034E6522" w:rsidR="61C30E87" w:rsidRPr="00F17992" w:rsidRDefault="61C30E87" w:rsidP="00426386">
            <w:pPr>
              <w:spacing w:after="20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Comisia, în cooperare cu Înaltul Reprezentant al UE pentru afaceri externe și politica de securitate, în exercitarea atribuțiilor sale, va pune în aplicare o </w:t>
            </w:r>
            <w:r>
              <w:rPr>
                <w:rFonts w:ascii="Times New Roman" w:hAnsi="Times New Roman"/>
                <w:b/>
                <w:bCs/>
                <w:noProof/>
                <w:color w:val="000000" w:themeColor="text1"/>
                <w:sz w:val="24"/>
              </w:rPr>
              <w:t>abordare integrată a UE privind fragilitatea,</w:t>
            </w:r>
            <w:r>
              <w:rPr>
                <w:rFonts w:ascii="Times New Roman" w:hAnsi="Times New Roman"/>
                <w:noProof/>
                <w:color w:val="000000" w:themeColor="text1"/>
                <w:sz w:val="24"/>
              </w:rPr>
              <w:t xml:space="preserve"> prin </w:t>
            </w:r>
            <w:r>
              <w:rPr>
                <w:rFonts w:ascii="Times New Roman" w:hAnsi="Times New Roman"/>
                <w:b/>
                <w:bCs/>
                <w:noProof/>
                <w:color w:val="000000" w:themeColor="text1"/>
                <w:sz w:val="24"/>
              </w:rPr>
              <w:t>strategii mai inteligente și mai colaborative, cu un accent deosebit pe contextele extrem de fragile.</w:t>
            </w:r>
            <w:r>
              <w:rPr>
                <w:rFonts w:ascii="Times New Roman" w:hAnsi="Times New Roman"/>
                <w:noProof/>
                <w:color w:val="000000" w:themeColor="text1"/>
                <w:sz w:val="24"/>
              </w:rPr>
              <w:t xml:space="preserve"> Printre aceste măsuri se numără:</w:t>
            </w:r>
          </w:p>
          <w:p w14:paraId="44EB831B" w14:textId="019BAD86" w:rsidR="61C30E87" w:rsidRPr="00F17992" w:rsidRDefault="007D3A65" w:rsidP="00321376">
            <w:pPr>
              <w:pStyle w:val="ListParagraph"/>
              <w:numPr>
                <w:ilvl w:val="0"/>
                <w:numId w:val="6"/>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elaborarea unor </w:t>
            </w:r>
            <w:r>
              <w:rPr>
                <w:rFonts w:ascii="Times New Roman" w:hAnsi="Times New Roman"/>
                <w:b/>
                <w:bCs/>
                <w:noProof/>
                <w:color w:val="000000" w:themeColor="text1"/>
                <w:sz w:val="24"/>
              </w:rPr>
              <w:t>analize comune</w:t>
            </w:r>
            <w:r>
              <w:rPr>
                <w:rFonts w:ascii="Times New Roman" w:hAnsi="Times New Roman"/>
                <w:noProof/>
                <w:color w:val="000000" w:themeColor="text1"/>
                <w:sz w:val="24"/>
              </w:rPr>
              <w:t>, care să evidențieze înțelegerea dinamicii locale, a riscurilor specifice și a factorilor determinanți legați de conflicte și climă;</w:t>
            </w:r>
          </w:p>
          <w:p w14:paraId="76FF01DD" w14:textId="20CE89C0"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elaborarea unor </w:t>
            </w:r>
            <w:r>
              <w:rPr>
                <w:rFonts w:ascii="Times New Roman" w:hAnsi="Times New Roman"/>
                <w:b/>
                <w:bCs/>
                <w:noProof/>
                <w:color w:val="000000" w:themeColor="text1"/>
                <w:sz w:val="24"/>
              </w:rPr>
              <w:t>cadre de fragilitate adaptabile și agile în toate contextele extrem de fragile,</w:t>
            </w:r>
            <w:r>
              <w:rPr>
                <w:rFonts w:ascii="Times New Roman" w:hAnsi="Times New Roman"/>
                <w:noProof/>
                <w:color w:val="000000" w:themeColor="text1"/>
                <w:sz w:val="24"/>
              </w:rPr>
              <w:t xml:space="preserve"> pe baza experiențelor anterioare, înlocuind cadrele de colaborare stabilite prin legătura dintre ajutorul umanitar, dezvoltare și pace, testate în prezent, pentru a asigura o agilitate mai mare, și bazându-se pe cadrele analitice relevante. Acestea vor contura o înțelegere comună a priorităților și a acțiunilor necesare în cadrul legăturii dintre ajutorul umanitar, dezvoltare și pace, pentru a asigura un angajament cu un impact mai mare pe teren; </w:t>
            </w:r>
          </w:p>
          <w:p w14:paraId="2347CBD5" w14:textId="2E8755D4" w:rsidR="61C30E87" w:rsidRPr="00F17992" w:rsidRDefault="007D3A65" w:rsidP="00321376">
            <w:pPr>
              <w:pStyle w:val="ListParagraph"/>
              <w:numPr>
                <w:ilvl w:val="0"/>
                <w:numId w:val="5"/>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urmărirea unei integrări mai bune a acțiunilor umanitare, de dezvoltare și de pace printr-o </w:t>
            </w:r>
            <w:r>
              <w:rPr>
                <w:rFonts w:ascii="Times New Roman" w:hAnsi="Times New Roman"/>
                <w:b/>
                <w:bCs/>
                <w:noProof/>
                <w:color w:val="000000" w:themeColor="text1"/>
                <w:sz w:val="24"/>
              </w:rPr>
              <w:t>finanțare eșalonată, complementară sau comună</w:t>
            </w:r>
            <w:r>
              <w:rPr>
                <w:rFonts w:ascii="Times New Roman" w:hAnsi="Times New Roman"/>
                <w:noProof/>
                <w:color w:val="000000" w:themeColor="text1"/>
                <w:sz w:val="24"/>
              </w:rPr>
              <w:t>, pentru a maximiza impactul, inclusiv în contexte care evoluează rapid; utilizarea tuturor procedurilor de flexibilitate disponibile pentru a facilita un răspuns adaptabil la crize;</w:t>
            </w:r>
          </w:p>
          <w:p w14:paraId="594C24DF" w14:textId="0E5D9A25" w:rsidR="61C30E87" w:rsidRPr="00F17992" w:rsidRDefault="007D3A65" w:rsidP="00321376">
            <w:pPr>
              <w:pStyle w:val="ListParagraph"/>
              <w:numPr>
                <w:ilvl w:val="0"/>
                <w:numId w:val="5"/>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identificarea </w:t>
            </w:r>
            <w:r>
              <w:rPr>
                <w:rFonts w:ascii="Times New Roman" w:hAnsi="Times New Roman"/>
                <w:b/>
                <w:bCs/>
                <w:noProof/>
                <w:color w:val="000000" w:themeColor="text1"/>
                <w:sz w:val="24"/>
              </w:rPr>
              <w:t>punctelor focale privind fragilitatea</w:t>
            </w:r>
            <w:r>
              <w:rPr>
                <w:rFonts w:ascii="Times New Roman" w:hAnsi="Times New Roman"/>
                <w:noProof/>
                <w:color w:val="000000" w:themeColor="text1"/>
                <w:sz w:val="24"/>
              </w:rPr>
              <w:t xml:space="preserve"> în cadrul delegațiilor UE relevante și al birourilor DG ECHO, pe baza resurselor existente, pentru a sprijini înțelegerea comună și a ghida punerea în aplicare a abordării la nivel de țări; </w:t>
            </w:r>
          </w:p>
          <w:p w14:paraId="49A08064" w14:textId="71287707"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organizarea periodică de</w:t>
            </w:r>
            <w:r>
              <w:rPr>
                <w:rFonts w:ascii="Times New Roman" w:hAnsi="Times New Roman"/>
                <w:b/>
                <w:bCs/>
                <w:noProof/>
                <w:color w:val="000000" w:themeColor="text1"/>
                <w:sz w:val="24"/>
              </w:rPr>
              <w:t xml:space="preserve"> schimburi cu principalele părți interesate</w:t>
            </w:r>
            <w:r>
              <w:rPr>
                <w:rFonts w:ascii="Times New Roman" w:hAnsi="Times New Roman"/>
                <w:noProof/>
                <w:color w:val="000000" w:themeColor="text1"/>
                <w:sz w:val="24"/>
              </w:rPr>
              <w:t>, precum partenerii de implementare, autoritățile centrale și locale, ONU, instituțiile financiare internaționale și societatea civilă, continuând, în același timp, coordonarea cu statele membre ale UE;</w:t>
            </w:r>
          </w:p>
          <w:p w14:paraId="30982178" w14:textId="2BDCAA3D" w:rsidR="00E836EF" w:rsidRPr="00F17992" w:rsidRDefault="007D3A65" w:rsidP="00E836EF">
            <w:pPr>
              <w:pStyle w:val="ListParagraph"/>
              <w:numPr>
                <w:ilvl w:val="0"/>
                <w:numId w:val="5"/>
              </w:numPr>
              <w:jc w:val="both"/>
              <w:rPr>
                <w:rFonts w:ascii="Times New Roman" w:hAnsi="Times New Roman" w:cs="Times New Roman"/>
                <w:noProof/>
                <w:sz w:val="24"/>
                <w:szCs w:val="24"/>
              </w:rPr>
            </w:pPr>
            <w:r>
              <w:rPr>
                <w:rFonts w:ascii="Times New Roman" w:hAnsi="Times New Roman"/>
                <w:noProof/>
                <w:sz w:val="24"/>
              </w:rPr>
              <w:t xml:space="preserve">dezvoltarea și </w:t>
            </w:r>
            <w:r>
              <w:rPr>
                <w:rFonts w:ascii="Times New Roman" w:hAnsi="Times New Roman"/>
                <w:b/>
                <w:bCs/>
                <w:noProof/>
                <w:sz w:val="24"/>
              </w:rPr>
              <w:t>consolidarea parteneriatelor cu țările terțe și cu organizațiile regionale</w:t>
            </w:r>
            <w:r>
              <w:rPr>
                <w:rFonts w:ascii="Times New Roman" w:hAnsi="Times New Roman"/>
                <w:noProof/>
                <w:sz w:val="24"/>
              </w:rPr>
              <w:t xml:space="preserve"> pentru a aborda contextele fragile și a garanta un sprijin financiar, în special cu scopul de a asigura stabilitatea, securitatea și dezvoltarea durabilă în vecinătatea UE și în alte regiuni strategice;</w:t>
            </w:r>
          </w:p>
          <w:p w14:paraId="77B1D68D" w14:textId="19818EF6"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Pr>
                <w:rFonts w:ascii="Times New Roman" w:hAnsi="Times New Roman"/>
                <w:noProof/>
                <w:sz w:val="24"/>
              </w:rPr>
              <w:t xml:space="preserve">intensificarea coordonării în cadrul unei </w:t>
            </w:r>
            <w:r>
              <w:rPr>
                <w:rFonts w:ascii="Times New Roman" w:hAnsi="Times New Roman"/>
                <w:b/>
                <w:bCs/>
                <w:noProof/>
                <w:sz w:val="24"/>
              </w:rPr>
              <w:t>abordări de tip „Echipa Europa”</w:t>
            </w:r>
            <w:r>
              <w:rPr>
                <w:rFonts w:ascii="Times New Roman" w:hAnsi="Times New Roman"/>
                <w:noProof/>
                <w:sz w:val="24"/>
              </w:rPr>
              <w:t>,dar și în cadrul organelor de conducere ale</w:t>
            </w:r>
            <w:r>
              <w:rPr>
                <w:rFonts w:ascii="Times New Roman" w:hAnsi="Times New Roman"/>
                <w:b/>
                <w:bCs/>
                <w:noProof/>
                <w:sz w:val="24"/>
              </w:rPr>
              <w:t xml:space="preserve"> organizațiilor multilaterale</w:t>
            </w:r>
            <w:r>
              <w:rPr>
                <w:rFonts w:ascii="Times New Roman" w:hAnsi="Times New Roman"/>
                <w:noProof/>
                <w:sz w:val="24"/>
              </w:rPr>
              <w:t>;</w:t>
            </w:r>
          </w:p>
          <w:p w14:paraId="5F512C4D" w14:textId="7A6920BB"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efectuarea unei </w:t>
            </w:r>
            <w:r>
              <w:rPr>
                <w:rFonts w:ascii="Times New Roman" w:hAnsi="Times New Roman"/>
                <w:b/>
                <w:bCs/>
                <w:noProof/>
                <w:color w:val="000000" w:themeColor="text1"/>
                <w:sz w:val="24"/>
              </w:rPr>
              <w:t>monitorizări comune</w:t>
            </w:r>
            <w:r>
              <w:rPr>
                <w:rFonts w:ascii="Times New Roman" w:hAnsi="Times New Roman"/>
                <w:noProof/>
                <w:color w:val="000000" w:themeColor="text1"/>
                <w:sz w:val="24"/>
              </w:rPr>
              <w:t xml:space="preserve"> într-un mod mai sistematic și, acolo unde este posibil, în cooperare cu statele membre ale UE;</w:t>
            </w:r>
          </w:p>
          <w:p w14:paraId="2B32CF1A" w14:textId="26529DB5" w:rsidR="004A013E"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organizarea unor </w:t>
            </w:r>
            <w:r>
              <w:rPr>
                <w:rFonts w:ascii="Times New Roman" w:hAnsi="Times New Roman"/>
                <w:b/>
                <w:bCs/>
                <w:noProof/>
                <w:color w:val="000000" w:themeColor="text1"/>
                <w:sz w:val="24"/>
              </w:rPr>
              <w:t>actualizări periodice între servicii</w:t>
            </w:r>
            <w:r>
              <w:rPr>
                <w:rFonts w:ascii="Times New Roman" w:hAnsi="Times New Roman"/>
                <w:noProof/>
                <w:color w:val="000000" w:themeColor="text1"/>
                <w:sz w:val="24"/>
              </w:rPr>
              <w:t xml:space="preserve"> cu privire la implementare și la rezultate pentru a urmări progresele înregistrate;</w:t>
            </w:r>
          </w:p>
          <w:p w14:paraId="503A8269" w14:textId="4A78E572" w:rsidR="61C30E87"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consolidarea investițiilor specifice în </w:t>
            </w:r>
            <w:r>
              <w:rPr>
                <w:rFonts w:ascii="Times New Roman" w:hAnsi="Times New Roman"/>
                <w:b/>
                <w:bCs/>
                <w:noProof/>
                <w:color w:val="000000" w:themeColor="text1"/>
                <w:sz w:val="24"/>
              </w:rPr>
              <w:t>capacitățile instituționale și în managementul cunoștințelor personalului UE</w:t>
            </w:r>
            <w:r>
              <w:rPr>
                <w:rFonts w:ascii="Times New Roman" w:hAnsi="Times New Roman"/>
                <w:noProof/>
                <w:color w:val="000000" w:themeColor="text1"/>
                <w:sz w:val="24"/>
              </w:rPr>
              <w:t xml:space="preserve">, precum și asigurarea unei revizuiri periodice a progreselor/rezultatelor; </w:t>
            </w:r>
          </w:p>
          <w:p w14:paraId="3791F164" w14:textId="1B072533" w:rsidR="61C30E87"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rPr>
            </w:pPr>
            <w:r>
              <w:rPr>
                <w:rFonts w:ascii="Times New Roman" w:hAnsi="Times New Roman"/>
                <w:noProof/>
                <w:sz w:val="24"/>
              </w:rPr>
              <w:t xml:space="preserve">îmbunătățirea </w:t>
            </w:r>
            <w:r>
              <w:rPr>
                <w:rFonts w:ascii="Times New Roman" w:hAnsi="Times New Roman"/>
                <w:b/>
                <w:bCs/>
                <w:noProof/>
                <w:sz w:val="24"/>
              </w:rPr>
              <w:t>comunicării strategice</w:t>
            </w:r>
            <w:r>
              <w:rPr>
                <w:rFonts w:ascii="Times New Roman" w:hAnsi="Times New Roman"/>
                <w:noProof/>
                <w:sz w:val="24"/>
              </w:rPr>
              <w:t xml:space="preserve"> în ceea ce privește contracararea manipulării informațiilor, inclusiv a dezinformării și, acolo unde este cazul, a amenințărilor hibride;</w:t>
            </w:r>
          </w:p>
          <w:p w14:paraId="25571915" w14:textId="14E329B2" w:rsidR="61C30E87" w:rsidRPr="009B0811" w:rsidRDefault="007D3A65" w:rsidP="00321376">
            <w:pPr>
              <w:pStyle w:val="ListParagraph"/>
              <w:numPr>
                <w:ilvl w:val="0"/>
                <w:numId w:val="4"/>
              </w:numPr>
              <w:jc w:val="both"/>
              <w:rPr>
                <w:rFonts w:ascii="Times New Roman" w:hAnsi="Times New Roman"/>
                <w:noProof/>
                <w:color w:val="000000" w:themeColor="text1"/>
                <w:sz w:val="24"/>
              </w:rPr>
            </w:pPr>
            <w:r>
              <w:rPr>
                <w:rFonts w:ascii="Times New Roman" w:hAnsi="Times New Roman"/>
                <w:noProof/>
                <w:color w:val="000000" w:themeColor="text1"/>
                <w:sz w:val="24"/>
              </w:rPr>
              <w:t xml:space="preserve">propunerea unei </w:t>
            </w:r>
            <w:r>
              <w:rPr>
                <w:rFonts w:ascii="Times New Roman" w:hAnsi="Times New Roman"/>
                <w:b/>
                <w:bCs/>
                <w:noProof/>
                <w:color w:val="000000" w:themeColor="text1"/>
                <w:sz w:val="24"/>
              </w:rPr>
              <w:t>evaluări independente</w:t>
            </w:r>
            <w:r>
              <w:rPr>
                <w:rFonts w:ascii="Times New Roman" w:hAnsi="Times New Roman"/>
                <w:noProof/>
                <w:color w:val="000000" w:themeColor="text1"/>
                <w:sz w:val="24"/>
              </w:rPr>
              <w:t xml:space="preserve"> a rezultatelor în cadrul acestei abordări după o perioadă de trei ani.</w:t>
            </w:r>
          </w:p>
        </w:tc>
      </w:tr>
    </w:tbl>
    <w:p w14:paraId="679E34BC" w14:textId="77777777" w:rsidR="00D3761B" w:rsidRDefault="00D3761B" w:rsidP="00456B58">
      <w:pPr>
        <w:spacing w:line="240" w:lineRule="auto"/>
        <w:jc w:val="both"/>
        <w:rPr>
          <w:rFonts w:ascii="Times New Roman" w:hAnsi="Times New Roman" w:cs="Times New Roman"/>
          <w:b/>
          <w:bCs/>
          <w:i/>
          <w:iCs/>
          <w:noProof/>
        </w:rPr>
      </w:pPr>
      <w:bookmarkStart w:id="7" w:name="_Hlk221099772"/>
    </w:p>
    <w:p w14:paraId="1D153C49" w14:textId="2155E862" w:rsidR="00456B58" w:rsidRPr="00970492" w:rsidRDefault="00456B58" w:rsidP="00456B58">
      <w:pPr>
        <w:spacing w:line="240" w:lineRule="auto"/>
        <w:jc w:val="both"/>
        <w:rPr>
          <w:rFonts w:ascii="Times New Roman" w:hAnsi="Times New Roman" w:cs="Times New Roman"/>
          <w:b/>
          <w:bCs/>
          <w:i/>
          <w:iCs/>
          <w:noProof/>
        </w:rPr>
      </w:pPr>
      <w:r>
        <w:rPr>
          <w:rFonts w:ascii="Times New Roman" w:hAnsi="Times New Roman"/>
          <w:b/>
          <w:i/>
          <w:noProof/>
        </w:rPr>
        <w:t>3.2. Colaborarea cu sectorul privat și cu actorii netradiționali în răspunsul umanitar</w:t>
      </w:r>
    </w:p>
    <w:p w14:paraId="52B67B62" w14:textId="77067576" w:rsidR="00456B58" w:rsidRPr="00CD3063" w:rsidRDefault="00456B58" w:rsidP="00456B58">
      <w:pPr>
        <w:spacing w:line="240" w:lineRule="auto"/>
        <w:jc w:val="both"/>
        <w:rPr>
          <w:rFonts w:ascii="Times New Roman" w:hAnsi="Times New Roman" w:cs="Times New Roman"/>
          <w:b/>
          <w:bCs/>
          <w:noProof/>
        </w:rPr>
      </w:pPr>
      <w:r>
        <w:rPr>
          <w:rFonts w:ascii="Times New Roman" w:hAnsi="Times New Roman"/>
          <w:b/>
          <w:bCs/>
          <w:noProof/>
        </w:rPr>
        <w:t>Reducerea deficitului de finanțare a ajutorului umanitar</w:t>
      </w:r>
      <w:r>
        <w:rPr>
          <w:rFonts w:ascii="Times New Roman" w:hAnsi="Times New Roman"/>
          <w:noProof/>
        </w:rPr>
        <w:t xml:space="preserve"> va necesita valorificarea resurselor, a competențelor situaționale și a avantajelor comparative ale unei game mai extinse de actori din afara domeniului umanitar tradițional, inclusiv </w:t>
      </w:r>
      <w:r>
        <w:rPr>
          <w:rFonts w:ascii="Times New Roman" w:hAnsi="Times New Roman"/>
          <w:b/>
          <w:noProof/>
        </w:rPr>
        <w:t>sectorul privat, organizațiile filantropice, o gamă mai largă de donatori și publicul larg</w:t>
      </w:r>
      <w:r>
        <w:rPr>
          <w:rFonts w:ascii="Times New Roman" w:hAnsi="Times New Roman"/>
          <w:noProof/>
        </w:rPr>
        <w:t>.</w:t>
      </w:r>
    </w:p>
    <w:p w14:paraId="3DA847A7" w14:textId="5BA29C99" w:rsidR="00456B58" w:rsidRPr="00970492" w:rsidRDefault="00456B58" w:rsidP="00456B58">
      <w:pPr>
        <w:spacing w:line="240" w:lineRule="auto"/>
        <w:jc w:val="both"/>
        <w:rPr>
          <w:rFonts w:ascii="Times New Roman" w:hAnsi="Times New Roman" w:cs="Times New Roman"/>
          <w:noProof/>
        </w:rPr>
      </w:pPr>
      <w:r>
        <w:rPr>
          <w:rFonts w:ascii="Times New Roman" w:hAnsi="Times New Roman"/>
          <w:b/>
          <w:bCs/>
          <w:noProof/>
        </w:rPr>
        <w:t>Sectorul privat</w:t>
      </w:r>
      <w:r>
        <w:rPr>
          <w:rFonts w:ascii="Times New Roman" w:hAnsi="Times New Roman"/>
          <w:noProof/>
        </w:rPr>
        <w:t xml:space="preserve"> este un partener important care poate aduce expertiză tehnică, inovare și acces la tehnologii precum IA, precum și finanțare. Acesta poate contribui, de asemenea, la implementarea unor soluții durabile la nivel local prin consolidarea rezilienței pieței și prin crearea de oportunități economice pentru populațiile afectate. În contexte vulnerabile, microîntreprinderile, întreprinderile mici și sectorul informal joacă un rol esențial. Acestea ar trebui să aibă capacitatea de a contribui la îmbunătățirea rezilienței pe termen lung.</w:t>
      </w:r>
    </w:p>
    <w:p w14:paraId="33B94267" w14:textId="663CFF87" w:rsidR="00456B58" w:rsidRPr="009B0811" w:rsidRDefault="00456B58" w:rsidP="00456B58">
      <w:pPr>
        <w:spacing w:line="240" w:lineRule="auto"/>
        <w:jc w:val="both"/>
        <w:rPr>
          <w:rFonts w:ascii="Times New Roman" w:hAnsi="Times New Roman" w:cs="Times New Roman"/>
          <w:noProof/>
        </w:rPr>
      </w:pPr>
      <w:r>
        <w:rPr>
          <w:rFonts w:ascii="Times New Roman" w:hAnsi="Times New Roman"/>
          <w:noProof/>
        </w:rPr>
        <w:t xml:space="preserve">Întrucât aceste întreprinderi din prima linie se confruntă cu cele mai mari dificultăți de acces la creditare, ar trebui dezvoltate stimulente precum </w:t>
      </w:r>
      <w:r>
        <w:rPr>
          <w:rFonts w:ascii="Times New Roman" w:hAnsi="Times New Roman"/>
          <w:b/>
          <w:bCs/>
          <w:noProof/>
        </w:rPr>
        <w:t>instrumente de reducere a riscurilor, asistență tehnică și date îmbunătățite privind investițiile</w:t>
      </w:r>
      <w:r>
        <w:rPr>
          <w:rFonts w:ascii="Times New Roman" w:hAnsi="Times New Roman"/>
          <w:noProof/>
        </w:rPr>
        <w:t>, pentru a încuraja furnizorii de finanțare internaționali și naționali să îmbunătățească accesul la capital al întreprinderilor respective. Pe baza mai multor proiecte-pilot de succes dedicate finanțării umanitare mixte, UE va continua să sprijine astfel de inițiative ca parte a angajamentului său de a promova soluții durabile și de a ajuta actorii umanitari să se retragă din zona respectivă atunci când condițiile permit acest lucru.</w:t>
      </w:r>
    </w:p>
    <w:p w14:paraId="529D4199" w14:textId="2111CAB7" w:rsidR="00964172" w:rsidRPr="009B0811" w:rsidRDefault="72541D1E" w:rsidP="00964172">
      <w:pPr>
        <w:spacing w:line="240" w:lineRule="auto"/>
        <w:jc w:val="both"/>
        <w:rPr>
          <w:rFonts w:ascii="Times New Roman" w:eastAsia="Times New Roman" w:hAnsi="Times New Roman" w:cs="Times New Roman"/>
          <w:noProof/>
        </w:rPr>
      </w:pPr>
      <w:r>
        <w:rPr>
          <w:rFonts w:ascii="Times New Roman" w:hAnsi="Times New Roman"/>
          <w:noProof/>
        </w:rPr>
        <w:t xml:space="preserve">De asemenea, UE va conduce dezbaterea în cadrul sectorului umanitar cu privire la </w:t>
      </w:r>
      <w:r>
        <w:rPr>
          <w:rFonts w:ascii="Times New Roman" w:hAnsi="Times New Roman"/>
          <w:b/>
          <w:bCs/>
          <w:noProof/>
        </w:rPr>
        <w:t>intensificarea implicării sectorului privat în contexte umanitare și fragile.</w:t>
      </w:r>
      <w:r>
        <w:rPr>
          <w:rFonts w:ascii="Times New Roman" w:hAnsi="Times New Roman"/>
          <w:noProof/>
        </w:rPr>
        <w:t xml:space="preserve"> Aceasta include abordarea obstacolelor din calea accesului la finanțare și a incluziunii financiare, dar și extinderea parteneriatelor dintre actorii privați și cei umanitari în domenii precum logistica și tehnologia sau accesul la servicii publice de bază. </w:t>
      </w:r>
      <w:r>
        <w:rPr>
          <w:rFonts w:ascii="Times New Roman" w:hAnsi="Times New Roman"/>
          <w:b/>
          <w:bCs/>
          <w:noProof/>
        </w:rPr>
        <w:t>Tehnologiile IA bazate pe date</w:t>
      </w:r>
      <w:r>
        <w:rPr>
          <w:rFonts w:ascii="Times New Roman" w:hAnsi="Times New Roman"/>
          <w:noProof/>
        </w:rPr>
        <w:t xml:space="preserve"> transformă treptat domeniul umanitar. UE va colabora cu partenerii tradiționali și cu alți actori pentru a studia modalități de utilizare a IA în vederea consolidării ajutorului umanitar, reducând în același timp riscurile pe parcursul ciclului de criză.</w:t>
      </w:r>
    </w:p>
    <w:p w14:paraId="458AA1DC" w14:textId="156F2341" w:rsidR="00456B58" w:rsidRPr="009B0811" w:rsidRDefault="00C4511E" w:rsidP="00456B58">
      <w:pPr>
        <w:spacing w:line="240" w:lineRule="auto"/>
        <w:jc w:val="both"/>
        <w:rPr>
          <w:rFonts w:ascii="Times New Roman" w:hAnsi="Times New Roman" w:cs="Times New Roman"/>
          <w:noProof/>
        </w:rPr>
      </w:pPr>
      <w:r>
        <w:rPr>
          <w:rFonts w:ascii="Times New Roman" w:hAnsi="Times New Roman"/>
          <w:noProof/>
        </w:rPr>
        <w:t xml:space="preserve">Pe lângă implicarea sectorului privat, colaborarea cu </w:t>
      </w:r>
      <w:r>
        <w:rPr>
          <w:rFonts w:ascii="Times New Roman" w:hAnsi="Times New Roman"/>
          <w:b/>
          <w:bCs/>
          <w:noProof/>
        </w:rPr>
        <w:t>donatorii netradiționali</w:t>
      </w:r>
      <w:r>
        <w:rPr>
          <w:rFonts w:ascii="Times New Roman" w:hAnsi="Times New Roman"/>
          <w:noProof/>
        </w:rPr>
        <w:t xml:space="preserve"> și valorificarea complementarităților sunt importante. UE are deja parteneriate solide cu numeroși actori internaționali, cum ar fi Uniunea Africană, Asociația Națiunilor din Asia de Sud-Est și statele Consiliului de Cooperare al Golfului. UE va identifica în mod strategic domeniile în cadrul cărora poate fi îmbunătățită cooperarea în materie de ajutor umanitar și de gestionare a riscurilor de dezastre.</w:t>
      </w:r>
    </w:p>
    <w:p w14:paraId="72703F9F" w14:textId="62FACC59" w:rsidR="00456B58" w:rsidRPr="009B0811" w:rsidRDefault="008365F2" w:rsidP="00456B58">
      <w:pPr>
        <w:spacing w:line="240" w:lineRule="auto"/>
        <w:jc w:val="both"/>
        <w:rPr>
          <w:rFonts w:ascii="Times New Roman" w:hAnsi="Times New Roman" w:cs="Times New Roman"/>
          <w:noProof/>
        </w:rPr>
      </w:pPr>
      <w:r>
        <w:rPr>
          <w:rFonts w:ascii="Times New Roman" w:hAnsi="Times New Roman"/>
          <w:noProof/>
        </w:rPr>
        <w:t>Sondajele Eurobarometru au evidențiat în mod constant un sprijin puternic din partea populației pentru asistența umanitară acordată de UE. În anul 2024, 91 % dintre respondenții la sondajul Eurobarometru au considerat că este important ca UE să finanțeze ajutorul umanitar(</w:t>
      </w:r>
      <w:r>
        <w:rPr>
          <w:rStyle w:val="FootnoteReference"/>
          <w:rFonts w:ascii="Times New Roman" w:hAnsi="Times New Roman" w:cs="Times New Roman"/>
          <w:noProof/>
          <w:lang w:val="en-GB"/>
        </w:rPr>
        <w:footnoteReference w:id="41"/>
      </w:r>
      <w:r>
        <w:rPr>
          <w:rFonts w:ascii="Times New Roman" w:hAnsi="Times New Roman"/>
          <w:noProof/>
        </w:rPr>
        <w:t xml:space="preserve">) . Un astfel de sprijin nu poate fi considerat de la sine înțeles și poate fi subminat de un val tot mai mare de manipulare a informațiilor, inclusiv de dezinformare. UE va continua să își consolideze </w:t>
      </w:r>
      <w:r>
        <w:rPr>
          <w:rFonts w:ascii="Times New Roman" w:hAnsi="Times New Roman"/>
          <w:b/>
          <w:bCs/>
          <w:noProof/>
        </w:rPr>
        <w:t>dialogul cu cetățenii UE</w:t>
      </w:r>
      <w:r>
        <w:rPr>
          <w:rFonts w:ascii="Times New Roman" w:hAnsi="Times New Roman"/>
          <w:noProof/>
        </w:rPr>
        <w:t xml:space="preserve"> și să promoveze în mod transparent acțiunea umanitară.</w:t>
      </w:r>
    </w:p>
    <w:tbl>
      <w:tblPr>
        <w:tblStyle w:val="TableGrid"/>
        <w:tblW w:w="0" w:type="auto"/>
        <w:tblLook w:val="04A0" w:firstRow="1" w:lastRow="0" w:firstColumn="1" w:lastColumn="0" w:noHBand="0" w:noVBand="1"/>
      </w:tblPr>
      <w:tblGrid>
        <w:gridCol w:w="9062"/>
      </w:tblGrid>
      <w:tr w:rsidR="00456B58" w:rsidRPr="009B0811" w14:paraId="47965DEF" w14:textId="77777777" w:rsidTr="46C62D5D">
        <w:tc>
          <w:tcPr>
            <w:tcW w:w="9288" w:type="dxa"/>
            <w:shd w:val="clear" w:color="auto" w:fill="F2F2F2" w:themeFill="background1" w:themeFillShade="F2"/>
          </w:tcPr>
          <w:p w14:paraId="5745BAA2" w14:textId="47584487" w:rsidR="00456B58" w:rsidRPr="00F17992" w:rsidRDefault="00456B58" w:rsidP="004942CF">
            <w:pPr>
              <w:spacing w:after="160"/>
              <w:jc w:val="both"/>
              <w:rPr>
                <w:rFonts w:ascii="Times New Roman" w:hAnsi="Times New Roman" w:cs="Times New Roman"/>
                <w:b/>
                <w:bCs/>
                <w:noProof/>
                <w:sz w:val="24"/>
                <w:szCs w:val="24"/>
              </w:rPr>
            </w:pPr>
            <w:r>
              <w:rPr>
                <w:rFonts w:ascii="Times New Roman" w:hAnsi="Times New Roman"/>
                <w:b/>
                <w:noProof/>
                <w:sz w:val="24"/>
              </w:rPr>
              <w:t>Acțiuni-cheie</w:t>
            </w:r>
          </w:p>
          <w:p w14:paraId="2915CD11" w14:textId="3C3648A7" w:rsidR="00456B58" w:rsidRPr="00F17992" w:rsidRDefault="00456B58" w:rsidP="00954118">
            <w:pPr>
              <w:jc w:val="both"/>
              <w:rPr>
                <w:rFonts w:ascii="Times New Roman" w:hAnsi="Times New Roman" w:cs="Times New Roman"/>
                <w:noProof/>
                <w:sz w:val="24"/>
                <w:szCs w:val="24"/>
              </w:rPr>
            </w:pPr>
            <w:r>
              <w:rPr>
                <w:rFonts w:ascii="Times New Roman" w:hAnsi="Times New Roman"/>
                <w:noProof/>
                <w:sz w:val="24"/>
              </w:rPr>
              <w:t>Comisia va întreprinde următoarele acțiuni:</w:t>
            </w:r>
          </w:p>
          <w:p w14:paraId="4468D473" w14:textId="7EA4681C" w:rsidR="00456B58" w:rsidRPr="00F17992" w:rsidRDefault="007D3A65" w:rsidP="00954118">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rPr>
              <w:t>dezvoltarea, în cooperare cu Forumul Economic Mondial, a unei</w:t>
            </w:r>
            <w:r>
              <w:rPr>
                <w:rFonts w:ascii="Times New Roman" w:hAnsi="Times New Roman"/>
                <w:b/>
                <w:bCs/>
                <w:noProof/>
                <w:sz w:val="24"/>
              </w:rPr>
              <w:t xml:space="preserve"> platforme mondiale pentru colaborarea cu sectorul privat</w:t>
            </w:r>
            <w:r>
              <w:rPr>
                <w:rFonts w:ascii="Times New Roman" w:hAnsi="Times New Roman"/>
                <w:noProof/>
                <w:sz w:val="24"/>
              </w:rPr>
              <w:t xml:space="preserve"> în contexte umanitare în scopul de a discuta despre mediul de investiții, donații și filantropie, etică și parteneriate;</w:t>
            </w:r>
          </w:p>
          <w:p w14:paraId="04AB205D" w14:textId="66EBB7E0" w:rsidR="00456B58" w:rsidRPr="00F17992" w:rsidRDefault="007D3A65" w:rsidP="00321376">
            <w:pPr>
              <w:pStyle w:val="ListParagraph"/>
              <w:numPr>
                <w:ilvl w:val="0"/>
                <w:numId w:val="12"/>
              </w:numPr>
              <w:spacing w:after="240"/>
              <w:jc w:val="both"/>
              <w:rPr>
                <w:rFonts w:ascii="Times New Roman" w:hAnsi="Times New Roman" w:cs="Times New Roman"/>
                <w:i/>
                <w:iCs/>
                <w:noProof/>
                <w:sz w:val="24"/>
                <w:szCs w:val="24"/>
              </w:rPr>
            </w:pPr>
            <w:r>
              <w:rPr>
                <w:rFonts w:ascii="Times New Roman" w:hAnsi="Times New Roman"/>
                <w:noProof/>
                <w:sz w:val="24"/>
              </w:rPr>
              <w:t xml:space="preserve">majorarea </w:t>
            </w:r>
            <w:r>
              <w:rPr>
                <w:rFonts w:ascii="Times New Roman" w:hAnsi="Times New Roman"/>
                <w:b/>
                <w:noProof/>
                <w:sz w:val="24"/>
              </w:rPr>
              <w:t>finanțării</w:t>
            </w:r>
            <w:r>
              <w:rPr>
                <w:rFonts w:ascii="Times New Roman" w:hAnsi="Times New Roman"/>
                <w:noProof/>
                <w:sz w:val="24"/>
              </w:rPr>
              <w:t xml:space="preserve"> </w:t>
            </w:r>
            <w:r>
              <w:rPr>
                <w:rFonts w:ascii="Times New Roman" w:hAnsi="Times New Roman"/>
                <w:b/>
                <w:bCs/>
                <w:noProof/>
                <w:sz w:val="24"/>
              </w:rPr>
              <w:t>pentru proiectele care sprijină implicarea sectorului privat</w:t>
            </w:r>
            <w:r>
              <w:rPr>
                <w:rFonts w:ascii="Times New Roman" w:hAnsi="Times New Roman"/>
                <w:noProof/>
                <w:sz w:val="24"/>
              </w:rPr>
              <w:t xml:space="preserve"> în contexte umanitare prelungite, coordonând în același timp aceste eforturi împreună cu actorii din domeniul dezvoltării;</w:t>
            </w:r>
          </w:p>
          <w:p w14:paraId="3405486F" w14:textId="4251407B" w:rsidR="00456B58" w:rsidRPr="00F17992" w:rsidRDefault="007D3A65" w:rsidP="00321376">
            <w:pPr>
              <w:pStyle w:val="ListParagraph"/>
              <w:numPr>
                <w:ilvl w:val="0"/>
                <w:numId w:val="12"/>
              </w:numPr>
              <w:spacing w:after="240"/>
              <w:jc w:val="both"/>
              <w:rPr>
                <w:rFonts w:ascii="Times New Roman" w:hAnsi="Times New Roman" w:cs="Times New Roman"/>
                <w:i/>
                <w:iCs/>
                <w:noProof/>
                <w:sz w:val="24"/>
                <w:szCs w:val="24"/>
              </w:rPr>
            </w:pPr>
            <w:r>
              <w:rPr>
                <w:rFonts w:ascii="Times New Roman" w:hAnsi="Times New Roman"/>
                <w:noProof/>
                <w:sz w:val="24"/>
              </w:rPr>
              <w:t>adoptarea</w:t>
            </w:r>
            <w:r>
              <w:rPr>
                <w:rFonts w:ascii="Times New Roman" w:hAnsi="Times New Roman"/>
                <w:b/>
                <w:bCs/>
                <w:noProof/>
                <w:sz w:val="24"/>
              </w:rPr>
              <w:t xml:space="preserve"> unui cadru de politică pentru implicarea noilor donatori și actori</w:t>
            </w:r>
            <w:r>
              <w:rPr>
                <w:rFonts w:ascii="Times New Roman" w:hAnsi="Times New Roman"/>
                <w:noProof/>
                <w:sz w:val="24"/>
              </w:rPr>
              <w:t xml:space="preserve"> în răspunsurile umanitare. Acest cadru va identifica domenii concrete și regiuni prioritare în care se poate coopera cu diferiți actori;</w:t>
            </w:r>
          </w:p>
          <w:p w14:paraId="49B88A17" w14:textId="42238F6B" w:rsidR="00456B58" w:rsidRPr="009B0811" w:rsidRDefault="007D3A65" w:rsidP="00321376">
            <w:pPr>
              <w:pStyle w:val="ListParagraph"/>
              <w:numPr>
                <w:ilvl w:val="0"/>
                <w:numId w:val="12"/>
              </w:numPr>
              <w:spacing w:after="240"/>
              <w:jc w:val="both"/>
              <w:rPr>
                <w:rFonts w:ascii="Times New Roman" w:hAnsi="Times New Roman" w:cs="Times New Roman"/>
                <w:noProof/>
                <w:sz w:val="24"/>
                <w:szCs w:val="24"/>
              </w:rPr>
            </w:pPr>
            <w:r>
              <w:rPr>
                <w:rFonts w:ascii="Times New Roman" w:hAnsi="Times New Roman"/>
                <w:noProof/>
                <w:sz w:val="24"/>
              </w:rPr>
              <w:t xml:space="preserve">intensificarea </w:t>
            </w:r>
            <w:r>
              <w:rPr>
                <w:rFonts w:ascii="Times New Roman" w:hAnsi="Times New Roman"/>
                <w:b/>
                <w:noProof/>
                <w:sz w:val="24"/>
              </w:rPr>
              <w:t>dialogului cu cetățenii UE</w:t>
            </w:r>
            <w:r>
              <w:rPr>
                <w:rFonts w:ascii="Times New Roman" w:hAnsi="Times New Roman"/>
                <w:noProof/>
                <w:sz w:val="24"/>
              </w:rPr>
              <w:t>, de exemplu prin campanii de comunicare sau dialoguri ad-hoc specifice.</w:t>
            </w:r>
          </w:p>
        </w:tc>
      </w:tr>
      <w:bookmarkEnd w:id="7"/>
    </w:tbl>
    <w:p w14:paraId="2FC7CA5E" w14:textId="77777777" w:rsidR="00222975" w:rsidRPr="006346F7" w:rsidRDefault="00222975" w:rsidP="00456B58">
      <w:pPr>
        <w:spacing w:line="240" w:lineRule="auto"/>
        <w:jc w:val="both"/>
        <w:rPr>
          <w:rFonts w:ascii="Times New Roman" w:hAnsi="Times New Roman" w:cs="Times New Roman"/>
          <w:b/>
          <w:bCs/>
          <w:i/>
          <w:iCs/>
          <w:noProof/>
          <w:lang w:val="fr-FR"/>
        </w:rPr>
      </w:pPr>
    </w:p>
    <w:p w14:paraId="51EA39DB" w14:textId="5FDCAC38" w:rsidR="00456B58" w:rsidRPr="009B0811" w:rsidRDefault="00456B58" w:rsidP="00456B58">
      <w:pPr>
        <w:spacing w:line="240" w:lineRule="auto"/>
        <w:jc w:val="both"/>
        <w:rPr>
          <w:rFonts w:ascii="Times New Roman" w:hAnsi="Times New Roman" w:cs="Times New Roman"/>
          <w:b/>
          <w:bCs/>
          <w:i/>
          <w:iCs/>
          <w:noProof/>
        </w:rPr>
      </w:pPr>
      <w:r>
        <w:rPr>
          <w:rFonts w:ascii="Times New Roman" w:hAnsi="Times New Roman"/>
          <w:b/>
          <w:i/>
          <w:noProof/>
        </w:rPr>
        <w:t>3.3. Obținerea de rezultate printr-o abordare de tip „Echipa Europa”</w:t>
      </w:r>
    </w:p>
    <w:p w14:paraId="21BA7694" w14:textId="5C3535CC" w:rsidR="00456B58" w:rsidRPr="009B0811" w:rsidRDefault="00456B58" w:rsidP="00456B58">
      <w:pPr>
        <w:spacing w:line="240" w:lineRule="auto"/>
        <w:jc w:val="both"/>
        <w:rPr>
          <w:rFonts w:ascii="Times New Roman" w:hAnsi="Times New Roman" w:cs="Times New Roman"/>
          <w:noProof/>
        </w:rPr>
      </w:pPr>
      <w:r>
        <w:rPr>
          <w:rFonts w:ascii="Times New Roman" w:hAnsi="Times New Roman"/>
          <w:b/>
          <w:noProof/>
        </w:rPr>
        <w:t>Împreună, UE și statele sale membre furnizează cea mai mare parte a finanțării umanitare la nivel mondial.</w:t>
      </w:r>
      <w:r>
        <w:rPr>
          <w:rFonts w:ascii="Times New Roman" w:hAnsi="Times New Roman"/>
          <w:noProof/>
        </w:rPr>
        <w:t xml:space="preserve"> În conformitate cu prevederile Consensului european privind ajutorul umanitar, acestea împărtășesc un angajament ferm față de principiile umanitare și asistența bazată pe nevoi, precum și față de un sistem multilateral, bazat pe norme. În ceea ce privește planificarea și funcționarea,</w:t>
      </w:r>
      <w:r>
        <w:rPr>
          <w:rFonts w:ascii="Times New Roman" w:hAnsi="Times New Roman"/>
          <w:b/>
          <w:bCs/>
          <w:noProof/>
        </w:rPr>
        <w:t xml:space="preserve"> o mai bună aliniere</w:t>
      </w:r>
      <w:r>
        <w:rPr>
          <w:rFonts w:ascii="Times New Roman" w:hAnsi="Times New Roman"/>
          <w:noProof/>
        </w:rPr>
        <w:t xml:space="preserve"> între UE și statele sale membre ar avea ca rezultat un impact și mai mare și le-ar permite să-și facă vocea mai bine auzită atunci când se exprimă împreună. </w:t>
      </w:r>
    </w:p>
    <w:p w14:paraId="0963D473" w14:textId="259715EC" w:rsidR="00456B58" w:rsidRPr="009B0811" w:rsidRDefault="00456B58" w:rsidP="00456B58">
      <w:pPr>
        <w:spacing w:line="240" w:lineRule="auto"/>
        <w:jc w:val="both"/>
        <w:rPr>
          <w:rFonts w:ascii="Times New Roman" w:hAnsi="Times New Roman" w:cs="Times New Roman"/>
          <w:noProof/>
        </w:rPr>
      </w:pPr>
      <w:r>
        <w:rPr>
          <w:rFonts w:ascii="Times New Roman" w:hAnsi="Times New Roman"/>
          <w:noProof/>
        </w:rPr>
        <w:t xml:space="preserve">În contextul actual, marcat de penuria de resurse, partenerii de implementare sprijiniți de UE și de statele sale membre ar beneficia de pe urma unor </w:t>
      </w:r>
      <w:r>
        <w:rPr>
          <w:rFonts w:ascii="Times New Roman" w:hAnsi="Times New Roman"/>
          <w:b/>
          <w:bCs/>
          <w:noProof/>
        </w:rPr>
        <w:t>cerințe mai armonizate în ceea ce privește donatorii</w:t>
      </w:r>
      <w:r>
        <w:rPr>
          <w:rFonts w:ascii="Times New Roman" w:hAnsi="Times New Roman"/>
          <w:noProof/>
        </w:rPr>
        <w:t xml:space="preserve">, care le-ar permite să facă economii considerabile. </w:t>
      </w:r>
    </w:p>
    <w:p w14:paraId="55D9FA98" w14:textId="78B8A935" w:rsidR="00456B58" w:rsidRPr="009B0811" w:rsidRDefault="00103674" w:rsidP="00456B58">
      <w:pPr>
        <w:spacing w:line="240" w:lineRule="auto"/>
        <w:jc w:val="both"/>
        <w:rPr>
          <w:rFonts w:ascii="Times New Roman" w:hAnsi="Times New Roman" w:cs="Times New Roman"/>
          <w:noProof/>
        </w:rPr>
      </w:pPr>
      <w:r>
        <w:rPr>
          <w:rFonts w:ascii="Times New Roman" w:hAnsi="Times New Roman"/>
          <w:noProof/>
        </w:rPr>
        <w:t xml:space="preserve">Prin urmare, pentru a completa abordarea de tip „Echipa Europa” detaliată în prezenta comunicare, UE va promova </w:t>
      </w:r>
      <w:r>
        <w:rPr>
          <w:rFonts w:ascii="Times New Roman" w:hAnsi="Times New Roman"/>
          <w:b/>
          <w:bCs/>
          <w:noProof/>
        </w:rPr>
        <w:t>procese de finanțare armonizate și interoperabile</w:t>
      </w:r>
      <w:r>
        <w:rPr>
          <w:rFonts w:ascii="Times New Roman" w:hAnsi="Times New Roman"/>
          <w:noProof/>
        </w:rPr>
        <w:t xml:space="preserve"> la nivelul „Echipei Europa”. În principal, o mai bună aliniere pe plan digital ar face posibilă punerea în comun a resurselor „Echipei Europa” într-un mod mai eficace și mai coerent. Aceasta ar îmbunătăți, de asemenea, rezultatele umanitare și vizibilitatea „Echipei Europa”, reducând în același timp sarcina administrativă asupra partenerilor. </w:t>
      </w:r>
    </w:p>
    <w:tbl>
      <w:tblPr>
        <w:tblStyle w:val="TableGrid"/>
        <w:tblW w:w="0" w:type="auto"/>
        <w:tblLook w:val="04A0" w:firstRow="1" w:lastRow="0" w:firstColumn="1" w:lastColumn="0" w:noHBand="0" w:noVBand="1"/>
      </w:tblPr>
      <w:tblGrid>
        <w:gridCol w:w="9062"/>
      </w:tblGrid>
      <w:tr w:rsidR="00456B58" w:rsidRPr="009B0811" w14:paraId="07F143D8" w14:textId="77777777" w:rsidTr="004942CF">
        <w:tc>
          <w:tcPr>
            <w:tcW w:w="9288" w:type="dxa"/>
            <w:shd w:val="clear" w:color="auto" w:fill="F2F2F2" w:themeFill="background1" w:themeFillShade="F2"/>
          </w:tcPr>
          <w:p w14:paraId="266F899D" w14:textId="4285F2AB" w:rsidR="00456B58" w:rsidRPr="00F17992" w:rsidRDefault="00456B58" w:rsidP="004942CF">
            <w:pPr>
              <w:jc w:val="both"/>
              <w:rPr>
                <w:rFonts w:ascii="Times New Roman" w:hAnsi="Times New Roman" w:cs="Times New Roman"/>
                <w:b/>
                <w:bCs/>
                <w:noProof/>
                <w:sz w:val="24"/>
                <w:szCs w:val="24"/>
              </w:rPr>
            </w:pPr>
            <w:r>
              <w:rPr>
                <w:rFonts w:ascii="Times New Roman" w:hAnsi="Times New Roman"/>
                <w:b/>
                <w:noProof/>
                <w:sz w:val="24"/>
              </w:rPr>
              <w:t>Acțiuni-cheie</w:t>
            </w:r>
          </w:p>
          <w:p w14:paraId="1FFF1132" w14:textId="77777777" w:rsidR="00456B58" w:rsidRPr="006346F7" w:rsidRDefault="00456B58" w:rsidP="004942CF">
            <w:pPr>
              <w:jc w:val="both"/>
              <w:rPr>
                <w:rFonts w:ascii="Times New Roman" w:hAnsi="Times New Roman" w:cs="Times New Roman"/>
                <w:b/>
                <w:bCs/>
                <w:noProof/>
                <w:sz w:val="24"/>
                <w:szCs w:val="24"/>
                <w:lang w:val="fr-FR"/>
              </w:rPr>
            </w:pPr>
          </w:p>
          <w:p w14:paraId="174377BE" w14:textId="33F1C948" w:rsidR="00456B58" w:rsidRPr="00F17992" w:rsidRDefault="00456B58" w:rsidP="004942CF">
            <w:pPr>
              <w:jc w:val="both"/>
              <w:rPr>
                <w:rFonts w:ascii="Times New Roman" w:hAnsi="Times New Roman" w:cs="Times New Roman"/>
                <w:noProof/>
                <w:sz w:val="24"/>
                <w:szCs w:val="24"/>
              </w:rPr>
            </w:pPr>
            <w:r>
              <w:rPr>
                <w:rFonts w:ascii="Times New Roman" w:hAnsi="Times New Roman"/>
                <w:noProof/>
                <w:sz w:val="24"/>
              </w:rPr>
              <w:t>Comisia va întreprinde următoarele acțiuni:</w:t>
            </w:r>
          </w:p>
          <w:p w14:paraId="12557FEE" w14:textId="51335A83"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rPr>
            </w:pPr>
            <w:r>
              <w:rPr>
                <w:rFonts w:ascii="Times New Roman" w:hAnsi="Times New Roman"/>
                <w:noProof/>
                <w:sz w:val="24"/>
              </w:rPr>
              <w:t xml:space="preserve">în completarea efortului său de facilitare a gestionării granturilor, </w:t>
            </w:r>
            <w:r>
              <w:rPr>
                <w:rFonts w:ascii="Times New Roman" w:hAnsi="Times New Roman"/>
                <w:b/>
                <w:bCs/>
                <w:noProof/>
                <w:sz w:val="24"/>
              </w:rPr>
              <w:t xml:space="preserve">își va simplifica </w:t>
            </w:r>
            <w:r>
              <w:rPr>
                <w:rFonts w:ascii="Times New Roman" w:hAnsi="Times New Roman"/>
                <w:noProof/>
                <w:sz w:val="24"/>
              </w:rPr>
              <w:t>în mod semnificativ</w:t>
            </w:r>
            <w:r>
              <w:rPr>
                <w:rFonts w:ascii="Times New Roman" w:hAnsi="Times New Roman"/>
                <w:b/>
                <w:bCs/>
                <w:noProof/>
                <w:sz w:val="24"/>
              </w:rPr>
              <w:t xml:space="preserve"> cerințele fără caracter de reglementare</w:t>
            </w:r>
            <w:r>
              <w:rPr>
                <w:rFonts w:ascii="Times New Roman" w:hAnsi="Times New Roman"/>
                <w:noProof/>
                <w:sz w:val="24"/>
              </w:rPr>
              <w:t>, inclusiv orientările sale de politică umanitară și cerințele de raportare. Aceste proceduri simplificate pot servi drept bază comună pentru abordările de finanțare ale „Echipei Europa”;</w:t>
            </w:r>
          </w:p>
          <w:p w14:paraId="75198102" w14:textId="19C45D11"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rPr>
            </w:pPr>
            <w:r>
              <w:rPr>
                <w:rFonts w:ascii="Times New Roman" w:hAnsi="Times New Roman"/>
                <w:noProof/>
                <w:sz w:val="24"/>
              </w:rPr>
              <w:t xml:space="preserve">cu obiectivul de a fi pregătită pentru următorul cadru financiar multianual (2028-2034), va depune eforturi în direcția unui </w:t>
            </w:r>
            <w:r>
              <w:rPr>
                <w:rFonts w:ascii="Times New Roman" w:hAnsi="Times New Roman"/>
                <w:b/>
                <w:bCs/>
                <w:noProof/>
                <w:sz w:val="24"/>
              </w:rPr>
              <w:t>cadru de certificare</w:t>
            </w:r>
            <w:r>
              <w:rPr>
                <w:rFonts w:ascii="Times New Roman" w:hAnsi="Times New Roman"/>
                <w:noProof/>
                <w:sz w:val="24"/>
              </w:rPr>
              <w:t xml:space="preserve"> pentru ONG-urile umanitare cu valabilitate transversală în mai multe state membre ale UE, în beneficiul atât al statelor membre ale UE, cât și al partenerilor;</w:t>
            </w:r>
          </w:p>
          <w:p w14:paraId="6E7728BA" w14:textId="4A193DC1" w:rsidR="00456B58" w:rsidRPr="00F17992" w:rsidRDefault="007D3A65" w:rsidP="00321376">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 xml:space="preserve">pe parcursul întregului ciclu de viață al finanțării umanitare și în domeniul portofoliilor de răspuns la urgențe, va analiza, împreună cu statele membre ale UE, </w:t>
            </w:r>
            <w:r>
              <w:rPr>
                <w:rFonts w:ascii="Times New Roman" w:hAnsi="Times New Roman"/>
                <w:b/>
                <w:bCs/>
                <w:noProof/>
                <w:sz w:val="24"/>
              </w:rPr>
              <w:t>sinergii suplimentare, abordări comune, modalități partajate și structuri de coordonare</w:t>
            </w:r>
            <w:r>
              <w:rPr>
                <w:rFonts w:ascii="Times New Roman" w:hAnsi="Times New Roman"/>
                <w:noProof/>
                <w:sz w:val="24"/>
              </w:rPr>
              <w:t xml:space="preserve"> pentru a pune în comun resursele UE într-un mod care să permită obținerea unui impact sporit. Aceasta ar putea include coordonarea inițiativelor de constituire de stocuri și răspunsuri comune prin intermediul ReliefEU;</w:t>
            </w:r>
          </w:p>
          <w:p w14:paraId="6C626346" w14:textId="7E8A22EA"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rPr>
            </w:pPr>
            <w:r>
              <w:rPr>
                <w:rFonts w:ascii="Times New Roman" w:hAnsi="Times New Roman"/>
                <w:noProof/>
                <w:sz w:val="24"/>
              </w:rPr>
              <w:t xml:space="preserve">va discuta împreună cu statele membre ale UE opțiunile de dezvoltare a unei </w:t>
            </w:r>
            <w:r>
              <w:rPr>
                <w:rFonts w:ascii="Times New Roman" w:hAnsi="Times New Roman"/>
                <w:b/>
                <w:bCs/>
                <w:noProof/>
                <w:sz w:val="24"/>
              </w:rPr>
              <w:t xml:space="preserve">platforme comune pentru depunerea și partajarea propunerilor de finanțare armonizate, </w:t>
            </w:r>
            <w:r>
              <w:rPr>
                <w:rFonts w:ascii="Times New Roman" w:hAnsi="Times New Roman"/>
                <w:noProof/>
                <w:sz w:val="24"/>
              </w:rPr>
              <w:t xml:space="preserve">care să fie utilizată ca </w:t>
            </w:r>
            <w:r>
              <w:rPr>
                <w:rFonts w:ascii="Times New Roman" w:hAnsi="Times New Roman"/>
                <w:b/>
                <w:bCs/>
                <w:noProof/>
                <w:sz w:val="24"/>
              </w:rPr>
              <w:t>un ghișeu unic flexibil</w:t>
            </w:r>
            <w:r>
              <w:rPr>
                <w:rFonts w:ascii="Times New Roman" w:hAnsi="Times New Roman"/>
                <w:noProof/>
                <w:sz w:val="24"/>
              </w:rPr>
              <w:t xml:space="preserve"> pentru depunerea propunerilor care ar putea fi preluate de diferiți actori ai „Echipei Europa” în funcție de priorități;</w:t>
            </w:r>
          </w:p>
          <w:p w14:paraId="15877070" w14:textId="146A636C" w:rsidR="00456B58" w:rsidRPr="009B0811" w:rsidRDefault="007D3A65" w:rsidP="00321376">
            <w:pPr>
              <w:pStyle w:val="ListParagraph"/>
              <w:numPr>
                <w:ilvl w:val="0"/>
                <w:numId w:val="11"/>
              </w:numPr>
              <w:spacing w:after="240"/>
              <w:jc w:val="both"/>
              <w:rPr>
                <w:rFonts w:ascii="Times New Roman" w:hAnsi="Times New Roman" w:cs="Times New Roman"/>
                <w:noProof/>
                <w:sz w:val="24"/>
                <w:szCs w:val="24"/>
              </w:rPr>
            </w:pPr>
            <w:r>
              <w:rPr>
                <w:rFonts w:ascii="Times New Roman" w:hAnsi="Times New Roman"/>
                <w:noProof/>
                <w:sz w:val="24"/>
              </w:rPr>
              <w:t xml:space="preserve">va colabora cu statele membre ale UE pentru a analiza cadre </w:t>
            </w:r>
            <w:r>
              <w:rPr>
                <w:rFonts w:ascii="Times New Roman" w:hAnsi="Times New Roman"/>
                <w:b/>
                <w:noProof/>
                <w:sz w:val="24"/>
              </w:rPr>
              <w:t>comune de raportare digitale</w:t>
            </w:r>
            <w:r>
              <w:rPr>
                <w:rFonts w:ascii="Times New Roman" w:hAnsi="Times New Roman"/>
                <w:noProof/>
                <w:sz w:val="24"/>
              </w:rPr>
              <w:t>.</w:t>
            </w:r>
          </w:p>
        </w:tc>
      </w:tr>
    </w:tbl>
    <w:p w14:paraId="4DC47010" w14:textId="77777777" w:rsidR="00456B58" w:rsidRPr="006346F7" w:rsidRDefault="00456B58" w:rsidP="00456B58">
      <w:pPr>
        <w:spacing w:line="240" w:lineRule="auto"/>
        <w:jc w:val="both"/>
        <w:rPr>
          <w:rFonts w:ascii="Times New Roman" w:hAnsi="Times New Roman" w:cs="Times New Roman"/>
          <w:noProof/>
          <w:lang w:val="fr-FR"/>
        </w:rPr>
      </w:pPr>
    </w:p>
    <w:p w14:paraId="040BF14E" w14:textId="6A5425AE" w:rsidR="00456B58" w:rsidRPr="00970492" w:rsidRDefault="00456B58" w:rsidP="00456B58">
      <w:pPr>
        <w:spacing w:line="240" w:lineRule="auto"/>
        <w:jc w:val="both"/>
        <w:rPr>
          <w:rFonts w:ascii="Times New Roman" w:hAnsi="Times New Roman" w:cs="Times New Roman"/>
          <w:b/>
          <w:bCs/>
          <w:noProof/>
        </w:rPr>
      </w:pPr>
      <w:r>
        <w:rPr>
          <w:rFonts w:ascii="Times New Roman" w:hAnsi="Times New Roman"/>
          <w:b/>
          <w:noProof/>
        </w:rPr>
        <w:t>Concluzie</w:t>
      </w:r>
    </w:p>
    <w:p w14:paraId="68E0D486" w14:textId="5F403EDA" w:rsidR="00C82058" w:rsidRPr="00EE1601" w:rsidRDefault="00CF3A99" w:rsidP="00426386">
      <w:pPr>
        <w:spacing w:line="240" w:lineRule="auto"/>
        <w:jc w:val="both"/>
        <w:rPr>
          <w:noProof/>
        </w:rPr>
      </w:pPr>
      <w:r>
        <w:rPr>
          <w:rFonts w:ascii="Times New Roman" w:hAnsi="Times New Roman"/>
          <w:noProof/>
        </w:rPr>
        <w:t xml:space="preserve">Timp de mai multe decenii, acțiunea umanitară a UE și-a dovedit valoarea oferind un răspuns bazat pe principii, pe nevoi și previzibil. Stau mărturie numeroșii supraviețuitori ai crizelor. Prin contribuția la atenuarea efectelor crizelor umanitare și la abordarea vulnerabilităților, această asistență contribuie și la asigurarea unui mediu mai sigur și mai stabil, inclusiv în vecinătatea extinsă a UE. Prin prezenta comunicare comună, UE își </w:t>
      </w:r>
      <w:r>
        <w:rPr>
          <w:rFonts w:ascii="Times New Roman" w:hAnsi="Times New Roman"/>
          <w:b/>
          <w:bCs/>
          <w:noProof/>
        </w:rPr>
        <w:t>reafirmă angajamentul față de solidaritatea cu persoanele care au nevoie directă de această asistență.</w:t>
      </w:r>
      <w:r>
        <w:rPr>
          <w:rFonts w:ascii="Times New Roman" w:hAnsi="Times New Roman"/>
          <w:noProof/>
        </w:rPr>
        <w:t xml:space="preserve"> UE va continua să promoveze și să apere asistența umanitară bazată pe principii, precum și dreptul internațional umanitar în acțiunea sa externă, dar și la nivel internațional. UE aspiră să </w:t>
      </w:r>
      <w:r>
        <w:rPr>
          <w:rFonts w:ascii="Times New Roman" w:hAnsi="Times New Roman"/>
          <w:b/>
          <w:bCs/>
          <w:noProof/>
        </w:rPr>
        <w:t>aducă schimbări pozitive în ceea ce privește ajutorul umanitar</w:t>
      </w:r>
      <w:r>
        <w:rPr>
          <w:rFonts w:ascii="Times New Roman" w:hAnsi="Times New Roman"/>
          <w:noProof/>
        </w:rPr>
        <w:t xml:space="preserve">, în beneficiul celor afectați și al comunității umanitare în ansamblu, făcându-l </w:t>
      </w:r>
      <w:r>
        <w:rPr>
          <w:rFonts w:ascii="Times New Roman" w:hAnsi="Times New Roman"/>
          <w:b/>
          <w:bCs/>
          <w:noProof/>
        </w:rPr>
        <w:t>mai rezilient, mai eficient și mai adaptat la exigențele viitorului</w:t>
      </w:r>
      <w:r>
        <w:rPr>
          <w:rFonts w:ascii="Times New Roman" w:hAnsi="Times New Roman"/>
          <w:noProof/>
        </w:rPr>
        <w:t>.</w:t>
      </w:r>
      <w:r>
        <w:rPr>
          <w:rFonts w:ascii="Times New Roman" w:hAnsi="Times New Roman"/>
          <w:b/>
          <w:noProof/>
        </w:rPr>
        <w:t xml:space="preserve"> </w:t>
      </w:r>
      <w:r>
        <w:rPr>
          <w:rFonts w:ascii="Times New Roman" w:hAnsi="Times New Roman"/>
          <w:noProof/>
        </w:rPr>
        <w:t>Pentru a aborda caracterul urgent al situației actuale, Comisia, în strânsă cooperare cu Înaltul Reprezentant al UE pentru afaceri externe și politica de securitate, după caz, va avansa cu mare hotărâre în ceea ce privește acțiunile prezentate. Comisia va face bilanțul punerii în aplicare a prezentei comunicări comune în 2028.</w:t>
      </w:r>
    </w:p>
    <w:sectPr w:rsidR="00C82058" w:rsidRPr="00EE1601" w:rsidSect="00456B58">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EF2C6" w14:textId="77777777" w:rsidR="00D90673" w:rsidRDefault="00D90673" w:rsidP="00A0722F">
      <w:pPr>
        <w:spacing w:after="0" w:line="240" w:lineRule="auto"/>
      </w:pPr>
      <w:r>
        <w:separator/>
      </w:r>
    </w:p>
  </w:endnote>
  <w:endnote w:type="continuationSeparator" w:id="0">
    <w:p w14:paraId="7DBD0DAC" w14:textId="77777777" w:rsidR="00D90673" w:rsidRDefault="00D90673" w:rsidP="00A0722F">
      <w:pPr>
        <w:spacing w:after="0" w:line="240" w:lineRule="auto"/>
      </w:pPr>
      <w:r>
        <w:continuationSeparator/>
      </w:r>
    </w:p>
  </w:endnote>
  <w:endnote w:type="continuationNotice" w:id="1">
    <w:p w14:paraId="35567AF7" w14:textId="77777777" w:rsidR="00D90673" w:rsidRDefault="00D906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6BF84" w14:textId="1C523DA9" w:rsidR="00F23F86" w:rsidRPr="00F23F86" w:rsidRDefault="00F23F86" w:rsidP="00F23F86">
    <w:pPr>
      <w:pStyle w:val="FooterCoverPage"/>
      <w:rPr>
        <w:rFonts w:ascii="Arial" w:hAnsi="Arial" w:cs="Arial"/>
        <w:b/>
        <w:sz w:val="48"/>
      </w:rPr>
    </w:pPr>
    <w:r w:rsidRPr="00F23F86">
      <w:rPr>
        <w:rFonts w:ascii="Arial" w:hAnsi="Arial" w:cs="Arial"/>
        <w:b/>
        <w:sz w:val="48"/>
      </w:rPr>
      <w:t>RO</w:t>
    </w:r>
    <w:r w:rsidRPr="00F23F86">
      <w:rPr>
        <w:rFonts w:ascii="Arial" w:hAnsi="Arial" w:cs="Arial"/>
        <w:b/>
        <w:sz w:val="48"/>
      </w:rPr>
      <w:tab/>
    </w:r>
    <w:r w:rsidRPr="00F23F86">
      <w:rPr>
        <w:rFonts w:ascii="Arial" w:hAnsi="Arial" w:cs="Arial"/>
        <w:b/>
        <w:sz w:val="48"/>
      </w:rPr>
      <w:tab/>
    </w:r>
    <w:r w:rsidRPr="00F23F86">
      <w:tab/>
    </w:r>
    <w:r w:rsidRPr="00F23F8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40F9F" w14:textId="13E62BC7" w:rsidR="00F23F86" w:rsidRPr="00F23F86" w:rsidRDefault="00F23F86" w:rsidP="00F23F86">
    <w:pPr>
      <w:pStyle w:val="FooterCoverPage"/>
      <w:rPr>
        <w:rFonts w:ascii="Arial" w:hAnsi="Arial" w:cs="Arial"/>
        <w:b/>
        <w:sz w:val="48"/>
      </w:rPr>
    </w:pPr>
    <w:r w:rsidRPr="00F23F86">
      <w:rPr>
        <w:rFonts w:ascii="Arial" w:hAnsi="Arial" w:cs="Arial"/>
        <w:b/>
        <w:sz w:val="48"/>
      </w:rPr>
      <w:t>RO</w:t>
    </w:r>
    <w:r w:rsidRPr="00F23F86">
      <w:rPr>
        <w:rFonts w:ascii="Arial" w:hAnsi="Arial" w:cs="Arial"/>
        <w:b/>
        <w:sz w:val="48"/>
      </w:rPr>
      <w:tab/>
    </w:r>
    <w:r w:rsidRPr="00F23F86">
      <w:rPr>
        <w:rFonts w:ascii="Arial" w:hAnsi="Arial" w:cs="Arial"/>
        <w:b/>
        <w:sz w:val="48"/>
      </w:rPr>
      <w:tab/>
    </w:r>
    <w:r w:rsidRPr="00F23F86">
      <w:tab/>
    </w:r>
    <w:r w:rsidRPr="00F23F8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4A2CF" w14:textId="77777777" w:rsidR="00F23F86" w:rsidRPr="00F23F86" w:rsidRDefault="00F23F86" w:rsidP="00F23F8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51B88" w14:textId="77777777" w:rsidR="00456B58" w:rsidRDefault="00456B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355658"/>
      <w:docPartObj>
        <w:docPartGallery w:val="Page Numbers (Bottom of Page)"/>
        <w:docPartUnique/>
      </w:docPartObj>
    </w:sdtPr>
    <w:sdtEndPr>
      <w:rPr>
        <w:rFonts w:ascii="Times New Roman" w:hAnsi="Times New Roman" w:cs="Times New Roman"/>
        <w:noProof/>
      </w:rPr>
    </w:sdtEndPr>
    <w:sdtContent>
      <w:p w14:paraId="2B2121C6" w14:textId="6C599F52" w:rsidR="00456B58" w:rsidRPr="00FD51E4" w:rsidRDefault="00456B58">
        <w:pPr>
          <w:pStyle w:val="Footer"/>
          <w:jc w:val="center"/>
          <w:rPr>
            <w:rFonts w:ascii="Times New Roman" w:hAnsi="Times New Roman" w:cs="Times New Roman"/>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F23F86">
          <w:rPr>
            <w:rFonts w:ascii="Times New Roman" w:hAnsi="Times New Roman" w:cs="Times New Roman"/>
            <w:noProof/>
            <w:sz w:val="20"/>
          </w:rPr>
          <w:t>1</w:t>
        </w:r>
        <w:r>
          <w:rPr>
            <w:rFonts w:ascii="Times New Roman" w:hAnsi="Times New Roman" w:cs="Times New Roman"/>
            <w:sz w:val="20"/>
          </w:rPr>
          <w:fldChar w:fldCharType="end"/>
        </w:r>
      </w:p>
    </w:sdtContent>
  </w:sdt>
  <w:p w14:paraId="31195FEE" w14:textId="77777777" w:rsidR="00456B58" w:rsidRDefault="00456B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E21F3" w14:textId="77777777" w:rsidR="00456B58" w:rsidRDefault="00456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302BC" w14:textId="77777777" w:rsidR="00D90673" w:rsidRDefault="00D90673" w:rsidP="00A0722F">
      <w:pPr>
        <w:spacing w:after="0" w:line="240" w:lineRule="auto"/>
      </w:pPr>
      <w:r>
        <w:separator/>
      </w:r>
    </w:p>
  </w:footnote>
  <w:footnote w:type="continuationSeparator" w:id="0">
    <w:p w14:paraId="15F83C1A" w14:textId="77777777" w:rsidR="00D90673" w:rsidRDefault="00D90673" w:rsidP="00A0722F">
      <w:pPr>
        <w:spacing w:after="0" w:line="240" w:lineRule="auto"/>
      </w:pPr>
      <w:r>
        <w:continuationSeparator/>
      </w:r>
    </w:p>
  </w:footnote>
  <w:footnote w:type="continuationNotice" w:id="1">
    <w:p w14:paraId="30AF6FC0" w14:textId="77777777" w:rsidR="00D90673" w:rsidRDefault="00D90673">
      <w:pPr>
        <w:spacing w:after="0" w:line="240" w:lineRule="auto"/>
      </w:pPr>
    </w:p>
  </w:footnote>
  <w:footnote w:id="2">
    <w:p w14:paraId="0C618FDA" w14:textId="77777777" w:rsidR="001F790F" w:rsidRPr="00D06F1A" w:rsidRDefault="001F790F" w:rsidP="001F790F">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Denumirile „ajutorul umanitar” și „asistența umanitară” sunt utilizate în mod nediferențiat în prezentul document.</w:t>
      </w:r>
    </w:p>
  </w:footnote>
  <w:footnote w:id="3">
    <w:p w14:paraId="5DC81B97" w14:textId="3473EEBD" w:rsidR="00456B58" w:rsidRPr="00D06F1A"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Regulamentul (CE) nr. 1257/96 al Consiliului privind ajutorul umanitar.</w:t>
      </w:r>
      <w:r>
        <w:rPr>
          <w:rFonts w:ascii="Times New Roman" w:hAnsi="Times New Roman"/>
          <w:strike/>
        </w:rPr>
        <w:t xml:space="preserve"> </w:t>
      </w:r>
    </w:p>
  </w:footnote>
  <w:footnote w:id="4">
    <w:p w14:paraId="60D74652" w14:textId="7262157D" w:rsidR="00456B58" w:rsidRPr="00D06F1A"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Declarație comună referitoare la Consensul european privind ajutorul umanitar. Jurnalul Oficial al Uniunii Europene C, 2008/C 25/01, 30 ianuarie 2008.</w:t>
      </w:r>
      <w:r>
        <w:rPr>
          <w:rFonts w:ascii="Times New Roman" w:hAnsi="Times New Roman"/>
          <w:strike/>
        </w:rPr>
        <w:t xml:space="preserve"> </w:t>
      </w:r>
    </w:p>
  </w:footnote>
  <w:footnote w:id="5">
    <w:p w14:paraId="0FE33E44" w14:textId="38E03FC7" w:rsidR="007C623F" w:rsidRPr="00DA14A7" w:rsidRDefault="007C623F"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3 alineatul (5) din Tratatul privind Uniunea Europeană (TUE).</w:t>
      </w:r>
    </w:p>
  </w:footnote>
  <w:footnote w:id="6">
    <w:p w14:paraId="3DB1A928" w14:textId="0850FFFD" w:rsidR="00456B58" w:rsidRPr="00DA14A7"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Centrul de cunoștințe privind gestionarea riscului de dezastre, „INFORM Severity Facts and Figures” („Indicele de gravitate INFORM, fapte și cifre privind gravitatea). Centrul Comun de Cercetare, consultat la data de 30 aprilie 2026,</w:t>
      </w:r>
      <w:r>
        <w:t xml:space="preserve"> </w:t>
      </w:r>
      <w:hyperlink r:id="rId1" w:history="1">
        <w:r>
          <w:rPr>
            <w:rStyle w:val="Hyperlink"/>
            <w:rFonts w:ascii="Times New Roman" w:hAnsi="Times New Roman"/>
          </w:rPr>
          <w:t>https://drmkc.jrc.ec.europa.eu/inform-index/INFORM-Severity/Severity-Facts-Figures</w:t>
        </w:r>
      </w:hyperlink>
      <w:r>
        <w:rPr>
          <w:rFonts w:ascii="Times New Roman" w:hAnsi="Times New Roman"/>
        </w:rPr>
        <w:t>.</w:t>
      </w:r>
    </w:p>
  </w:footnote>
  <w:footnote w:id="7">
    <w:p w14:paraId="63B3368D" w14:textId="1161C8D6" w:rsidR="00456B58" w:rsidRPr="00D06F1A"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sidRPr="006346F7">
        <w:rPr>
          <w:rFonts w:ascii="Times New Roman" w:hAnsi="Times New Roman" w:cs="Times New Roman"/>
        </w:rPr>
        <w:t xml:space="preserve">Comitetul Internațional al Crucii Roșii (CICR), </w:t>
      </w:r>
      <w:r w:rsidRPr="006346F7">
        <w:rPr>
          <w:rFonts w:ascii="Times New Roman" w:hAnsi="Times New Roman" w:cs="Times New Roman"/>
          <w:i/>
        </w:rPr>
        <w:t>Recurs 2026</w:t>
      </w:r>
      <w:r w:rsidRPr="006346F7">
        <w:rPr>
          <w:rFonts w:ascii="Times New Roman" w:hAnsi="Times New Roman" w:cs="Times New Roman"/>
        </w:rPr>
        <w:t>:</w:t>
      </w:r>
      <w:r w:rsidRPr="006346F7">
        <w:rPr>
          <w:rFonts w:ascii="Times New Roman" w:hAnsi="Times New Roman" w:cs="Times New Roman"/>
          <w:i/>
        </w:rPr>
        <w:t xml:space="preserve"> Prezentare generală</w:t>
      </w:r>
      <w:r w:rsidRPr="006346F7">
        <w:rPr>
          <w:rFonts w:ascii="Times New Roman" w:hAnsi="Times New Roman" w:cs="Times New Roman"/>
        </w:rPr>
        <w:t>, Geneva, 2026</w:t>
      </w:r>
      <w:r>
        <w:t>,</w:t>
      </w:r>
      <w:hyperlink r:id="rId2" w:history="1">
        <w:r>
          <w:rPr>
            <w:rStyle w:val="Hyperlink"/>
            <w:rFonts w:ascii="Times New Roman" w:hAnsi="Times New Roman"/>
          </w:rPr>
          <w:t xml:space="preserve"> https://www.icrc.org/sites/default/files/2026-02/ICRC-Appeals-2026-Overview.pdf</w:t>
        </w:r>
      </w:hyperlink>
      <w:r>
        <w:t>.</w:t>
      </w:r>
      <w:r>
        <w:rPr>
          <w:rFonts w:ascii="Times New Roman" w:hAnsi="Times New Roman"/>
        </w:rPr>
        <w:t xml:space="preserve"> </w:t>
      </w:r>
    </w:p>
  </w:footnote>
  <w:footnote w:id="8">
    <w:p w14:paraId="5C25F158" w14:textId="0CC73A16" w:rsidR="00B54BBB" w:rsidRPr="00E836EF" w:rsidRDefault="00456B58" w:rsidP="00D06F1A">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Agenția ONU pentru Refugiați (UNHCR), </w:t>
      </w:r>
      <w:r w:rsidRPr="006346F7">
        <w:rPr>
          <w:rFonts w:ascii="Times New Roman" w:hAnsi="Times New Roman" w:cs="Times New Roman"/>
          <w:i/>
        </w:rPr>
        <w:t>Mid-Year Trends</w:t>
      </w:r>
      <w:r w:rsidRPr="006346F7">
        <w:rPr>
          <w:rFonts w:ascii="Times New Roman" w:hAnsi="Times New Roman" w:cs="Times New Roman"/>
        </w:rPr>
        <w:t xml:space="preserve"> 2025 (</w:t>
      </w:r>
      <w:r w:rsidRPr="006346F7">
        <w:rPr>
          <w:rFonts w:ascii="Times New Roman" w:hAnsi="Times New Roman" w:cs="Times New Roman"/>
          <w:i/>
          <w:iCs/>
        </w:rPr>
        <w:t>Raport privind tendințele de la jumătatea anului 2025</w:t>
      </w:r>
      <w:r w:rsidRPr="006346F7">
        <w:rPr>
          <w:rFonts w:ascii="Times New Roman" w:hAnsi="Times New Roman" w:cs="Times New Roman"/>
        </w:rPr>
        <w:t>), Copenhaga, 2025</w:t>
      </w:r>
      <w:r>
        <w:t xml:space="preserve">, </w:t>
      </w:r>
      <w:hyperlink r:id="rId3" w:history="1">
        <w:r>
          <w:rPr>
            <w:rStyle w:val="Hyperlink"/>
            <w:rFonts w:ascii="Times New Roman" w:hAnsi="Times New Roman"/>
          </w:rPr>
          <w:t>www.unhcr.org/sites/default/files/2025-11/mid-year-trends-report-2025.pdf</w:t>
        </w:r>
      </w:hyperlink>
      <w:r>
        <w:t>.</w:t>
      </w:r>
      <w:r>
        <w:rPr>
          <w:rFonts w:ascii="Times New Roman" w:hAnsi="Times New Roman"/>
        </w:rPr>
        <w:t xml:space="preserve"> </w:t>
      </w:r>
    </w:p>
  </w:footnote>
  <w:footnote w:id="9">
    <w:p w14:paraId="63B83B69" w14:textId="523CD900" w:rsidR="00456B58" w:rsidRPr="00DA14A7" w:rsidRDefault="00456B58" w:rsidP="00D06F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6346F7">
        <w:rPr>
          <w:rFonts w:ascii="Times New Roman" w:hAnsi="Times New Roman" w:cs="Times New Roman"/>
        </w:rPr>
        <w:t xml:space="preserve">Rețeaua mondială împotriva crizelor alimentare, </w:t>
      </w:r>
      <w:r w:rsidRPr="006346F7">
        <w:rPr>
          <w:rFonts w:ascii="Times New Roman" w:hAnsi="Times New Roman" w:cs="Times New Roman"/>
          <w:i/>
        </w:rPr>
        <w:t>2026 Global report on food crises(Raportul mondial din 2026 privind crizele alimentare)</w:t>
      </w:r>
      <w:r w:rsidRPr="006346F7">
        <w:rPr>
          <w:rFonts w:ascii="Times New Roman" w:hAnsi="Times New Roman" w:cs="Times New Roman"/>
        </w:rPr>
        <w:t>, Roma, 2026</w:t>
      </w:r>
      <w:r>
        <w:t xml:space="preserve">, </w:t>
      </w:r>
      <w:hyperlink r:id="rId4" w:history="1">
        <w:r>
          <w:rPr>
            <w:rStyle w:val="Hyperlink"/>
            <w:rFonts w:ascii="Times New Roman" w:hAnsi="Times New Roman"/>
          </w:rPr>
          <w:t>https://doi.org/10.4060/cd9424en</w:t>
        </w:r>
      </w:hyperlink>
      <w:r>
        <w:t>.</w:t>
      </w:r>
      <w:r>
        <w:rPr>
          <w:rFonts w:ascii="Times New Roman" w:hAnsi="Times New Roman"/>
        </w:rPr>
        <w:t xml:space="preserve"> </w:t>
      </w:r>
    </w:p>
  </w:footnote>
  <w:footnote w:id="10">
    <w:p w14:paraId="6E1F3A45" w14:textId="302D494B" w:rsidR="00EF0282" w:rsidRPr="00D06F1A" w:rsidRDefault="00EF0282" w:rsidP="00FB459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Humanitarian Outcomes, </w:t>
      </w:r>
      <w:r>
        <w:rPr>
          <w:rFonts w:ascii="Times New Roman" w:hAnsi="Times New Roman"/>
          <w:i/>
        </w:rPr>
        <w:t>Aid Worker Security Report 2025</w:t>
      </w:r>
      <w:r>
        <w:rPr>
          <w:rFonts w:ascii="Times New Roman" w:hAnsi="Times New Roman"/>
        </w:rPr>
        <w:t xml:space="preserve"> </w:t>
      </w:r>
      <w:r>
        <w:rPr>
          <w:rFonts w:ascii="Times New Roman" w:hAnsi="Times New Roman"/>
          <w:i/>
        </w:rPr>
        <w:t>– Defenceless: Aid worker security amid the humanitarian funding collapse,</w:t>
      </w:r>
      <w:r w:rsidR="006346F7">
        <w:rPr>
          <w:rFonts w:ascii="Times New Roman" w:hAnsi="Times New Roman"/>
          <w:i/>
        </w:rPr>
        <w:t xml:space="preserve"> </w:t>
      </w:r>
      <w:r>
        <w:rPr>
          <w:rFonts w:ascii="Times New Roman" w:hAnsi="Times New Roman"/>
          <w:i/>
          <w:iCs/>
        </w:rPr>
        <w:t>(Rezultate umanitare,</w:t>
      </w:r>
      <w:r>
        <w:rPr>
          <w:rFonts w:ascii="Times New Roman" w:hAnsi="Times New Roman"/>
        </w:rPr>
        <w:t xml:space="preserve"> </w:t>
      </w:r>
      <w:r>
        <w:rPr>
          <w:rFonts w:ascii="Times New Roman" w:hAnsi="Times New Roman"/>
          <w:i/>
        </w:rPr>
        <w:t>Raportul pentru anul 2025 privind securitatea lucrătorilor umanitari</w:t>
      </w:r>
      <w:r>
        <w:rPr>
          <w:rFonts w:ascii="Times New Roman" w:hAnsi="Times New Roman"/>
        </w:rPr>
        <w:t xml:space="preserve"> – </w:t>
      </w:r>
      <w:r>
        <w:rPr>
          <w:rFonts w:ascii="Times New Roman" w:hAnsi="Times New Roman"/>
          <w:i/>
        </w:rPr>
        <w:t>Fără apărare</w:t>
      </w:r>
      <w:r>
        <w:rPr>
          <w:rFonts w:ascii="Times New Roman" w:hAnsi="Times New Roman"/>
        </w:rPr>
        <w:t>:</w:t>
      </w:r>
      <w:r>
        <w:rPr>
          <w:rFonts w:ascii="Times New Roman" w:hAnsi="Times New Roman"/>
          <w:i/>
        </w:rPr>
        <w:t>Securitatea lucrătorilor umanitari în contextul prăbușirii finanțării umanitare)</w:t>
      </w:r>
      <w:r>
        <w:rPr>
          <w:rFonts w:ascii="Times New Roman" w:hAnsi="Times New Roman"/>
        </w:rPr>
        <w:t xml:space="preserve">, Londra, 2025, https://www.humanitarianoutcomes.org/AWSR_2025. </w:t>
      </w:r>
    </w:p>
  </w:footnote>
  <w:footnote w:id="11">
    <w:p w14:paraId="6F28BFFD" w14:textId="77777777" w:rsidR="005168B6" w:rsidRDefault="005168B6" w:rsidP="006346F7">
      <w:pPr>
        <w:pStyle w:val="FootnoteText"/>
        <w:jc w:val="both"/>
        <w:rPr>
          <w:rFonts w:ascii="Times New Roman" w:hAnsi="Times New Roman" w:cs="Times New Roman"/>
          <w:noProof/>
        </w:rPr>
      </w:pPr>
      <w:r>
        <w:rPr>
          <w:rStyle w:val="FootnoteReference"/>
        </w:rPr>
        <w:footnoteRef/>
      </w:r>
      <w:r>
        <w:t xml:space="preserve"> </w:t>
      </w:r>
      <w:r>
        <w:rPr>
          <w:rFonts w:ascii="Times New Roman" w:hAnsi="Times New Roman"/>
        </w:rPr>
        <w:t>2026 Annual Disaster Report by the International Federation of Red Cross and Red Crescent Societies (Raportul anual pentru 2026 privind dezastrele al Federației Internaționale a Societăților de Cruce Roșie și Semilună Roșie)</w:t>
      </w:r>
    </w:p>
  </w:footnote>
  <w:footnote w:id="12">
    <w:p w14:paraId="2DCC2428" w14:textId="38F1A1C2" w:rsidR="00456B58" w:rsidRPr="006346F7" w:rsidRDefault="00456B58" w:rsidP="00FB459B">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sidRPr="006346F7">
        <w:rPr>
          <w:rFonts w:ascii="Times New Roman" w:hAnsi="Times New Roman" w:cs="Times New Roman"/>
        </w:rPr>
        <w:t>Apelul la ajutor umanitar pentru anul 2026 se ridică la 23 de miliarde USD, sumă destinată furnizării de ajutoare vitale pentru 87 milioane din totalul de 239 milioane de persoane aflate în dificultate.</w:t>
      </w:r>
    </w:p>
  </w:footnote>
  <w:footnote w:id="13">
    <w:p w14:paraId="7FA501C5" w14:textId="0439595A" w:rsidR="0050640A" w:rsidRPr="006346F7" w:rsidRDefault="0050640A" w:rsidP="00FB459B">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Consiliul European, „Concluziile reuniunii Consiliului European”, EUCO 1/26, Bruxelles, 19 martie 2026.</w:t>
      </w:r>
    </w:p>
  </w:footnote>
  <w:footnote w:id="14">
    <w:p w14:paraId="4CC5C6FC" w14:textId="27257284" w:rsidR="00A6456D" w:rsidRPr="006346F7" w:rsidRDefault="00A6456D" w:rsidP="00FB459B">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Oficiul ONU pentru Coordonarea Afacerilor Umanitare (OCHA), „Humanitarian aid contributions” (Contribuțiile la ajutorul umanitar), </w:t>
      </w:r>
      <w:r w:rsidRPr="006346F7">
        <w:rPr>
          <w:rFonts w:ascii="Times New Roman" w:hAnsi="Times New Roman" w:cs="Times New Roman"/>
          <w:i/>
        </w:rPr>
        <w:t>Financial tracking service (Serviciul de urmărire financiară)</w:t>
      </w:r>
      <w:r w:rsidRPr="006346F7">
        <w:rPr>
          <w:rFonts w:ascii="Times New Roman" w:hAnsi="Times New Roman" w:cs="Times New Roman"/>
        </w:rPr>
        <w:t xml:space="preserve">, consultat la data de 30 aprilie 2026, </w:t>
      </w:r>
      <w:hyperlink r:id="rId5" w:history="1">
        <w:r w:rsidRPr="006346F7">
          <w:rPr>
            <w:rStyle w:val="Hyperlink"/>
            <w:rFonts w:ascii="Times New Roman" w:hAnsi="Times New Roman" w:cs="Times New Roman"/>
            <w:color w:val="auto"/>
            <w:u w:val="none"/>
          </w:rPr>
          <w:t>https://fts.unocha.org/</w:t>
        </w:r>
      </w:hyperlink>
      <w:r w:rsidRPr="006346F7">
        <w:rPr>
          <w:rFonts w:ascii="Times New Roman" w:hAnsi="Times New Roman" w:cs="Times New Roman"/>
        </w:rPr>
        <w:t xml:space="preserve">. </w:t>
      </w:r>
    </w:p>
  </w:footnote>
  <w:footnote w:id="15">
    <w:p w14:paraId="057E5891" w14:textId="49C61EE9" w:rsidR="000974D4" w:rsidRPr="006346F7" w:rsidRDefault="000974D4" w:rsidP="00C332BF">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Alimente și nutriție, sănătate, adăpost, apă și salubritate (WASH), protecție și educație în situații de urgență, fiind asigurată în același timp și integrarea aspectelor legate de gen, vârstă și handicap, precum și de sensibilitatea la conflicte, a se vedea documentul Comisiei Europene: </w:t>
      </w:r>
      <w:r w:rsidRPr="006346F7">
        <w:rPr>
          <w:rFonts w:ascii="Times New Roman" w:hAnsi="Times New Roman" w:cs="Times New Roman"/>
          <w:shd w:val="clear" w:color="auto" w:fill="FFFFFF"/>
        </w:rPr>
        <w:t xml:space="preserve">DG ECHO, ‘Thematic Policies Annex’ („Anexa privind politicile tematice”), </w:t>
      </w:r>
      <w:hyperlink r:id="rId6" w:history="1">
        <w:r w:rsidRPr="006346F7">
          <w:rPr>
            <w:rStyle w:val="Hyperlink"/>
            <w:rFonts w:ascii="Times New Roman" w:hAnsi="Times New Roman" w:cs="Times New Roman"/>
          </w:rPr>
          <w:t>https://ec.europa.eu/echo/files/funding/hip2026/thematic_policies_annex_2026.pdf</w:t>
        </w:r>
      </w:hyperlink>
      <w:r w:rsidRPr="006346F7">
        <w:rPr>
          <w:rFonts w:ascii="Times New Roman" w:hAnsi="Times New Roman" w:cs="Times New Roman"/>
        </w:rPr>
        <w:t xml:space="preserve"> </w:t>
      </w:r>
    </w:p>
  </w:footnote>
  <w:footnote w:id="16">
    <w:p w14:paraId="177E7654" w14:textId="77777777" w:rsidR="00231D2D" w:rsidRPr="006346F7" w:rsidRDefault="00231D2D" w:rsidP="00231D2D">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Echipa Europa este formată din Uniunea Europeană, cele 27 de state membre, Banca Europeană de Investiții (BEI) și Banca Europeană pentru Reconstrucție și Dezvoltare (BERD). Abordarea „Echipa Europa” se axează pe cooperarea și coordonarea dintre aceste entități pentru a spori eficacitatea și impactul acțiunilor lor externe</w:t>
      </w:r>
    </w:p>
  </w:footnote>
  <w:footnote w:id="17">
    <w:p w14:paraId="4D7390DD" w14:textId="73390592" w:rsidR="00231D2D" w:rsidRPr="006346F7" w:rsidRDefault="00231D2D" w:rsidP="009B0811">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Acești piloni de acțiune au fost identificați în urma unor consultări aprofundate cu părțile interesate. </w:t>
      </w:r>
      <w:r w:rsidRPr="006346F7">
        <w:rPr>
          <w:rStyle w:val="normaltextrun"/>
          <w:rFonts w:ascii="Times New Roman" w:hAnsi="Times New Roman" w:cs="Times New Roman"/>
        </w:rPr>
        <w:t xml:space="preserve">În perioada decembrie 2025-ianuarie 2026 a avut loc o cerere de contribuții, în urma căreia s-au primit 55 de contribuții. Detalii sunt disponibile la următoarea adresă: Site-ul Comisiei Europene, „Comunicare privind ajutorul umanitar”, </w:t>
      </w:r>
      <w:hyperlink r:id="rId7" w:history="1">
        <w:r w:rsidRPr="006346F7">
          <w:rPr>
            <w:rStyle w:val="Hyperlink"/>
            <w:rFonts w:ascii="Times New Roman" w:hAnsi="Times New Roman" w:cs="Times New Roman"/>
          </w:rPr>
          <w:t>https://ec.europa.eu/info/law/better-regulation/have-your-say/initiatives/16012-Comunicare-privind-ajutorul-umanitar_ro</w:t>
        </w:r>
      </w:hyperlink>
      <w:r w:rsidRPr="006346F7">
        <w:rPr>
          <w:rStyle w:val="normaltextrun"/>
          <w:rFonts w:ascii="Times New Roman" w:hAnsi="Times New Roman" w:cs="Times New Roman"/>
        </w:rPr>
        <w:t xml:space="preserve"> </w:t>
      </w:r>
    </w:p>
  </w:footnote>
  <w:footnote w:id="18">
    <w:p w14:paraId="7D399D38" w14:textId="3DC96E6F" w:rsidR="00F05814" w:rsidRPr="006346F7" w:rsidRDefault="00F05814">
      <w:pPr>
        <w:pStyle w:val="FootnoteText"/>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Documentul de lucru al serviciilor Comisiei SWD(2026) 312.</w:t>
      </w:r>
    </w:p>
  </w:footnote>
  <w:footnote w:id="19">
    <w:p w14:paraId="3E7E0A07" w14:textId="1C3B95CC" w:rsidR="00F05814" w:rsidRPr="006346F7" w:rsidRDefault="00F05814">
      <w:pPr>
        <w:pStyle w:val="FootnoteText"/>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Documentul de lucru al serviciilor Comisiei SWD(2026) 314.</w:t>
      </w:r>
    </w:p>
  </w:footnote>
  <w:footnote w:id="20">
    <w:p w14:paraId="7C54F098" w14:textId="17F204B8" w:rsidR="00F05814" w:rsidRPr="006346F7" w:rsidRDefault="00F05814">
      <w:pPr>
        <w:pStyle w:val="FootnoteText"/>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Documentul de lucru al serviciilor Comisiei SWD(2026) 313.</w:t>
      </w:r>
    </w:p>
  </w:footnote>
  <w:footnote w:id="21">
    <w:p w14:paraId="5B04457D" w14:textId="431F61ED" w:rsidR="00311B63" w:rsidRPr="00935197" w:rsidRDefault="00311B63" w:rsidP="0093519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Comitetul Internațional al Crucii Roșii (CICR), „Global Initiative to Galvanize Political Commitment to International Humanitarian Law” (Inițiativa globală pentru mobilizarea angajamentului politic față de dreptul internațional umanitar),</w:t>
      </w:r>
      <w:r>
        <w:t xml:space="preserve"> </w:t>
      </w:r>
      <w:hyperlink r:id="rId8" w:history="1">
        <w:r>
          <w:rPr>
            <w:rStyle w:val="Hyperlink"/>
            <w:rFonts w:ascii="Times New Roman" w:hAnsi="Times New Roman"/>
          </w:rPr>
          <w:t>https://www.icrc.org/en/global-initiative-international-humanitarian-law</w:t>
        </w:r>
      </w:hyperlink>
      <w:r>
        <w:rPr>
          <w:rFonts w:ascii="Times New Roman" w:hAnsi="Times New Roman"/>
        </w:rPr>
        <w:t>.</w:t>
      </w:r>
    </w:p>
  </w:footnote>
  <w:footnote w:id="22">
    <w:p w14:paraId="18403BDB" w14:textId="542855BD" w:rsidR="00C54B98" w:rsidRPr="00B42457" w:rsidRDefault="00C54B98" w:rsidP="00935197">
      <w:pPr>
        <w:pStyle w:val="FootnoteText"/>
        <w:jc w:val="both"/>
      </w:pPr>
      <w:r>
        <w:rPr>
          <w:rStyle w:val="FootnoteReference"/>
          <w:rFonts w:ascii="Times New Roman" w:hAnsi="Times New Roman" w:cs="Times New Roman"/>
        </w:rPr>
        <w:footnoteRef/>
      </w:r>
      <w:r>
        <w:rPr>
          <w:rFonts w:ascii="Times New Roman" w:hAnsi="Times New Roman"/>
        </w:rPr>
        <w:t xml:space="preserve"> În conformitate cu prevederile Convenției ONU privind drepturile persoanelor cu handicap (CNUDPH)</w:t>
      </w:r>
    </w:p>
  </w:footnote>
  <w:footnote w:id="23">
    <w:p w14:paraId="1CC3BDF0" w14:textId="66D2975D" w:rsidR="00456B58" w:rsidRPr="006346F7" w:rsidRDefault="00456B58" w:rsidP="00456B58">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sidRPr="006346F7">
        <w:rPr>
          <w:rFonts w:ascii="Times New Roman" w:hAnsi="Times New Roman" w:cs="Times New Roman"/>
        </w:rPr>
        <w:t xml:space="preserve">SEAE, „EU Special Representatives” (Reprezentanții speciali ai UE), site-ul Uniunii Europene, 12 septembrie 2025, consultat la data de 30 aprilie 2026, </w:t>
      </w:r>
      <w:hyperlink r:id="rId9" w:history="1">
        <w:r w:rsidRPr="006346F7">
          <w:rPr>
            <w:rStyle w:val="Hyperlink"/>
            <w:rFonts w:ascii="Times New Roman" w:hAnsi="Times New Roman" w:cs="Times New Roman"/>
          </w:rPr>
          <w:t>https://www.eeas.europa.eu/eeas/eu-special-representatives_en</w:t>
        </w:r>
      </w:hyperlink>
      <w:r w:rsidRPr="006346F7">
        <w:rPr>
          <w:rFonts w:ascii="Times New Roman" w:hAnsi="Times New Roman" w:cs="Times New Roman"/>
        </w:rPr>
        <w:t xml:space="preserve">. </w:t>
      </w:r>
    </w:p>
  </w:footnote>
  <w:footnote w:id="24">
    <w:p w14:paraId="22EF5F92" w14:textId="3F99B44F" w:rsidR="00C71BA8" w:rsidRPr="006346F7" w:rsidRDefault="00456B58" w:rsidP="00456B5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6346F7">
        <w:rPr>
          <w:rFonts w:ascii="Times New Roman" w:hAnsi="Times New Roman" w:cs="Times New Roman"/>
        </w:rPr>
        <w:t xml:space="preserve">Humanitarian Outcomes, Aid Worker Security Report 2025 – Defenseless: Aid worker security amid the humanitarian funding collapse, </w:t>
      </w:r>
      <w:r w:rsidRPr="006346F7">
        <w:rPr>
          <w:rFonts w:ascii="Times New Roman" w:hAnsi="Times New Roman" w:cs="Times New Roman"/>
          <w:i/>
          <w:iCs/>
        </w:rPr>
        <w:t>(Rezultate în domeniul umanitar, Raportul pentru anul 2025 privind securitatea personalului umanitar – Fără apărare: Securitatea lucrătorilor umanitari în contextul prăbușirii finanțării umanitare</w:t>
      </w:r>
      <w:r w:rsidRPr="006346F7">
        <w:rPr>
          <w:rFonts w:ascii="Times New Roman" w:hAnsi="Times New Roman" w:cs="Times New Roman"/>
        </w:rPr>
        <w:t xml:space="preserve">, Londra, 2025, </w:t>
      </w:r>
      <w:hyperlink r:id="rId10" w:history="1">
        <w:r w:rsidRPr="006346F7">
          <w:rPr>
            <w:rStyle w:val="Hyperlink"/>
            <w:rFonts w:ascii="Times New Roman" w:hAnsi="Times New Roman" w:cs="Times New Roman"/>
          </w:rPr>
          <w:t>https://www.humanitarianoutcomes.org/AWSR_2025</w:t>
        </w:r>
      </w:hyperlink>
      <w:r w:rsidRPr="006346F7">
        <w:rPr>
          <w:rFonts w:ascii="Times New Roman" w:hAnsi="Times New Roman" w:cs="Times New Roman"/>
        </w:rPr>
        <w:t>.</w:t>
      </w:r>
    </w:p>
  </w:footnote>
  <w:footnote w:id="25">
    <w:p w14:paraId="0CB5310B" w14:textId="6294307E" w:rsidR="003310C3" w:rsidRPr="006346F7" w:rsidRDefault="003310C3" w:rsidP="00EC7FE0">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A se vedea Rezoluția 2730 (2024) adoptată de Consiliul de Securitate al ONU la cea de a 9634-a reuniune a sa din 24 mai 2024, pagina 3. </w:t>
      </w:r>
      <w:hyperlink r:id="rId11" w:history="1">
        <w:r w:rsidR="006346F7" w:rsidRPr="00E76CF0">
          <w:rPr>
            <w:rStyle w:val="Hyperlink"/>
            <w:rFonts w:ascii="Times New Roman" w:hAnsi="Times New Roman" w:cs="Times New Roman"/>
          </w:rPr>
          <w:t>https://digitallibrary.un.org/record/4049572</w:t>
        </w:r>
      </w:hyperlink>
      <w:r w:rsidR="002E3A43" w:rsidRPr="006346F7">
        <w:rPr>
          <w:rFonts w:ascii="Times New Roman" w:hAnsi="Times New Roman" w:cs="Times New Roman"/>
        </w:rPr>
        <w:t>.</w:t>
      </w:r>
    </w:p>
  </w:footnote>
  <w:footnote w:id="26">
    <w:p w14:paraId="66D216EB" w14:textId="3D1B6CE5" w:rsidR="00B114D7" w:rsidRPr="006346F7" w:rsidRDefault="00B114D7" w:rsidP="006346F7">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sidRPr="006346F7">
        <w:rPr>
          <w:rFonts w:ascii="Times New Roman" w:hAnsi="Times New Roman" w:cs="Times New Roman"/>
        </w:rPr>
        <w:t xml:space="preserve">Ministrul afacerilor externe al Australiei, </w:t>
      </w:r>
      <w:r w:rsidRPr="006346F7">
        <w:rPr>
          <w:rFonts w:ascii="Times New Roman" w:hAnsi="Times New Roman" w:cs="Times New Roman"/>
          <w:i/>
          <w:iCs/>
        </w:rPr>
        <w:t>„Declaration for the Protection of Humanitarian Personnel”</w:t>
      </w:r>
      <w:r w:rsidRPr="006346F7">
        <w:rPr>
          <w:rFonts w:ascii="Times New Roman" w:hAnsi="Times New Roman" w:cs="Times New Roman"/>
        </w:rPr>
        <w:t xml:space="preserve"> („Declarație în favoarea protecției personalului umanitar”), 22 septembrie 2025, consultată la 30 aprilie 2026, </w:t>
      </w:r>
      <w:hyperlink r:id="rId12" w:history="1">
        <w:r w:rsidRPr="006346F7">
          <w:rPr>
            <w:rStyle w:val="Hyperlink"/>
            <w:rFonts w:ascii="Times New Roman" w:hAnsi="Times New Roman" w:cs="Times New Roman"/>
          </w:rPr>
          <w:t>https://www.foreignminister.gov.au/minister/penny-wong/media-release/declaration-protection-humanitarian-personnel</w:t>
        </w:r>
      </w:hyperlink>
      <w:r w:rsidRPr="006346F7">
        <w:rPr>
          <w:rFonts w:ascii="Times New Roman" w:hAnsi="Times New Roman" w:cs="Times New Roman"/>
        </w:rPr>
        <w:t>.</w:t>
      </w:r>
    </w:p>
  </w:footnote>
  <w:footnote w:id="27">
    <w:p w14:paraId="29B2F0E0" w14:textId="6BABD20A" w:rsidR="001E0BC0" w:rsidRPr="006346F7" w:rsidRDefault="001E0BC0" w:rsidP="006346F7">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Global Interagency Security Forum (GISF), „Saving Lives Together” (Salvăm vieți împreună), site-ul GIFS, Londra, 2026, consultat la data de 30 aprilie 2026, </w:t>
      </w:r>
      <w:hyperlink r:id="rId13" w:history="1">
        <w:r w:rsidRPr="006346F7">
          <w:rPr>
            <w:rStyle w:val="Hyperlink"/>
            <w:rFonts w:ascii="Times New Roman" w:hAnsi="Times New Roman" w:cs="Times New Roman"/>
          </w:rPr>
          <w:t>https://gisf.ngo/themes/coordination-for-hsrm/saving-lives-together/</w:t>
        </w:r>
      </w:hyperlink>
      <w:r w:rsidRPr="006346F7">
        <w:rPr>
          <w:rFonts w:ascii="Times New Roman" w:hAnsi="Times New Roman" w:cs="Times New Roman"/>
        </w:rPr>
        <w:t xml:space="preserve">. </w:t>
      </w:r>
    </w:p>
  </w:footnote>
  <w:footnote w:id="28">
    <w:p w14:paraId="64AF5A16" w14:textId="50477AF6" w:rsidR="00456B58" w:rsidRDefault="00456B58" w:rsidP="006346F7">
      <w:pPr>
        <w:pStyle w:val="FootnoteText"/>
        <w:jc w:val="both"/>
      </w:pPr>
      <w:r w:rsidRPr="006346F7">
        <w:rPr>
          <w:rStyle w:val="FootnoteReference"/>
          <w:rFonts w:ascii="Times New Roman" w:hAnsi="Times New Roman" w:cs="Times New Roman"/>
        </w:rPr>
        <w:footnoteRef/>
      </w:r>
      <w:r w:rsidRPr="006346F7">
        <w:rPr>
          <w:rFonts w:ascii="Times New Roman" w:hAnsi="Times New Roman" w:cs="Times New Roman"/>
        </w:rPr>
        <w:t xml:space="preserve"> </w:t>
      </w:r>
      <w:r w:rsidRPr="006346F7">
        <w:rPr>
          <w:rFonts w:ascii="Times New Roman" w:hAnsi="Times New Roman" w:cs="Times New Roman"/>
          <w:i/>
          <w:iCs/>
        </w:rPr>
        <w:t>Protect Aid Workers, ‘Providing rapid support for aid workers at risk – A rapid-response mechanism for aid workers</w:t>
      </w:r>
      <w:r w:rsidRPr="006346F7">
        <w:rPr>
          <w:rFonts w:ascii="Times New Roman" w:hAnsi="Times New Roman" w:cs="Times New Roman"/>
        </w:rPr>
        <w:t xml:space="preserve">, Protect Aid Workers, „Furnizarea de sprijin rapid pentru lucrătorii umanitari expuși riscurilor – Un mecanism de reacție rapidă pentru lucrătorii umanitari”, site-ul Protect Aid Workers, consultat la data de 30 aprilie 2026, </w:t>
      </w:r>
      <w:hyperlink r:id="rId14" w:history="1">
        <w:r w:rsidRPr="006346F7">
          <w:rPr>
            <w:rStyle w:val="Hyperlink"/>
            <w:rFonts w:ascii="Times New Roman" w:hAnsi="Times New Roman" w:cs="Times New Roman"/>
          </w:rPr>
          <w:t>https://protectaidworkers.org/</w:t>
        </w:r>
      </w:hyperlink>
    </w:p>
  </w:footnote>
  <w:footnote w:id="29">
    <w:p w14:paraId="308F55E7" w14:textId="19015E7D" w:rsidR="00066AA7" w:rsidRPr="006346F7" w:rsidRDefault="00066AA7" w:rsidP="00066AA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6346F7">
        <w:rPr>
          <w:rFonts w:ascii="Times New Roman" w:hAnsi="Times New Roman" w:cs="Times New Roman"/>
        </w:rPr>
        <w:t xml:space="preserve">Comisia Europeană: </w:t>
      </w:r>
      <w:r w:rsidRPr="006346F7">
        <w:rPr>
          <w:rFonts w:ascii="Times New Roman" w:hAnsi="Times New Roman" w:cs="Times New Roman"/>
          <w:shd w:val="clear" w:color="auto" w:fill="FFFFFF"/>
        </w:rPr>
        <w:t xml:space="preserve">DG ECHO, </w:t>
      </w:r>
      <w:r w:rsidRPr="006346F7">
        <w:rPr>
          <w:rFonts w:ascii="Times New Roman" w:hAnsi="Times New Roman" w:cs="Times New Roman"/>
          <w:i/>
          <w:shd w:val="clear" w:color="auto" w:fill="FFFFFF"/>
        </w:rPr>
        <w:t>Notă de orientare</w:t>
      </w:r>
      <w:r w:rsidRPr="006346F7">
        <w:rPr>
          <w:rFonts w:ascii="Times New Roman" w:hAnsi="Times New Roman" w:cs="Times New Roman"/>
          <w:shd w:val="clear" w:color="auto" w:fill="FFFFFF"/>
        </w:rPr>
        <w:t>:</w:t>
      </w:r>
      <w:r w:rsidRPr="006346F7">
        <w:rPr>
          <w:rFonts w:ascii="Times New Roman" w:hAnsi="Times New Roman" w:cs="Times New Roman"/>
          <w:i/>
          <w:shd w:val="clear" w:color="auto" w:fill="FFFFFF"/>
        </w:rPr>
        <w:t xml:space="preserve"> </w:t>
      </w:r>
      <w:r w:rsidRPr="006346F7">
        <w:rPr>
          <w:rFonts w:ascii="Times New Roman" w:hAnsi="Times New Roman" w:cs="Times New Roman"/>
          <w:i/>
          <w:iCs/>
          <w:shd w:val="clear" w:color="auto" w:fill="FFFFFF"/>
        </w:rPr>
        <w:t>Promoting Equitable Partnerships with Local Responders in Humanitarian Settings (Promovarea unor parteneriate echitabile cu persoanele care intervin la nivel local în contexte umanitare)</w:t>
      </w:r>
      <w:r w:rsidRPr="006346F7">
        <w:rPr>
          <w:rFonts w:ascii="Times New Roman" w:hAnsi="Times New Roman" w:cs="Times New Roman"/>
          <w:shd w:val="clear" w:color="auto" w:fill="FFFFFF"/>
        </w:rPr>
        <w:t xml:space="preserve">, Oficiul pentru Publicații al Uniunii Europene, Luxemburg, 2023, </w:t>
      </w:r>
      <w:hyperlink r:id="rId15" w:history="1">
        <w:r w:rsidRPr="006346F7">
          <w:rPr>
            <w:rStyle w:val="Hyperlink"/>
            <w:rFonts w:ascii="Times New Roman" w:hAnsi="Times New Roman" w:cs="Times New Roman"/>
            <w:shd w:val="clear" w:color="auto" w:fill="FFFFFF"/>
          </w:rPr>
          <w:t>https://data.europa.eu/doi/10.2795/653711</w:t>
        </w:r>
      </w:hyperlink>
      <w:r w:rsidRPr="006346F7">
        <w:rPr>
          <w:rFonts w:ascii="Times New Roman" w:hAnsi="Times New Roman" w:cs="Times New Roman"/>
        </w:rPr>
        <w:t>.</w:t>
      </w:r>
      <w:r w:rsidRPr="006346F7">
        <w:rPr>
          <w:rFonts w:ascii="Times New Roman" w:hAnsi="Times New Roman" w:cs="Times New Roman"/>
          <w:i/>
          <w:shd w:val="clear" w:color="auto" w:fill="FFFFFF"/>
        </w:rPr>
        <w:t xml:space="preserve"> </w:t>
      </w:r>
    </w:p>
  </w:footnote>
  <w:footnote w:id="30">
    <w:p w14:paraId="02B2A97F" w14:textId="783CB08B" w:rsidR="00456B58" w:rsidRPr="00935197" w:rsidRDefault="00456B58" w:rsidP="00935197">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Organizația Națiunilor Unite: Consiliul pentru Drepturile Omului, Children in armed conflict – Report of the Special Representative of the Secretary-General for Children and Armed Conflict („Copiii în conflictele armate – Raportul reprezentantului special al Secretarului General privind copiii și conflictele armate”), A/HRC/61/37, 23 decembrie 2025, https://docs.un.org/en/A/HRC/61/37.</w:t>
      </w:r>
    </w:p>
  </w:footnote>
  <w:footnote w:id="31">
    <w:p w14:paraId="71E9C42E" w14:textId="0976838C" w:rsidR="00D84E42" w:rsidRPr="006346F7" w:rsidRDefault="00D84E42" w:rsidP="00935197">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sidRPr="006346F7">
        <w:rPr>
          <w:rFonts w:ascii="Times New Roman" w:hAnsi="Times New Roman" w:cs="Times New Roman"/>
        </w:rPr>
        <w:t xml:space="preserve">COM(2018) 304 final. </w:t>
      </w:r>
    </w:p>
  </w:footnote>
  <w:footnote w:id="32">
    <w:p w14:paraId="3F59AE97" w14:textId="77777777" w:rsidR="00C1191F" w:rsidRPr="006346F7" w:rsidRDefault="00C1191F">
      <w:pPr>
        <w:pStyle w:val="FootnoteText"/>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COM (2026) 113 final, paginile 20-21</w:t>
      </w:r>
    </w:p>
  </w:footnote>
  <w:footnote w:id="33">
    <w:p w14:paraId="0F104062" w14:textId="4E7FACBC" w:rsidR="00A15D12" w:rsidRPr="00321376" w:rsidRDefault="00A15D12" w:rsidP="006346F7">
      <w:pPr>
        <w:pStyle w:val="FootnoteText"/>
        <w:jc w:val="both"/>
      </w:pPr>
      <w:r>
        <w:rPr>
          <w:rStyle w:val="FootnoteReference"/>
          <w:rFonts w:ascii="Times New Roman" w:hAnsi="Times New Roman" w:cs="Times New Roman"/>
        </w:rPr>
        <w:footnoteRef/>
      </w:r>
      <w:r>
        <w:rPr>
          <w:rFonts w:ascii="Times New Roman" w:hAnsi="Times New Roman"/>
        </w:rPr>
        <w:t xml:space="preserve"> </w:t>
      </w:r>
      <w:r w:rsidRPr="006346F7">
        <w:rPr>
          <w:rFonts w:ascii="Times New Roman" w:hAnsi="Times New Roman" w:cs="Times New Roman"/>
        </w:rPr>
        <w:t>Comisia Europeană, DG ECHO,</w:t>
      </w:r>
      <w:r w:rsidRPr="006346F7">
        <w:rPr>
          <w:rFonts w:ascii="Times New Roman" w:hAnsi="Times New Roman" w:cs="Times New Roman"/>
          <w:shd w:val="clear" w:color="auto" w:fill="FFFFFF"/>
        </w:rPr>
        <w:t xml:space="preserve"> </w:t>
      </w:r>
      <w:r w:rsidRPr="006346F7">
        <w:rPr>
          <w:rFonts w:ascii="Times New Roman" w:hAnsi="Times New Roman" w:cs="Times New Roman"/>
          <w:i/>
          <w:iCs/>
          <w:shd w:val="clear" w:color="auto" w:fill="FFFFFF"/>
        </w:rPr>
        <w:t>Gender – Different Needs, Adapted Assistance</w:t>
      </w:r>
      <w:r w:rsidRPr="006346F7">
        <w:rPr>
          <w:rFonts w:ascii="Times New Roman" w:hAnsi="Times New Roman" w:cs="Times New Roman"/>
          <w:shd w:val="clear" w:color="auto" w:fill="FFFFFF"/>
        </w:rPr>
        <w:t xml:space="preserve"> (Egalitatea de gen – nevoi diferite, asistență adaptată), Documentul tematic de politică nr. 6 al DG ECHO, Oficiul pentru Publicații al Uniunii Europene, Luxemburg, 2013,</w:t>
      </w:r>
      <w:r w:rsidR="006346F7">
        <w:rPr>
          <w:rFonts w:ascii="Times New Roman" w:hAnsi="Times New Roman" w:cs="Times New Roman"/>
          <w:shd w:val="clear" w:color="auto" w:fill="FFFFFF"/>
        </w:rPr>
        <w:tab/>
      </w:r>
      <w:r w:rsidRPr="006346F7">
        <w:rPr>
          <w:rFonts w:ascii="Times New Roman" w:hAnsi="Times New Roman" w:cs="Times New Roman"/>
          <w:shd w:val="clear" w:color="auto" w:fill="FFFFFF"/>
        </w:rPr>
        <w:t xml:space="preserve"> </w:t>
      </w:r>
      <w:hyperlink r:id="rId16" w:history="1">
        <w:r w:rsidRPr="006346F7">
          <w:rPr>
            <w:rStyle w:val="Hyperlink"/>
            <w:rFonts w:ascii="Times New Roman" w:hAnsi="Times New Roman" w:cs="Times New Roman"/>
            <w:shd w:val="clear" w:color="auto" w:fill="FFFFFF"/>
          </w:rPr>
          <w:t>https://ec.europa.eu/echo/files/policies/sectoral/gender_thematic_policy_document_en.pdf</w:t>
        </w:r>
      </w:hyperlink>
      <w:r w:rsidRPr="006346F7">
        <w:rPr>
          <w:rFonts w:ascii="Times New Roman" w:hAnsi="Times New Roman" w:cs="Times New Roman"/>
          <w:shd w:val="clear" w:color="auto" w:fill="FFFFFF"/>
        </w:rPr>
        <w:t>.</w:t>
      </w:r>
    </w:p>
  </w:footnote>
  <w:footnote w:id="34">
    <w:p w14:paraId="0E8B9A34" w14:textId="5EFE6AFE" w:rsidR="00321376" w:rsidRPr="006346F7" w:rsidRDefault="00321376" w:rsidP="006346F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6346F7">
        <w:rPr>
          <w:rFonts w:ascii="Times New Roman" w:hAnsi="Times New Roman" w:cs="Times New Roman"/>
        </w:rPr>
        <w:t xml:space="preserve">Principalul obiectiv al mecanismelor de influențare a evoluției crizei este de a permite un răspuns rapid și eficace la crizele emergente în contextul unei acțiuni umanitare în curs. Comisia Europeană, site-ul web al DG ECHO Partners, consultat la 30 aprilie 2026, </w:t>
      </w:r>
      <w:hyperlink r:id="rId17" w:history="1">
        <w:r w:rsidRPr="006346F7">
          <w:rPr>
            <w:rStyle w:val="Hyperlink"/>
            <w:rFonts w:ascii="Times New Roman" w:hAnsi="Times New Roman" w:cs="Times New Roman"/>
          </w:rPr>
          <w:t>www.dgecho-partners-helpdesk.eu/ngo/actions-implementation/crisis-modifier</w:t>
        </w:r>
      </w:hyperlink>
      <w:r w:rsidRPr="006346F7">
        <w:rPr>
          <w:rFonts w:ascii="Times New Roman" w:hAnsi="Times New Roman" w:cs="Times New Roman"/>
        </w:rPr>
        <w:t xml:space="preserve"> </w:t>
      </w:r>
    </w:p>
  </w:footnote>
  <w:footnote w:id="35">
    <w:p w14:paraId="1AF1AFBC" w14:textId="5A6EEFEB" w:rsidR="00261A16" w:rsidRPr="006346F7" w:rsidRDefault="002A63C8" w:rsidP="00261A16">
      <w:pPr>
        <w:pStyle w:val="FootnoteText"/>
        <w:jc w:val="both"/>
        <w:rPr>
          <w:rFonts w:ascii="Times New Roman" w:hAnsi="Times New Roman" w:cs="Times New Roman"/>
        </w:rPr>
      </w:pPr>
      <w:r w:rsidRPr="006346F7">
        <w:rPr>
          <w:rStyle w:val="FootnoteReference"/>
          <w:rFonts w:ascii="Times New Roman" w:hAnsi="Times New Roman" w:cs="Times New Roman"/>
        </w:rPr>
        <w:footnoteRef/>
      </w:r>
      <w:r w:rsidRPr="006346F7">
        <w:rPr>
          <w:rFonts w:ascii="Times New Roman" w:hAnsi="Times New Roman" w:cs="Times New Roman"/>
        </w:rPr>
        <w:t xml:space="preserve"> Comisia Europeană: </w:t>
      </w:r>
      <w:r w:rsidRPr="006346F7">
        <w:rPr>
          <w:rFonts w:ascii="Times New Roman" w:hAnsi="Times New Roman" w:cs="Times New Roman"/>
          <w:shd w:val="clear" w:color="auto" w:fill="FFFFFF"/>
        </w:rPr>
        <w:t>DG ECHO, Working with DG ECHO programmatic partnership 2021-2027, („Colaborarea cu parteneriatul programatic al DG ECHO pentru perioada 2021-2027), site-ul Comisiei Europene, consultat la 30</w:t>
      </w:r>
      <w:r w:rsidR="006346F7">
        <w:rPr>
          <w:rFonts w:ascii="Times New Roman" w:hAnsi="Times New Roman" w:cs="Times New Roman"/>
          <w:shd w:val="clear" w:color="auto" w:fill="FFFFFF"/>
        </w:rPr>
        <w:t> </w:t>
      </w:r>
      <w:r w:rsidRPr="006346F7">
        <w:rPr>
          <w:rFonts w:ascii="Times New Roman" w:hAnsi="Times New Roman" w:cs="Times New Roman"/>
          <w:shd w:val="clear" w:color="auto" w:fill="FFFFFF"/>
        </w:rPr>
        <w:t xml:space="preserve">aprilie 2026, </w:t>
      </w:r>
      <w:hyperlink r:id="rId18" w:history="1">
        <w:r w:rsidRPr="006346F7">
          <w:rPr>
            <w:rStyle w:val="Hyperlink"/>
            <w:rFonts w:ascii="Times New Roman" w:hAnsi="Times New Roman" w:cs="Times New Roman"/>
          </w:rPr>
          <w:t>www.dgecho-partners-helpdesk.eu/programmatic-partnership/programmatic-partnership</w:t>
        </w:r>
      </w:hyperlink>
      <w:r w:rsidRPr="006346F7">
        <w:rPr>
          <w:rFonts w:ascii="Times New Roman" w:hAnsi="Times New Roman" w:cs="Times New Roman"/>
        </w:rPr>
        <w:t xml:space="preserve"> </w:t>
      </w:r>
    </w:p>
    <w:p w14:paraId="6D2B0B66" w14:textId="44EF83C9" w:rsidR="002A63C8" w:rsidRPr="002A63C8" w:rsidRDefault="002A63C8">
      <w:pPr>
        <w:pStyle w:val="FootnoteText"/>
        <w:rPr>
          <w:lang w:val="en-IE"/>
        </w:rPr>
      </w:pPr>
    </w:p>
  </w:footnote>
  <w:footnote w:id="36">
    <w:p w14:paraId="09F3E10B" w14:textId="77AB3FC1" w:rsidR="001123E5" w:rsidRPr="00583656" w:rsidRDefault="001123E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Rețeaua CaLP, Common Donor Approach to Humanitarian Cash Assistance („Abordarea comună a donatorilor în ceea ce privește asistența umanitară în numerar”), site-ul web al rețelei CALP, 25 septembrie 2025, consultat la data de 30 aprilie 2026,</w:t>
      </w:r>
      <w:r>
        <w:t xml:space="preserve"> </w:t>
      </w:r>
      <w:hyperlink r:id="rId19" w:history="1">
        <w:r>
          <w:rPr>
            <w:rStyle w:val="Hyperlink"/>
            <w:rFonts w:ascii="Times New Roman" w:hAnsi="Times New Roman"/>
          </w:rPr>
          <w:t>https://www.calpnetwork.org/publication/common-donor-approach-to-humanitarian-cash-assistance-2025/</w:t>
        </w:r>
      </w:hyperlink>
    </w:p>
  </w:footnote>
  <w:footnote w:id="37">
    <w:p w14:paraId="1B1D2CC1" w14:textId="1A9D3669" w:rsidR="00456B58" w:rsidRPr="00F54BD0" w:rsidRDefault="00456B58" w:rsidP="00EC7FE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INFORM este un set de instrumente dezvoltate de comunitatea umanitară și pentru aceasta, în vederea unei analize comune bazate pe date verificate la nivelul întregului sistem. Pentru mai multe informații, consultați site-ul web al Comisiei Europene: Centrul Comun de Cercetare, ”INFORM” consultat la data de 30 aprilie 2026</w:t>
      </w:r>
      <w:r>
        <w:t xml:space="preserve">, </w:t>
      </w:r>
      <w:hyperlink r:id="rId20" w:history="1">
        <w:r>
          <w:rPr>
            <w:rStyle w:val="Hyperlink"/>
            <w:rFonts w:ascii="Times New Roman" w:hAnsi="Times New Roman"/>
          </w:rPr>
          <w:t>https://drmkc.jrc.ec.europa.eu/inform-index/</w:t>
        </w:r>
      </w:hyperlink>
      <w:r>
        <w:rPr>
          <w:rFonts w:ascii="Times New Roman" w:hAnsi="Times New Roman"/>
        </w:rPr>
        <w:t>.</w:t>
      </w:r>
    </w:p>
  </w:footnote>
  <w:footnote w:id="38">
    <w:p w14:paraId="494AA3C2" w14:textId="648DAA00" w:rsidR="00456B58" w:rsidRPr="00F31438" w:rsidRDefault="00456B58" w:rsidP="00456B58">
      <w:pPr>
        <w:pStyle w:val="FootnoteText"/>
      </w:pPr>
      <w:r>
        <w:rPr>
          <w:rStyle w:val="FootnoteReference"/>
          <w:rFonts w:ascii="Times New Roman" w:hAnsi="Times New Roman" w:cs="Times New Roman"/>
        </w:rPr>
        <w:footnoteRef/>
      </w:r>
      <w:r>
        <w:rPr>
          <w:rFonts w:ascii="Times New Roman" w:hAnsi="Times New Roman"/>
        </w:rPr>
        <w:t xml:space="preserve"> A se vedea secțiunile 1.2 și 2.1.</w:t>
      </w:r>
    </w:p>
  </w:footnote>
  <w:footnote w:id="39">
    <w:p w14:paraId="4F792A6F" w14:textId="1C3D16EA" w:rsidR="00456B58" w:rsidRPr="002C3F0C" w:rsidRDefault="00456B58" w:rsidP="00261A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250 de milioane EUR economisite în Ucraina, Grupul de lucru privind numerarul în Ucraina, „Ukraine CWG Data Management – Evaluarea sistemelor și a guvernanței iulie 2025”, OCHA, 23 iulie 2025, consultat la data de 30 aprilie 2026, https://reliefweb.int/report/ukraine/ukraine-cwg-data-management-systems-and-governance-assessment-report-july-2025, 250 milioane economisite în Ucraina </w:t>
      </w:r>
    </w:p>
  </w:footnote>
  <w:footnote w:id="40">
    <w:p w14:paraId="55B54E2C" w14:textId="6656ED69" w:rsidR="00DA0138" w:rsidRPr="002A63C8" w:rsidRDefault="00DA0138" w:rsidP="00DA0138">
      <w:pPr>
        <w:pStyle w:val="FootnoteText"/>
        <w:jc w:val="both"/>
      </w:pPr>
      <w:r>
        <w:rPr>
          <w:rStyle w:val="FootnoteReference"/>
        </w:rPr>
        <w:footnoteRef/>
      </w:r>
      <w:r>
        <w:t xml:space="preserve"> </w:t>
      </w:r>
      <w:r>
        <w:rPr>
          <w:rFonts w:ascii="Times New Roman" w:hAnsi="Times New Roman"/>
        </w:rPr>
        <w:t xml:space="preserve">Fragilitatea este combinația dintre expunerea la riscuri și capacitatea insuficientă de adaptare a statului, a sistemului și/sau a comunităților pentru a gestiona, a absorbi sau a atenua aceste riscuri, OCDE, </w:t>
      </w:r>
      <w:r>
        <w:rPr>
          <w:rFonts w:ascii="Times New Roman" w:hAnsi="Times New Roman"/>
          <w:i/>
          <w:iCs/>
        </w:rPr>
        <w:t>States of Fragility</w:t>
      </w:r>
      <w:r>
        <w:rPr>
          <w:rFonts w:ascii="Times New Roman" w:hAnsi="Times New Roman"/>
        </w:rPr>
        <w:t xml:space="preserve"> (Stări de fragilitate), OECD Publishing, Paris, 2025,</w:t>
      </w:r>
      <w:r>
        <w:t xml:space="preserve"> </w:t>
      </w:r>
      <w:hyperlink r:id="rId21" w:history="1">
        <w:r>
          <w:rPr>
            <w:rStyle w:val="Hyperlink"/>
            <w:rFonts w:ascii="Times New Roman" w:hAnsi="Times New Roman"/>
          </w:rPr>
          <w:t>https://doi.org/10.1787/81982370-en</w:t>
        </w:r>
      </w:hyperlink>
    </w:p>
  </w:footnote>
  <w:footnote w:id="41">
    <w:p w14:paraId="2FE22811" w14:textId="438EEC28" w:rsidR="00261A16" w:rsidRPr="00261A16" w:rsidRDefault="004862F0" w:rsidP="00261A1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DG COMM, </w:t>
      </w:r>
      <w:r>
        <w:rPr>
          <w:rFonts w:ascii="Times New Roman" w:hAnsi="Times New Roman"/>
          <w:i/>
          <w:iCs/>
        </w:rPr>
        <w:t>Eurobarometru special 542</w:t>
      </w:r>
      <w:r>
        <w:rPr>
          <w:rFonts w:ascii="Times New Roman" w:hAnsi="Times New Roman"/>
        </w:rPr>
        <w:t xml:space="preserve"> – </w:t>
      </w:r>
      <w:r>
        <w:rPr>
          <w:rFonts w:ascii="Times New Roman" w:hAnsi="Times New Roman"/>
          <w:i/>
          <w:iCs/>
        </w:rPr>
        <w:t>Ajutorul umanitar al UE</w:t>
      </w:r>
      <w:r>
        <w:rPr>
          <w:rFonts w:ascii="Times New Roman" w:hAnsi="Times New Roman"/>
        </w:rPr>
        <w:t>, Oficiul pentru Publicații al Uniunii Europene, 2024,</w:t>
      </w:r>
      <w:r>
        <w:t xml:space="preserve"> </w:t>
      </w:r>
      <w:hyperlink r:id="rId22" w:history="1">
        <w:r>
          <w:rPr>
            <w:rStyle w:val="Hyperlink"/>
            <w:rFonts w:ascii="Times New Roman" w:hAnsi="Times New Roman"/>
          </w:rPr>
          <w:t>https://data.europa.eu/doi/10.2795/369550</w:t>
        </w:r>
      </w:hyperlink>
      <w:r>
        <w:t>.</w:t>
      </w:r>
      <w:r>
        <w:rPr>
          <w:rFonts w:ascii="Times New Roman" w:hAnsi="Times New Roman"/>
        </w:rPr>
        <w:t xml:space="preserve"> </w:t>
      </w:r>
    </w:p>
    <w:p w14:paraId="2FD5EC35" w14:textId="1227D5F7" w:rsidR="004862F0" w:rsidRPr="006346F7" w:rsidRDefault="004862F0" w:rsidP="004862F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6CE11" w14:textId="77777777" w:rsidR="00F23F86" w:rsidRPr="00F23F86" w:rsidRDefault="00F23F86" w:rsidP="00F23F8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AFAF3" w14:textId="77777777" w:rsidR="00F23F86" w:rsidRPr="00F23F86" w:rsidRDefault="00F23F86" w:rsidP="00F23F8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03A09" w14:textId="77777777" w:rsidR="00F23F86" w:rsidRPr="00F23F86" w:rsidRDefault="00F23F86" w:rsidP="00F23F8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199D4" w14:textId="77777777" w:rsidR="00456B58" w:rsidRDefault="00456B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8993C" w14:textId="77777777" w:rsidR="00456B58" w:rsidRDefault="00456B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5364" w14:textId="77777777" w:rsidR="00456B58" w:rsidRDefault="00456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63A9"/>
    <w:multiLevelType w:val="hybridMultilevel"/>
    <w:tmpl w:val="3D007E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5219E6"/>
    <w:multiLevelType w:val="hybridMultilevel"/>
    <w:tmpl w:val="D850186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75625DC"/>
    <w:multiLevelType w:val="hybridMultilevel"/>
    <w:tmpl w:val="2E7A8762"/>
    <w:lvl w:ilvl="0" w:tplc="DB107298">
      <w:start w:val="1"/>
      <w:numFmt w:val="bullet"/>
      <w:lvlText w:val="-"/>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A6B23BA"/>
    <w:multiLevelType w:val="hybridMultilevel"/>
    <w:tmpl w:val="B46409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E9375AD"/>
    <w:multiLevelType w:val="hybridMultilevel"/>
    <w:tmpl w:val="E4E82D0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348E7936"/>
    <w:multiLevelType w:val="hybridMultilevel"/>
    <w:tmpl w:val="C8E232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3AB35992"/>
    <w:multiLevelType w:val="hybridMultilevel"/>
    <w:tmpl w:val="4F1C4200"/>
    <w:lvl w:ilvl="0" w:tplc="4B5457AE">
      <w:start w:val="1"/>
      <w:numFmt w:val="bullet"/>
      <w:lvlText w:val=""/>
      <w:lvlJc w:val="left"/>
      <w:pPr>
        <w:ind w:left="720" w:hanging="360"/>
      </w:pPr>
      <w:rPr>
        <w:rFonts w:ascii="Symbol" w:hAnsi="Symbol" w:hint="default"/>
      </w:rPr>
    </w:lvl>
    <w:lvl w:ilvl="1" w:tplc="3F12078A">
      <w:start w:val="1"/>
      <w:numFmt w:val="bullet"/>
      <w:lvlText w:val="o"/>
      <w:lvlJc w:val="left"/>
      <w:pPr>
        <w:ind w:left="1440" w:hanging="360"/>
      </w:pPr>
      <w:rPr>
        <w:rFonts w:ascii="Courier New" w:hAnsi="Courier New" w:hint="default"/>
      </w:rPr>
    </w:lvl>
    <w:lvl w:ilvl="2" w:tplc="95CE7278">
      <w:start w:val="1"/>
      <w:numFmt w:val="bullet"/>
      <w:lvlText w:val=""/>
      <w:lvlJc w:val="left"/>
      <w:pPr>
        <w:ind w:left="2160" w:hanging="360"/>
      </w:pPr>
      <w:rPr>
        <w:rFonts w:ascii="Wingdings" w:hAnsi="Wingdings" w:hint="default"/>
      </w:rPr>
    </w:lvl>
    <w:lvl w:ilvl="3" w:tplc="DFC29DA8">
      <w:start w:val="1"/>
      <w:numFmt w:val="bullet"/>
      <w:lvlText w:val=""/>
      <w:lvlJc w:val="left"/>
      <w:pPr>
        <w:ind w:left="2880" w:hanging="360"/>
      </w:pPr>
      <w:rPr>
        <w:rFonts w:ascii="Symbol" w:hAnsi="Symbol" w:hint="default"/>
      </w:rPr>
    </w:lvl>
    <w:lvl w:ilvl="4" w:tplc="E0C0C9C6">
      <w:start w:val="1"/>
      <w:numFmt w:val="bullet"/>
      <w:lvlText w:val="o"/>
      <w:lvlJc w:val="left"/>
      <w:pPr>
        <w:ind w:left="3600" w:hanging="360"/>
      </w:pPr>
      <w:rPr>
        <w:rFonts w:ascii="Courier New" w:hAnsi="Courier New" w:hint="default"/>
      </w:rPr>
    </w:lvl>
    <w:lvl w:ilvl="5" w:tplc="56E062E4">
      <w:start w:val="1"/>
      <w:numFmt w:val="bullet"/>
      <w:lvlText w:val=""/>
      <w:lvlJc w:val="left"/>
      <w:pPr>
        <w:ind w:left="4320" w:hanging="360"/>
      </w:pPr>
      <w:rPr>
        <w:rFonts w:ascii="Wingdings" w:hAnsi="Wingdings" w:hint="default"/>
      </w:rPr>
    </w:lvl>
    <w:lvl w:ilvl="6" w:tplc="541C1312">
      <w:start w:val="1"/>
      <w:numFmt w:val="bullet"/>
      <w:lvlText w:val=""/>
      <w:lvlJc w:val="left"/>
      <w:pPr>
        <w:ind w:left="5040" w:hanging="360"/>
      </w:pPr>
      <w:rPr>
        <w:rFonts w:ascii="Symbol" w:hAnsi="Symbol" w:hint="default"/>
      </w:rPr>
    </w:lvl>
    <w:lvl w:ilvl="7" w:tplc="E3165992">
      <w:start w:val="1"/>
      <w:numFmt w:val="bullet"/>
      <w:lvlText w:val="o"/>
      <w:lvlJc w:val="left"/>
      <w:pPr>
        <w:ind w:left="5760" w:hanging="360"/>
      </w:pPr>
      <w:rPr>
        <w:rFonts w:ascii="Courier New" w:hAnsi="Courier New" w:hint="default"/>
      </w:rPr>
    </w:lvl>
    <w:lvl w:ilvl="8" w:tplc="B4440828">
      <w:start w:val="1"/>
      <w:numFmt w:val="bullet"/>
      <w:lvlText w:val=""/>
      <w:lvlJc w:val="left"/>
      <w:pPr>
        <w:ind w:left="6480" w:hanging="360"/>
      </w:pPr>
      <w:rPr>
        <w:rFonts w:ascii="Wingdings" w:hAnsi="Wingdings" w:hint="default"/>
      </w:rPr>
    </w:lvl>
  </w:abstractNum>
  <w:abstractNum w:abstractNumId="7" w15:restartNumberingAfterBreak="0">
    <w:nsid w:val="3C0143C8"/>
    <w:multiLevelType w:val="hybridMultilevel"/>
    <w:tmpl w:val="39B410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C804A3D"/>
    <w:multiLevelType w:val="hybridMultilevel"/>
    <w:tmpl w:val="61185E16"/>
    <w:lvl w:ilvl="0" w:tplc="0160150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D50138"/>
    <w:multiLevelType w:val="hybridMultilevel"/>
    <w:tmpl w:val="F68CD9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4423C6A0"/>
    <w:multiLevelType w:val="hybridMultilevel"/>
    <w:tmpl w:val="EC90F1A0"/>
    <w:lvl w:ilvl="0" w:tplc="1B6EBD52">
      <w:start w:val="1"/>
      <w:numFmt w:val="bullet"/>
      <w:lvlText w:val=""/>
      <w:lvlJc w:val="left"/>
      <w:pPr>
        <w:ind w:left="720" w:hanging="360"/>
      </w:pPr>
      <w:rPr>
        <w:rFonts w:ascii="Symbol" w:hAnsi="Symbol" w:hint="default"/>
      </w:rPr>
    </w:lvl>
    <w:lvl w:ilvl="1" w:tplc="85688A90">
      <w:start w:val="1"/>
      <w:numFmt w:val="bullet"/>
      <w:lvlText w:val="o"/>
      <w:lvlJc w:val="left"/>
      <w:pPr>
        <w:ind w:left="1440" w:hanging="360"/>
      </w:pPr>
      <w:rPr>
        <w:rFonts w:ascii="Courier New" w:hAnsi="Courier New" w:hint="default"/>
      </w:rPr>
    </w:lvl>
    <w:lvl w:ilvl="2" w:tplc="3BBC1116">
      <w:start w:val="1"/>
      <w:numFmt w:val="bullet"/>
      <w:lvlText w:val=""/>
      <w:lvlJc w:val="left"/>
      <w:pPr>
        <w:ind w:left="2160" w:hanging="360"/>
      </w:pPr>
      <w:rPr>
        <w:rFonts w:ascii="Wingdings" w:hAnsi="Wingdings" w:hint="default"/>
      </w:rPr>
    </w:lvl>
    <w:lvl w:ilvl="3" w:tplc="FDB24134">
      <w:start w:val="1"/>
      <w:numFmt w:val="bullet"/>
      <w:lvlText w:val=""/>
      <w:lvlJc w:val="left"/>
      <w:pPr>
        <w:ind w:left="2880" w:hanging="360"/>
      </w:pPr>
      <w:rPr>
        <w:rFonts w:ascii="Symbol" w:hAnsi="Symbol" w:hint="default"/>
      </w:rPr>
    </w:lvl>
    <w:lvl w:ilvl="4" w:tplc="B9629452">
      <w:start w:val="1"/>
      <w:numFmt w:val="bullet"/>
      <w:lvlText w:val="o"/>
      <w:lvlJc w:val="left"/>
      <w:pPr>
        <w:ind w:left="3600" w:hanging="360"/>
      </w:pPr>
      <w:rPr>
        <w:rFonts w:ascii="Courier New" w:hAnsi="Courier New" w:hint="default"/>
      </w:rPr>
    </w:lvl>
    <w:lvl w:ilvl="5" w:tplc="804C44A8">
      <w:start w:val="1"/>
      <w:numFmt w:val="bullet"/>
      <w:lvlText w:val=""/>
      <w:lvlJc w:val="left"/>
      <w:pPr>
        <w:ind w:left="4320" w:hanging="360"/>
      </w:pPr>
      <w:rPr>
        <w:rFonts w:ascii="Wingdings" w:hAnsi="Wingdings" w:hint="default"/>
      </w:rPr>
    </w:lvl>
    <w:lvl w:ilvl="6" w:tplc="77186C3C">
      <w:start w:val="1"/>
      <w:numFmt w:val="bullet"/>
      <w:lvlText w:val=""/>
      <w:lvlJc w:val="left"/>
      <w:pPr>
        <w:ind w:left="5040" w:hanging="360"/>
      </w:pPr>
      <w:rPr>
        <w:rFonts w:ascii="Symbol" w:hAnsi="Symbol" w:hint="default"/>
      </w:rPr>
    </w:lvl>
    <w:lvl w:ilvl="7" w:tplc="A950FE70">
      <w:start w:val="1"/>
      <w:numFmt w:val="bullet"/>
      <w:lvlText w:val="o"/>
      <w:lvlJc w:val="left"/>
      <w:pPr>
        <w:ind w:left="5760" w:hanging="360"/>
      </w:pPr>
      <w:rPr>
        <w:rFonts w:ascii="Courier New" w:hAnsi="Courier New" w:hint="default"/>
      </w:rPr>
    </w:lvl>
    <w:lvl w:ilvl="8" w:tplc="B5C0184C">
      <w:start w:val="1"/>
      <w:numFmt w:val="bullet"/>
      <w:lvlText w:val=""/>
      <w:lvlJc w:val="left"/>
      <w:pPr>
        <w:ind w:left="6480" w:hanging="360"/>
      </w:pPr>
      <w:rPr>
        <w:rFonts w:ascii="Wingdings" w:hAnsi="Wingdings" w:hint="default"/>
      </w:rPr>
    </w:lvl>
  </w:abstractNum>
  <w:abstractNum w:abstractNumId="11" w15:restartNumberingAfterBreak="0">
    <w:nsid w:val="47B6DCE0"/>
    <w:multiLevelType w:val="hybridMultilevel"/>
    <w:tmpl w:val="35ECF142"/>
    <w:lvl w:ilvl="0" w:tplc="30B4CD34">
      <w:start w:val="1"/>
      <w:numFmt w:val="bullet"/>
      <w:lvlText w:val="·"/>
      <w:lvlJc w:val="left"/>
      <w:pPr>
        <w:ind w:left="720" w:hanging="360"/>
      </w:pPr>
      <w:rPr>
        <w:rFonts w:ascii="Symbol" w:hAnsi="Symbol" w:hint="default"/>
      </w:rPr>
    </w:lvl>
    <w:lvl w:ilvl="1" w:tplc="DFB6F448">
      <w:start w:val="1"/>
      <w:numFmt w:val="bullet"/>
      <w:lvlText w:val="o"/>
      <w:lvlJc w:val="left"/>
      <w:pPr>
        <w:ind w:left="1440" w:hanging="360"/>
      </w:pPr>
      <w:rPr>
        <w:rFonts w:ascii="Courier New" w:hAnsi="Courier New" w:hint="default"/>
      </w:rPr>
    </w:lvl>
    <w:lvl w:ilvl="2" w:tplc="FC20E002">
      <w:start w:val="1"/>
      <w:numFmt w:val="bullet"/>
      <w:lvlText w:val=""/>
      <w:lvlJc w:val="left"/>
      <w:pPr>
        <w:ind w:left="2160" w:hanging="360"/>
      </w:pPr>
      <w:rPr>
        <w:rFonts w:ascii="Wingdings" w:hAnsi="Wingdings" w:hint="default"/>
      </w:rPr>
    </w:lvl>
    <w:lvl w:ilvl="3" w:tplc="68866CC2">
      <w:start w:val="1"/>
      <w:numFmt w:val="bullet"/>
      <w:lvlText w:val=""/>
      <w:lvlJc w:val="left"/>
      <w:pPr>
        <w:ind w:left="2880" w:hanging="360"/>
      </w:pPr>
      <w:rPr>
        <w:rFonts w:ascii="Symbol" w:hAnsi="Symbol" w:hint="default"/>
      </w:rPr>
    </w:lvl>
    <w:lvl w:ilvl="4" w:tplc="C82CED50">
      <w:start w:val="1"/>
      <w:numFmt w:val="bullet"/>
      <w:lvlText w:val="o"/>
      <w:lvlJc w:val="left"/>
      <w:pPr>
        <w:ind w:left="3600" w:hanging="360"/>
      </w:pPr>
      <w:rPr>
        <w:rFonts w:ascii="Courier New" w:hAnsi="Courier New" w:hint="default"/>
      </w:rPr>
    </w:lvl>
    <w:lvl w:ilvl="5" w:tplc="98708228">
      <w:start w:val="1"/>
      <w:numFmt w:val="bullet"/>
      <w:lvlText w:val=""/>
      <w:lvlJc w:val="left"/>
      <w:pPr>
        <w:ind w:left="4320" w:hanging="360"/>
      </w:pPr>
      <w:rPr>
        <w:rFonts w:ascii="Wingdings" w:hAnsi="Wingdings" w:hint="default"/>
      </w:rPr>
    </w:lvl>
    <w:lvl w:ilvl="6" w:tplc="C6E83148">
      <w:start w:val="1"/>
      <w:numFmt w:val="bullet"/>
      <w:lvlText w:val=""/>
      <w:lvlJc w:val="left"/>
      <w:pPr>
        <w:ind w:left="5040" w:hanging="360"/>
      </w:pPr>
      <w:rPr>
        <w:rFonts w:ascii="Symbol" w:hAnsi="Symbol" w:hint="default"/>
      </w:rPr>
    </w:lvl>
    <w:lvl w:ilvl="7" w:tplc="F9827B1A">
      <w:start w:val="1"/>
      <w:numFmt w:val="bullet"/>
      <w:lvlText w:val="o"/>
      <w:lvlJc w:val="left"/>
      <w:pPr>
        <w:ind w:left="5760" w:hanging="360"/>
      </w:pPr>
      <w:rPr>
        <w:rFonts w:ascii="Courier New" w:hAnsi="Courier New" w:hint="default"/>
      </w:rPr>
    </w:lvl>
    <w:lvl w:ilvl="8" w:tplc="1A964BD2">
      <w:start w:val="1"/>
      <w:numFmt w:val="bullet"/>
      <w:lvlText w:val=""/>
      <w:lvlJc w:val="left"/>
      <w:pPr>
        <w:ind w:left="6480" w:hanging="360"/>
      </w:pPr>
      <w:rPr>
        <w:rFonts w:ascii="Wingdings" w:hAnsi="Wingdings" w:hint="default"/>
      </w:rPr>
    </w:lvl>
  </w:abstractNum>
  <w:abstractNum w:abstractNumId="12" w15:restartNumberingAfterBreak="0">
    <w:nsid w:val="4DB9C82C"/>
    <w:multiLevelType w:val="hybridMultilevel"/>
    <w:tmpl w:val="052A7F1C"/>
    <w:lvl w:ilvl="0" w:tplc="E7843894">
      <w:start w:val="1"/>
      <w:numFmt w:val="bullet"/>
      <w:lvlText w:val=""/>
      <w:lvlJc w:val="left"/>
      <w:pPr>
        <w:ind w:left="720" w:hanging="360"/>
      </w:pPr>
      <w:rPr>
        <w:rFonts w:ascii="Symbol" w:hAnsi="Symbol" w:hint="default"/>
      </w:rPr>
    </w:lvl>
    <w:lvl w:ilvl="1" w:tplc="F27C434A">
      <w:start w:val="1"/>
      <w:numFmt w:val="bullet"/>
      <w:lvlText w:val="o"/>
      <w:lvlJc w:val="left"/>
      <w:pPr>
        <w:ind w:left="1440" w:hanging="360"/>
      </w:pPr>
      <w:rPr>
        <w:rFonts w:ascii="Courier New" w:hAnsi="Courier New" w:hint="default"/>
      </w:rPr>
    </w:lvl>
    <w:lvl w:ilvl="2" w:tplc="C8F61386">
      <w:start w:val="1"/>
      <w:numFmt w:val="bullet"/>
      <w:lvlText w:val=""/>
      <w:lvlJc w:val="left"/>
      <w:pPr>
        <w:ind w:left="2160" w:hanging="360"/>
      </w:pPr>
      <w:rPr>
        <w:rFonts w:ascii="Wingdings" w:hAnsi="Wingdings" w:hint="default"/>
      </w:rPr>
    </w:lvl>
    <w:lvl w:ilvl="3" w:tplc="57D86460">
      <w:start w:val="1"/>
      <w:numFmt w:val="bullet"/>
      <w:lvlText w:val=""/>
      <w:lvlJc w:val="left"/>
      <w:pPr>
        <w:ind w:left="2880" w:hanging="360"/>
      </w:pPr>
      <w:rPr>
        <w:rFonts w:ascii="Symbol" w:hAnsi="Symbol" w:hint="default"/>
      </w:rPr>
    </w:lvl>
    <w:lvl w:ilvl="4" w:tplc="4356C056">
      <w:start w:val="1"/>
      <w:numFmt w:val="bullet"/>
      <w:lvlText w:val="o"/>
      <w:lvlJc w:val="left"/>
      <w:pPr>
        <w:ind w:left="3600" w:hanging="360"/>
      </w:pPr>
      <w:rPr>
        <w:rFonts w:ascii="Courier New" w:hAnsi="Courier New" w:hint="default"/>
      </w:rPr>
    </w:lvl>
    <w:lvl w:ilvl="5" w:tplc="326CA3E2">
      <w:start w:val="1"/>
      <w:numFmt w:val="bullet"/>
      <w:lvlText w:val=""/>
      <w:lvlJc w:val="left"/>
      <w:pPr>
        <w:ind w:left="4320" w:hanging="360"/>
      </w:pPr>
      <w:rPr>
        <w:rFonts w:ascii="Wingdings" w:hAnsi="Wingdings" w:hint="default"/>
      </w:rPr>
    </w:lvl>
    <w:lvl w:ilvl="6" w:tplc="C61824D2">
      <w:start w:val="1"/>
      <w:numFmt w:val="bullet"/>
      <w:lvlText w:val=""/>
      <w:lvlJc w:val="left"/>
      <w:pPr>
        <w:ind w:left="5040" w:hanging="360"/>
      </w:pPr>
      <w:rPr>
        <w:rFonts w:ascii="Symbol" w:hAnsi="Symbol" w:hint="default"/>
      </w:rPr>
    </w:lvl>
    <w:lvl w:ilvl="7" w:tplc="DE8AE2D4">
      <w:start w:val="1"/>
      <w:numFmt w:val="bullet"/>
      <w:lvlText w:val="o"/>
      <w:lvlJc w:val="left"/>
      <w:pPr>
        <w:ind w:left="5760" w:hanging="360"/>
      </w:pPr>
      <w:rPr>
        <w:rFonts w:ascii="Courier New" w:hAnsi="Courier New" w:hint="default"/>
      </w:rPr>
    </w:lvl>
    <w:lvl w:ilvl="8" w:tplc="90860816">
      <w:start w:val="1"/>
      <w:numFmt w:val="bullet"/>
      <w:lvlText w:val=""/>
      <w:lvlJc w:val="left"/>
      <w:pPr>
        <w:ind w:left="6480" w:hanging="360"/>
      </w:pPr>
      <w:rPr>
        <w:rFonts w:ascii="Wingdings" w:hAnsi="Wingdings" w:hint="default"/>
      </w:rPr>
    </w:lvl>
  </w:abstractNum>
  <w:abstractNum w:abstractNumId="13" w15:restartNumberingAfterBreak="0">
    <w:nsid w:val="505F154C"/>
    <w:multiLevelType w:val="hybridMultilevel"/>
    <w:tmpl w:val="98B013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4B2C692"/>
    <w:multiLevelType w:val="hybridMultilevel"/>
    <w:tmpl w:val="79B0B5C4"/>
    <w:lvl w:ilvl="0" w:tplc="BCAA4606">
      <w:start w:val="1"/>
      <w:numFmt w:val="bullet"/>
      <w:lvlText w:val="-"/>
      <w:lvlJc w:val="left"/>
      <w:pPr>
        <w:ind w:left="720" w:hanging="360"/>
      </w:pPr>
      <w:rPr>
        <w:rFonts w:ascii="Aptos" w:hAnsi="Aptos" w:hint="default"/>
      </w:rPr>
    </w:lvl>
    <w:lvl w:ilvl="1" w:tplc="E6A03422">
      <w:start w:val="1"/>
      <w:numFmt w:val="bullet"/>
      <w:lvlText w:val="o"/>
      <w:lvlJc w:val="left"/>
      <w:pPr>
        <w:ind w:left="1440" w:hanging="360"/>
      </w:pPr>
      <w:rPr>
        <w:rFonts w:ascii="Courier New" w:hAnsi="Courier New" w:hint="default"/>
      </w:rPr>
    </w:lvl>
    <w:lvl w:ilvl="2" w:tplc="67D4CB1A">
      <w:start w:val="1"/>
      <w:numFmt w:val="bullet"/>
      <w:lvlText w:val=""/>
      <w:lvlJc w:val="left"/>
      <w:pPr>
        <w:ind w:left="2160" w:hanging="360"/>
      </w:pPr>
      <w:rPr>
        <w:rFonts w:ascii="Wingdings" w:hAnsi="Wingdings" w:hint="default"/>
      </w:rPr>
    </w:lvl>
    <w:lvl w:ilvl="3" w:tplc="1B1209CA">
      <w:start w:val="1"/>
      <w:numFmt w:val="bullet"/>
      <w:lvlText w:val=""/>
      <w:lvlJc w:val="left"/>
      <w:pPr>
        <w:ind w:left="2880" w:hanging="360"/>
      </w:pPr>
      <w:rPr>
        <w:rFonts w:ascii="Symbol" w:hAnsi="Symbol" w:hint="default"/>
      </w:rPr>
    </w:lvl>
    <w:lvl w:ilvl="4" w:tplc="0EB23CDC">
      <w:start w:val="1"/>
      <w:numFmt w:val="bullet"/>
      <w:lvlText w:val="o"/>
      <w:lvlJc w:val="left"/>
      <w:pPr>
        <w:ind w:left="3600" w:hanging="360"/>
      </w:pPr>
      <w:rPr>
        <w:rFonts w:ascii="Courier New" w:hAnsi="Courier New" w:hint="default"/>
      </w:rPr>
    </w:lvl>
    <w:lvl w:ilvl="5" w:tplc="51A0C2F8">
      <w:start w:val="1"/>
      <w:numFmt w:val="bullet"/>
      <w:lvlText w:val=""/>
      <w:lvlJc w:val="left"/>
      <w:pPr>
        <w:ind w:left="4320" w:hanging="360"/>
      </w:pPr>
      <w:rPr>
        <w:rFonts w:ascii="Wingdings" w:hAnsi="Wingdings" w:hint="default"/>
      </w:rPr>
    </w:lvl>
    <w:lvl w:ilvl="6" w:tplc="21681D76">
      <w:start w:val="1"/>
      <w:numFmt w:val="bullet"/>
      <w:lvlText w:val=""/>
      <w:lvlJc w:val="left"/>
      <w:pPr>
        <w:ind w:left="5040" w:hanging="360"/>
      </w:pPr>
      <w:rPr>
        <w:rFonts w:ascii="Symbol" w:hAnsi="Symbol" w:hint="default"/>
      </w:rPr>
    </w:lvl>
    <w:lvl w:ilvl="7" w:tplc="A87E5CF0">
      <w:start w:val="1"/>
      <w:numFmt w:val="bullet"/>
      <w:lvlText w:val="o"/>
      <w:lvlJc w:val="left"/>
      <w:pPr>
        <w:ind w:left="5760" w:hanging="360"/>
      </w:pPr>
      <w:rPr>
        <w:rFonts w:ascii="Courier New" w:hAnsi="Courier New" w:hint="default"/>
      </w:rPr>
    </w:lvl>
    <w:lvl w:ilvl="8" w:tplc="EA78960E">
      <w:start w:val="1"/>
      <w:numFmt w:val="bullet"/>
      <w:lvlText w:val=""/>
      <w:lvlJc w:val="left"/>
      <w:pPr>
        <w:ind w:left="6480" w:hanging="360"/>
      </w:pPr>
      <w:rPr>
        <w:rFonts w:ascii="Wingdings" w:hAnsi="Wingdings" w:hint="default"/>
      </w:rPr>
    </w:lvl>
  </w:abstractNum>
  <w:abstractNum w:abstractNumId="15" w15:restartNumberingAfterBreak="0">
    <w:nsid w:val="5D6250F9"/>
    <w:multiLevelType w:val="hybridMultilevel"/>
    <w:tmpl w:val="7F1262BA"/>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EF65054"/>
    <w:multiLevelType w:val="multilevel"/>
    <w:tmpl w:val="B4AA706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4018F8"/>
    <w:multiLevelType w:val="hybridMultilevel"/>
    <w:tmpl w:val="48A2F4DE"/>
    <w:lvl w:ilvl="0" w:tplc="FFFFFFFF">
      <w:start w:val="1"/>
      <w:numFmt w:val="bullet"/>
      <w:lvlText w:val="·"/>
      <w:lvlJc w:val="left"/>
      <w:pPr>
        <w:ind w:left="405" w:hanging="360"/>
      </w:pPr>
      <w:rPr>
        <w:rFonts w:ascii="Symbol" w:hAnsi="Symbol" w:hint="default"/>
      </w:rPr>
    </w:lvl>
    <w:lvl w:ilvl="1" w:tplc="FFFFFFFF">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8" w15:restartNumberingAfterBreak="0">
    <w:nsid w:val="6179FA17"/>
    <w:multiLevelType w:val="hybridMultilevel"/>
    <w:tmpl w:val="7BE0BD6E"/>
    <w:lvl w:ilvl="0" w:tplc="9E86F26E">
      <w:start w:val="1"/>
      <w:numFmt w:val="decimal"/>
      <w:lvlText w:val="%1."/>
      <w:lvlJc w:val="left"/>
      <w:pPr>
        <w:ind w:left="720" w:hanging="360"/>
      </w:pPr>
    </w:lvl>
    <w:lvl w:ilvl="1" w:tplc="EBF487B4">
      <w:start w:val="1"/>
      <w:numFmt w:val="lowerLetter"/>
      <w:lvlText w:val="%2."/>
      <w:lvlJc w:val="left"/>
      <w:pPr>
        <w:ind w:left="1440" w:hanging="360"/>
      </w:pPr>
    </w:lvl>
    <w:lvl w:ilvl="2" w:tplc="87B6DD32">
      <w:start w:val="1"/>
      <w:numFmt w:val="lowerRoman"/>
      <w:lvlText w:val="%3."/>
      <w:lvlJc w:val="right"/>
      <w:pPr>
        <w:ind w:left="2160" w:hanging="180"/>
      </w:pPr>
    </w:lvl>
    <w:lvl w:ilvl="3" w:tplc="4574F8AC">
      <w:start w:val="1"/>
      <w:numFmt w:val="decimal"/>
      <w:lvlText w:val="%4."/>
      <w:lvlJc w:val="left"/>
      <w:pPr>
        <w:ind w:left="2880" w:hanging="360"/>
      </w:pPr>
    </w:lvl>
    <w:lvl w:ilvl="4" w:tplc="7E6A4166">
      <w:start w:val="1"/>
      <w:numFmt w:val="lowerLetter"/>
      <w:lvlText w:val="%5."/>
      <w:lvlJc w:val="left"/>
      <w:pPr>
        <w:ind w:left="3600" w:hanging="360"/>
      </w:pPr>
    </w:lvl>
    <w:lvl w:ilvl="5" w:tplc="63BA496E">
      <w:start w:val="1"/>
      <w:numFmt w:val="lowerRoman"/>
      <w:lvlText w:val="%6."/>
      <w:lvlJc w:val="right"/>
      <w:pPr>
        <w:ind w:left="4320" w:hanging="180"/>
      </w:pPr>
    </w:lvl>
    <w:lvl w:ilvl="6" w:tplc="85EC0CFA">
      <w:start w:val="1"/>
      <w:numFmt w:val="decimal"/>
      <w:lvlText w:val="%7."/>
      <w:lvlJc w:val="left"/>
      <w:pPr>
        <w:ind w:left="5040" w:hanging="360"/>
      </w:pPr>
    </w:lvl>
    <w:lvl w:ilvl="7" w:tplc="4D0E681E">
      <w:start w:val="1"/>
      <w:numFmt w:val="lowerLetter"/>
      <w:lvlText w:val="%8."/>
      <w:lvlJc w:val="left"/>
      <w:pPr>
        <w:ind w:left="5760" w:hanging="360"/>
      </w:pPr>
    </w:lvl>
    <w:lvl w:ilvl="8" w:tplc="AC20FD0E">
      <w:start w:val="1"/>
      <w:numFmt w:val="lowerRoman"/>
      <w:lvlText w:val="%9."/>
      <w:lvlJc w:val="right"/>
      <w:pPr>
        <w:ind w:left="6480" w:hanging="180"/>
      </w:pPr>
    </w:lvl>
  </w:abstractNum>
  <w:abstractNum w:abstractNumId="19" w15:restartNumberingAfterBreak="0">
    <w:nsid w:val="7010653B"/>
    <w:multiLevelType w:val="hybridMultilevel"/>
    <w:tmpl w:val="F4BEA942"/>
    <w:lvl w:ilvl="0" w:tplc="BE205BD8">
      <w:start w:val="1"/>
      <w:numFmt w:val="bullet"/>
      <w:lvlText w:val="·"/>
      <w:lvlJc w:val="left"/>
      <w:pPr>
        <w:ind w:left="720" w:hanging="360"/>
      </w:pPr>
      <w:rPr>
        <w:rFonts w:ascii="Symbol" w:hAnsi="Symbol" w:hint="default"/>
        <w:sz w:val="24"/>
        <w:szCs w:val="24"/>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315391"/>
    <w:multiLevelType w:val="hybridMultilevel"/>
    <w:tmpl w:val="3930757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45A6F39"/>
    <w:multiLevelType w:val="hybridMultilevel"/>
    <w:tmpl w:val="3454D2AA"/>
    <w:lvl w:ilvl="0" w:tplc="DB107298">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9E93F80"/>
    <w:multiLevelType w:val="hybridMultilevel"/>
    <w:tmpl w:val="C5CA9010"/>
    <w:lvl w:ilvl="0" w:tplc="5CE681D6">
      <w:start w:val="1"/>
      <w:numFmt w:val="bullet"/>
      <w:lvlText w:val="·"/>
      <w:lvlJc w:val="left"/>
      <w:pPr>
        <w:ind w:left="720" w:hanging="360"/>
      </w:pPr>
      <w:rPr>
        <w:rFonts w:ascii="Symbol" w:hAnsi="Symbol" w:hint="default"/>
      </w:rPr>
    </w:lvl>
    <w:lvl w:ilvl="1" w:tplc="7564F8B8">
      <w:start w:val="1"/>
      <w:numFmt w:val="bullet"/>
      <w:lvlText w:val="o"/>
      <w:lvlJc w:val="left"/>
      <w:pPr>
        <w:ind w:left="1440" w:hanging="360"/>
      </w:pPr>
      <w:rPr>
        <w:rFonts w:ascii="Courier New" w:hAnsi="Courier New" w:hint="default"/>
      </w:rPr>
    </w:lvl>
    <w:lvl w:ilvl="2" w:tplc="7408FC5C">
      <w:start w:val="1"/>
      <w:numFmt w:val="bullet"/>
      <w:lvlText w:val=""/>
      <w:lvlJc w:val="left"/>
      <w:pPr>
        <w:ind w:left="2160" w:hanging="360"/>
      </w:pPr>
      <w:rPr>
        <w:rFonts w:ascii="Wingdings" w:hAnsi="Wingdings" w:hint="default"/>
      </w:rPr>
    </w:lvl>
    <w:lvl w:ilvl="3" w:tplc="F86E1ABE">
      <w:start w:val="1"/>
      <w:numFmt w:val="bullet"/>
      <w:lvlText w:val=""/>
      <w:lvlJc w:val="left"/>
      <w:pPr>
        <w:ind w:left="2880" w:hanging="360"/>
      </w:pPr>
      <w:rPr>
        <w:rFonts w:ascii="Symbol" w:hAnsi="Symbol" w:hint="default"/>
      </w:rPr>
    </w:lvl>
    <w:lvl w:ilvl="4" w:tplc="4B3A3E22">
      <w:start w:val="1"/>
      <w:numFmt w:val="bullet"/>
      <w:lvlText w:val="o"/>
      <w:lvlJc w:val="left"/>
      <w:pPr>
        <w:ind w:left="3600" w:hanging="360"/>
      </w:pPr>
      <w:rPr>
        <w:rFonts w:ascii="Courier New" w:hAnsi="Courier New" w:hint="default"/>
      </w:rPr>
    </w:lvl>
    <w:lvl w:ilvl="5" w:tplc="2F5C643C">
      <w:start w:val="1"/>
      <w:numFmt w:val="bullet"/>
      <w:lvlText w:val=""/>
      <w:lvlJc w:val="left"/>
      <w:pPr>
        <w:ind w:left="4320" w:hanging="360"/>
      </w:pPr>
      <w:rPr>
        <w:rFonts w:ascii="Wingdings" w:hAnsi="Wingdings" w:hint="default"/>
      </w:rPr>
    </w:lvl>
    <w:lvl w:ilvl="6" w:tplc="EEF0EED6">
      <w:start w:val="1"/>
      <w:numFmt w:val="bullet"/>
      <w:lvlText w:val=""/>
      <w:lvlJc w:val="left"/>
      <w:pPr>
        <w:ind w:left="5040" w:hanging="360"/>
      </w:pPr>
      <w:rPr>
        <w:rFonts w:ascii="Symbol" w:hAnsi="Symbol" w:hint="default"/>
      </w:rPr>
    </w:lvl>
    <w:lvl w:ilvl="7" w:tplc="44F26D44">
      <w:start w:val="1"/>
      <w:numFmt w:val="bullet"/>
      <w:lvlText w:val="o"/>
      <w:lvlJc w:val="left"/>
      <w:pPr>
        <w:ind w:left="5760" w:hanging="360"/>
      </w:pPr>
      <w:rPr>
        <w:rFonts w:ascii="Courier New" w:hAnsi="Courier New" w:hint="default"/>
      </w:rPr>
    </w:lvl>
    <w:lvl w:ilvl="8" w:tplc="509AB148">
      <w:start w:val="1"/>
      <w:numFmt w:val="bullet"/>
      <w:lvlText w:val=""/>
      <w:lvlJc w:val="left"/>
      <w:pPr>
        <w:ind w:left="6480" w:hanging="360"/>
      </w:pPr>
      <w:rPr>
        <w:rFonts w:ascii="Wingdings" w:hAnsi="Wingdings" w:hint="default"/>
      </w:rPr>
    </w:lvl>
  </w:abstractNum>
  <w:abstractNum w:abstractNumId="23" w15:restartNumberingAfterBreak="0">
    <w:nsid w:val="7E30D910"/>
    <w:multiLevelType w:val="hybridMultilevel"/>
    <w:tmpl w:val="CB16A864"/>
    <w:lvl w:ilvl="0" w:tplc="DB107298">
      <w:start w:val="1"/>
      <w:numFmt w:val="bullet"/>
      <w:lvlText w:val="-"/>
      <w:lvlJc w:val="left"/>
      <w:pPr>
        <w:ind w:left="720" w:hanging="360"/>
      </w:pPr>
      <w:rPr>
        <w:rFonts w:ascii="Aptos" w:hAnsi="Aptos" w:hint="default"/>
      </w:rPr>
    </w:lvl>
    <w:lvl w:ilvl="1" w:tplc="B2BC522E">
      <w:start w:val="1"/>
      <w:numFmt w:val="bullet"/>
      <w:lvlText w:val="o"/>
      <w:lvlJc w:val="left"/>
      <w:pPr>
        <w:ind w:left="1440" w:hanging="360"/>
      </w:pPr>
      <w:rPr>
        <w:rFonts w:ascii="Courier New" w:hAnsi="Courier New" w:hint="default"/>
      </w:rPr>
    </w:lvl>
    <w:lvl w:ilvl="2" w:tplc="0BF626F4">
      <w:start w:val="1"/>
      <w:numFmt w:val="bullet"/>
      <w:lvlText w:val=""/>
      <w:lvlJc w:val="left"/>
      <w:pPr>
        <w:ind w:left="2160" w:hanging="360"/>
      </w:pPr>
      <w:rPr>
        <w:rFonts w:ascii="Wingdings" w:hAnsi="Wingdings" w:hint="default"/>
      </w:rPr>
    </w:lvl>
    <w:lvl w:ilvl="3" w:tplc="B6740FFA">
      <w:start w:val="1"/>
      <w:numFmt w:val="bullet"/>
      <w:lvlText w:val=""/>
      <w:lvlJc w:val="left"/>
      <w:pPr>
        <w:ind w:left="2880" w:hanging="360"/>
      </w:pPr>
      <w:rPr>
        <w:rFonts w:ascii="Symbol" w:hAnsi="Symbol" w:hint="default"/>
      </w:rPr>
    </w:lvl>
    <w:lvl w:ilvl="4" w:tplc="66D697D8">
      <w:start w:val="1"/>
      <w:numFmt w:val="bullet"/>
      <w:lvlText w:val="o"/>
      <w:lvlJc w:val="left"/>
      <w:pPr>
        <w:ind w:left="3600" w:hanging="360"/>
      </w:pPr>
      <w:rPr>
        <w:rFonts w:ascii="Courier New" w:hAnsi="Courier New" w:hint="default"/>
      </w:rPr>
    </w:lvl>
    <w:lvl w:ilvl="5" w:tplc="BDB67396">
      <w:start w:val="1"/>
      <w:numFmt w:val="bullet"/>
      <w:lvlText w:val=""/>
      <w:lvlJc w:val="left"/>
      <w:pPr>
        <w:ind w:left="4320" w:hanging="360"/>
      </w:pPr>
      <w:rPr>
        <w:rFonts w:ascii="Wingdings" w:hAnsi="Wingdings" w:hint="default"/>
      </w:rPr>
    </w:lvl>
    <w:lvl w:ilvl="6" w:tplc="C010DA60">
      <w:start w:val="1"/>
      <w:numFmt w:val="bullet"/>
      <w:lvlText w:val=""/>
      <w:lvlJc w:val="left"/>
      <w:pPr>
        <w:ind w:left="5040" w:hanging="360"/>
      </w:pPr>
      <w:rPr>
        <w:rFonts w:ascii="Symbol" w:hAnsi="Symbol" w:hint="default"/>
      </w:rPr>
    </w:lvl>
    <w:lvl w:ilvl="7" w:tplc="4C46940A">
      <w:start w:val="1"/>
      <w:numFmt w:val="bullet"/>
      <w:lvlText w:val="o"/>
      <w:lvlJc w:val="left"/>
      <w:pPr>
        <w:ind w:left="5760" w:hanging="360"/>
      </w:pPr>
      <w:rPr>
        <w:rFonts w:ascii="Courier New" w:hAnsi="Courier New" w:hint="default"/>
      </w:rPr>
    </w:lvl>
    <w:lvl w:ilvl="8" w:tplc="BAE6AA98">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18"/>
  </w:num>
  <w:num w:numId="4">
    <w:abstractNumId w:val="6"/>
  </w:num>
  <w:num w:numId="5">
    <w:abstractNumId w:val="10"/>
  </w:num>
  <w:num w:numId="6">
    <w:abstractNumId w:val="12"/>
  </w:num>
  <w:num w:numId="7">
    <w:abstractNumId w:val="22"/>
  </w:num>
  <w:num w:numId="8">
    <w:abstractNumId w:val="11"/>
  </w:num>
  <w:num w:numId="9">
    <w:abstractNumId w:val="19"/>
  </w:num>
  <w:num w:numId="10">
    <w:abstractNumId w:val="9"/>
  </w:num>
  <w:num w:numId="11">
    <w:abstractNumId w:val="1"/>
  </w:num>
  <w:num w:numId="12">
    <w:abstractNumId w:val="20"/>
  </w:num>
  <w:num w:numId="13">
    <w:abstractNumId w:val="16"/>
  </w:num>
  <w:num w:numId="14">
    <w:abstractNumId w:val="17"/>
  </w:num>
  <w:num w:numId="15">
    <w:abstractNumId w:val="7"/>
  </w:num>
  <w:num w:numId="16">
    <w:abstractNumId w:val="3"/>
  </w:num>
  <w:num w:numId="17">
    <w:abstractNumId w:val="0"/>
  </w:num>
  <w:num w:numId="18">
    <w:abstractNumId w:val="13"/>
  </w:num>
  <w:num w:numId="19">
    <w:abstractNumId w:val="8"/>
  </w:num>
  <w:num w:numId="20">
    <w:abstractNumId w:val="5"/>
  </w:num>
  <w:num w:numId="21">
    <w:abstractNumId w:val="21"/>
  </w:num>
  <w:num w:numId="22">
    <w:abstractNumId w:val="2"/>
  </w:num>
  <w:num w:numId="23">
    <w:abstractNumId w:val="15"/>
  </w:num>
  <w:num w:numId="24">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4263DF6-883F-4CF7-B172-36310498925C"/>
    <w:docVar w:name="LW_COVERPAGE_TYPE" w:val="1"/>
    <w:docVar w:name="LW_CROSSREFERENCE" w:val="{SWD(2026) 312 final} - {SWD(2026) 313 final} - {SWD(2026) 314 final}"/>
    <w:docVar w:name="LW_DocType" w:val="NORMAL"/>
    <w:docVar w:name="LW_EMISSION" w:val="27.5.2026"/>
    <w:docVar w:name="LW_EMISSION_ISODATE" w:val="2026-05-27"/>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6) 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p\u259?rarea valorilor, promovarea reformelor, ob\u539?inerea de rezultate concrete: ac\u539?iunea umanitar\u259? a UE într-o ordine mondial\u259? în schimbare"/>
    <w:docVar w:name="LW_TYPE.DOC.CP" w:val="COMUNICARE COMUN\u258? C\u258?TRE PARLAMENTUL EUROPEAN \u350?I CONSILIU"/>
    <w:docVar w:name="LW_TYPE.DOC.CP.USERTEXT" w:val="&lt;EMPTY&gt;"/>
    <w:docVar w:name="LwApiVersions" w:val="LW4CoDe 1.24.5.0; LW 9.2, Build 20251112"/>
  </w:docVars>
  <w:rsids>
    <w:rsidRoot w:val="00A0722F"/>
    <w:rsid w:val="000005DB"/>
    <w:rsid w:val="00000D8C"/>
    <w:rsid w:val="00001927"/>
    <w:rsid w:val="00001C7D"/>
    <w:rsid w:val="000025ED"/>
    <w:rsid w:val="000026E8"/>
    <w:rsid w:val="00002AAE"/>
    <w:rsid w:val="0000318B"/>
    <w:rsid w:val="000035B1"/>
    <w:rsid w:val="000048C3"/>
    <w:rsid w:val="00004C61"/>
    <w:rsid w:val="00004F30"/>
    <w:rsid w:val="000053DC"/>
    <w:rsid w:val="00005ABE"/>
    <w:rsid w:val="00005D6A"/>
    <w:rsid w:val="00006A46"/>
    <w:rsid w:val="0000730F"/>
    <w:rsid w:val="00010345"/>
    <w:rsid w:val="000108BD"/>
    <w:rsid w:val="000115BE"/>
    <w:rsid w:val="0001187D"/>
    <w:rsid w:val="00012088"/>
    <w:rsid w:val="0001284D"/>
    <w:rsid w:val="00012F44"/>
    <w:rsid w:val="000133DE"/>
    <w:rsid w:val="00013B0D"/>
    <w:rsid w:val="00014740"/>
    <w:rsid w:val="00014BAE"/>
    <w:rsid w:val="0001512A"/>
    <w:rsid w:val="00016F7C"/>
    <w:rsid w:val="00017C82"/>
    <w:rsid w:val="00020374"/>
    <w:rsid w:val="00021416"/>
    <w:rsid w:val="000219EB"/>
    <w:rsid w:val="0002214F"/>
    <w:rsid w:val="000223A5"/>
    <w:rsid w:val="000226E8"/>
    <w:rsid w:val="00022A8D"/>
    <w:rsid w:val="00022B82"/>
    <w:rsid w:val="000237B3"/>
    <w:rsid w:val="00023D69"/>
    <w:rsid w:val="000245C3"/>
    <w:rsid w:val="00024798"/>
    <w:rsid w:val="00024F37"/>
    <w:rsid w:val="0002549F"/>
    <w:rsid w:val="00025D49"/>
    <w:rsid w:val="0002633B"/>
    <w:rsid w:val="0002704B"/>
    <w:rsid w:val="00027A8F"/>
    <w:rsid w:val="00027E70"/>
    <w:rsid w:val="00031113"/>
    <w:rsid w:val="000312B9"/>
    <w:rsid w:val="000314AB"/>
    <w:rsid w:val="000324DE"/>
    <w:rsid w:val="00032DBB"/>
    <w:rsid w:val="00032DF7"/>
    <w:rsid w:val="00033502"/>
    <w:rsid w:val="00034CBF"/>
    <w:rsid w:val="00034FBE"/>
    <w:rsid w:val="00035FEA"/>
    <w:rsid w:val="000363A7"/>
    <w:rsid w:val="000364F2"/>
    <w:rsid w:val="000376AD"/>
    <w:rsid w:val="00037966"/>
    <w:rsid w:val="0004044C"/>
    <w:rsid w:val="00040A78"/>
    <w:rsid w:val="0004120A"/>
    <w:rsid w:val="00041A6B"/>
    <w:rsid w:val="00042753"/>
    <w:rsid w:val="0004281B"/>
    <w:rsid w:val="00042B8D"/>
    <w:rsid w:val="0004358B"/>
    <w:rsid w:val="00043A3E"/>
    <w:rsid w:val="000451D5"/>
    <w:rsid w:val="00045522"/>
    <w:rsid w:val="00045839"/>
    <w:rsid w:val="000458CA"/>
    <w:rsid w:val="000458DD"/>
    <w:rsid w:val="000459E5"/>
    <w:rsid w:val="00045BFD"/>
    <w:rsid w:val="0004648D"/>
    <w:rsid w:val="00046791"/>
    <w:rsid w:val="000504AF"/>
    <w:rsid w:val="00050A6D"/>
    <w:rsid w:val="00050F19"/>
    <w:rsid w:val="00050FEC"/>
    <w:rsid w:val="000516D3"/>
    <w:rsid w:val="0005170B"/>
    <w:rsid w:val="00051CD5"/>
    <w:rsid w:val="000524F9"/>
    <w:rsid w:val="00052502"/>
    <w:rsid w:val="000532FA"/>
    <w:rsid w:val="0005414E"/>
    <w:rsid w:val="00054BA3"/>
    <w:rsid w:val="00054CD4"/>
    <w:rsid w:val="00055F8A"/>
    <w:rsid w:val="0005621B"/>
    <w:rsid w:val="0005650B"/>
    <w:rsid w:val="0005659E"/>
    <w:rsid w:val="000566C5"/>
    <w:rsid w:val="00056898"/>
    <w:rsid w:val="00056B8A"/>
    <w:rsid w:val="0005711F"/>
    <w:rsid w:val="00057B11"/>
    <w:rsid w:val="000603EE"/>
    <w:rsid w:val="00060A54"/>
    <w:rsid w:val="00060E0A"/>
    <w:rsid w:val="00060FF9"/>
    <w:rsid w:val="00061AD5"/>
    <w:rsid w:val="00062D4A"/>
    <w:rsid w:val="00062E16"/>
    <w:rsid w:val="00062FD7"/>
    <w:rsid w:val="00063640"/>
    <w:rsid w:val="000638F9"/>
    <w:rsid w:val="00064923"/>
    <w:rsid w:val="00064F65"/>
    <w:rsid w:val="0006518F"/>
    <w:rsid w:val="00065B75"/>
    <w:rsid w:val="00066267"/>
    <w:rsid w:val="0006638D"/>
    <w:rsid w:val="00066468"/>
    <w:rsid w:val="000669F7"/>
    <w:rsid w:val="00066AA7"/>
    <w:rsid w:val="00066CB2"/>
    <w:rsid w:val="00066DE5"/>
    <w:rsid w:val="00066E2E"/>
    <w:rsid w:val="00067030"/>
    <w:rsid w:val="000672DB"/>
    <w:rsid w:val="0006759D"/>
    <w:rsid w:val="00067803"/>
    <w:rsid w:val="0007051A"/>
    <w:rsid w:val="000705F9"/>
    <w:rsid w:val="00070757"/>
    <w:rsid w:val="0007136D"/>
    <w:rsid w:val="00071A69"/>
    <w:rsid w:val="00072D5E"/>
    <w:rsid w:val="00072DF6"/>
    <w:rsid w:val="00073CAA"/>
    <w:rsid w:val="00074705"/>
    <w:rsid w:val="00074929"/>
    <w:rsid w:val="00075C17"/>
    <w:rsid w:val="00075F34"/>
    <w:rsid w:val="000765A9"/>
    <w:rsid w:val="0007662C"/>
    <w:rsid w:val="00076BF8"/>
    <w:rsid w:val="0007772A"/>
    <w:rsid w:val="000812A9"/>
    <w:rsid w:val="0008150A"/>
    <w:rsid w:val="0008196A"/>
    <w:rsid w:val="00081B4E"/>
    <w:rsid w:val="00082E00"/>
    <w:rsid w:val="00082E18"/>
    <w:rsid w:val="00083E5C"/>
    <w:rsid w:val="00084A08"/>
    <w:rsid w:val="00084E43"/>
    <w:rsid w:val="00086355"/>
    <w:rsid w:val="00086432"/>
    <w:rsid w:val="000864F1"/>
    <w:rsid w:val="000869D7"/>
    <w:rsid w:val="0008770A"/>
    <w:rsid w:val="00090D83"/>
    <w:rsid w:val="00090D88"/>
    <w:rsid w:val="000910B5"/>
    <w:rsid w:val="000912A6"/>
    <w:rsid w:val="0009278E"/>
    <w:rsid w:val="00093163"/>
    <w:rsid w:val="00093962"/>
    <w:rsid w:val="00094A99"/>
    <w:rsid w:val="0009513D"/>
    <w:rsid w:val="000951EE"/>
    <w:rsid w:val="0009599D"/>
    <w:rsid w:val="00095CBB"/>
    <w:rsid w:val="00095EE3"/>
    <w:rsid w:val="00096392"/>
    <w:rsid w:val="000974D4"/>
    <w:rsid w:val="000975F0"/>
    <w:rsid w:val="00097AF6"/>
    <w:rsid w:val="000A01F5"/>
    <w:rsid w:val="000A077B"/>
    <w:rsid w:val="000A0ACE"/>
    <w:rsid w:val="000A1301"/>
    <w:rsid w:val="000A29B8"/>
    <w:rsid w:val="000A3139"/>
    <w:rsid w:val="000A353E"/>
    <w:rsid w:val="000A397A"/>
    <w:rsid w:val="000A3CF1"/>
    <w:rsid w:val="000A4562"/>
    <w:rsid w:val="000A4DB0"/>
    <w:rsid w:val="000A51FD"/>
    <w:rsid w:val="000A5EBF"/>
    <w:rsid w:val="000A654D"/>
    <w:rsid w:val="000A6AE9"/>
    <w:rsid w:val="000A6ECA"/>
    <w:rsid w:val="000B2282"/>
    <w:rsid w:val="000B2F5F"/>
    <w:rsid w:val="000B3312"/>
    <w:rsid w:val="000B3B35"/>
    <w:rsid w:val="000B3BCB"/>
    <w:rsid w:val="000B470B"/>
    <w:rsid w:val="000B4F19"/>
    <w:rsid w:val="000B4F23"/>
    <w:rsid w:val="000B52D7"/>
    <w:rsid w:val="000B5354"/>
    <w:rsid w:val="000B5ECA"/>
    <w:rsid w:val="000B68CB"/>
    <w:rsid w:val="000B6C78"/>
    <w:rsid w:val="000B70A7"/>
    <w:rsid w:val="000B71AF"/>
    <w:rsid w:val="000B76A9"/>
    <w:rsid w:val="000B7DB9"/>
    <w:rsid w:val="000C047D"/>
    <w:rsid w:val="000C09BD"/>
    <w:rsid w:val="000C1723"/>
    <w:rsid w:val="000C1D1B"/>
    <w:rsid w:val="000C1E77"/>
    <w:rsid w:val="000C1F2A"/>
    <w:rsid w:val="000C1F58"/>
    <w:rsid w:val="000C30EC"/>
    <w:rsid w:val="000C31BF"/>
    <w:rsid w:val="000C3A1D"/>
    <w:rsid w:val="000C3B58"/>
    <w:rsid w:val="000C3CE5"/>
    <w:rsid w:val="000C478D"/>
    <w:rsid w:val="000C61F3"/>
    <w:rsid w:val="000C62E2"/>
    <w:rsid w:val="000C62ED"/>
    <w:rsid w:val="000C7162"/>
    <w:rsid w:val="000C77DC"/>
    <w:rsid w:val="000C7C49"/>
    <w:rsid w:val="000C7EDB"/>
    <w:rsid w:val="000D03C5"/>
    <w:rsid w:val="000D0AA0"/>
    <w:rsid w:val="000D0B36"/>
    <w:rsid w:val="000D0B8A"/>
    <w:rsid w:val="000D10CB"/>
    <w:rsid w:val="000D129B"/>
    <w:rsid w:val="000D12EE"/>
    <w:rsid w:val="000D1326"/>
    <w:rsid w:val="000D17EF"/>
    <w:rsid w:val="000D1B7D"/>
    <w:rsid w:val="000D1D5C"/>
    <w:rsid w:val="000D21F6"/>
    <w:rsid w:val="000D3262"/>
    <w:rsid w:val="000D3851"/>
    <w:rsid w:val="000D3A13"/>
    <w:rsid w:val="000D3C8C"/>
    <w:rsid w:val="000D3EAD"/>
    <w:rsid w:val="000D401D"/>
    <w:rsid w:val="000D437E"/>
    <w:rsid w:val="000D4573"/>
    <w:rsid w:val="000D4647"/>
    <w:rsid w:val="000D47A6"/>
    <w:rsid w:val="000D49D4"/>
    <w:rsid w:val="000D4BC8"/>
    <w:rsid w:val="000D61D4"/>
    <w:rsid w:val="000D64CF"/>
    <w:rsid w:val="000D6A4E"/>
    <w:rsid w:val="000D71E2"/>
    <w:rsid w:val="000D71E9"/>
    <w:rsid w:val="000D774F"/>
    <w:rsid w:val="000D79EB"/>
    <w:rsid w:val="000E0A43"/>
    <w:rsid w:val="000E1040"/>
    <w:rsid w:val="000E1422"/>
    <w:rsid w:val="000E196F"/>
    <w:rsid w:val="000E1E21"/>
    <w:rsid w:val="000E27C5"/>
    <w:rsid w:val="000E29D1"/>
    <w:rsid w:val="000E2F39"/>
    <w:rsid w:val="000E3676"/>
    <w:rsid w:val="000E4247"/>
    <w:rsid w:val="000E46C6"/>
    <w:rsid w:val="000E4734"/>
    <w:rsid w:val="000E4E97"/>
    <w:rsid w:val="000E58C2"/>
    <w:rsid w:val="000E5948"/>
    <w:rsid w:val="000E74F9"/>
    <w:rsid w:val="000E752C"/>
    <w:rsid w:val="000E78C1"/>
    <w:rsid w:val="000E79AC"/>
    <w:rsid w:val="000E7D53"/>
    <w:rsid w:val="000F0C98"/>
    <w:rsid w:val="000F125C"/>
    <w:rsid w:val="000F19C4"/>
    <w:rsid w:val="000F3412"/>
    <w:rsid w:val="000F39A0"/>
    <w:rsid w:val="000F4407"/>
    <w:rsid w:val="000F44FE"/>
    <w:rsid w:val="000F472B"/>
    <w:rsid w:val="000F4DC6"/>
    <w:rsid w:val="000F567D"/>
    <w:rsid w:val="000F5C54"/>
    <w:rsid w:val="000F5F3D"/>
    <w:rsid w:val="000F70FC"/>
    <w:rsid w:val="000F7479"/>
    <w:rsid w:val="000F7595"/>
    <w:rsid w:val="000F7A02"/>
    <w:rsid w:val="001000AB"/>
    <w:rsid w:val="0010076B"/>
    <w:rsid w:val="001007F1"/>
    <w:rsid w:val="00100F0E"/>
    <w:rsid w:val="00100F99"/>
    <w:rsid w:val="00101DF0"/>
    <w:rsid w:val="001023F9"/>
    <w:rsid w:val="00102509"/>
    <w:rsid w:val="00102704"/>
    <w:rsid w:val="00103674"/>
    <w:rsid w:val="00103A06"/>
    <w:rsid w:val="001045E6"/>
    <w:rsid w:val="0010523C"/>
    <w:rsid w:val="00105AFD"/>
    <w:rsid w:val="00105E23"/>
    <w:rsid w:val="0010605B"/>
    <w:rsid w:val="00106486"/>
    <w:rsid w:val="001069CB"/>
    <w:rsid w:val="00106C67"/>
    <w:rsid w:val="0010723B"/>
    <w:rsid w:val="0010733B"/>
    <w:rsid w:val="00107530"/>
    <w:rsid w:val="001075C9"/>
    <w:rsid w:val="00107D40"/>
    <w:rsid w:val="001107E1"/>
    <w:rsid w:val="0011169D"/>
    <w:rsid w:val="00112038"/>
    <w:rsid w:val="001121A9"/>
    <w:rsid w:val="001123E5"/>
    <w:rsid w:val="00112AFB"/>
    <w:rsid w:val="00112C91"/>
    <w:rsid w:val="00113391"/>
    <w:rsid w:val="0011366C"/>
    <w:rsid w:val="00113DDC"/>
    <w:rsid w:val="001147A1"/>
    <w:rsid w:val="001150E6"/>
    <w:rsid w:val="00115688"/>
    <w:rsid w:val="00115895"/>
    <w:rsid w:val="00115E02"/>
    <w:rsid w:val="00115FDC"/>
    <w:rsid w:val="00116029"/>
    <w:rsid w:val="0011628E"/>
    <w:rsid w:val="0011675E"/>
    <w:rsid w:val="001169FE"/>
    <w:rsid w:val="00116AD8"/>
    <w:rsid w:val="00116FE7"/>
    <w:rsid w:val="001172E7"/>
    <w:rsid w:val="0012050B"/>
    <w:rsid w:val="00120DF9"/>
    <w:rsid w:val="001213BA"/>
    <w:rsid w:val="00121B6B"/>
    <w:rsid w:val="00121DA1"/>
    <w:rsid w:val="00121EBC"/>
    <w:rsid w:val="001221CE"/>
    <w:rsid w:val="00122625"/>
    <w:rsid w:val="00123036"/>
    <w:rsid w:val="00123B30"/>
    <w:rsid w:val="001256FC"/>
    <w:rsid w:val="001258B7"/>
    <w:rsid w:val="00125AF8"/>
    <w:rsid w:val="00126557"/>
    <w:rsid w:val="00126810"/>
    <w:rsid w:val="00126FC2"/>
    <w:rsid w:val="001270CD"/>
    <w:rsid w:val="00127DD0"/>
    <w:rsid w:val="00127EA5"/>
    <w:rsid w:val="00130027"/>
    <w:rsid w:val="001301D1"/>
    <w:rsid w:val="00130252"/>
    <w:rsid w:val="001305C6"/>
    <w:rsid w:val="001307F2"/>
    <w:rsid w:val="00131C76"/>
    <w:rsid w:val="00132C9C"/>
    <w:rsid w:val="00132E7C"/>
    <w:rsid w:val="00133287"/>
    <w:rsid w:val="00133912"/>
    <w:rsid w:val="0013434E"/>
    <w:rsid w:val="001347D3"/>
    <w:rsid w:val="00135537"/>
    <w:rsid w:val="001357E6"/>
    <w:rsid w:val="00135DBA"/>
    <w:rsid w:val="00135DEA"/>
    <w:rsid w:val="00136730"/>
    <w:rsid w:val="001367F6"/>
    <w:rsid w:val="00136E3C"/>
    <w:rsid w:val="00137263"/>
    <w:rsid w:val="001373BE"/>
    <w:rsid w:val="00137B41"/>
    <w:rsid w:val="00140F34"/>
    <w:rsid w:val="00141913"/>
    <w:rsid w:val="001426A2"/>
    <w:rsid w:val="00142AF4"/>
    <w:rsid w:val="00142E85"/>
    <w:rsid w:val="00143206"/>
    <w:rsid w:val="0014371F"/>
    <w:rsid w:val="00143B01"/>
    <w:rsid w:val="00143F5A"/>
    <w:rsid w:val="0014479C"/>
    <w:rsid w:val="00144A4D"/>
    <w:rsid w:val="00145FAB"/>
    <w:rsid w:val="00146DA2"/>
    <w:rsid w:val="0014702B"/>
    <w:rsid w:val="00147D57"/>
    <w:rsid w:val="00147F41"/>
    <w:rsid w:val="001523DA"/>
    <w:rsid w:val="00152414"/>
    <w:rsid w:val="00152DE0"/>
    <w:rsid w:val="00153788"/>
    <w:rsid w:val="001537FA"/>
    <w:rsid w:val="001541D1"/>
    <w:rsid w:val="00154998"/>
    <w:rsid w:val="00155DB1"/>
    <w:rsid w:val="00156289"/>
    <w:rsid w:val="00156C98"/>
    <w:rsid w:val="00156DB5"/>
    <w:rsid w:val="00157DD5"/>
    <w:rsid w:val="0016024E"/>
    <w:rsid w:val="0016076A"/>
    <w:rsid w:val="00160D26"/>
    <w:rsid w:val="00160FB0"/>
    <w:rsid w:val="001613C2"/>
    <w:rsid w:val="00161615"/>
    <w:rsid w:val="001616E0"/>
    <w:rsid w:val="00161CA7"/>
    <w:rsid w:val="00162118"/>
    <w:rsid w:val="001625B1"/>
    <w:rsid w:val="00163074"/>
    <w:rsid w:val="00165602"/>
    <w:rsid w:val="001659B8"/>
    <w:rsid w:val="00165B61"/>
    <w:rsid w:val="00165D4C"/>
    <w:rsid w:val="00165DF0"/>
    <w:rsid w:val="001662C2"/>
    <w:rsid w:val="00166676"/>
    <w:rsid w:val="00166AC3"/>
    <w:rsid w:val="001673C5"/>
    <w:rsid w:val="0016771A"/>
    <w:rsid w:val="00167A8E"/>
    <w:rsid w:val="001702E5"/>
    <w:rsid w:val="0017071D"/>
    <w:rsid w:val="00171A50"/>
    <w:rsid w:val="00171C36"/>
    <w:rsid w:val="00171DC6"/>
    <w:rsid w:val="00171FB8"/>
    <w:rsid w:val="00172D8E"/>
    <w:rsid w:val="00172EB3"/>
    <w:rsid w:val="0017351D"/>
    <w:rsid w:val="001739CE"/>
    <w:rsid w:val="00173C50"/>
    <w:rsid w:val="0017405F"/>
    <w:rsid w:val="00174959"/>
    <w:rsid w:val="00174CAC"/>
    <w:rsid w:val="00174F5A"/>
    <w:rsid w:val="00174FB0"/>
    <w:rsid w:val="00175B5A"/>
    <w:rsid w:val="00176411"/>
    <w:rsid w:val="00176713"/>
    <w:rsid w:val="00176D0C"/>
    <w:rsid w:val="00176DA8"/>
    <w:rsid w:val="00176E47"/>
    <w:rsid w:val="0017709E"/>
    <w:rsid w:val="00177992"/>
    <w:rsid w:val="00177AC2"/>
    <w:rsid w:val="00180B53"/>
    <w:rsid w:val="001811D1"/>
    <w:rsid w:val="0018127A"/>
    <w:rsid w:val="001813C8"/>
    <w:rsid w:val="001823C6"/>
    <w:rsid w:val="001829E5"/>
    <w:rsid w:val="001831FD"/>
    <w:rsid w:val="001834D6"/>
    <w:rsid w:val="00183610"/>
    <w:rsid w:val="001836EE"/>
    <w:rsid w:val="001837E0"/>
    <w:rsid w:val="0018457E"/>
    <w:rsid w:val="0018464D"/>
    <w:rsid w:val="00184E4B"/>
    <w:rsid w:val="00185AFE"/>
    <w:rsid w:val="00186118"/>
    <w:rsid w:val="0018629C"/>
    <w:rsid w:val="001869EF"/>
    <w:rsid w:val="00186B59"/>
    <w:rsid w:val="0019068B"/>
    <w:rsid w:val="0019105A"/>
    <w:rsid w:val="0019169C"/>
    <w:rsid w:val="00191C98"/>
    <w:rsid w:val="00191D85"/>
    <w:rsid w:val="001928EE"/>
    <w:rsid w:val="0019299C"/>
    <w:rsid w:val="00192A0F"/>
    <w:rsid w:val="00192D5C"/>
    <w:rsid w:val="00192FF7"/>
    <w:rsid w:val="0019356D"/>
    <w:rsid w:val="001939FB"/>
    <w:rsid w:val="00193B1B"/>
    <w:rsid w:val="0019458C"/>
    <w:rsid w:val="00194862"/>
    <w:rsid w:val="0019488D"/>
    <w:rsid w:val="001948A2"/>
    <w:rsid w:val="0019556B"/>
    <w:rsid w:val="00197CDB"/>
    <w:rsid w:val="001A0D45"/>
    <w:rsid w:val="001A10C4"/>
    <w:rsid w:val="001A1DDB"/>
    <w:rsid w:val="001A1FB8"/>
    <w:rsid w:val="001A20FF"/>
    <w:rsid w:val="001A2EA2"/>
    <w:rsid w:val="001A334F"/>
    <w:rsid w:val="001A41EB"/>
    <w:rsid w:val="001A45A5"/>
    <w:rsid w:val="001A4640"/>
    <w:rsid w:val="001A586B"/>
    <w:rsid w:val="001A5A1B"/>
    <w:rsid w:val="001A676F"/>
    <w:rsid w:val="001A6B13"/>
    <w:rsid w:val="001A7BBD"/>
    <w:rsid w:val="001B0860"/>
    <w:rsid w:val="001B1AD9"/>
    <w:rsid w:val="001B1F58"/>
    <w:rsid w:val="001B2E0F"/>
    <w:rsid w:val="001B4496"/>
    <w:rsid w:val="001B4AF1"/>
    <w:rsid w:val="001B4BB0"/>
    <w:rsid w:val="001B4DBA"/>
    <w:rsid w:val="001B4E1C"/>
    <w:rsid w:val="001B5DDA"/>
    <w:rsid w:val="001B6845"/>
    <w:rsid w:val="001B75A2"/>
    <w:rsid w:val="001B770D"/>
    <w:rsid w:val="001C0317"/>
    <w:rsid w:val="001C0655"/>
    <w:rsid w:val="001C0CA9"/>
    <w:rsid w:val="001C0FC8"/>
    <w:rsid w:val="001C1413"/>
    <w:rsid w:val="001C1699"/>
    <w:rsid w:val="001C1ACF"/>
    <w:rsid w:val="001C2099"/>
    <w:rsid w:val="001C217C"/>
    <w:rsid w:val="001C248A"/>
    <w:rsid w:val="001C27C4"/>
    <w:rsid w:val="001C2A35"/>
    <w:rsid w:val="001C2A84"/>
    <w:rsid w:val="001C2C9E"/>
    <w:rsid w:val="001C42D2"/>
    <w:rsid w:val="001C43F3"/>
    <w:rsid w:val="001C508D"/>
    <w:rsid w:val="001C5151"/>
    <w:rsid w:val="001C58EA"/>
    <w:rsid w:val="001C59C6"/>
    <w:rsid w:val="001C6412"/>
    <w:rsid w:val="001C672B"/>
    <w:rsid w:val="001C6763"/>
    <w:rsid w:val="001C792D"/>
    <w:rsid w:val="001C7DA0"/>
    <w:rsid w:val="001D00AC"/>
    <w:rsid w:val="001D05A0"/>
    <w:rsid w:val="001D0852"/>
    <w:rsid w:val="001D0AA8"/>
    <w:rsid w:val="001D0D33"/>
    <w:rsid w:val="001D0F47"/>
    <w:rsid w:val="001D1411"/>
    <w:rsid w:val="001D185F"/>
    <w:rsid w:val="001D2653"/>
    <w:rsid w:val="001D2A40"/>
    <w:rsid w:val="001D2E5B"/>
    <w:rsid w:val="001D302A"/>
    <w:rsid w:val="001D34DE"/>
    <w:rsid w:val="001D3D55"/>
    <w:rsid w:val="001D42EA"/>
    <w:rsid w:val="001D4BFC"/>
    <w:rsid w:val="001D506B"/>
    <w:rsid w:val="001D5CE1"/>
    <w:rsid w:val="001D6204"/>
    <w:rsid w:val="001D63B2"/>
    <w:rsid w:val="001D6A3E"/>
    <w:rsid w:val="001D720E"/>
    <w:rsid w:val="001D7434"/>
    <w:rsid w:val="001D757F"/>
    <w:rsid w:val="001E061B"/>
    <w:rsid w:val="001E0BC0"/>
    <w:rsid w:val="001E0CC0"/>
    <w:rsid w:val="001E0CDC"/>
    <w:rsid w:val="001E14B0"/>
    <w:rsid w:val="001E1899"/>
    <w:rsid w:val="001E19D2"/>
    <w:rsid w:val="001E28E4"/>
    <w:rsid w:val="001E2C1E"/>
    <w:rsid w:val="001E409C"/>
    <w:rsid w:val="001E4363"/>
    <w:rsid w:val="001E4935"/>
    <w:rsid w:val="001E4F04"/>
    <w:rsid w:val="001E4F54"/>
    <w:rsid w:val="001E55C7"/>
    <w:rsid w:val="001E59E0"/>
    <w:rsid w:val="001E62D8"/>
    <w:rsid w:val="001E6C37"/>
    <w:rsid w:val="001E72C4"/>
    <w:rsid w:val="001E770B"/>
    <w:rsid w:val="001E7B23"/>
    <w:rsid w:val="001F1200"/>
    <w:rsid w:val="001F1357"/>
    <w:rsid w:val="001F161E"/>
    <w:rsid w:val="001F1D07"/>
    <w:rsid w:val="001F2974"/>
    <w:rsid w:val="001F30FE"/>
    <w:rsid w:val="001F381E"/>
    <w:rsid w:val="001F3F45"/>
    <w:rsid w:val="001F4892"/>
    <w:rsid w:val="001F4AC4"/>
    <w:rsid w:val="001F4B71"/>
    <w:rsid w:val="001F77D0"/>
    <w:rsid w:val="001F790F"/>
    <w:rsid w:val="001F7CE6"/>
    <w:rsid w:val="0020073A"/>
    <w:rsid w:val="00201702"/>
    <w:rsid w:val="002019D2"/>
    <w:rsid w:val="00201BD4"/>
    <w:rsid w:val="00201FC7"/>
    <w:rsid w:val="002029EC"/>
    <w:rsid w:val="002031BA"/>
    <w:rsid w:val="00204AFF"/>
    <w:rsid w:val="00204CA5"/>
    <w:rsid w:val="00204D7A"/>
    <w:rsid w:val="00205116"/>
    <w:rsid w:val="00205974"/>
    <w:rsid w:val="002062F7"/>
    <w:rsid w:val="002063B8"/>
    <w:rsid w:val="00206C85"/>
    <w:rsid w:val="00206C97"/>
    <w:rsid w:val="00206E75"/>
    <w:rsid w:val="00206EAD"/>
    <w:rsid w:val="002070A7"/>
    <w:rsid w:val="002073A7"/>
    <w:rsid w:val="0021033B"/>
    <w:rsid w:val="002110CA"/>
    <w:rsid w:val="0021229E"/>
    <w:rsid w:val="002124DA"/>
    <w:rsid w:val="00212614"/>
    <w:rsid w:val="0021292E"/>
    <w:rsid w:val="00212B15"/>
    <w:rsid w:val="00213817"/>
    <w:rsid w:val="002139FC"/>
    <w:rsid w:val="0021438A"/>
    <w:rsid w:val="00214557"/>
    <w:rsid w:val="0021470E"/>
    <w:rsid w:val="00216B61"/>
    <w:rsid w:val="00216F82"/>
    <w:rsid w:val="00217968"/>
    <w:rsid w:val="002179CC"/>
    <w:rsid w:val="0022028B"/>
    <w:rsid w:val="00220FB5"/>
    <w:rsid w:val="00221804"/>
    <w:rsid w:val="00222760"/>
    <w:rsid w:val="00222975"/>
    <w:rsid w:val="00223061"/>
    <w:rsid w:val="002240F3"/>
    <w:rsid w:val="00224124"/>
    <w:rsid w:val="00224375"/>
    <w:rsid w:val="00225B21"/>
    <w:rsid w:val="00225BE3"/>
    <w:rsid w:val="00226461"/>
    <w:rsid w:val="002266DE"/>
    <w:rsid w:val="002271CC"/>
    <w:rsid w:val="0023060D"/>
    <w:rsid w:val="00230B9D"/>
    <w:rsid w:val="00231C15"/>
    <w:rsid w:val="00231C9D"/>
    <w:rsid w:val="00231CCD"/>
    <w:rsid w:val="00231D2D"/>
    <w:rsid w:val="00232B80"/>
    <w:rsid w:val="00233501"/>
    <w:rsid w:val="00233C06"/>
    <w:rsid w:val="00234344"/>
    <w:rsid w:val="0023445D"/>
    <w:rsid w:val="00234765"/>
    <w:rsid w:val="002347CF"/>
    <w:rsid w:val="00235F12"/>
    <w:rsid w:val="002407E0"/>
    <w:rsid w:val="0024091B"/>
    <w:rsid w:val="00240ACF"/>
    <w:rsid w:val="002414FE"/>
    <w:rsid w:val="002415B9"/>
    <w:rsid w:val="0024218D"/>
    <w:rsid w:val="0024253B"/>
    <w:rsid w:val="00242965"/>
    <w:rsid w:val="00242AB6"/>
    <w:rsid w:val="00242B16"/>
    <w:rsid w:val="0024305A"/>
    <w:rsid w:val="0024375D"/>
    <w:rsid w:val="00243887"/>
    <w:rsid w:val="002438D5"/>
    <w:rsid w:val="0024454D"/>
    <w:rsid w:val="00244A2B"/>
    <w:rsid w:val="00244B7E"/>
    <w:rsid w:val="00244DE1"/>
    <w:rsid w:val="002458F4"/>
    <w:rsid w:val="00245B82"/>
    <w:rsid w:val="00246DB3"/>
    <w:rsid w:val="00247267"/>
    <w:rsid w:val="00247BFE"/>
    <w:rsid w:val="00247EF7"/>
    <w:rsid w:val="002504EE"/>
    <w:rsid w:val="002508A2"/>
    <w:rsid w:val="00250E21"/>
    <w:rsid w:val="00251140"/>
    <w:rsid w:val="0025121E"/>
    <w:rsid w:val="00251444"/>
    <w:rsid w:val="002522E2"/>
    <w:rsid w:val="002524B1"/>
    <w:rsid w:val="002525FA"/>
    <w:rsid w:val="002550F6"/>
    <w:rsid w:val="0025529D"/>
    <w:rsid w:val="00255F25"/>
    <w:rsid w:val="0025694A"/>
    <w:rsid w:val="00256D85"/>
    <w:rsid w:val="00256E4F"/>
    <w:rsid w:val="00257440"/>
    <w:rsid w:val="0026056C"/>
    <w:rsid w:val="00260B2B"/>
    <w:rsid w:val="002611D9"/>
    <w:rsid w:val="0026121A"/>
    <w:rsid w:val="0026121B"/>
    <w:rsid w:val="00261529"/>
    <w:rsid w:val="00261A16"/>
    <w:rsid w:val="00262043"/>
    <w:rsid w:val="002626E4"/>
    <w:rsid w:val="0026278D"/>
    <w:rsid w:val="00262A4E"/>
    <w:rsid w:val="00263C18"/>
    <w:rsid w:val="00263CE1"/>
    <w:rsid w:val="00263D89"/>
    <w:rsid w:val="00264799"/>
    <w:rsid w:val="00265254"/>
    <w:rsid w:val="0026532F"/>
    <w:rsid w:val="002662EE"/>
    <w:rsid w:val="00266B17"/>
    <w:rsid w:val="00267438"/>
    <w:rsid w:val="0026795F"/>
    <w:rsid w:val="00267DBA"/>
    <w:rsid w:val="0027035B"/>
    <w:rsid w:val="0027047A"/>
    <w:rsid w:val="00270644"/>
    <w:rsid w:val="00270960"/>
    <w:rsid w:val="00270B26"/>
    <w:rsid w:val="00270E37"/>
    <w:rsid w:val="002710A0"/>
    <w:rsid w:val="002714DC"/>
    <w:rsid w:val="00271A64"/>
    <w:rsid w:val="002727A2"/>
    <w:rsid w:val="00272A75"/>
    <w:rsid w:val="00272AB3"/>
    <w:rsid w:val="00272B1F"/>
    <w:rsid w:val="002734B8"/>
    <w:rsid w:val="00273F8A"/>
    <w:rsid w:val="00274069"/>
    <w:rsid w:val="00274CFD"/>
    <w:rsid w:val="00276CB8"/>
    <w:rsid w:val="00276E8C"/>
    <w:rsid w:val="00277D14"/>
    <w:rsid w:val="002801C6"/>
    <w:rsid w:val="00280541"/>
    <w:rsid w:val="002805DC"/>
    <w:rsid w:val="0028111E"/>
    <w:rsid w:val="00281BE1"/>
    <w:rsid w:val="00282A98"/>
    <w:rsid w:val="00282B76"/>
    <w:rsid w:val="00282D29"/>
    <w:rsid w:val="00282F6D"/>
    <w:rsid w:val="00283088"/>
    <w:rsid w:val="002831A7"/>
    <w:rsid w:val="00283705"/>
    <w:rsid w:val="002837E7"/>
    <w:rsid w:val="00283AAD"/>
    <w:rsid w:val="00283B20"/>
    <w:rsid w:val="00284E22"/>
    <w:rsid w:val="002858D1"/>
    <w:rsid w:val="0028619D"/>
    <w:rsid w:val="00286546"/>
    <w:rsid w:val="00287062"/>
    <w:rsid w:val="0028780E"/>
    <w:rsid w:val="00290BF7"/>
    <w:rsid w:val="00292647"/>
    <w:rsid w:val="00293DD4"/>
    <w:rsid w:val="00293E3F"/>
    <w:rsid w:val="00294864"/>
    <w:rsid w:val="00295288"/>
    <w:rsid w:val="00297DDC"/>
    <w:rsid w:val="00297FA3"/>
    <w:rsid w:val="00297FEB"/>
    <w:rsid w:val="002A0502"/>
    <w:rsid w:val="002A053E"/>
    <w:rsid w:val="002A059F"/>
    <w:rsid w:val="002A0908"/>
    <w:rsid w:val="002A0C39"/>
    <w:rsid w:val="002A1E2A"/>
    <w:rsid w:val="002A3602"/>
    <w:rsid w:val="002A37B6"/>
    <w:rsid w:val="002A3967"/>
    <w:rsid w:val="002A4464"/>
    <w:rsid w:val="002A4DEB"/>
    <w:rsid w:val="002A55C4"/>
    <w:rsid w:val="002A5B16"/>
    <w:rsid w:val="002A63C8"/>
    <w:rsid w:val="002A69A0"/>
    <w:rsid w:val="002A6D2F"/>
    <w:rsid w:val="002A769B"/>
    <w:rsid w:val="002A7F67"/>
    <w:rsid w:val="002B086C"/>
    <w:rsid w:val="002B1467"/>
    <w:rsid w:val="002B1585"/>
    <w:rsid w:val="002B1AD6"/>
    <w:rsid w:val="002B1D55"/>
    <w:rsid w:val="002B2004"/>
    <w:rsid w:val="002B2103"/>
    <w:rsid w:val="002B22B9"/>
    <w:rsid w:val="002B2331"/>
    <w:rsid w:val="002B2BB4"/>
    <w:rsid w:val="002B2E41"/>
    <w:rsid w:val="002B318D"/>
    <w:rsid w:val="002B41BF"/>
    <w:rsid w:val="002B4D40"/>
    <w:rsid w:val="002B58CA"/>
    <w:rsid w:val="002B5B2F"/>
    <w:rsid w:val="002B5BDD"/>
    <w:rsid w:val="002B6303"/>
    <w:rsid w:val="002B6E1D"/>
    <w:rsid w:val="002B7228"/>
    <w:rsid w:val="002B7A42"/>
    <w:rsid w:val="002B7B9A"/>
    <w:rsid w:val="002C0463"/>
    <w:rsid w:val="002C0ECC"/>
    <w:rsid w:val="002C10B8"/>
    <w:rsid w:val="002C113E"/>
    <w:rsid w:val="002C1BA9"/>
    <w:rsid w:val="002C20B5"/>
    <w:rsid w:val="002C22C6"/>
    <w:rsid w:val="002C26D3"/>
    <w:rsid w:val="002C28CC"/>
    <w:rsid w:val="002C392A"/>
    <w:rsid w:val="002C448C"/>
    <w:rsid w:val="002C4534"/>
    <w:rsid w:val="002C45DD"/>
    <w:rsid w:val="002C71C0"/>
    <w:rsid w:val="002D0806"/>
    <w:rsid w:val="002D0AF3"/>
    <w:rsid w:val="002D0B3F"/>
    <w:rsid w:val="002D0EAA"/>
    <w:rsid w:val="002D12EF"/>
    <w:rsid w:val="002D144D"/>
    <w:rsid w:val="002D1708"/>
    <w:rsid w:val="002D20DB"/>
    <w:rsid w:val="002D29D6"/>
    <w:rsid w:val="002D2AFA"/>
    <w:rsid w:val="002D338E"/>
    <w:rsid w:val="002D34E5"/>
    <w:rsid w:val="002D34F3"/>
    <w:rsid w:val="002D3C27"/>
    <w:rsid w:val="002D4037"/>
    <w:rsid w:val="002D42EF"/>
    <w:rsid w:val="002D4E1D"/>
    <w:rsid w:val="002D51BC"/>
    <w:rsid w:val="002D55F1"/>
    <w:rsid w:val="002D6DB8"/>
    <w:rsid w:val="002D7332"/>
    <w:rsid w:val="002D7B50"/>
    <w:rsid w:val="002E0A55"/>
    <w:rsid w:val="002E0BB6"/>
    <w:rsid w:val="002E1188"/>
    <w:rsid w:val="002E30D7"/>
    <w:rsid w:val="002E31FA"/>
    <w:rsid w:val="002E32F7"/>
    <w:rsid w:val="002E36F5"/>
    <w:rsid w:val="002E3A43"/>
    <w:rsid w:val="002E3C7E"/>
    <w:rsid w:val="002E3CA8"/>
    <w:rsid w:val="002E495E"/>
    <w:rsid w:val="002E4B39"/>
    <w:rsid w:val="002E4DC7"/>
    <w:rsid w:val="002E5340"/>
    <w:rsid w:val="002E58E6"/>
    <w:rsid w:val="002E61DB"/>
    <w:rsid w:val="002E6634"/>
    <w:rsid w:val="002E6A7E"/>
    <w:rsid w:val="002E6CA3"/>
    <w:rsid w:val="002E77DE"/>
    <w:rsid w:val="002E7A62"/>
    <w:rsid w:val="002E7E61"/>
    <w:rsid w:val="002F04A9"/>
    <w:rsid w:val="002F0C77"/>
    <w:rsid w:val="002F1BE9"/>
    <w:rsid w:val="002F2E27"/>
    <w:rsid w:val="002F3267"/>
    <w:rsid w:val="002F3372"/>
    <w:rsid w:val="002F3996"/>
    <w:rsid w:val="002F40A8"/>
    <w:rsid w:val="002F470C"/>
    <w:rsid w:val="002F49F5"/>
    <w:rsid w:val="002F4E22"/>
    <w:rsid w:val="002F5DA4"/>
    <w:rsid w:val="002F6603"/>
    <w:rsid w:val="002F68CB"/>
    <w:rsid w:val="00300E2D"/>
    <w:rsid w:val="00301808"/>
    <w:rsid w:val="00301D11"/>
    <w:rsid w:val="00301D16"/>
    <w:rsid w:val="00301D45"/>
    <w:rsid w:val="00301E74"/>
    <w:rsid w:val="00301EE6"/>
    <w:rsid w:val="003025E2"/>
    <w:rsid w:val="00302823"/>
    <w:rsid w:val="00302D5B"/>
    <w:rsid w:val="00302EF2"/>
    <w:rsid w:val="00303207"/>
    <w:rsid w:val="00303271"/>
    <w:rsid w:val="003035F2"/>
    <w:rsid w:val="00303C2B"/>
    <w:rsid w:val="00303F3D"/>
    <w:rsid w:val="003050AD"/>
    <w:rsid w:val="00305D54"/>
    <w:rsid w:val="003062D7"/>
    <w:rsid w:val="00307365"/>
    <w:rsid w:val="003073C9"/>
    <w:rsid w:val="00307414"/>
    <w:rsid w:val="003074D7"/>
    <w:rsid w:val="0030751F"/>
    <w:rsid w:val="00310531"/>
    <w:rsid w:val="003105D7"/>
    <w:rsid w:val="00310616"/>
    <w:rsid w:val="003115FC"/>
    <w:rsid w:val="00311B63"/>
    <w:rsid w:val="0031285E"/>
    <w:rsid w:val="00312A28"/>
    <w:rsid w:val="00313835"/>
    <w:rsid w:val="00313EE9"/>
    <w:rsid w:val="003155EF"/>
    <w:rsid w:val="0031566C"/>
    <w:rsid w:val="0031577F"/>
    <w:rsid w:val="003161AE"/>
    <w:rsid w:val="0031633C"/>
    <w:rsid w:val="0031693F"/>
    <w:rsid w:val="00316F4F"/>
    <w:rsid w:val="0031756B"/>
    <w:rsid w:val="00317897"/>
    <w:rsid w:val="00317BDF"/>
    <w:rsid w:val="00317E4D"/>
    <w:rsid w:val="00317F92"/>
    <w:rsid w:val="00320354"/>
    <w:rsid w:val="00320FE3"/>
    <w:rsid w:val="00321376"/>
    <w:rsid w:val="00321EA3"/>
    <w:rsid w:val="003221E0"/>
    <w:rsid w:val="00322383"/>
    <w:rsid w:val="00322466"/>
    <w:rsid w:val="003225D5"/>
    <w:rsid w:val="003227FE"/>
    <w:rsid w:val="00322DE9"/>
    <w:rsid w:val="0032399E"/>
    <w:rsid w:val="00324428"/>
    <w:rsid w:val="00325405"/>
    <w:rsid w:val="00325BED"/>
    <w:rsid w:val="00325D03"/>
    <w:rsid w:val="00325DEA"/>
    <w:rsid w:val="00326782"/>
    <w:rsid w:val="0032724C"/>
    <w:rsid w:val="00327D1C"/>
    <w:rsid w:val="0033018E"/>
    <w:rsid w:val="003306C0"/>
    <w:rsid w:val="0033081C"/>
    <w:rsid w:val="00330A8B"/>
    <w:rsid w:val="003310C3"/>
    <w:rsid w:val="00331406"/>
    <w:rsid w:val="003318AB"/>
    <w:rsid w:val="00331AA7"/>
    <w:rsid w:val="003327ED"/>
    <w:rsid w:val="0033381F"/>
    <w:rsid w:val="003338EE"/>
    <w:rsid w:val="00333958"/>
    <w:rsid w:val="003344D0"/>
    <w:rsid w:val="00335028"/>
    <w:rsid w:val="003360DD"/>
    <w:rsid w:val="00337150"/>
    <w:rsid w:val="00337AF3"/>
    <w:rsid w:val="00337E38"/>
    <w:rsid w:val="0034063C"/>
    <w:rsid w:val="00340A3E"/>
    <w:rsid w:val="00340C39"/>
    <w:rsid w:val="00341781"/>
    <w:rsid w:val="0034241A"/>
    <w:rsid w:val="003450ED"/>
    <w:rsid w:val="0034525E"/>
    <w:rsid w:val="00345424"/>
    <w:rsid w:val="00345D1F"/>
    <w:rsid w:val="00345D35"/>
    <w:rsid w:val="00346A06"/>
    <w:rsid w:val="00346B99"/>
    <w:rsid w:val="003471D8"/>
    <w:rsid w:val="003472D3"/>
    <w:rsid w:val="00347637"/>
    <w:rsid w:val="0035045B"/>
    <w:rsid w:val="0035098A"/>
    <w:rsid w:val="00350D84"/>
    <w:rsid w:val="003514DF"/>
    <w:rsid w:val="00351BDA"/>
    <w:rsid w:val="00353203"/>
    <w:rsid w:val="003539DD"/>
    <w:rsid w:val="00353B4A"/>
    <w:rsid w:val="00353FA1"/>
    <w:rsid w:val="00354189"/>
    <w:rsid w:val="00354494"/>
    <w:rsid w:val="0035536D"/>
    <w:rsid w:val="0035552C"/>
    <w:rsid w:val="0035556D"/>
    <w:rsid w:val="00355F36"/>
    <w:rsid w:val="0035658C"/>
    <w:rsid w:val="003574C8"/>
    <w:rsid w:val="00357A1B"/>
    <w:rsid w:val="00357F3D"/>
    <w:rsid w:val="00357F43"/>
    <w:rsid w:val="00360ADD"/>
    <w:rsid w:val="00360EFE"/>
    <w:rsid w:val="0036153B"/>
    <w:rsid w:val="00361611"/>
    <w:rsid w:val="00361612"/>
    <w:rsid w:val="00361698"/>
    <w:rsid w:val="00361973"/>
    <w:rsid w:val="00361EA3"/>
    <w:rsid w:val="003627A0"/>
    <w:rsid w:val="003632D4"/>
    <w:rsid w:val="00363744"/>
    <w:rsid w:val="00363E0F"/>
    <w:rsid w:val="00364815"/>
    <w:rsid w:val="00365123"/>
    <w:rsid w:val="00365203"/>
    <w:rsid w:val="00365C1A"/>
    <w:rsid w:val="00365F6A"/>
    <w:rsid w:val="00365F96"/>
    <w:rsid w:val="00366423"/>
    <w:rsid w:val="0036667E"/>
    <w:rsid w:val="003668EB"/>
    <w:rsid w:val="0036758C"/>
    <w:rsid w:val="003675CE"/>
    <w:rsid w:val="003677A3"/>
    <w:rsid w:val="00367CD6"/>
    <w:rsid w:val="003701C7"/>
    <w:rsid w:val="003705BD"/>
    <w:rsid w:val="00370D64"/>
    <w:rsid w:val="00371099"/>
    <w:rsid w:val="00371398"/>
    <w:rsid w:val="0037154A"/>
    <w:rsid w:val="00371C29"/>
    <w:rsid w:val="00371E51"/>
    <w:rsid w:val="00372898"/>
    <w:rsid w:val="003729EF"/>
    <w:rsid w:val="00372CE2"/>
    <w:rsid w:val="00372F05"/>
    <w:rsid w:val="00373E32"/>
    <w:rsid w:val="00373FCB"/>
    <w:rsid w:val="00374560"/>
    <w:rsid w:val="00374594"/>
    <w:rsid w:val="00374A64"/>
    <w:rsid w:val="003753EC"/>
    <w:rsid w:val="00375406"/>
    <w:rsid w:val="00375F72"/>
    <w:rsid w:val="00377263"/>
    <w:rsid w:val="00377CF8"/>
    <w:rsid w:val="00377DE0"/>
    <w:rsid w:val="003800D1"/>
    <w:rsid w:val="00380DC0"/>
    <w:rsid w:val="00381359"/>
    <w:rsid w:val="00381BE5"/>
    <w:rsid w:val="00382393"/>
    <w:rsid w:val="00382E94"/>
    <w:rsid w:val="00382F24"/>
    <w:rsid w:val="00383204"/>
    <w:rsid w:val="0038335F"/>
    <w:rsid w:val="003836D8"/>
    <w:rsid w:val="00384A09"/>
    <w:rsid w:val="00384BC9"/>
    <w:rsid w:val="00384DF3"/>
    <w:rsid w:val="00384FE2"/>
    <w:rsid w:val="003855E2"/>
    <w:rsid w:val="00385C1D"/>
    <w:rsid w:val="00385C96"/>
    <w:rsid w:val="003867EE"/>
    <w:rsid w:val="003911C6"/>
    <w:rsid w:val="00391BC2"/>
    <w:rsid w:val="00392050"/>
    <w:rsid w:val="00392243"/>
    <w:rsid w:val="0039253F"/>
    <w:rsid w:val="003929C3"/>
    <w:rsid w:val="00392A27"/>
    <w:rsid w:val="00392BEC"/>
    <w:rsid w:val="003943E9"/>
    <w:rsid w:val="003944B9"/>
    <w:rsid w:val="003950F6"/>
    <w:rsid w:val="003952D0"/>
    <w:rsid w:val="003952DD"/>
    <w:rsid w:val="0039666E"/>
    <w:rsid w:val="00396A73"/>
    <w:rsid w:val="00397287"/>
    <w:rsid w:val="00397DDF"/>
    <w:rsid w:val="003A0CA0"/>
    <w:rsid w:val="003A166A"/>
    <w:rsid w:val="003A1A1C"/>
    <w:rsid w:val="003A2406"/>
    <w:rsid w:val="003A2965"/>
    <w:rsid w:val="003A36F0"/>
    <w:rsid w:val="003A376B"/>
    <w:rsid w:val="003A381C"/>
    <w:rsid w:val="003A3AE5"/>
    <w:rsid w:val="003A4410"/>
    <w:rsid w:val="003A4430"/>
    <w:rsid w:val="003A44D5"/>
    <w:rsid w:val="003A46A7"/>
    <w:rsid w:val="003A4EE8"/>
    <w:rsid w:val="003A53D3"/>
    <w:rsid w:val="003A5467"/>
    <w:rsid w:val="003A5C67"/>
    <w:rsid w:val="003A7CEE"/>
    <w:rsid w:val="003A7DFF"/>
    <w:rsid w:val="003B0A2B"/>
    <w:rsid w:val="003B0C51"/>
    <w:rsid w:val="003B2D99"/>
    <w:rsid w:val="003B494F"/>
    <w:rsid w:val="003B4999"/>
    <w:rsid w:val="003B49A8"/>
    <w:rsid w:val="003B4F8D"/>
    <w:rsid w:val="003B55EA"/>
    <w:rsid w:val="003B5B12"/>
    <w:rsid w:val="003B5B5E"/>
    <w:rsid w:val="003B5ECE"/>
    <w:rsid w:val="003B66D8"/>
    <w:rsid w:val="003B6846"/>
    <w:rsid w:val="003B704B"/>
    <w:rsid w:val="003B78F4"/>
    <w:rsid w:val="003C02A2"/>
    <w:rsid w:val="003C032F"/>
    <w:rsid w:val="003C0B4E"/>
    <w:rsid w:val="003C0E18"/>
    <w:rsid w:val="003C0E55"/>
    <w:rsid w:val="003C2562"/>
    <w:rsid w:val="003C273E"/>
    <w:rsid w:val="003C2A81"/>
    <w:rsid w:val="003C2CBE"/>
    <w:rsid w:val="003C34A3"/>
    <w:rsid w:val="003C366E"/>
    <w:rsid w:val="003C3712"/>
    <w:rsid w:val="003C3AA3"/>
    <w:rsid w:val="003C3D21"/>
    <w:rsid w:val="003C489B"/>
    <w:rsid w:val="003C6F55"/>
    <w:rsid w:val="003C7566"/>
    <w:rsid w:val="003C7644"/>
    <w:rsid w:val="003C7A3C"/>
    <w:rsid w:val="003D1050"/>
    <w:rsid w:val="003D1667"/>
    <w:rsid w:val="003D1DA7"/>
    <w:rsid w:val="003D236A"/>
    <w:rsid w:val="003D2E10"/>
    <w:rsid w:val="003D4D64"/>
    <w:rsid w:val="003D57F1"/>
    <w:rsid w:val="003D5C69"/>
    <w:rsid w:val="003D5FF4"/>
    <w:rsid w:val="003D66EC"/>
    <w:rsid w:val="003D6CDB"/>
    <w:rsid w:val="003D7CE2"/>
    <w:rsid w:val="003E0DC6"/>
    <w:rsid w:val="003E16BD"/>
    <w:rsid w:val="003E254A"/>
    <w:rsid w:val="003E25F5"/>
    <w:rsid w:val="003E2740"/>
    <w:rsid w:val="003E2DE5"/>
    <w:rsid w:val="003E2DFF"/>
    <w:rsid w:val="003E2E7F"/>
    <w:rsid w:val="003E31B7"/>
    <w:rsid w:val="003E31CD"/>
    <w:rsid w:val="003E361A"/>
    <w:rsid w:val="003E3FF2"/>
    <w:rsid w:val="003E4615"/>
    <w:rsid w:val="003E4DAC"/>
    <w:rsid w:val="003E541E"/>
    <w:rsid w:val="003E5C3E"/>
    <w:rsid w:val="003E71CB"/>
    <w:rsid w:val="003E7417"/>
    <w:rsid w:val="003E7882"/>
    <w:rsid w:val="003E7BF4"/>
    <w:rsid w:val="003F0135"/>
    <w:rsid w:val="003F03C2"/>
    <w:rsid w:val="003F0F0D"/>
    <w:rsid w:val="003F0F64"/>
    <w:rsid w:val="003F1D55"/>
    <w:rsid w:val="003F22FB"/>
    <w:rsid w:val="003F233E"/>
    <w:rsid w:val="003F25BD"/>
    <w:rsid w:val="003F26CA"/>
    <w:rsid w:val="003F294C"/>
    <w:rsid w:val="003F3473"/>
    <w:rsid w:val="003F462A"/>
    <w:rsid w:val="003F4B5B"/>
    <w:rsid w:val="003F4D34"/>
    <w:rsid w:val="003F5A47"/>
    <w:rsid w:val="003F5CA4"/>
    <w:rsid w:val="003F6254"/>
    <w:rsid w:val="003F64B5"/>
    <w:rsid w:val="003F68C9"/>
    <w:rsid w:val="003F6CCB"/>
    <w:rsid w:val="003F7CAF"/>
    <w:rsid w:val="003F7CD5"/>
    <w:rsid w:val="00400DB1"/>
    <w:rsid w:val="00401F61"/>
    <w:rsid w:val="00402163"/>
    <w:rsid w:val="00403654"/>
    <w:rsid w:val="00403DEF"/>
    <w:rsid w:val="00404142"/>
    <w:rsid w:val="0040444C"/>
    <w:rsid w:val="00404581"/>
    <w:rsid w:val="004048C7"/>
    <w:rsid w:val="0040525C"/>
    <w:rsid w:val="00405D30"/>
    <w:rsid w:val="004064EE"/>
    <w:rsid w:val="00406A0F"/>
    <w:rsid w:val="00406B92"/>
    <w:rsid w:val="0040783B"/>
    <w:rsid w:val="004078AB"/>
    <w:rsid w:val="004079D0"/>
    <w:rsid w:val="004109BA"/>
    <w:rsid w:val="00411191"/>
    <w:rsid w:val="004111EE"/>
    <w:rsid w:val="00411394"/>
    <w:rsid w:val="00411655"/>
    <w:rsid w:val="004117E8"/>
    <w:rsid w:val="00411A63"/>
    <w:rsid w:val="00411BB5"/>
    <w:rsid w:val="00411D41"/>
    <w:rsid w:val="00411F33"/>
    <w:rsid w:val="0041204E"/>
    <w:rsid w:val="004120FA"/>
    <w:rsid w:val="00412E86"/>
    <w:rsid w:val="0041300A"/>
    <w:rsid w:val="00413B8D"/>
    <w:rsid w:val="00413FD1"/>
    <w:rsid w:val="004156E5"/>
    <w:rsid w:val="00415984"/>
    <w:rsid w:val="004165BD"/>
    <w:rsid w:val="00416718"/>
    <w:rsid w:val="004171C6"/>
    <w:rsid w:val="00417D14"/>
    <w:rsid w:val="00417DED"/>
    <w:rsid w:val="00417F74"/>
    <w:rsid w:val="00417FB7"/>
    <w:rsid w:val="00420438"/>
    <w:rsid w:val="00420BBB"/>
    <w:rsid w:val="00420C70"/>
    <w:rsid w:val="00421294"/>
    <w:rsid w:val="00421BD9"/>
    <w:rsid w:val="00423518"/>
    <w:rsid w:val="00423894"/>
    <w:rsid w:val="00424D12"/>
    <w:rsid w:val="00426126"/>
    <w:rsid w:val="00426386"/>
    <w:rsid w:val="004264F0"/>
    <w:rsid w:val="00426A57"/>
    <w:rsid w:val="004271F3"/>
    <w:rsid w:val="004278CD"/>
    <w:rsid w:val="0043063F"/>
    <w:rsid w:val="00430EFA"/>
    <w:rsid w:val="00430EFB"/>
    <w:rsid w:val="0043128A"/>
    <w:rsid w:val="004316CE"/>
    <w:rsid w:val="00431B52"/>
    <w:rsid w:val="004326CB"/>
    <w:rsid w:val="00432D8A"/>
    <w:rsid w:val="004330B9"/>
    <w:rsid w:val="00433B91"/>
    <w:rsid w:val="00434065"/>
    <w:rsid w:val="00434A28"/>
    <w:rsid w:val="00434C68"/>
    <w:rsid w:val="00435C82"/>
    <w:rsid w:val="00435FE3"/>
    <w:rsid w:val="00436036"/>
    <w:rsid w:val="0043668B"/>
    <w:rsid w:val="004373A8"/>
    <w:rsid w:val="004379A2"/>
    <w:rsid w:val="00437A47"/>
    <w:rsid w:val="00437C41"/>
    <w:rsid w:val="00440032"/>
    <w:rsid w:val="004404A6"/>
    <w:rsid w:val="004412F4"/>
    <w:rsid w:val="00441603"/>
    <w:rsid w:val="00441AC8"/>
    <w:rsid w:val="004421F1"/>
    <w:rsid w:val="00442DD4"/>
    <w:rsid w:val="004439B2"/>
    <w:rsid w:val="00444470"/>
    <w:rsid w:val="00444A57"/>
    <w:rsid w:val="00444D06"/>
    <w:rsid w:val="00444E22"/>
    <w:rsid w:val="0044552D"/>
    <w:rsid w:val="00445784"/>
    <w:rsid w:val="00445E8E"/>
    <w:rsid w:val="00447124"/>
    <w:rsid w:val="0045081D"/>
    <w:rsid w:val="004508C3"/>
    <w:rsid w:val="0045104C"/>
    <w:rsid w:val="00451CF2"/>
    <w:rsid w:val="00451FBE"/>
    <w:rsid w:val="004527E7"/>
    <w:rsid w:val="00453483"/>
    <w:rsid w:val="004536CE"/>
    <w:rsid w:val="00453B6C"/>
    <w:rsid w:val="004547C4"/>
    <w:rsid w:val="00454A6D"/>
    <w:rsid w:val="00454DF4"/>
    <w:rsid w:val="00455AAB"/>
    <w:rsid w:val="00455C55"/>
    <w:rsid w:val="00455EFA"/>
    <w:rsid w:val="0045628B"/>
    <w:rsid w:val="00456306"/>
    <w:rsid w:val="00456B58"/>
    <w:rsid w:val="00456BCA"/>
    <w:rsid w:val="00456F71"/>
    <w:rsid w:val="0045736E"/>
    <w:rsid w:val="00457E5E"/>
    <w:rsid w:val="00460165"/>
    <w:rsid w:val="00460897"/>
    <w:rsid w:val="00460D31"/>
    <w:rsid w:val="00460EC8"/>
    <w:rsid w:val="004615D0"/>
    <w:rsid w:val="00461729"/>
    <w:rsid w:val="00462F8C"/>
    <w:rsid w:val="004636B3"/>
    <w:rsid w:val="00463E91"/>
    <w:rsid w:val="00464207"/>
    <w:rsid w:val="0046422B"/>
    <w:rsid w:val="00464296"/>
    <w:rsid w:val="004644A3"/>
    <w:rsid w:val="004648A4"/>
    <w:rsid w:val="004648DB"/>
    <w:rsid w:val="00465B00"/>
    <w:rsid w:val="0046633D"/>
    <w:rsid w:val="00467227"/>
    <w:rsid w:val="00470672"/>
    <w:rsid w:val="00470AE3"/>
    <w:rsid w:val="00470F71"/>
    <w:rsid w:val="00471082"/>
    <w:rsid w:val="004715A6"/>
    <w:rsid w:val="00471FD5"/>
    <w:rsid w:val="004725ED"/>
    <w:rsid w:val="00475897"/>
    <w:rsid w:val="004763C9"/>
    <w:rsid w:val="00476A8C"/>
    <w:rsid w:val="00476CC8"/>
    <w:rsid w:val="004772A9"/>
    <w:rsid w:val="004777A9"/>
    <w:rsid w:val="00477B00"/>
    <w:rsid w:val="004802BB"/>
    <w:rsid w:val="0048040C"/>
    <w:rsid w:val="0048132E"/>
    <w:rsid w:val="00481542"/>
    <w:rsid w:val="0048177E"/>
    <w:rsid w:val="0048209D"/>
    <w:rsid w:val="004824EE"/>
    <w:rsid w:val="004827E3"/>
    <w:rsid w:val="00482845"/>
    <w:rsid w:val="00482D3E"/>
    <w:rsid w:val="00483BCB"/>
    <w:rsid w:val="00483F19"/>
    <w:rsid w:val="00484562"/>
    <w:rsid w:val="00484DB5"/>
    <w:rsid w:val="004858BF"/>
    <w:rsid w:val="004859F5"/>
    <w:rsid w:val="004862F0"/>
    <w:rsid w:val="004867CB"/>
    <w:rsid w:val="00487564"/>
    <w:rsid w:val="004876A5"/>
    <w:rsid w:val="00487A79"/>
    <w:rsid w:val="0049085E"/>
    <w:rsid w:val="00490917"/>
    <w:rsid w:val="00491022"/>
    <w:rsid w:val="00491E33"/>
    <w:rsid w:val="00492DBD"/>
    <w:rsid w:val="004937E4"/>
    <w:rsid w:val="00493C6B"/>
    <w:rsid w:val="004942CF"/>
    <w:rsid w:val="00495011"/>
    <w:rsid w:val="004951CA"/>
    <w:rsid w:val="00495249"/>
    <w:rsid w:val="0049593F"/>
    <w:rsid w:val="004960FB"/>
    <w:rsid w:val="004962F4"/>
    <w:rsid w:val="004963ED"/>
    <w:rsid w:val="0049655E"/>
    <w:rsid w:val="004965F3"/>
    <w:rsid w:val="00496D1F"/>
    <w:rsid w:val="004976B1"/>
    <w:rsid w:val="00497823"/>
    <w:rsid w:val="004A013E"/>
    <w:rsid w:val="004A19B9"/>
    <w:rsid w:val="004A1B6B"/>
    <w:rsid w:val="004A2FAE"/>
    <w:rsid w:val="004A378D"/>
    <w:rsid w:val="004A38C4"/>
    <w:rsid w:val="004A3913"/>
    <w:rsid w:val="004A4E3C"/>
    <w:rsid w:val="004A6277"/>
    <w:rsid w:val="004A63C6"/>
    <w:rsid w:val="004A63F0"/>
    <w:rsid w:val="004A6C86"/>
    <w:rsid w:val="004A6D3B"/>
    <w:rsid w:val="004A764E"/>
    <w:rsid w:val="004B03D5"/>
    <w:rsid w:val="004B04F3"/>
    <w:rsid w:val="004B19F7"/>
    <w:rsid w:val="004B1B37"/>
    <w:rsid w:val="004B2638"/>
    <w:rsid w:val="004B2D3D"/>
    <w:rsid w:val="004B30E2"/>
    <w:rsid w:val="004B4004"/>
    <w:rsid w:val="004B451E"/>
    <w:rsid w:val="004B573D"/>
    <w:rsid w:val="004B5F88"/>
    <w:rsid w:val="004B66B3"/>
    <w:rsid w:val="004B6A56"/>
    <w:rsid w:val="004B6ED3"/>
    <w:rsid w:val="004C1882"/>
    <w:rsid w:val="004C1E1F"/>
    <w:rsid w:val="004C211A"/>
    <w:rsid w:val="004C24AC"/>
    <w:rsid w:val="004C276D"/>
    <w:rsid w:val="004C2C11"/>
    <w:rsid w:val="004C3098"/>
    <w:rsid w:val="004C4088"/>
    <w:rsid w:val="004C5E10"/>
    <w:rsid w:val="004C6511"/>
    <w:rsid w:val="004C6589"/>
    <w:rsid w:val="004C6882"/>
    <w:rsid w:val="004C6C40"/>
    <w:rsid w:val="004C7087"/>
    <w:rsid w:val="004C71E0"/>
    <w:rsid w:val="004C7BF4"/>
    <w:rsid w:val="004C7D12"/>
    <w:rsid w:val="004D0871"/>
    <w:rsid w:val="004D15CC"/>
    <w:rsid w:val="004D22B2"/>
    <w:rsid w:val="004D2B45"/>
    <w:rsid w:val="004D4835"/>
    <w:rsid w:val="004D4AB5"/>
    <w:rsid w:val="004D5593"/>
    <w:rsid w:val="004D5A83"/>
    <w:rsid w:val="004D5D4D"/>
    <w:rsid w:val="004D5DEF"/>
    <w:rsid w:val="004D657F"/>
    <w:rsid w:val="004D68EA"/>
    <w:rsid w:val="004D69C8"/>
    <w:rsid w:val="004D69FC"/>
    <w:rsid w:val="004D6BAF"/>
    <w:rsid w:val="004D7B87"/>
    <w:rsid w:val="004D7C53"/>
    <w:rsid w:val="004D7F59"/>
    <w:rsid w:val="004E0411"/>
    <w:rsid w:val="004E06FB"/>
    <w:rsid w:val="004E15D5"/>
    <w:rsid w:val="004E16ED"/>
    <w:rsid w:val="004E20B8"/>
    <w:rsid w:val="004E246D"/>
    <w:rsid w:val="004E2962"/>
    <w:rsid w:val="004E2E30"/>
    <w:rsid w:val="004E33FA"/>
    <w:rsid w:val="004E440B"/>
    <w:rsid w:val="004E457A"/>
    <w:rsid w:val="004E4B9C"/>
    <w:rsid w:val="004E4E88"/>
    <w:rsid w:val="004E59C8"/>
    <w:rsid w:val="004E5B41"/>
    <w:rsid w:val="004E62AA"/>
    <w:rsid w:val="004E7880"/>
    <w:rsid w:val="004F041A"/>
    <w:rsid w:val="004F095C"/>
    <w:rsid w:val="004F0D97"/>
    <w:rsid w:val="004F10D8"/>
    <w:rsid w:val="004F147D"/>
    <w:rsid w:val="004F1708"/>
    <w:rsid w:val="004F1C44"/>
    <w:rsid w:val="004F1F8A"/>
    <w:rsid w:val="004F23A0"/>
    <w:rsid w:val="004F2A6B"/>
    <w:rsid w:val="004F305E"/>
    <w:rsid w:val="004F3928"/>
    <w:rsid w:val="004F3A27"/>
    <w:rsid w:val="004F3C38"/>
    <w:rsid w:val="004F49FF"/>
    <w:rsid w:val="004F4FAB"/>
    <w:rsid w:val="004F646D"/>
    <w:rsid w:val="004F7580"/>
    <w:rsid w:val="004F772C"/>
    <w:rsid w:val="004F78CE"/>
    <w:rsid w:val="004F7FFB"/>
    <w:rsid w:val="00500767"/>
    <w:rsid w:val="00500ACA"/>
    <w:rsid w:val="00500FD3"/>
    <w:rsid w:val="005019C5"/>
    <w:rsid w:val="00501E77"/>
    <w:rsid w:val="00502119"/>
    <w:rsid w:val="005028FE"/>
    <w:rsid w:val="00502956"/>
    <w:rsid w:val="00502ED4"/>
    <w:rsid w:val="005032E8"/>
    <w:rsid w:val="00503B37"/>
    <w:rsid w:val="0050584C"/>
    <w:rsid w:val="005059F1"/>
    <w:rsid w:val="00506041"/>
    <w:rsid w:val="0050640A"/>
    <w:rsid w:val="0050663F"/>
    <w:rsid w:val="005067A5"/>
    <w:rsid w:val="00506966"/>
    <w:rsid w:val="00506E17"/>
    <w:rsid w:val="005071E3"/>
    <w:rsid w:val="00507629"/>
    <w:rsid w:val="00507659"/>
    <w:rsid w:val="0050777B"/>
    <w:rsid w:val="00507B99"/>
    <w:rsid w:val="0051048C"/>
    <w:rsid w:val="00510B1C"/>
    <w:rsid w:val="0051121D"/>
    <w:rsid w:val="005117EC"/>
    <w:rsid w:val="00511F26"/>
    <w:rsid w:val="00513756"/>
    <w:rsid w:val="0051375E"/>
    <w:rsid w:val="00513987"/>
    <w:rsid w:val="00513E93"/>
    <w:rsid w:val="005147BF"/>
    <w:rsid w:val="005152F2"/>
    <w:rsid w:val="0051598A"/>
    <w:rsid w:val="005159E3"/>
    <w:rsid w:val="005167D1"/>
    <w:rsid w:val="005167DB"/>
    <w:rsid w:val="005168B6"/>
    <w:rsid w:val="00516C2A"/>
    <w:rsid w:val="00517114"/>
    <w:rsid w:val="005171AF"/>
    <w:rsid w:val="0052000D"/>
    <w:rsid w:val="005200A1"/>
    <w:rsid w:val="0052094A"/>
    <w:rsid w:val="00520A04"/>
    <w:rsid w:val="00520B84"/>
    <w:rsid w:val="005210A1"/>
    <w:rsid w:val="00521152"/>
    <w:rsid w:val="00521287"/>
    <w:rsid w:val="00521B30"/>
    <w:rsid w:val="00521EEA"/>
    <w:rsid w:val="005221FF"/>
    <w:rsid w:val="00522579"/>
    <w:rsid w:val="00522F38"/>
    <w:rsid w:val="0052359C"/>
    <w:rsid w:val="005240A8"/>
    <w:rsid w:val="0052456C"/>
    <w:rsid w:val="005245A3"/>
    <w:rsid w:val="00525AD5"/>
    <w:rsid w:val="00526BD5"/>
    <w:rsid w:val="00526F49"/>
    <w:rsid w:val="00527097"/>
    <w:rsid w:val="00530295"/>
    <w:rsid w:val="005304D6"/>
    <w:rsid w:val="0053079E"/>
    <w:rsid w:val="00530844"/>
    <w:rsid w:val="0053198C"/>
    <w:rsid w:val="00531F19"/>
    <w:rsid w:val="00532142"/>
    <w:rsid w:val="005326E2"/>
    <w:rsid w:val="00532C7C"/>
    <w:rsid w:val="00532D9B"/>
    <w:rsid w:val="00532E45"/>
    <w:rsid w:val="005330AA"/>
    <w:rsid w:val="00533443"/>
    <w:rsid w:val="0053391E"/>
    <w:rsid w:val="0053469B"/>
    <w:rsid w:val="005354B2"/>
    <w:rsid w:val="005354FF"/>
    <w:rsid w:val="005360DB"/>
    <w:rsid w:val="00536B8E"/>
    <w:rsid w:val="00537434"/>
    <w:rsid w:val="00537439"/>
    <w:rsid w:val="00537A23"/>
    <w:rsid w:val="00540297"/>
    <w:rsid w:val="005409D9"/>
    <w:rsid w:val="00540FCF"/>
    <w:rsid w:val="00541C94"/>
    <w:rsid w:val="00543299"/>
    <w:rsid w:val="00545155"/>
    <w:rsid w:val="00545302"/>
    <w:rsid w:val="0054538C"/>
    <w:rsid w:val="00545842"/>
    <w:rsid w:val="005458FC"/>
    <w:rsid w:val="0054596C"/>
    <w:rsid w:val="00546984"/>
    <w:rsid w:val="005477E6"/>
    <w:rsid w:val="00547B5E"/>
    <w:rsid w:val="0054DC2D"/>
    <w:rsid w:val="00550613"/>
    <w:rsid w:val="00551089"/>
    <w:rsid w:val="00551785"/>
    <w:rsid w:val="005518BA"/>
    <w:rsid w:val="00551C04"/>
    <w:rsid w:val="00552BBF"/>
    <w:rsid w:val="00553539"/>
    <w:rsid w:val="00553F70"/>
    <w:rsid w:val="0055532F"/>
    <w:rsid w:val="00555677"/>
    <w:rsid w:val="005556DB"/>
    <w:rsid w:val="005557D0"/>
    <w:rsid w:val="00555DF9"/>
    <w:rsid w:val="005560C4"/>
    <w:rsid w:val="0055628F"/>
    <w:rsid w:val="005567EA"/>
    <w:rsid w:val="00556CB5"/>
    <w:rsid w:val="00556F98"/>
    <w:rsid w:val="0055739C"/>
    <w:rsid w:val="0056012C"/>
    <w:rsid w:val="005604F5"/>
    <w:rsid w:val="0056099C"/>
    <w:rsid w:val="00560BEE"/>
    <w:rsid w:val="00561799"/>
    <w:rsid w:val="00561DBF"/>
    <w:rsid w:val="00561E64"/>
    <w:rsid w:val="00562166"/>
    <w:rsid w:val="00562482"/>
    <w:rsid w:val="005625DC"/>
    <w:rsid w:val="0056277E"/>
    <w:rsid w:val="0056289E"/>
    <w:rsid w:val="005635A1"/>
    <w:rsid w:val="00563753"/>
    <w:rsid w:val="00563B32"/>
    <w:rsid w:val="00564369"/>
    <w:rsid w:val="005643BC"/>
    <w:rsid w:val="0056485D"/>
    <w:rsid w:val="00564972"/>
    <w:rsid w:val="00565435"/>
    <w:rsid w:val="00565C9D"/>
    <w:rsid w:val="005660F2"/>
    <w:rsid w:val="00566368"/>
    <w:rsid w:val="005665BD"/>
    <w:rsid w:val="005671C1"/>
    <w:rsid w:val="005672D5"/>
    <w:rsid w:val="005676DD"/>
    <w:rsid w:val="00567EF1"/>
    <w:rsid w:val="00570401"/>
    <w:rsid w:val="00571072"/>
    <w:rsid w:val="00571556"/>
    <w:rsid w:val="00571C34"/>
    <w:rsid w:val="00571FA8"/>
    <w:rsid w:val="00572562"/>
    <w:rsid w:val="00572E50"/>
    <w:rsid w:val="00573BFB"/>
    <w:rsid w:val="00573F98"/>
    <w:rsid w:val="005741AF"/>
    <w:rsid w:val="00574246"/>
    <w:rsid w:val="005746CD"/>
    <w:rsid w:val="0057472E"/>
    <w:rsid w:val="0057525F"/>
    <w:rsid w:val="005753D8"/>
    <w:rsid w:val="00575CE7"/>
    <w:rsid w:val="00575E19"/>
    <w:rsid w:val="00576BF7"/>
    <w:rsid w:val="00576C0D"/>
    <w:rsid w:val="00576C69"/>
    <w:rsid w:val="0057777F"/>
    <w:rsid w:val="0057797A"/>
    <w:rsid w:val="00577B28"/>
    <w:rsid w:val="0058005E"/>
    <w:rsid w:val="00580AE4"/>
    <w:rsid w:val="00580FE0"/>
    <w:rsid w:val="00581A86"/>
    <w:rsid w:val="00581A94"/>
    <w:rsid w:val="005828CB"/>
    <w:rsid w:val="00583160"/>
    <w:rsid w:val="00583656"/>
    <w:rsid w:val="005840EA"/>
    <w:rsid w:val="005848B7"/>
    <w:rsid w:val="00586D3B"/>
    <w:rsid w:val="00587373"/>
    <w:rsid w:val="005874BB"/>
    <w:rsid w:val="0058752E"/>
    <w:rsid w:val="005877BF"/>
    <w:rsid w:val="00591B37"/>
    <w:rsid w:val="00591CED"/>
    <w:rsid w:val="00592474"/>
    <w:rsid w:val="00593DCF"/>
    <w:rsid w:val="0059406A"/>
    <w:rsid w:val="005940B5"/>
    <w:rsid w:val="00594318"/>
    <w:rsid w:val="0059459B"/>
    <w:rsid w:val="005949A6"/>
    <w:rsid w:val="00594A48"/>
    <w:rsid w:val="0059545F"/>
    <w:rsid w:val="00595FB9"/>
    <w:rsid w:val="005966B3"/>
    <w:rsid w:val="005967F7"/>
    <w:rsid w:val="005971CA"/>
    <w:rsid w:val="00597A77"/>
    <w:rsid w:val="005A03A7"/>
    <w:rsid w:val="005A1041"/>
    <w:rsid w:val="005A130C"/>
    <w:rsid w:val="005A16FA"/>
    <w:rsid w:val="005A182C"/>
    <w:rsid w:val="005A190E"/>
    <w:rsid w:val="005A20D1"/>
    <w:rsid w:val="005A2D4D"/>
    <w:rsid w:val="005A45E2"/>
    <w:rsid w:val="005A47B5"/>
    <w:rsid w:val="005A4C1B"/>
    <w:rsid w:val="005A559B"/>
    <w:rsid w:val="005A576D"/>
    <w:rsid w:val="005A5DA5"/>
    <w:rsid w:val="005A6044"/>
    <w:rsid w:val="005A656A"/>
    <w:rsid w:val="005A66BE"/>
    <w:rsid w:val="005A6DF9"/>
    <w:rsid w:val="005A8899"/>
    <w:rsid w:val="005B04EA"/>
    <w:rsid w:val="005B0DD6"/>
    <w:rsid w:val="005B0FF3"/>
    <w:rsid w:val="005B122F"/>
    <w:rsid w:val="005B1A22"/>
    <w:rsid w:val="005B1EBC"/>
    <w:rsid w:val="005B27E0"/>
    <w:rsid w:val="005B2B60"/>
    <w:rsid w:val="005B3704"/>
    <w:rsid w:val="005B4451"/>
    <w:rsid w:val="005B4540"/>
    <w:rsid w:val="005B64AD"/>
    <w:rsid w:val="005B68DD"/>
    <w:rsid w:val="005C0343"/>
    <w:rsid w:val="005C109E"/>
    <w:rsid w:val="005C1537"/>
    <w:rsid w:val="005C2E81"/>
    <w:rsid w:val="005C2F07"/>
    <w:rsid w:val="005C3060"/>
    <w:rsid w:val="005C3264"/>
    <w:rsid w:val="005C3AD2"/>
    <w:rsid w:val="005C3C5A"/>
    <w:rsid w:val="005C43A0"/>
    <w:rsid w:val="005C46E9"/>
    <w:rsid w:val="005C4A70"/>
    <w:rsid w:val="005C57C6"/>
    <w:rsid w:val="005C5A3B"/>
    <w:rsid w:val="005C5A9A"/>
    <w:rsid w:val="005C6AE4"/>
    <w:rsid w:val="005C6B71"/>
    <w:rsid w:val="005C6DEE"/>
    <w:rsid w:val="005C7E47"/>
    <w:rsid w:val="005D0A19"/>
    <w:rsid w:val="005D1882"/>
    <w:rsid w:val="005D2308"/>
    <w:rsid w:val="005D2BF5"/>
    <w:rsid w:val="005D2E59"/>
    <w:rsid w:val="005D36FA"/>
    <w:rsid w:val="005D36FD"/>
    <w:rsid w:val="005D401C"/>
    <w:rsid w:val="005D442A"/>
    <w:rsid w:val="005D46CF"/>
    <w:rsid w:val="005D4FD0"/>
    <w:rsid w:val="005D574A"/>
    <w:rsid w:val="005D5802"/>
    <w:rsid w:val="005D58FE"/>
    <w:rsid w:val="005D5B27"/>
    <w:rsid w:val="005D6695"/>
    <w:rsid w:val="005D674B"/>
    <w:rsid w:val="005D68BD"/>
    <w:rsid w:val="005D6B9A"/>
    <w:rsid w:val="005D6BA5"/>
    <w:rsid w:val="005D709D"/>
    <w:rsid w:val="005D76E3"/>
    <w:rsid w:val="005D7954"/>
    <w:rsid w:val="005D7D69"/>
    <w:rsid w:val="005E07FF"/>
    <w:rsid w:val="005E0CEC"/>
    <w:rsid w:val="005E16F1"/>
    <w:rsid w:val="005E1B78"/>
    <w:rsid w:val="005E1D73"/>
    <w:rsid w:val="005E36AC"/>
    <w:rsid w:val="005E41B3"/>
    <w:rsid w:val="005E46B0"/>
    <w:rsid w:val="005E51B1"/>
    <w:rsid w:val="005E599A"/>
    <w:rsid w:val="005E5EDB"/>
    <w:rsid w:val="005E6A11"/>
    <w:rsid w:val="005E6C2B"/>
    <w:rsid w:val="005E7EB8"/>
    <w:rsid w:val="005F0154"/>
    <w:rsid w:val="005F0F44"/>
    <w:rsid w:val="005F1AC5"/>
    <w:rsid w:val="005F238A"/>
    <w:rsid w:val="005F2A86"/>
    <w:rsid w:val="005F3354"/>
    <w:rsid w:val="005F3504"/>
    <w:rsid w:val="005F3A2E"/>
    <w:rsid w:val="005F51FC"/>
    <w:rsid w:val="005F55EF"/>
    <w:rsid w:val="005F57FF"/>
    <w:rsid w:val="005F5E64"/>
    <w:rsid w:val="005F6662"/>
    <w:rsid w:val="005F6F0C"/>
    <w:rsid w:val="005F7291"/>
    <w:rsid w:val="005F744D"/>
    <w:rsid w:val="005F7572"/>
    <w:rsid w:val="005F7A69"/>
    <w:rsid w:val="00600048"/>
    <w:rsid w:val="0060048A"/>
    <w:rsid w:val="00600C60"/>
    <w:rsid w:val="00600EBC"/>
    <w:rsid w:val="00601353"/>
    <w:rsid w:val="006017AF"/>
    <w:rsid w:val="00602300"/>
    <w:rsid w:val="00602B1B"/>
    <w:rsid w:val="00603132"/>
    <w:rsid w:val="006034A2"/>
    <w:rsid w:val="00603CE5"/>
    <w:rsid w:val="00604B7A"/>
    <w:rsid w:val="00605983"/>
    <w:rsid w:val="00606732"/>
    <w:rsid w:val="006074CC"/>
    <w:rsid w:val="00607A4D"/>
    <w:rsid w:val="00607CB4"/>
    <w:rsid w:val="00607E4F"/>
    <w:rsid w:val="006106C8"/>
    <w:rsid w:val="00610D57"/>
    <w:rsid w:val="00610F32"/>
    <w:rsid w:val="00611181"/>
    <w:rsid w:val="006115D9"/>
    <w:rsid w:val="006116DA"/>
    <w:rsid w:val="00612531"/>
    <w:rsid w:val="0061273E"/>
    <w:rsid w:val="00612AF3"/>
    <w:rsid w:val="006139DE"/>
    <w:rsid w:val="00613DAD"/>
    <w:rsid w:val="006142E3"/>
    <w:rsid w:val="0061444D"/>
    <w:rsid w:val="006146EA"/>
    <w:rsid w:val="00615220"/>
    <w:rsid w:val="006152AD"/>
    <w:rsid w:val="006155BF"/>
    <w:rsid w:val="00615694"/>
    <w:rsid w:val="00616AD2"/>
    <w:rsid w:val="00617310"/>
    <w:rsid w:val="00620746"/>
    <w:rsid w:val="0062075A"/>
    <w:rsid w:val="006209E8"/>
    <w:rsid w:val="00620BD3"/>
    <w:rsid w:val="00621B66"/>
    <w:rsid w:val="00621CA1"/>
    <w:rsid w:val="00621EE4"/>
    <w:rsid w:val="006229CC"/>
    <w:rsid w:val="00622BDE"/>
    <w:rsid w:val="006233D8"/>
    <w:rsid w:val="00623AEE"/>
    <w:rsid w:val="00623E69"/>
    <w:rsid w:val="00624324"/>
    <w:rsid w:val="006244ED"/>
    <w:rsid w:val="00625290"/>
    <w:rsid w:val="00625E35"/>
    <w:rsid w:val="00626666"/>
    <w:rsid w:val="00627A17"/>
    <w:rsid w:val="00627E43"/>
    <w:rsid w:val="00631061"/>
    <w:rsid w:val="0063155F"/>
    <w:rsid w:val="00631B04"/>
    <w:rsid w:val="00632221"/>
    <w:rsid w:val="006346F7"/>
    <w:rsid w:val="006349D0"/>
    <w:rsid w:val="00634BC0"/>
    <w:rsid w:val="00635164"/>
    <w:rsid w:val="006352D7"/>
    <w:rsid w:val="006357C4"/>
    <w:rsid w:val="00636BDA"/>
    <w:rsid w:val="00640EC9"/>
    <w:rsid w:val="00640FC3"/>
    <w:rsid w:val="006417DA"/>
    <w:rsid w:val="006428DF"/>
    <w:rsid w:val="00642C3D"/>
    <w:rsid w:val="00644A6E"/>
    <w:rsid w:val="0064577F"/>
    <w:rsid w:val="0064580F"/>
    <w:rsid w:val="00645F27"/>
    <w:rsid w:val="00646044"/>
    <w:rsid w:val="00646CC6"/>
    <w:rsid w:val="00647115"/>
    <w:rsid w:val="00647197"/>
    <w:rsid w:val="0065020D"/>
    <w:rsid w:val="00650B19"/>
    <w:rsid w:val="00650C16"/>
    <w:rsid w:val="006517FA"/>
    <w:rsid w:val="006519D9"/>
    <w:rsid w:val="00651D85"/>
    <w:rsid w:val="00651E52"/>
    <w:rsid w:val="00653B97"/>
    <w:rsid w:val="00654AB5"/>
    <w:rsid w:val="0065536F"/>
    <w:rsid w:val="00655733"/>
    <w:rsid w:val="006557E4"/>
    <w:rsid w:val="00655C13"/>
    <w:rsid w:val="006563C6"/>
    <w:rsid w:val="00656B4D"/>
    <w:rsid w:val="00656D5A"/>
    <w:rsid w:val="006570FE"/>
    <w:rsid w:val="006577E2"/>
    <w:rsid w:val="0066113E"/>
    <w:rsid w:val="0066358B"/>
    <w:rsid w:val="00663609"/>
    <w:rsid w:val="006637A6"/>
    <w:rsid w:val="006639BB"/>
    <w:rsid w:val="00663A2F"/>
    <w:rsid w:val="00663BAA"/>
    <w:rsid w:val="00663CD8"/>
    <w:rsid w:val="00663CF0"/>
    <w:rsid w:val="00663FAF"/>
    <w:rsid w:val="006648A5"/>
    <w:rsid w:val="00664BE4"/>
    <w:rsid w:val="006651D0"/>
    <w:rsid w:val="00665C62"/>
    <w:rsid w:val="006666C5"/>
    <w:rsid w:val="00666854"/>
    <w:rsid w:val="00666874"/>
    <w:rsid w:val="00667163"/>
    <w:rsid w:val="00667D7A"/>
    <w:rsid w:val="006706ED"/>
    <w:rsid w:val="006708C3"/>
    <w:rsid w:val="00671068"/>
    <w:rsid w:val="00671192"/>
    <w:rsid w:val="006726DD"/>
    <w:rsid w:val="00672DDA"/>
    <w:rsid w:val="006737AF"/>
    <w:rsid w:val="0067386C"/>
    <w:rsid w:val="00675539"/>
    <w:rsid w:val="006755E8"/>
    <w:rsid w:val="0067569E"/>
    <w:rsid w:val="0067604B"/>
    <w:rsid w:val="00676387"/>
    <w:rsid w:val="00676431"/>
    <w:rsid w:val="00676A12"/>
    <w:rsid w:val="0067750C"/>
    <w:rsid w:val="00677C13"/>
    <w:rsid w:val="00677D49"/>
    <w:rsid w:val="00680591"/>
    <w:rsid w:val="006808E8"/>
    <w:rsid w:val="00680C49"/>
    <w:rsid w:val="00682837"/>
    <w:rsid w:val="00683898"/>
    <w:rsid w:val="00684A9F"/>
    <w:rsid w:val="00684CCA"/>
    <w:rsid w:val="00684F64"/>
    <w:rsid w:val="0068540B"/>
    <w:rsid w:val="00685BA5"/>
    <w:rsid w:val="00687742"/>
    <w:rsid w:val="00687A06"/>
    <w:rsid w:val="00687A9B"/>
    <w:rsid w:val="00687D0F"/>
    <w:rsid w:val="00687FDD"/>
    <w:rsid w:val="00690747"/>
    <w:rsid w:val="00690B6D"/>
    <w:rsid w:val="00690C58"/>
    <w:rsid w:val="0069200C"/>
    <w:rsid w:val="006923E1"/>
    <w:rsid w:val="00692ACF"/>
    <w:rsid w:val="006934A4"/>
    <w:rsid w:val="00693AF5"/>
    <w:rsid w:val="0069494F"/>
    <w:rsid w:val="00694AE8"/>
    <w:rsid w:val="00694B6D"/>
    <w:rsid w:val="00694E2F"/>
    <w:rsid w:val="00695076"/>
    <w:rsid w:val="0069560A"/>
    <w:rsid w:val="00695B2B"/>
    <w:rsid w:val="00695D8A"/>
    <w:rsid w:val="00695EF9"/>
    <w:rsid w:val="00696821"/>
    <w:rsid w:val="006968F0"/>
    <w:rsid w:val="00696C7C"/>
    <w:rsid w:val="00696ECB"/>
    <w:rsid w:val="0069756C"/>
    <w:rsid w:val="006979F8"/>
    <w:rsid w:val="00697D10"/>
    <w:rsid w:val="006A07F6"/>
    <w:rsid w:val="006A1958"/>
    <w:rsid w:val="006A216A"/>
    <w:rsid w:val="006A2354"/>
    <w:rsid w:val="006A25E7"/>
    <w:rsid w:val="006A2A14"/>
    <w:rsid w:val="006A3187"/>
    <w:rsid w:val="006A345C"/>
    <w:rsid w:val="006A3492"/>
    <w:rsid w:val="006A3855"/>
    <w:rsid w:val="006A4636"/>
    <w:rsid w:val="006A4CAC"/>
    <w:rsid w:val="006A5003"/>
    <w:rsid w:val="006A54E5"/>
    <w:rsid w:val="006A56A4"/>
    <w:rsid w:val="006A5AEB"/>
    <w:rsid w:val="006A5AEF"/>
    <w:rsid w:val="006A5E82"/>
    <w:rsid w:val="006A606B"/>
    <w:rsid w:val="006A64C0"/>
    <w:rsid w:val="006A6846"/>
    <w:rsid w:val="006A6A8F"/>
    <w:rsid w:val="006A6E26"/>
    <w:rsid w:val="006A744A"/>
    <w:rsid w:val="006A7711"/>
    <w:rsid w:val="006A7DBD"/>
    <w:rsid w:val="006A7F85"/>
    <w:rsid w:val="006B015E"/>
    <w:rsid w:val="006B08CD"/>
    <w:rsid w:val="006B09C8"/>
    <w:rsid w:val="006B1133"/>
    <w:rsid w:val="006B12C8"/>
    <w:rsid w:val="006B1388"/>
    <w:rsid w:val="006B22F6"/>
    <w:rsid w:val="006B2417"/>
    <w:rsid w:val="006B27C0"/>
    <w:rsid w:val="006B27F8"/>
    <w:rsid w:val="006B2FB9"/>
    <w:rsid w:val="006B371D"/>
    <w:rsid w:val="006B5EC6"/>
    <w:rsid w:val="006B6B89"/>
    <w:rsid w:val="006B7893"/>
    <w:rsid w:val="006C005A"/>
    <w:rsid w:val="006C1175"/>
    <w:rsid w:val="006C242F"/>
    <w:rsid w:val="006C31F7"/>
    <w:rsid w:val="006C33DF"/>
    <w:rsid w:val="006C3899"/>
    <w:rsid w:val="006C51EC"/>
    <w:rsid w:val="006C5349"/>
    <w:rsid w:val="006C650F"/>
    <w:rsid w:val="006C702E"/>
    <w:rsid w:val="006C7BA8"/>
    <w:rsid w:val="006C7D20"/>
    <w:rsid w:val="006D0713"/>
    <w:rsid w:val="006D0C5E"/>
    <w:rsid w:val="006D1DDD"/>
    <w:rsid w:val="006D21D0"/>
    <w:rsid w:val="006D2281"/>
    <w:rsid w:val="006D2E5B"/>
    <w:rsid w:val="006D3018"/>
    <w:rsid w:val="006D30D0"/>
    <w:rsid w:val="006D40B9"/>
    <w:rsid w:val="006D40C9"/>
    <w:rsid w:val="006D417A"/>
    <w:rsid w:val="006D4D96"/>
    <w:rsid w:val="006D5262"/>
    <w:rsid w:val="006D5293"/>
    <w:rsid w:val="006D570F"/>
    <w:rsid w:val="006D590B"/>
    <w:rsid w:val="006D5E63"/>
    <w:rsid w:val="006D5E91"/>
    <w:rsid w:val="006D5ECD"/>
    <w:rsid w:val="006D65C9"/>
    <w:rsid w:val="006D6A8F"/>
    <w:rsid w:val="006D6C04"/>
    <w:rsid w:val="006D6F14"/>
    <w:rsid w:val="006D7357"/>
    <w:rsid w:val="006D7727"/>
    <w:rsid w:val="006D7BE6"/>
    <w:rsid w:val="006E0441"/>
    <w:rsid w:val="006E09B8"/>
    <w:rsid w:val="006E0E7E"/>
    <w:rsid w:val="006E110F"/>
    <w:rsid w:val="006E11DD"/>
    <w:rsid w:val="006E137A"/>
    <w:rsid w:val="006E1552"/>
    <w:rsid w:val="006E1645"/>
    <w:rsid w:val="006E236E"/>
    <w:rsid w:val="006E29AA"/>
    <w:rsid w:val="006E2BCE"/>
    <w:rsid w:val="006E2C3E"/>
    <w:rsid w:val="006E2F9A"/>
    <w:rsid w:val="006E32D7"/>
    <w:rsid w:val="006E3DD4"/>
    <w:rsid w:val="006E4989"/>
    <w:rsid w:val="006E5571"/>
    <w:rsid w:val="006E5635"/>
    <w:rsid w:val="006E6B89"/>
    <w:rsid w:val="006E7312"/>
    <w:rsid w:val="006E75E3"/>
    <w:rsid w:val="006E7D4C"/>
    <w:rsid w:val="006E7F4B"/>
    <w:rsid w:val="006F0FCB"/>
    <w:rsid w:val="006F250B"/>
    <w:rsid w:val="006F2783"/>
    <w:rsid w:val="006F2F1B"/>
    <w:rsid w:val="006F33EC"/>
    <w:rsid w:val="006F378C"/>
    <w:rsid w:val="006F422F"/>
    <w:rsid w:val="006F53A9"/>
    <w:rsid w:val="006F5820"/>
    <w:rsid w:val="006F59CD"/>
    <w:rsid w:val="006F5C2C"/>
    <w:rsid w:val="006F5F80"/>
    <w:rsid w:val="006F619D"/>
    <w:rsid w:val="006F6A14"/>
    <w:rsid w:val="006F745D"/>
    <w:rsid w:val="006F7510"/>
    <w:rsid w:val="007001D9"/>
    <w:rsid w:val="00700206"/>
    <w:rsid w:val="007012A5"/>
    <w:rsid w:val="007019E8"/>
    <w:rsid w:val="00701F4C"/>
    <w:rsid w:val="0070241B"/>
    <w:rsid w:val="007026FD"/>
    <w:rsid w:val="00702869"/>
    <w:rsid w:val="00702C7F"/>
    <w:rsid w:val="00703113"/>
    <w:rsid w:val="007033CE"/>
    <w:rsid w:val="0070403D"/>
    <w:rsid w:val="007040D9"/>
    <w:rsid w:val="0070460A"/>
    <w:rsid w:val="0070464A"/>
    <w:rsid w:val="00705BA6"/>
    <w:rsid w:val="00705DFC"/>
    <w:rsid w:val="00705E42"/>
    <w:rsid w:val="0070635A"/>
    <w:rsid w:val="0070639F"/>
    <w:rsid w:val="007069C2"/>
    <w:rsid w:val="00710288"/>
    <w:rsid w:val="00710756"/>
    <w:rsid w:val="00710B6C"/>
    <w:rsid w:val="0071169B"/>
    <w:rsid w:val="00711EB4"/>
    <w:rsid w:val="00712F4E"/>
    <w:rsid w:val="0071342D"/>
    <w:rsid w:val="00713E5B"/>
    <w:rsid w:val="007143D3"/>
    <w:rsid w:val="00714716"/>
    <w:rsid w:val="00714F42"/>
    <w:rsid w:val="00715E53"/>
    <w:rsid w:val="00716C78"/>
    <w:rsid w:val="007178E6"/>
    <w:rsid w:val="00717A33"/>
    <w:rsid w:val="0072084B"/>
    <w:rsid w:val="007208E9"/>
    <w:rsid w:val="00720DD9"/>
    <w:rsid w:val="007212E3"/>
    <w:rsid w:val="007222C4"/>
    <w:rsid w:val="00722AE6"/>
    <w:rsid w:val="007232BA"/>
    <w:rsid w:val="00723A10"/>
    <w:rsid w:val="00723DA0"/>
    <w:rsid w:val="00723DEF"/>
    <w:rsid w:val="0072477E"/>
    <w:rsid w:val="00724F81"/>
    <w:rsid w:val="0072558B"/>
    <w:rsid w:val="007267AF"/>
    <w:rsid w:val="007301A9"/>
    <w:rsid w:val="00731A3C"/>
    <w:rsid w:val="00731AF6"/>
    <w:rsid w:val="007322D2"/>
    <w:rsid w:val="00732630"/>
    <w:rsid w:val="0073289C"/>
    <w:rsid w:val="00732E9E"/>
    <w:rsid w:val="00732EF5"/>
    <w:rsid w:val="007338B0"/>
    <w:rsid w:val="0073411A"/>
    <w:rsid w:val="00734DB1"/>
    <w:rsid w:val="00734FCF"/>
    <w:rsid w:val="007358F9"/>
    <w:rsid w:val="00736DF0"/>
    <w:rsid w:val="00737683"/>
    <w:rsid w:val="00740280"/>
    <w:rsid w:val="00741925"/>
    <w:rsid w:val="00741A07"/>
    <w:rsid w:val="00741E8F"/>
    <w:rsid w:val="0074209C"/>
    <w:rsid w:val="007421B3"/>
    <w:rsid w:val="00743685"/>
    <w:rsid w:val="00743E23"/>
    <w:rsid w:val="007445AF"/>
    <w:rsid w:val="0074465B"/>
    <w:rsid w:val="00744F72"/>
    <w:rsid w:val="00745020"/>
    <w:rsid w:val="007465AD"/>
    <w:rsid w:val="007472CC"/>
    <w:rsid w:val="007472F8"/>
    <w:rsid w:val="007477D9"/>
    <w:rsid w:val="007478C2"/>
    <w:rsid w:val="00750114"/>
    <w:rsid w:val="00750321"/>
    <w:rsid w:val="00750607"/>
    <w:rsid w:val="0075060F"/>
    <w:rsid w:val="00751D64"/>
    <w:rsid w:val="00752407"/>
    <w:rsid w:val="00752B35"/>
    <w:rsid w:val="00753BEE"/>
    <w:rsid w:val="00753F5E"/>
    <w:rsid w:val="0075411B"/>
    <w:rsid w:val="0075484C"/>
    <w:rsid w:val="00754F72"/>
    <w:rsid w:val="00755939"/>
    <w:rsid w:val="00755F7B"/>
    <w:rsid w:val="00755FAA"/>
    <w:rsid w:val="007563D6"/>
    <w:rsid w:val="00756AA8"/>
    <w:rsid w:val="007577FC"/>
    <w:rsid w:val="007601F1"/>
    <w:rsid w:val="007606B0"/>
    <w:rsid w:val="00761518"/>
    <w:rsid w:val="00761F97"/>
    <w:rsid w:val="00762D94"/>
    <w:rsid w:val="00763FB3"/>
    <w:rsid w:val="00764B44"/>
    <w:rsid w:val="00765551"/>
    <w:rsid w:val="0076561E"/>
    <w:rsid w:val="0076638C"/>
    <w:rsid w:val="007666A9"/>
    <w:rsid w:val="00766752"/>
    <w:rsid w:val="00766CA9"/>
    <w:rsid w:val="00766DA8"/>
    <w:rsid w:val="0076743C"/>
    <w:rsid w:val="00770218"/>
    <w:rsid w:val="0077046C"/>
    <w:rsid w:val="0077069B"/>
    <w:rsid w:val="00770BE7"/>
    <w:rsid w:val="00770D36"/>
    <w:rsid w:val="00771406"/>
    <w:rsid w:val="007723E1"/>
    <w:rsid w:val="007727AB"/>
    <w:rsid w:val="00772B34"/>
    <w:rsid w:val="0077489C"/>
    <w:rsid w:val="00774F42"/>
    <w:rsid w:val="007751F7"/>
    <w:rsid w:val="00775449"/>
    <w:rsid w:val="007755B6"/>
    <w:rsid w:val="00775945"/>
    <w:rsid w:val="00775C08"/>
    <w:rsid w:val="00776CD0"/>
    <w:rsid w:val="00777171"/>
    <w:rsid w:val="00777466"/>
    <w:rsid w:val="007775DD"/>
    <w:rsid w:val="00777CD4"/>
    <w:rsid w:val="0078027B"/>
    <w:rsid w:val="0078052B"/>
    <w:rsid w:val="00780B6F"/>
    <w:rsid w:val="00780C1B"/>
    <w:rsid w:val="00781909"/>
    <w:rsid w:val="007820DD"/>
    <w:rsid w:val="00782229"/>
    <w:rsid w:val="00782345"/>
    <w:rsid w:val="00782C6E"/>
    <w:rsid w:val="0078305B"/>
    <w:rsid w:val="00783524"/>
    <w:rsid w:val="00783554"/>
    <w:rsid w:val="00786200"/>
    <w:rsid w:val="007868A2"/>
    <w:rsid w:val="00786AC2"/>
    <w:rsid w:val="0078739A"/>
    <w:rsid w:val="00787988"/>
    <w:rsid w:val="00790296"/>
    <w:rsid w:val="00790A14"/>
    <w:rsid w:val="00790D12"/>
    <w:rsid w:val="007910D4"/>
    <w:rsid w:val="00791307"/>
    <w:rsid w:val="007917CF"/>
    <w:rsid w:val="007919AB"/>
    <w:rsid w:val="00791D4B"/>
    <w:rsid w:val="00791E6F"/>
    <w:rsid w:val="007921F6"/>
    <w:rsid w:val="00792764"/>
    <w:rsid w:val="00792AA5"/>
    <w:rsid w:val="00792C80"/>
    <w:rsid w:val="00792F44"/>
    <w:rsid w:val="0079320A"/>
    <w:rsid w:val="007940FE"/>
    <w:rsid w:val="007949A7"/>
    <w:rsid w:val="00795117"/>
    <w:rsid w:val="0079537D"/>
    <w:rsid w:val="00795552"/>
    <w:rsid w:val="00795614"/>
    <w:rsid w:val="0079755B"/>
    <w:rsid w:val="007A024C"/>
    <w:rsid w:val="007A0804"/>
    <w:rsid w:val="007A0FD5"/>
    <w:rsid w:val="007A1E51"/>
    <w:rsid w:val="007A230F"/>
    <w:rsid w:val="007A27CB"/>
    <w:rsid w:val="007A3A37"/>
    <w:rsid w:val="007A3F77"/>
    <w:rsid w:val="007A3FED"/>
    <w:rsid w:val="007A43F2"/>
    <w:rsid w:val="007A46BA"/>
    <w:rsid w:val="007A47B4"/>
    <w:rsid w:val="007A49DA"/>
    <w:rsid w:val="007A52E0"/>
    <w:rsid w:val="007A579C"/>
    <w:rsid w:val="007A6458"/>
    <w:rsid w:val="007A74E2"/>
    <w:rsid w:val="007A7D31"/>
    <w:rsid w:val="007B0305"/>
    <w:rsid w:val="007B0539"/>
    <w:rsid w:val="007B0969"/>
    <w:rsid w:val="007B1032"/>
    <w:rsid w:val="007B1152"/>
    <w:rsid w:val="007B1C54"/>
    <w:rsid w:val="007B21FA"/>
    <w:rsid w:val="007B2B94"/>
    <w:rsid w:val="007B34A8"/>
    <w:rsid w:val="007B3581"/>
    <w:rsid w:val="007B36C4"/>
    <w:rsid w:val="007B3AC5"/>
    <w:rsid w:val="007B4008"/>
    <w:rsid w:val="007B4434"/>
    <w:rsid w:val="007B4A6A"/>
    <w:rsid w:val="007B5CDE"/>
    <w:rsid w:val="007B62EF"/>
    <w:rsid w:val="007B657C"/>
    <w:rsid w:val="007B68C0"/>
    <w:rsid w:val="007B699D"/>
    <w:rsid w:val="007B7290"/>
    <w:rsid w:val="007B72AD"/>
    <w:rsid w:val="007B761E"/>
    <w:rsid w:val="007B7D8F"/>
    <w:rsid w:val="007C0FF3"/>
    <w:rsid w:val="007C101B"/>
    <w:rsid w:val="007C145B"/>
    <w:rsid w:val="007C1A5C"/>
    <w:rsid w:val="007C1EF6"/>
    <w:rsid w:val="007C236A"/>
    <w:rsid w:val="007C23C8"/>
    <w:rsid w:val="007C2918"/>
    <w:rsid w:val="007C2EBB"/>
    <w:rsid w:val="007C355C"/>
    <w:rsid w:val="007C3ED0"/>
    <w:rsid w:val="007C4170"/>
    <w:rsid w:val="007C498D"/>
    <w:rsid w:val="007C5909"/>
    <w:rsid w:val="007C5B67"/>
    <w:rsid w:val="007C5E69"/>
    <w:rsid w:val="007C601E"/>
    <w:rsid w:val="007C6097"/>
    <w:rsid w:val="007C623F"/>
    <w:rsid w:val="007D01AC"/>
    <w:rsid w:val="007D0283"/>
    <w:rsid w:val="007D06BD"/>
    <w:rsid w:val="007D0B31"/>
    <w:rsid w:val="007D1219"/>
    <w:rsid w:val="007D1D4B"/>
    <w:rsid w:val="007D2B98"/>
    <w:rsid w:val="007D301E"/>
    <w:rsid w:val="007D34B9"/>
    <w:rsid w:val="007D3A65"/>
    <w:rsid w:val="007D3CA0"/>
    <w:rsid w:val="007D3E35"/>
    <w:rsid w:val="007D3FE2"/>
    <w:rsid w:val="007D40DE"/>
    <w:rsid w:val="007D4365"/>
    <w:rsid w:val="007D4878"/>
    <w:rsid w:val="007D4A3E"/>
    <w:rsid w:val="007D51E2"/>
    <w:rsid w:val="007D52F3"/>
    <w:rsid w:val="007D5D2F"/>
    <w:rsid w:val="007D67A5"/>
    <w:rsid w:val="007D6A49"/>
    <w:rsid w:val="007D6D45"/>
    <w:rsid w:val="007D6E35"/>
    <w:rsid w:val="007D6EA9"/>
    <w:rsid w:val="007D72F2"/>
    <w:rsid w:val="007D781A"/>
    <w:rsid w:val="007D7B09"/>
    <w:rsid w:val="007D7B84"/>
    <w:rsid w:val="007E0A57"/>
    <w:rsid w:val="007E0B46"/>
    <w:rsid w:val="007E16CE"/>
    <w:rsid w:val="007E1D4C"/>
    <w:rsid w:val="007E246C"/>
    <w:rsid w:val="007E27D1"/>
    <w:rsid w:val="007E30EA"/>
    <w:rsid w:val="007E365E"/>
    <w:rsid w:val="007E409E"/>
    <w:rsid w:val="007E6C00"/>
    <w:rsid w:val="007E72A4"/>
    <w:rsid w:val="007E79B0"/>
    <w:rsid w:val="007E7B7C"/>
    <w:rsid w:val="007F04ED"/>
    <w:rsid w:val="007F072D"/>
    <w:rsid w:val="007F0856"/>
    <w:rsid w:val="007F17EB"/>
    <w:rsid w:val="007F1901"/>
    <w:rsid w:val="007F1E00"/>
    <w:rsid w:val="007F311B"/>
    <w:rsid w:val="007F3929"/>
    <w:rsid w:val="007F4185"/>
    <w:rsid w:val="007F42BD"/>
    <w:rsid w:val="007F462C"/>
    <w:rsid w:val="007F4CF9"/>
    <w:rsid w:val="007F57DD"/>
    <w:rsid w:val="007F5A22"/>
    <w:rsid w:val="007F5EF6"/>
    <w:rsid w:val="007F65AB"/>
    <w:rsid w:val="007F7767"/>
    <w:rsid w:val="007F7B14"/>
    <w:rsid w:val="00800D61"/>
    <w:rsid w:val="008012AD"/>
    <w:rsid w:val="00801BFC"/>
    <w:rsid w:val="00802166"/>
    <w:rsid w:val="0080249A"/>
    <w:rsid w:val="00802536"/>
    <w:rsid w:val="00802656"/>
    <w:rsid w:val="00802DD5"/>
    <w:rsid w:val="0080398F"/>
    <w:rsid w:val="00803A4D"/>
    <w:rsid w:val="00803B82"/>
    <w:rsid w:val="00803EFB"/>
    <w:rsid w:val="0080479C"/>
    <w:rsid w:val="0080495A"/>
    <w:rsid w:val="00804A51"/>
    <w:rsid w:val="00805992"/>
    <w:rsid w:val="00805AB5"/>
    <w:rsid w:val="00805C24"/>
    <w:rsid w:val="008067F2"/>
    <w:rsid w:val="00806BD1"/>
    <w:rsid w:val="00806F3D"/>
    <w:rsid w:val="008071FF"/>
    <w:rsid w:val="00807501"/>
    <w:rsid w:val="008077E7"/>
    <w:rsid w:val="00807F65"/>
    <w:rsid w:val="00810A76"/>
    <w:rsid w:val="00811136"/>
    <w:rsid w:val="008111CF"/>
    <w:rsid w:val="00811267"/>
    <w:rsid w:val="00811711"/>
    <w:rsid w:val="0081174F"/>
    <w:rsid w:val="008119AC"/>
    <w:rsid w:val="00812461"/>
    <w:rsid w:val="00812988"/>
    <w:rsid w:val="0081350F"/>
    <w:rsid w:val="00813E11"/>
    <w:rsid w:val="00813EF5"/>
    <w:rsid w:val="008144F0"/>
    <w:rsid w:val="00814620"/>
    <w:rsid w:val="008147BE"/>
    <w:rsid w:val="00814F9F"/>
    <w:rsid w:val="008159D1"/>
    <w:rsid w:val="00815AC8"/>
    <w:rsid w:val="00815FA4"/>
    <w:rsid w:val="008161B6"/>
    <w:rsid w:val="00817797"/>
    <w:rsid w:val="008179C1"/>
    <w:rsid w:val="00821695"/>
    <w:rsid w:val="008216C6"/>
    <w:rsid w:val="0082202D"/>
    <w:rsid w:val="00822176"/>
    <w:rsid w:val="00822CD6"/>
    <w:rsid w:val="00823881"/>
    <w:rsid w:val="00823E92"/>
    <w:rsid w:val="00824D31"/>
    <w:rsid w:val="008252AB"/>
    <w:rsid w:val="00825798"/>
    <w:rsid w:val="00825A04"/>
    <w:rsid w:val="00825FA5"/>
    <w:rsid w:val="00826E6F"/>
    <w:rsid w:val="008273B4"/>
    <w:rsid w:val="00827537"/>
    <w:rsid w:val="00830AC3"/>
    <w:rsid w:val="00831056"/>
    <w:rsid w:val="0083191F"/>
    <w:rsid w:val="00831D64"/>
    <w:rsid w:val="00831F6A"/>
    <w:rsid w:val="00831F98"/>
    <w:rsid w:val="00832B8D"/>
    <w:rsid w:val="008333CC"/>
    <w:rsid w:val="00834036"/>
    <w:rsid w:val="008344AB"/>
    <w:rsid w:val="00834617"/>
    <w:rsid w:val="00834891"/>
    <w:rsid w:val="00834EAF"/>
    <w:rsid w:val="008350CF"/>
    <w:rsid w:val="008351C9"/>
    <w:rsid w:val="00835AA0"/>
    <w:rsid w:val="008365F2"/>
    <w:rsid w:val="00837267"/>
    <w:rsid w:val="00837747"/>
    <w:rsid w:val="00837D7B"/>
    <w:rsid w:val="0084049E"/>
    <w:rsid w:val="00840593"/>
    <w:rsid w:val="008406E5"/>
    <w:rsid w:val="00840EFA"/>
    <w:rsid w:val="00840F80"/>
    <w:rsid w:val="008413E6"/>
    <w:rsid w:val="0084173C"/>
    <w:rsid w:val="0084292A"/>
    <w:rsid w:val="00842B5E"/>
    <w:rsid w:val="00842FCF"/>
    <w:rsid w:val="008433CE"/>
    <w:rsid w:val="0084360D"/>
    <w:rsid w:val="00843700"/>
    <w:rsid w:val="00843AE0"/>
    <w:rsid w:val="00844039"/>
    <w:rsid w:val="0084446C"/>
    <w:rsid w:val="008445AD"/>
    <w:rsid w:val="0084512A"/>
    <w:rsid w:val="00845217"/>
    <w:rsid w:val="00845960"/>
    <w:rsid w:val="00845AEA"/>
    <w:rsid w:val="00845BE3"/>
    <w:rsid w:val="00845E34"/>
    <w:rsid w:val="0084664A"/>
    <w:rsid w:val="00846B05"/>
    <w:rsid w:val="00846B07"/>
    <w:rsid w:val="008479B5"/>
    <w:rsid w:val="00847F15"/>
    <w:rsid w:val="0085036F"/>
    <w:rsid w:val="008528BC"/>
    <w:rsid w:val="00852CE5"/>
    <w:rsid w:val="00853303"/>
    <w:rsid w:val="008537F6"/>
    <w:rsid w:val="00853F02"/>
    <w:rsid w:val="00854E2D"/>
    <w:rsid w:val="008551CD"/>
    <w:rsid w:val="00855317"/>
    <w:rsid w:val="00855336"/>
    <w:rsid w:val="00855BE5"/>
    <w:rsid w:val="00856CBB"/>
    <w:rsid w:val="0085722B"/>
    <w:rsid w:val="0085760F"/>
    <w:rsid w:val="00857917"/>
    <w:rsid w:val="0086024E"/>
    <w:rsid w:val="0086130A"/>
    <w:rsid w:val="00862159"/>
    <w:rsid w:val="008624CF"/>
    <w:rsid w:val="0086296F"/>
    <w:rsid w:val="00862C26"/>
    <w:rsid w:val="00862D0F"/>
    <w:rsid w:val="00862E24"/>
    <w:rsid w:val="00863ABA"/>
    <w:rsid w:val="0086493A"/>
    <w:rsid w:val="00864B28"/>
    <w:rsid w:val="00864CA1"/>
    <w:rsid w:val="00865970"/>
    <w:rsid w:val="00865CCC"/>
    <w:rsid w:val="00870397"/>
    <w:rsid w:val="00870762"/>
    <w:rsid w:val="0087099E"/>
    <w:rsid w:val="00870B7C"/>
    <w:rsid w:val="008717D3"/>
    <w:rsid w:val="0087269C"/>
    <w:rsid w:val="00872995"/>
    <w:rsid w:val="008729DE"/>
    <w:rsid w:val="00873D55"/>
    <w:rsid w:val="0087437B"/>
    <w:rsid w:val="00874761"/>
    <w:rsid w:val="00875186"/>
    <w:rsid w:val="00876300"/>
    <w:rsid w:val="00876EA9"/>
    <w:rsid w:val="008772EF"/>
    <w:rsid w:val="00877686"/>
    <w:rsid w:val="008801E8"/>
    <w:rsid w:val="00881475"/>
    <w:rsid w:val="00881950"/>
    <w:rsid w:val="0088203B"/>
    <w:rsid w:val="00882E67"/>
    <w:rsid w:val="00883A21"/>
    <w:rsid w:val="00883F07"/>
    <w:rsid w:val="00883FB1"/>
    <w:rsid w:val="0088405B"/>
    <w:rsid w:val="0088438F"/>
    <w:rsid w:val="008845C6"/>
    <w:rsid w:val="00884AB6"/>
    <w:rsid w:val="008852D3"/>
    <w:rsid w:val="008859D8"/>
    <w:rsid w:val="00885FCD"/>
    <w:rsid w:val="008866CD"/>
    <w:rsid w:val="008868CF"/>
    <w:rsid w:val="0088700F"/>
    <w:rsid w:val="0088701B"/>
    <w:rsid w:val="0088702A"/>
    <w:rsid w:val="00887088"/>
    <w:rsid w:val="0088739D"/>
    <w:rsid w:val="00891420"/>
    <w:rsid w:val="00891B1E"/>
    <w:rsid w:val="008929F4"/>
    <w:rsid w:val="008929FD"/>
    <w:rsid w:val="008937F1"/>
    <w:rsid w:val="00893AE6"/>
    <w:rsid w:val="0089425A"/>
    <w:rsid w:val="0089483E"/>
    <w:rsid w:val="008949B9"/>
    <w:rsid w:val="00894D3C"/>
    <w:rsid w:val="00895091"/>
    <w:rsid w:val="00895166"/>
    <w:rsid w:val="00895DCD"/>
    <w:rsid w:val="00897215"/>
    <w:rsid w:val="008972B2"/>
    <w:rsid w:val="008973BA"/>
    <w:rsid w:val="00897633"/>
    <w:rsid w:val="00897E1F"/>
    <w:rsid w:val="008A0BD6"/>
    <w:rsid w:val="008A11DB"/>
    <w:rsid w:val="008A222D"/>
    <w:rsid w:val="008A246B"/>
    <w:rsid w:val="008A2C57"/>
    <w:rsid w:val="008A2DF2"/>
    <w:rsid w:val="008A2DF4"/>
    <w:rsid w:val="008A3D74"/>
    <w:rsid w:val="008A45B2"/>
    <w:rsid w:val="008A57D5"/>
    <w:rsid w:val="008A59F5"/>
    <w:rsid w:val="008A6077"/>
    <w:rsid w:val="008A67F3"/>
    <w:rsid w:val="008A688E"/>
    <w:rsid w:val="008A6DD6"/>
    <w:rsid w:val="008A7275"/>
    <w:rsid w:val="008ABF09"/>
    <w:rsid w:val="008B13C5"/>
    <w:rsid w:val="008B17FA"/>
    <w:rsid w:val="008B1A06"/>
    <w:rsid w:val="008B1E35"/>
    <w:rsid w:val="008B2A66"/>
    <w:rsid w:val="008B3496"/>
    <w:rsid w:val="008B4178"/>
    <w:rsid w:val="008B41F5"/>
    <w:rsid w:val="008B499A"/>
    <w:rsid w:val="008B4AB7"/>
    <w:rsid w:val="008B55C2"/>
    <w:rsid w:val="008B5C88"/>
    <w:rsid w:val="008B5CCE"/>
    <w:rsid w:val="008B5D1D"/>
    <w:rsid w:val="008B5E54"/>
    <w:rsid w:val="008B6D16"/>
    <w:rsid w:val="008B6D41"/>
    <w:rsid w:val="008B705E"/>
    <w:rsid w:val="008C01C5"/>
    <w:rsid w:val="008C0630"/>
    <w:rsid w:val="008C0E9F"/>
    <w:rsid w:val="008C1709"/>
    <w:rsid w:val="008C3B7D"/>
    <w:rsid w:val="008C44DD"/>
    <w:rsid w:val="008C5FE6"/>
    <w:rsid w:val="008C64B3"/>
    <w:rsid w:val="008C6800"/>
    <w:rsid w:val="008C6A47"/>
    <w:rsid w:val="008C73DC"/>
    <w:rsid w:val="008C7B29"/>
    <w:rsid w:val="008C7EBF"/>
    <w:rsid w:val="008C7F24"/>
    <w:rsid w:val="008D023B"/>
    <w:rsid w:val="008D0B57"/>
    <w:rsid w:val="008D11BB"/>
    <w:rsid w:val="008D1431"/>
    <w:rsid w:val="008D146E"/>
    <w:rsid w:val="008D2001"/>
    <w:rsid w:val="008D2339"/>
    <w:rsid w:val="008D2FB2"/>
    <w:rsid w:val="008D3808"/>
    <w:rsid w:val="008D4129"/>
    <w:rsid w:val="008D487F"/>
    <w:rsid w:val="008D508A"/>
    <w:rsid w:val="008D59B2"/>
    <w:rsid w:val="008D6937"/>
    <w:rsid w:val="008D69AC"/>
    <w:rsid w:val="008D7456"/>
    <w:rsid w:val="008D762B"/>
    <w:rsid w:val="008D7891"/>
    <w:rsid w:val="008D7A47"/>
    <w:rsid w:val="008DA858"/>
    <w:rsid w:val="008E17B0"/>
    <w:rsid w:val="008E1D04"/>
    <w:rsid w:val="008E2AC0"/>
    <w:rsid w:val="008E2E4B"/>
    <w:rsid w:val="008E3087"/>
    <w:rsid w:val="008E4FF7"/>
    <w:rsid w:val="008E5ADF"/>
    <w:rsid w:val="008E6040"/>
    <w:rsid w:val="008E61F4"/>
    <w:rsid w:val="008E6DCB"/>
    <w:rsid w:val="008E7D50"/>
    <w:rsid w:val="008F0D3D"/>
    <w:rsid w:val="008F16CA"/>
    <w:rsid w:val="008F18DC"/>
    <w:rsid w:val="008F2249"/>
    <w:rsid w:val="008F2DA9"/>
    <w:rsid w:val="008F411B"/>
    <w:rsid w:val="008F4660"/>
    <w:rsid w:val="008F4732"/>
    <w:rsid w:val="008F5697"/>
    <w:rsid w:val="008F5C55"/>
    <w:rsid w:val="008F6707"/>
    <w:rsid w:val="008F6C4B"/>
    <w:rsid w:val="008F706C"/>
    <w:rsid w:val="008F7311"/>
    <w:rsid w:val="009006B6"/>
    <w:rsid w:val="00900BD8"/>
    <w:rsid w:val="009017E7"/>
    <w:rsid w:val="00901A0B"/>
    <w:rsid w:val="00902172"/>
    <w:rsid w:val="00902538"/>
    <w:rsid w:val="00903434"/>
    <w:rsid w:val="009034B3"/>
    <w:rsid w:val="00903CC0"/>
    <w:rsid w:val="00904553"/>
    <w:rsid w:val="00904A4B"/>
    <w:rsid w:val="00904C71"/>
    <w:rsid w:val="00904D1B"/>
    <w:rsid w:val="00905112"/>
    <w:rsid w:val="0090591E"/>
    <w:rsid w:val="00905C2E"/>
    <w:rsid w:val="00905CC7"/>
    <w:rsid w:val="00906659"/>
    <w:rsid w:val="00906A7A"/>
    <w:rsid w:val="00906A9D"/>
    <w:rsid w:val="00906BCB"/>
    <w:rsid w:val="00907693"/>
    <w:rsid w:val="0090781B"/>
    <w:rsid w:val="00910082"/>
    <w:rsid w:val="009108A2"/>
    <w:rsid w:val="0091099A"/>
    <w:rsid w:val="00911AFB"/>
    <w:rsid w:val="00912CEB"/>
    <w:rsid w:val="00913418"/>
    <w:rsid w:val="00913BF0"/>
    <w:rsid w:val="00914217"/>
    <w:rsid w:val="00914C8B"/>
    <w:rsid w:val="009153EF"/>
    <w:rsid w:val="00916403"/>
    <w:rsid w:val="00916621"/>
    <w:rsid w:val="00916CBD"/>
    <w:rsid w:val="00917553"/>
    <w:rsid w:val="009178F4"/>
    <w:rsid w:val="009179DA"/>
    <w:rsid w:val="00920178"/>
    <w:rsid w:val="00920598"/>
    <w:rsid w:val="00920BC7"/>
    <w:rsid w:val="00920C33"/>
    <w:rsid w:val="009211E9"/>
    <w:rsid w:val="009214D8"/>
    <w:rsid w:val="00921921"/>
    <w:rsid w:val="00921CE7"/>
    <w:rsid w:val="00921EBD"/>
    <w:rsid w:val="00922D9A"/>
    <w:rsid w:val="0092353E"/>
    <w:rsid w:val="00924693"/>
    <w:rsid w:val="00924C25"/>
    <w:rsid w:val="00924E1E"/>
    <w:rsid w:val="00924FE9"/>
    <w:rsid w:val="009255C7"/>
    <w:rsid w:val="00925C65"/>
    <w:rsid w:val="009265E4"/>
    <w:rsid w:val="009265F1"/>
    <w:rsid w:val="00926BF7"/>
    <w:rsid w:val="00927B41"/>
    <w:rsid w:val="00930861"/>
    <w:rsid w:val="00930D5A"/>
    <w:rsid w:val="00931EB6"/>
    <w:rsid w:val="009322CA"/>
    <w:rsid w:val="00932750"/>
    <w:rsid w:val="009328BA"/>
    <w:rsid w:val="0093354A"/>
    <w:rsid w:val="00933AF0"/>
    <w:rsid w:val="00934BA8"/>
    <w:rsid w:val="00934BB0"/>
    <w:rsid w:val="00935197"/>
    <w:rsid w:val="0093558D"/>
    <w:rsid w:val="00935C78"/>
    <w:rsid w:val="0093667F"/>
    <w:rsid w:val="00936787"/>
    <w:rsid w:val="0093679C"/>
    <w:rsid w:val="00936A72"/>
    <w:rsid w:val="0093776D"/>
    <w:rsid w:val="00937AAB"/>
    <w:rsid w:val="009400C4"/>
    <w:rsid w:val="00940E0F"/>
    <w:rsid w:val="00940FE9"/>
    <w:rsid w:val="0094116A"/>
    <w:rsid w:val="00942910"/>
    <w:rsid w:val="00943F97"/>
    <w:rsid w:val="0094423F"/>
    <w:rsid w:val="00947008"/>
    <w:rsid w:val="0094761D"/>
    <w:rsid w:val="009476C9"/>
    <w:rsid w:val="00947B44"/>
    <w:rsid w:val="00947E54"/>
    <w:rsid w:val="00950017"/>
    <w:rsid w:val="00950283"/>
    <w:rsid w:val="009502C3"/>
    <w:rsid w:val="00950B7F"/>
    <w:rsid w:val="0095103D"/>
    <w:rsid w:val="00951576"/>
    <w:rsid w:val="00951D0B"/>
    <w:rsid w:val="00951ECB"/>
    <w:rsid w:val="00952A9D"/>
    <w:rsid w:val="00953214"/>
    <w:rsid w:val="00953EEC"/>
    <w:rsid w:val="00954118"/>
    <w:rsid w:val="009546AB"/>
    <w:rsid w:val="00954A3E"/>
    <w:rsid w:val="00954A40"/>
    <w:rsid w:val="00954DBB"/>
    <w:rsid w:val="0095518E"/>
    <w:rsid w:val="009560B3"/>
    <w:rsid w:val="00956491"/>
    <w:rsid w:val="0095663D"/>
    <w:rsid w:val="00956BF8"/>
    <w:rsid w:val="00956C83"/>
    <w:rsid w:val="009573B3"/>
    <w:rsid w:val="009578ED"/>
    <w:rsid w:val="009607F7"/>
    <w:rsid w:val="00961691"/>
    <w:rsid w:val="00961BF9"/>
    <w:rsid w:val="00962986"/>
    <w:rsid w:val="009629C0"/>
    <w:rsid w:val="00962F7A"/>
    <w:rsid w:val="00963000"/>
    <w:rsid w:val="00964172"/>
    <w:rsid w:val="009643B0"/>
    <w:rsid w:val="00967776"/>
    <w:rsid w:val="0096778B"/>
    <w:rsid w:val="00967D7D"/>
    <w:rsid w:val="0097009E"/>
    <w:rsid w:val="00970492"/>
    <w:rsid w:val="00970512"/>
    <w:rsid w:val="00970A51"/>
    <w:rsid w:val="009711EC"/>
    <w:rsid w:val="00971D5A"/>
    <w:rsid w:val="00972A91"/>
    <w:rsid w:val="00972C89"/>
    <w:rsid w:val="009730EF"/>
    <w:rsid w:val="00973DE7"/>
    <w:rsid w:val="009743D4"/>
    <w:rsid w:val="0097453B"/>
    <w:rsid w:val="009749F4"/>
    <w:rsid w:val="00974F89"/>
    <w:rsid w:val="00975156"/>
    <w:rsid w:val="00975D2D"/>
    <w:rsid w:val="00977094"/>
    <w:rsid w:val="009772CF"/>
    <w:rsid w:val="00977D57"/>
    <w:rsid w:val="00980225"/>
    <w:rsid w:val="009809B9"/>
    <w:rsid w:val="00980B5D"/>
    <w:rsid w:val="00980E3E"/>
    <w:rsid w:val="0098130F"/>
    <w:rsid w:val="009813DF"/>
    <w:rsid w:val="009814EE"/>
    <w:rsid w:val="00981CCF"/>
    <w:rsid w:val="009827A4"/>
    <w:rsid w:val="00982AF7"/>
    <w:rsid w:val="00983438"/>
    <w:rsid w:val="00983940"/>
    <w:rsid w:val="00984718"/>
    <w:rsid w:val="00984BC9"/>
    <w:rsid w:val="00984DD1"/>
    <w:rsid w:val="0098517C"/>
    <w:rsid w:val="009867BF"/>
    <w:rsid w:val="009867D3"/>
    <w:rsid w:val="009868AC"/>
    <w:rsid w:val="009868DE"/>
    <w:rsid w:val="00986A67"/>
    <w:rsid w:val="00986F78"/>
    <w:rsid w:val="0098751D"/>
    <w:rsid w:val="00987A26"/>
    <w:rsid w:val="00990263"/>
    <w:rsid w:val="00990344"/>
    <w:rsid w:val="0099059B"/>
    <w:rsid w:val="00990876"/>
    <w:rsid w:val="00991CD0"/>
    <w:rsid w:val="00991E85"/>
    <w:rsid w:val="009921CA"/>
    <w:rsid w:val="00992298"/>
    <w:rsid w:val="009924C1"/>
    <w:rsid w:val="0099258C"/>
    <w:rsid w:val="00992740"/>
    <w:rsid w:val="009928A7"/>
    <w:rsid w:val="00992E3C"/>
    <w:rsid w:val="00992E4A"/>
    <w:rsid w:val="00993447"/>
    <w:rsid w:val="00993B5D"/>
    <w:rsid w:val="00993C62"/>
    <w:rsid w:val="009948F6"/>
    <w:rsid w:val="00994A75"/>
    <w:rsid w:val="00994E08"/>
    <w:rsid w:val="0099508E"/>
    <w:rsid w:val="0099542E"/>
    <w:rsid w:val="00995B84"/>
    <w:rsid w:val="00996478"/>
    <w:rsid w:val="0099668D"/>
    <w:rsid w:val="009966EF"/>
    <w:rsid w:val="00996A34"/>
    <w:rsid w:val="00997BEC"/>
    <w:rsid w:val="00997C3D"/>
    <w:rsid w:val="00997E5A"/>
    <w:rsid w:val="009A0D20"/>
    <w:rsid w:val="009A179C"/>
    <w:rsid w:val="009A1BE3"/>
    <w:rsid w:val="009A3612"/>
    <w:rsid w:val="009A3753"/>
    <w:rsid w:val="009A4599"/>
    <w:rsid w:val="009A47BA"/>
    <w:rsid w:val="009A4B80"/>
    <w:rsid w:val="009A6CB2"/>
    <w:rsid w:val="009A747D"/>
    <w:rsid w:val="009A7A45"/>
    <w:rsid w:val="009A7D5F"/>
    <w:rsid w:val="009B0380"/>
    <w:rsid w:val="009B0719"/>
    <w:rsid w:val="009B0746"/>
    <w:rsid w:val="009B0811"/>
    <w:rsid w:val="009B0861"/>
    <w:rsid w:val="009B0A56"/>
    <w:rsid w:val="009B0E92"/>
    <w:rsid w:val="009B1DBC"/>
    <w:rsid w:val="009B2458"/>
    <w:rsid w:val="009B33AC"/>
    <w:rsid w:val="009B3430"/>
    <w:rsid w:val="009B3437"/>
    <w:rsid w:val="009B4039"/>
    <w:rsid w:val="009B441B"/>
    <w:rsid w:val="009B4CA8"/>
    <w:rsid w:val="009B4D73"/>
    <w:rsid w:val="009B4E8F"/>
    <w:rsid w:val="009B5403"/>
    <w:rsid w:val="009B5917"/>
    <w:rsid w:val="009B61FC"/>
    <w:rsid w:val="009B78B7"/>
    <w:rsid w:val="009C0AB8"/>
    <w:rsid w:val="009C0CD5"/>
    <w:rsid w:val="009C113E"/>
    <w:rsid w:val="009C2211"/>
    <w:rsid w:val="009C258E"/>
    <w:rsid w:val="009C3931"/>
    <w:rsid w:val="009C5417"/>
    <w:rsid w:val="009C55E4"/>
    <w:rsid w:val="009C59E2"/>
    <w:rsid w:val="009C5D71"/>
    <w:rsid w:val="009C5E24"/>
    <w:rsid w:val="009C5FC7"/>
    <w:rsid w:val="009C608A"/>
    <w:rsid w:val="009C6452"/>
    <w:rsid w:val="009C653B"/>
    <w:rsid w:val="009C6ACC"/>
    <w:rsid w:val="009C7389"/>
    <w:rsid w:val="009D074E"/>
    <w:rsid w:val="009D074F"/>
    <w:rsid w:val="009D0A89"/>
    <w:rsid w:val="009D0C52"/>
    <w:rsid w:val="009D1134"/>
    <w:rsid w:val="009D18F0"/>
    <w:rsid w:val="009D1D48"/>
    <w:rsid w:val="009D22B9"/>
    <w:rsid w:val="009D2410"/>
    <w:rsid w:val="009D2568"/>
    <w:rsid w:val="009D258D"/>
    <w:rsid w:val="009D311C"/>
    <w:rsid w:val="009D38AF"/>
    <w:rsid w:val="009D3C00"/>
    <w:rsid w:val="009D433A"/>
    <w:rsid w:val="009D4868"/>
    <w:rsid w:val="009D581B"/>
    <w:rsid w:val="009D5C92"/>
    <w:rsid w:val="009D5F6C"/>
    <w:rsid w:val="009D62C1"/>
    <w:rsid w:val="009D674E"/>
    <w:rsid w:val="009D6A40"/>
    <w:rsid w:val="009E0659"/>
    <w:rsid w:val="009E0A1A"/>
    <w:rsid w:val="009E0C74"/>
    <w:rsid w:val="009E13FA"/>
    <w:rsid w:val="009E1692"/>
    <w:rsid w:val="009E223F"/>
    <w:rsid w:val="009E2C10"/>
    <w:rsid w:val="009E333C"/>
    <w:rsid w:val="009E42E6"/>
    <w:rsid w:val="009E4364"/>
    <w:rsid w:val="009E4DF3"/>
    <w:rsid w:val="009E5C47"/>
    <w:rsid w:val="009E5F4D"/>
    <w:rsid w:val="009E6234"/>
    <w:rsid w:val="009E6AD8"/>
    <w:rsid w:val="009E6B6E"/>
    <w:rsid w:val="009F0D6B"/>
    <w:rsid w:val="009F168B"/>
    <w:rsid w:val="009F18C4"/>
    <w:rsid w:val="009F1E4E"/>
    <w:rsid w:val="009F23C4"/>
    <w:rsid w:val="009F28D8"/>
    <w:rsid w:val="009F2EEF"/>
    <w:rsid w:val="009F3E16"/>
    <w:rsid w:val="009F3F5C"/>
    <w:rsid w:val="009F47A2"/>
    <w:rsid w:val="009F484A"/>
    <w:rsid w:val="009F4B6B"/>
    <w:rsid w:val="009F5936"/>
    <w:rsid w:val="009F6727"/>
    <w:rsid w:val="009F67B3"/>
    <w:rsid w:val="009F68E4"/>
    <w:rsid w:val="009F6AB9"/>
    <w:rsid w:val="009F6AEE"/>
    <w:rsid w:val="009F6AF2"/>
    <w:rsid w:val="009F6C5C"/>
    <w:rsid w:val="009F7BBC"/>
    <w:rsid w:val="009F7EA8"/>
    <w:rsid w:val="00A00CF7"/>
    <w:rsid w:val="00A00D64"/>
    <w:rsid w:val="00A00FB1"/>
    <w:rsid w:val="00A016CC"/>
    <w:rsid w:val="00A018F8"/>
    <w:rsid w:val="00A01A54"/>
    <w:rsid w:val="00A02D13"/>
    <w:rsid w:val="00A02D2E"/>
    <w:rsid w:val="00A03132"/>
    <w:rsid w:val="00A036B8"/>
    <w:rsid w:val="00A0385C"/>
    <w:rsid w:val="00A03A70"/>
    <w:rsid w:val="00A042F3"/>
    <w:rsid w:val="00A04A84"/>
    <w:rsid w:val="00A04E36"/>
    <w:rsid w:val="00A0522B"/>
    <w:rsid w:val="00A0541A"/>
    <w:rsid w:val="00A06282"/>
    <w:rsid w:val="00A065AB"/>
    <w:rsid w:val="00A06A8F"/>
    <w:rsid w:val="00A06D08"/>
    <w:rsid w:val="00A06E41"/>
    <w:rsid w:val="00A0722F"/>
    <w:rsid w:val="00A07465"/>
    <w:rsid w:val="00A077FB"/>
    <w:rsid w:val="00A07C1B"/>
    <w:rsid w:val="00A07D4C"/>
    <w:rsid w:val="00A07E7A"/>
    <w:rsid w:val="00A103A6"/>
    <w:rsid w:val="00A107D2"/>
    <w:rsid w:val="00A107EB"/>
    <w:rsid w:val="00A11BEF"/>
    <w:rsid w:val="00A11EE9"/>
    <w:rsid w:val="00A1220D"/>
    <w:rsid w:val="00A12A37"/>
    <w:rsid w:val="00A12AA7"/>
    <w:rsid w:val="00A12C3D"/>
    <w:rsid w:val="00A1374F"/>
    <w:rsid w:val="00A13CF7"/>
    <w:rsid w:val="00A13FB8"/>
    <w:rsid w:val="00A1423A"/>
    <w:rsid w:val="00A14941"/>
    <w:rsid w:val="00A14D53"/>
    <w:rsid w:val="00A15D12"/>
    <w:rsid w:val="00A15DAF"/>
    <w:rsid w:val="00A160D6"/>
    <w:rsid w:val="00A1618E"/>
    <w:rsid w:val="00A166C4"/>
    <w:rsid w:val="00A16EBE"/>
    <w:rsid w:val="00A17119"/>
    <w:rsid w:val="00A1719B"/>
    <w:rsid w:val="00A17F4D"/>
    <w:rsid w:val="00A21DC6"/>
    <w:rsid w:val="00A22846"/>
    <w:rsid w:val="00A22A1D"/>
    <w:rsid w:val="00A234C3"/>
    <w:rsid w:val="00A23843"/>
    <w:rsid w:val="00A2640D"/>
    <w:rsid w:val="00A26625"/>
    <w:rsid w:val="00A26715"/>
    <w:rsid w:val="00A27CCC"/>
    <w:rsid w:val="00A30B98"/>
    <w:rsid w:val="00A30D18"/>
    <w:rsid w:val="00A331C9"/>
    <w:rsid w:val="00A338DE"/>
    <w:rsid w:val="00A33EAE"/>
    <w:rsid w:val="00A34162"/>
    <w:rsid w:val="00A342D3"/>
    <w:rsid w:val="00A34FDA"/>
    <w:rsid w:val="00A35160"/>
    <w:rsid w:val="00A36738"/>
    <w:rsid w:val="00A37313"/>
    <w:rsid w:val="00A374DA"/>
    <w:rsid w:val="00A3778A"/>
    <w:rsid w:val="00A37F14"/>
    <w:rsid w:val="00A4031B"/>
    <w:rsid w:val="00A40865"/>
    <w:rsid w:val="00A409B5"/>
    <w:rsid w:val="00A41852"/>
    <w:rsid w:val="00A41DBE"/>
    <w:rsid w:val="00A41FD4"/>
    <w:rsid w:val="00A425BF"/>
    <w:rsid w:val="00A430AF"/>
    <w:rsid w:val="00A4322A"/>
    <w:rsid w:val="00A445AB"/>
    <w:rsid w:val="00A44C5D"/>
    <w:rsid w:val="00A44E14"/>
    <w:rsid w:val="00A44FCC"/>
    <w:rsid w:val="00A451B9"/>
    <w:rsid w:val="00A46818"/>
    <w:rsid w:val="00A46CAF"/>
    <w:rsid w:val="00A47045"/>
    <w:rsid w:val="00A47368"/>
    <w:rsid w:val="00A50955"/>
    <w:rsid w:val="00A51479"/>
    <w:rsid w:val="00A52872"/>
    <w:rsid w:val="00A52AE8"/>
    <w:rsid w:val="00A53A50"/>
    <w:rsid w:val="00A53CAC"/>
    <w:rsid w:val="00A5428F"/>
    <w:rsid w:val="00A5460B"/>
    <w:rsid w:val="00A55200"/>
    <w:rsid w:val="00A56059"/>
    <w:rsid w:val="00A561E2"/>
    <w:rsid w:val="00A563FC"/>
    <w:rsid w:val="00A56549"/>
    <w:rsid w:val="00A565DB"/>
    <w:rsid w:val="00A56A57"/>
    <w:rsid w:val="00A56E9D"/>
    <w:rsid w:val="00A5753C"/>
    <w:rsid w:val="00A603FE"/>
    <w:rsid w:val="00A60723"/>
    <w:rsid w:val="00A60BED"/>
    <w:rsid w:val="00A60DCB"/>
    <w:rsid w:val="00A613CC"/>
    <w:rsid w:val="00A617ED"/>
    <w:rsid w:val="00A61C50"/>
    <w:rsid w:val="00A61CBB"/>
    <w:rsid w:val="00A61D1B"/>
    <w:rsid w:val="00A61EED"/>
    <w:rsid w:val="00A628F0"/>
    <w:rsid w:val="00A62C7D"/>
    <w:rsid w:val="00A62C8E"/>
    <w:rsid w:val="00A62CE2"/>
    <w:rsid w:val="00A6346B"/>
    <w:rsid w:val="00A63E1E"/>
    <w:rsid w:val="00A63EED"/>
    <w:rsid w:val="00A64467"/>
    <w:rsid w:val="00A6456D"/>
    <w:rsid w:val="00A645F6"/>
    <w:rsid w:val="00A65714"/>
    <w:rsid w:val="00A65C51"/>
    <w:rsid w:val="00A65EA7"/>
    <w:rsid w:val="00A65EF8"/>
    <w:rsid w:val="00A65F8D"/>
    <w:rsid w:val="00A6617B"/>
    <w:rsid w:val="00A66338"/>
    <w:rsid w:val="00A71361"/>
    <w:rsid w:val="00A7147B"/>
    <w:rsid w:val="00A719D5"/>
    <w:rsid w:val="00A71D53"/>
    <w:rsid w:val="00A72340"/>
    <w:rsid w:val="00A72EB9"/>
    <w:rsid w:val="00A73365"/>
    <w:rsid w:val="00A73588"/>
    <w:rsid w:val="00A73B7E"/>
    <w:rsid w:val="00A73B81"/>
    <w:rsid w:val="00A7423B"/>
    <w:rsid w:val="00A74E41"/>
    <w:rsid w:val="00A755F6"/>
    <w:rsid w:val="00A762B2"/>
    <w:rsid w:val="00A773A9"/>
    <w:rsid w:val="00A77618"/>
    <w:rsid w:val="00A777CC"/>
    <w:rsid w:val="00A779A8"/>
    <w:rsid w:val="00A80842"/>
    <w:rsid w:val="00A80D44"/>
    <w:rsid w:val="00A810DF"/>
    <w:rsid w:val="00A81648"/>
    <w:rsid w:val="00A8295F"/>
    <w:rsid w:val="00A82BD0"/>
    <w:rsid w:val="00A82E29"/>
    <w:rsid w:val="00A82FF6"/>
    <w:rsid w:val="00A83342"/>
    <w:rsid w:val="00A834D6"/>
    <w:rsid w:val="00A84127"/>
    <w:rsid w:val="00A84D16"/>
    <w:rsid w:val="00A84D54"/>
    <w:rsid w:val="00A85158"/>
    <w:rsid w:val="00A85E04"/>
    <w:rsid w:val="00A8620F"/>
    <w:rsid w:val="00A87231"/>
    <w:rsid w:val="00A87312"/>
    <w:rsid w:val="00A8758D"/>
    <w:rsid w:val="00A876BE"/>
    <w:rsid w:val="00A87FC4"/>
    <w:rsid w:val="00A90936"/>
    <w:rsid w:val="00A90B1B"/>
    <w:rsid w:val="00A91912"/>
    <w:rsid w:val="00A91C74"/>
    <w:rsid w:val="00A920BB"/>
    <w:rsid w:val="00A93045"/>
    <w:rsid w:val="00A9346C"/>
    <w:rsid w:val="00A93B2F"/>
    <w:rsid w:val="00A93CFE"/>
    <w:rsid w:val="00A94007"/>
    <w:rsid w:val="00A9493F"/>
    <w:rsid w:val="00A94DA8"/>
    <w:rsid w:val="00A95056"/>
    <w:rsid w:val="00A95095"/>
    <w:rsid w:val="00A966E1"/>
    <w:rsid w:val="00A969FF"/>
    <w:rsid w:val="00A96F4D"/>
    <w:rsid w:val="00A9768E"/>
    <w:rsid w:val="00A976DB"/>
    <w:rsid w:val="00AA02E3"/>
    <w:rsid w:val="00AA0573"/>
    <w:rsid w:val="00AA1727"/>
    <w:rsid w:val="00AA1BAA"/>
    <w:rsid w:val="00AA1E49"/>
    <w:rsid w:val="00AA1FD3"/>
    <w:rsid w:val="00AA2A6E"/>
    <w:rsid w:val="00AA3286"/>
    <w:rsid w:val="00AA35A5"/>
    <w:rsid w:val="00AA3982"/>
    <w:rsid w:val="00AA3CB4"/>
    <w:rsid w:val="00AA422D"/>
    <w:rsid w:val="00AA445B"/>
    <w:rsid w:val="00AA44A3"/>
    <w:rsid w:val="00AA450E"/>
    <w:rsid w:val="00AA463D"/>
    <w:rsid w:val="00AA4842"/>
    <w:rsid w:val="00AA4BCA"/>
    <w:rsid w:val="00AA4C72"/>
    <w:rsid w:val="00AA5428"/>
    <w:rsid w:val="00AA55A5"/>
    <w:rsid w:val="00AA5E4E"/>
    <w:rsid w:val="00AA614A"/>
    <w:rsid w:val="00AA61B6"/>
    <w:rsid w:val="00AA62A4"/>
    <w:rsid w:val="00AA62AD"/>
    <w:rsid w:val="00AA62CD"/>
    <w:rsid w:val="00AA6BB7"/>
    <w:rsid w:val="00AA6D99"/>
    <w:rsid w:val="00AA6E2F"/>
    <w:rsid w:val="00AA736A"/>
    <w:rsid w:val="00AA7FD4"/>
    <w:rsid w:val="00AB017D"/>
    <w:rsid w:val="00AB0855"/>
    <w:rsid w:val="00AB0DAB"/>
    <w:rsid w:val="00AB170F"/>
    <w:rsid w:val="00AB205A"/>
    <w:rsid w:val="00AB2B4C"/>
    <w:rsid w:val="00AB2BB9"/>
    <w:rsid w:val="00AB51E6"/>
    <w:rsid w:val="00AB5BFA"/>
    <w:rsid w:val="00AB6A8F"/>
    <w:rsid w:val="00AB7CBA"/>
    <w:rsid w:val="00AB7CBC"/>
    <w:rsid w:val="00AB7CFB"/>
    <w:rsid w:val="00AC0090"/>
    <w:rsid w:val="00AC019A"/>
    <w:rsid w:val="00AC0429"/>
    <w:rsid w:val="00AC094F"/>
    <w:rsid w:val="00AC0A53"/>
    <w:rsid w:val="00AC225D"/>
    <w:rsid w:val="00AC3320"/>
    <w:rsid w:val="00AC3405"/>
    <w:rsid w:val="00AC346C"/>
    <w:rsid w:val="00AC348E"/>
    <w:rsid w:val="00AC3961"/>
    <w:rsid w:val="00AC3D71"/>
    <w:rsid w:val="00AC42C8"/>
    <w:rsid w:val="00AC464C"/>
    <w:rsid w:val="00AC4E69"/>
    <w:rsid w:val="00AC5619"/>
    <w:rsid w:val="00AC5816"/>
    <w:rsid w:val="00AC59E3"/>
    <w:rsid w:val="00AC682B"/>
    <w:rsid w:val="00AC683A"/>
    <w:rsid w:val="00AC6842"/>
    <w:rsid w:val="00AC6CA2"/>
    <w:rsid w:val="00AC722B"/>
    <w:rsid w:val="00AC78EA"/>
    <w:rsid w:val="00AC7A15"/>
    <w:rsid w:val="00AD0147"/>
    <w:rsid w:val="00AD05B5"/>
    <w:rsid w:val="00AD0CF5"/>
    <w:rsid w:val="00AD0D2C"/>
    <w:rsid w:val="00AD115B"/>
    <w:rsid w:val="00AD1976"/>
    <w:rsid w:val="00AD2CE3"/>
    <w:rsid w:val="00AD32BD"/>
    <w:rsid w:val="00AD3A7A"/>
    <w:rsid w:val="00AD50D0"/>
    <w:rsid w:val="00AD5BC8"/>
    <w:rsid w:val="00AD6221"/>
    <w:rsid w:val="00AD67FA"/>
    <w:rsid w:val="00AD6EB0"/>
    <w:rsid w:val="00AD7563"/>
    <w:rsid w:val="00AD7BFD"/>
    <w:rsid w:val="00AD7D39"/>
    <w:rsid w:val="00AD7E91"/>
    <w:rsid w:val="00AE04CF"/>
    <w:rsid w:val="00AE08BD"/>
    <w:rsid w:val="00AE0C4B"/>
    <w:rsid w:val="00AE0D17"/>
    <w:rsid w:val="00AE126F"/>
    <w:rsid w:val="00AE1320"/>
    <w:rsid w:val="00AE19A6"/>
    <w:rsid w:val="00AE22C2"/>
    <w:rsid w:val="00AE2853"/>
    <w:rsid w:val="00AE321A"/>
    <w:rsid w:val="00AE3CB8"/>
    <w:rsid w:val="00AE49C4"/>
    <w:rsid w:val="00AE511A"/>
    <w:rsid w:val="00AE55E2"/>
    <w:rsid w:val="00AE67C6"/>
    <w:rsid w:val="00AE7162"/>
    <w:rsid w:val="00AE7691"/>
    <w:rsid w:val="00AE79BF"/>
    <w:rsid w:val="00AE7FAF"/>
    <w:rsid w:val="00AF0DA0"/>
    <w:rsid w:val="00AF1A5C"/>
    <w:rsid w:val="00AF1B40"/>
    <w:rsid w:val="00AF3006"/>
    <w:rsid w:val="00AF418A"/>
    <w:rsid w:val="00AF4392"/>
    <w:rsid w:val="00AF47C5"/>
    <w:rsid w:val="00AF4908"/>
    <w:rsid w:val="00AF4B8A"/>
    <w:rsid w:val="00AF4FD1"/>
    <w:rsid w:val="00AF5182"/>
    <w:rsid w:val="00AF5DAE"/>
    <w:rsid w:val="00AF659E"/>
    <w:rsid w:val="00AF6800"/>
    <w:rsid w:val="00AF6E48"/>
    <w:rsid w:val="00AF7054"/>
    <w:rsid w:val="00AF722F"/>
    <w:rsid w:val="00B00006"/>
    <w:rsid w:val="00B005FD"/>
    <w:rsid w:val="00B0067E"/>
    <w:rsid w:val="00B015B3"/>
    <w:rsid w:val="00B016BF"/>
    <w:rsid w:val="00B019A9"/>
    <w:rsid w:val="00B01F06"/>
    <w:rsid w:val="00B024EA"/>
    <w:rsid w:val="00B024F7"/>
    <w:rsid w:val="00B02D47"/>
    <w:rsid w:val="00B04088"/>
    <w:rsid w:val="00B04A35"/>
    <w:rsid w:val="00B04D50"/>
    <w:rsid w:val="00B04E35"/>
    <w:rsid w:val="00B051DB"/>
    <w:rsid w:val="00B056F0"/>
    <w:rsid w:val="00B05DC2"/>
    <w:rsid w:val="00B076AC"/>
    <w:rsid w:val="00B1013B"/>
    <w:rsid w:val="00B102F3"/>
    <w:rsid w:val="00B10A37"/>
    <w:rsid w:val="00B10A5E"/>
    <w:rsid w:val="00B10E30"/>
    <w:rsid w:val="00B114D7"/>
    <w:rsid w:val="00B1150A"/>
    <w:rsid w:val="00B11A59"/>
    <w:rsid w:val="00B120A1"/>
    <w:rsid w:val="00B123CA"/>
    <w:rsid w:val="00B131EA"/>
    <w:rsid w:val="00B13AD2"/>
    <w:rsid w:val="00B13EC2"/>
    <w:rsid w:val="00B1428D"/>
    <w:rsid w:val="00B1455F"/>
    <w:rsid w:val="00B1472E"/>
    <w:rsid w:val="00B147C6"/>
    <w:rsid w:val="00B149C4"/>
    <w:rsid w:val="00B159C0"/>
    <w:rsid w:val="00B17138"/>
    <w:rsid w:val="00B1760D"/>
    <w:rsid w:val="00B17856"/>
    <w:rsid w:val="00B20841"/>
    <w:rsid w:val="00B21639"/>
    <w:rsid w:val="00B21BBE"/>
    <w:rsid w:val="00B22296"/>
    <w:rsid w:val="00B224CB"/>
    <w:rsid w:val="00B23A0C"/>
    <w:rsid w:val="00B2442D"/>
    <w:rsid w:val="00B2457A"/>
    <w:rsid w:val="00B256C9"/>
    <w:rsid w:val="00B256D5"/>
    <w:rsid w:val="00B25B6D"/>
    <w:rsid w:val="00B25BF2"/>
    <w:rsid w:val="00B2620F"/>
    <w:rsid w:val="00B266F6"/>
    <w:rsid w:val="00B26802"/>
    <w:rsid w:val="00B27C8F"/>
    <w:rsid w:val="00B30DF0"/>
    <w:rsid w:val="00B30F25"/>
    <w:rsid w:val="00B31A8C"/>
    <w:rsid w:val="00B31D70"/>
    <w:rsid w:val="00B3269C"/>
    <w:rsid w:val="00B33AE0"/>
    <w:rsid w:val="00B340D4"/>
    <w:rsid w:val="00B34236"/>
    <w:rsid w:val="00B34771"/>
    <w:rsid w:val="00B3497E"/>
    <w:rsid w:val="00B34B29"/>
    <w:rsid w:val="00B34F1A"/>
    <w:rsid w:val="00B350C9"/>
    <w:rsid w:val="00B3580B"/>
    <w:rsid w:val="00B35AFA"/>
    <w:rsid w:val="00B35BAE"/>
    <w:rsid w:val="00B3622F"/>
    <w:rsid w:val="00B36819"/>
    <w:rsid w:val="00B368AA"/>
    <w:rsid w:val="00B37DD6"/>
    <w:rsid w:val="00B40479"/>
    <w:rsid w:val="00B4061A"/>
    <w:rsid w:val="00B40C5D"/>
    <w:rsid w:val="00B41431"/>
    <w:rsid w:val="00B41605"/>
    <w:rsid w:val="00B41ADA"/>
    <w:rsid w:val="00B4232A"/>
    <w:rsid w:val="00B42457"/>
    <w:rsid w:val="00B433CC"/>
    <w:rsid w:val="00B4394D"/>
    <w:rsid w:val="00B43B71"/>
    <w:rsid w:val="00B43FAF"/>
    <w:rsid w:val="00B450F3"/>
    <w:rsid w:val="00B45394"/>
    <w:rsid w:val="00B4572A"/>
    <w:rsid w:val="00B458A7"/>
    <w:rsid w:val="00B45E51"/>
    <w:rsid w:val="00B46114"/>
    <w:rsid w:val="00B46965"/>
    <w:rsid w:val="00B469CF"/>
    <w:rsid w:val="00B47AA8"/>
    <w:rsid w:val="00B47CA5"/>
    <w:rsid w:val="00B50495"/>
    <w:rsid w:val="00B508AC"/>
    <w:rsid w:val="00B50CD0"/>
    <w:rsid w:val="00B50E5E"/>
    <w:rsid w:val="00B50F67"/>
    <w:rsid w:val="00B51D09"/>
    <w:rsid w:val="00B51ED6"/>
    <w:rsid w:val="00B52D00"/>
    <w:rsid w:val="00B535DC"/>
    <w:rsid w:val="00B53FBD"/>
    <w:rsid w:val="00B53FED"/>
    <w:rsid w:val="00B54475"/>
    <w:rsid w:val="00B54BBB"/>
    <w:rsid w:val="00B54D0D"/>
    <w:rsid w:val="00B54D50"/>
    <w:rsid w:val="00B55586"/>
    <w:rsid w:val="00B557D1"/>
    <w:rsid w:val="00B55F34"/>
    <w:rsid w:val="00B563A6"/>
    <w:rsid w:val="00B56B71"/>
    <w:rsid w:val="00B56BDA"/>
    <w:rsid w:val="00B57FAF"/>
    <w:rsid w:val="00B6012A"/>
    <w:rsid w:val="00B6075E"/>
    <w:rsid w:val="00B61220"/>
    <w:rsid w:val="00B615C9"/>
    <w:rsid w:val="00B6171E"/>
    <w:rsid w:val="00B6328A"/>
    <w:rsid w:val="00B64459"/>
    <w:rsid w:val="00B64F20"/>
    <w:rsid w:val="00B6549A"/>
    <w:rsid w:val="00B65C7B"/>
    <w:rsid w:val="00B66504"/>
    <w:rsid w:val="00B6681E"/>
    <w:rsid w:val="00B66823"/>
    <w:rsid w:val="00B66CC2"/>
    <w:rsid w:val="00B67073"/>
    <w:rsid w:val="00B677E8"/>
    <w:rsid w:val="00B71D4B"/>
    <w:rsid w:val="00B71EBE"/>
    <w:rsid w:val="00B73173"/>
    <w:rsid w:val="00B733B5"/>
    <w:rsid w:val="00B736D8"/>
    <w:rsid w:val="00B73B54"/>
    <w:rsid w:val="00B73DD9"/>
    <w:rsid w:val="00B74696"/>
    <w:rsid w:val="00B74A93"/>
    <w:rsid w:val="00B74F83"/>
    <w:rsid w:val="00B75128"/>
    <w:rsid w:val="00B751F6"/>
    <w:rsid w:val="00B76496"/>
    <w:rsid w:val="00B769A7"/>
    <w:rsid w:val="00B76E80"/>
    <w:rsid w:val="00B770CD"/>
    <w:rsid w:val="00B773F6"/>
    <w:rsid w:val="00B807A4"/>
    <w:rsid w:val="00B81523"/>
    <w:rsid w:val="00B81A6E"/>
    <w:rsid w:val="00B81E4F"/>
    <w:rsid w:val="00B81F22"/>
    <w:rsid w:val="00B8283C"/>
    <w:rsid w:val="00B8305B"/>
    <w:rsid w:val="00B8376E"/>
    <w:rsid w:val="00B83856"/>
    <w:rsid w:val="00B839F7"/>
    <w:rsid w:val="00B83B17"/>
    <w:rsid w:val="00B8491A"/>
    <w:rsid w:val="00B84E58"/>
    <w:rsid w:val="00B85B0C"/>
    <w:rsid w:val="00B85B35"/>
    <w:rsid w:val="00B85F50"/>
    <w:rsid w:val="00B8702A"/>
    <w:rsid w:val="00B87539"/>
    <w:rsid w:val="00B87B96"/>
    <w:rsid w:val="00B90AA9"/>
    <w:rsid w:val="00B90EB3"/>
    <w:rsid w:val="00B91132"/>
    <w:rsid w:val="00B9175A"/>
    <w:rsid w:val="00B91810"/>
    <w:rsid w:val="00B91913"/>
    <w:rsid w:val="00B91A34"/>
    <w:rsid w:val="00B91BE9"/>
    <w:rsid w:val="00B91C2D"/>
    <w:rsid w:val="00B91EC7"/>
    <w:rsid w:val="00B922E0"/>
    <w:rsid w:val="00B922E3"/>
    <w:rsid w:val="00B9431D"/>
    <w:rsid w:val="00B95A10"/>
    <w:rsid w:val="00B9609F"/>
    <w:rsid w:val="00BA08DA"/>
    <w:rsid w:val="00BA09E2"/>
    <w:rsid w:val="00BA0A98"/>
    <w:rsid w:val="00BA0CA6"/>
    <w:rsid w:val="00BA1147"/>
    <w:rsid w:val="00BA1563"/>
    <w:rsid w:val="00BA21BC"/>
    <w:rsid w:val="00BA2573"/>
    <w:rsid w:val="00BA2797"/>
    <w:rsid w:val="00BA3024"/>
    <w:rsid w:val="00BA333C"/>
    <w:rsid w:val="00BA3750"/>
    <w:rsid w:val="00BA3799"/>
    <w:rsid w:val="00BA37A1"/>
    <w:rsid w:val="00BA498B"/>
    <w:rsid w:val="00BA51E0"/>
    <w:rsid w:val="00BA5C3B"/>
    <w:rsid w:val="00BA6398"/>
    <w:rsid w:val="00BA6A20"/>
    <w:rsid w:val="00BA6D43"/>
    <w:rsid w:val="00BA6E01"/>
    <w:rsid w:val="00BA6E09"/>
    <w:rsid w:val="00BA7267"/>
    <w:rsid w:val="00BB0176"/>
    <w:rsid w:val="00BB0400"/>
    <w:rsid w:val="00BB09AE"/>
    <w:rsid w:val="00BB0D32"/>
    <w:rsid w:val="00BB0E5A"/>
    <w:rsid w:val="00BB0FC8"/>
    <w:rsid w:val="00BB17BC"/>
    <w:rsid w:val="00BB1BD0"/>
    <w:rsid w:val="00BB233C"/>
    <w:rsid w:val="00BB2414"/>
    <w:rsid w:val="00BB249C"/>
    <w:rsid w:val="00BB2F80"/>
    <w:rsid w:val="00BB556D"/>
    <w:rsid w:val="00BB59AD"/>
    <w:rsid w:val="00BB6738"/>
    <w:rsid w:val="00BB6B42"/>
    <w:rsid w:val="00BB70A7"/>
    <w:rsid w:val="00BB7655"/>
    <w:rsid w:val="00BB7CBE"/>
    <w:rsid w:val="00BC0124"/>
    <w:rsid w:val="00BC0DAE"/>
    <w:rsid w:val="00BC15C6"/>
    <w:rsid w:val="00BC1869"/>
    <w:rsid w:val="00BC207A"/>
    <w:rsid w:val="00BC3533"/>
    <w:rsid w:val="00BC3F74"/>
    <w:rsid w:val="00BC43D7"/>
    <w:rsid w:val="00BC45FB"/>
    <w:rsid w:val="00BC4706"/>
    <w:rsid w:val="00BC4D1F"/>
    <w:rsid w:val="00BC50A4"/>
    <w:rsid w:val="00BC595C"/>
    <w:rsid w:val="00BC5CF3"/>
    <w:rsid w:val="00BC5D8C"/>
    <w:rsid w:val="00BC6A49"/>
    <w:rsid w:val="00BC6ADA"/>
    <w:rsid w:val="00BC70D3"/>
    <w:rsid w:val="00BC7907"/>
    <w:rsid w:val="00BD023B"/>
    <w:rsid w:val="00BD0594"/>
    <w:rsid w:val="00BD06FF"/>
    <w:rsid w:val="00BD0EFE"/>
    <w:rsid w:val="00BD1135"/>
    <w:rsid w:val="00BD141C"/>
    <w:rsid w:val="00BD1BD3"/>
    <w:rsid w:val="00BD1D51"/>
    <w:rsid w:val="00BD248D"/>
    <w:rsid w:val="00BD28F5"/>
    <w:rsid w:val="00BD5D51"/>
    <w:rsid w:val="00BD60C5"/>
    <w:rsid w:val="00BD614D"/>
    <w:rsid w:val="00BD6444"/>
    <w:rsid w:val="00BD6DF4"/>
    <w:rsid w:val="00BE0275"/>
    <w:rsid w:val="00BE0842"/>
    <w:rsid w:val="00BE0916"/>
    <w:rsid w:val="00BE0C17"/>
    <w:rsid w:val="00BE0DF9"/>
    <w:rsid w:val="00BE1212"/>
    <w:rsid w:val="00BE1767"/>
    <w:rsid w:val="00BE1E3D"/>
    <w:rsid w:val="00BE207F"/>
    <w:rsid w:val="00BE2244"/>
    <w:rsid w:val="00BE257B"/>
    <w:rsid w:val="00BE2891"/>
    <w:rsid w:val="00BE2ACA"/>
    <w:rsid w:val="00BE3273"/>
    <w:rsid w:val="00BE43D8"/>
    <w:rsid w:val="00BE550A"/>
    <w:rsid w:val="00BE6A67"/>
    <w:rsid w:val="00BE6C5B"/>
    <w:rsid w:val="00BE6E0C"/>
    <w:rsid w:val="00BE6E34"/>
    <w:rsid w:val="00BE7A26"/>
    <w:rsid w:val="00BE7BCF"/>
    <w:rsid w:val="00BF0696"/>
    <w:rsid w:val="00BF0C7F"/>
    <w:rsid w:val="00BF130D"/>
    <w:rsid w:val="00BF1C79"/>
    <w:rsid w:val="00BF23C4"/>
    <w:rsid w:val="00BF2718"/>
    <w:rsid w:val="00BF353A"/>
    <w:rsid w:val="00BF3BE9"/>
    <w:rsid w:val="00BF447E"/>
    <w:rsid w:val="00BF5132"/>
    <w:rsid w:val="00BF545E"/>
    <w:rsid w:val="00BF5F69"/>
    <w:rsid w:val="00BF6118"/>
    <w:rsid w:val="00BF661C"/>
    <w:rsid w:val="00BF725B"/>
    <w:rsid w:val="00BF72B3"/>
    <w:rsid w:val="00C000EE"/>
    <w:rsid w:val="00C00F41"/>
    <w:rsid w:val="00C02045"/>
    <w:rsid w:val="00C02ED7"/>
    <w:rsid w:val="00C02F0D"/>
    <w:rsid w:val="00C0347A"/>
    <w:rsid w:val="00C03521"/>
    <w:rsid w:val="00C03938"/>
    <w:rsid w:val="00C04EDB"/>
    <w:rsid w:val="00C05672"/>
    <w:rsid w:val="00C05B51"/>
    <w:rsid w:val="00C05D15"/>
    <w:rsid w:val="00C079B4"/>
    <w:rsid w:val="00C10222"/>
    <w:rsid w:val="00C1049D"/>
    <w:rsid w:val="00C10D13"/>
    <w:rsid w:val="00C11432"/>
    <w:rsid w:val="00C11650"/>
    <w:rsid w:val="00C1178C"/>
    <w:rsid w:val="00C11909"/>
    <w:rsid w:val="00C1191F"/>
    <w:rsid w:val="00C12035"/>
    <w:rsid w:val="00C12317"/>
    <w:rsid w:val="00C12581"/>
    <w:rsid w:val="00C12A0B"/>
    <w:rsid w:val="00C13F45"/>
    <w:rsid w:val="00C14444"/>
    <w:rsid w:val="00C14C34"/>
    <w:rsid w:val="00C14D53"/>
    <w:rsid w:val="00C14EF3"/>
    <w:rsid w:val="00C15060"/>
    <w:rsid w:val="00C15285"/>
    <w:rsid w:val="00C166F0"/>
    <w:rsid w:val="00C1693A"/>
    <w:rsid w:val="00C177CA"/>
    <w:rsid w:val="00C17BB1"/>
    <w:rsid w:val="00C17F92"/>
    <w:rsid w:val="00C20599"/>
    <w:rsid w:val="00C20F8F"/>
    <w:rsid w:val="00C21105"/>
    <w:rsid w:val="00C212A8"/>
    <w:rsid w:val="00C2192C"/>
    <w:rsid w:val="00C220AE"/>
    <w:rsid w:val="00C22DE0"/>
    <w:rsid w:val="00C22F3A"/>
    <w:rsid w:val="00C23354"/>
    <w:rsid w:val="00C23A1E"/>
    <w:rsid w:val="00C23AF1"/>
    <w:rsid w:val="00C23EB0"/>
    <w:rsid w:val="00C24E35"/>
    <w:rsid w:val="00C25888"/>
    <w:rsid w:val="00C25C24"/>
    <w:rsid w:val="00C262DA"/>
    <w:rsid w:val="00C263EA"/>
    <w:rsid w:val="00C302D7"/>
    <w:rsid w:val="00C3038C"/>
    <w:rsid w:val="00C306F5"/>
    <w:rsid w:val="00C31042"/>
    <w:rsid w:val="00C32A98"/>
    <w:rsid w:val="00C330CF"/>
    <w:rsid w:val="00C332BF"/>
    <w:rsid w:val="00C33A20"/>
    <w:rsid w:val="00C33DFA"/>
    <w:rsid w:val="00C347FD"/>
    <w:rsid w:val="00C3485A"/>
    <w:rsid w:val="00C34DF4"/>
    <w:rsid w:val="00C352F5"/>
    <w:rsid w:val="00C3593F"/>
    <w:rsid w:val="00C36550"/>
    <w:rsid w:val="00C3692E"/>
    <w:rsid w:val="00C3698A"/>
    <w:rsid w:val="00C3698C"/>
    <w:rsid w:val="00C36CF4"/>
    <w:rsid w:val="00C3724B"/>
    <w:rsid w:val="00C375A9"/>
    <w:rsid w:val="00C37B12"/>
    <w:rsid w:val="00C37DD3"/>
    <w:rsid w:val="00C37FC2"/>
    <w:rsid w:val="00C403F6"/>
    <w:rsid w:val="00C40E37"/>
    <w:rsid w:val="00C41013"/>
    <w:rsid w:val="00C41405"/>
    <w:rsid w:val="00C423B5"/>
    <w:rsid w:val="00C424AE"/>
    <w:rsid w:val="00C426BB"/>
    <w:rsid w:val="00C42843"/>
    <w:rsid w:val="00C4462A"/>
    <w:rsid w:val="00C44F39"/>
    <w:rsid w:val="00C4511E"/>
    <w:rsid w:val="00C455A0"/>
    <w:rsid w:val="00C476D7"/>
    <w:rsid w:val="00C47AC9"/>
    <w:rsid w:val="00C47AF4"/>
    <w:rsid w:val="00C50486"/>
    <w:rsid w:val="00C50969"/>
    <w:rsid w:val="00C51465"/>
    <w:rsid w:val="00C51DEE"/>
    <w:rsid w:val="00C51E65"/>
    <w:rsid w:val="00C51FE1"/>
    <w:rsid w:val="00C5245F"/>
    <w:rsid w:val="00C53806"/>
    <w:rsid w:val="00C54195"/>
    <w:rsid w:val="00C54717"/>
    <w:rsid w:val="00C54B98"/>
    <w:rsid w:val="00C54D38"/>
    <w:rsid w:val="00C55135"/>
    <w:rsid w:val="00C5529D"/>
    <w:rsid w:val="00C553C5"/>
    <w:rsid w:val="00C55430"/>
    <w:rsid w:val="00C55641"/>
    <w:rsid w:val="00C559CB"/>
    <w:rsid w:val="00C563AF"/>
    <w:rsid w:val="00C56B96"/>
    <w:rsid w:val="00C57597"/>
    <w:rsid w:val="00C5771F"/>
    <w:rsid w:val="00C5778C"/>
    <w:rsid w:val="00C57F2D"/>
    <w:rsid w:val="00C602DA"/>
    <w:rsid w:val="00C609D2"/>
    <w:rsid w:val="00C610DC"/>
    <w:rsid w:val="00C611B3"/>
    <w:rsid w:val="00C6174D"/>
    <w:rsid w:val="00C6196A"/>
    <w:rsid w:val="00C62DE9"/>
    <w:rsid w:val="00C63243"/>
    <w:rsid w:val="00C63AA4"/>
    <w:rsid w:val="00C644EE"/>
    <w:rsid w:val="00C64F6C"/>
    <w:rsid w:val="00C6500A"/>
    <w:rsid w:val="00C652DD"/>
    <w:rsid w:val="00C65DB4"/>
    <w:rsid w:val="00C65EE5"/>
    <w:rsid w:val="00C6725B"/>
    <w:rsid w:val="00C67324"/>
    <w:rsid w:val="00C67420"/>
    <w:rsid w:val="00C67949"/>
    <w:rsid w:val="00C67EF2"/>
    <w:rsid w:val="00C703DB"/>
    <w:rsid w:val="00C70511"/>
    <w:rsid w:val="00C70586"/>
    <w:rsid w:val="00C711E1"/>
    <w:rsid w:val="00C71BA8"/>
    <w:rsid w:val="00C71F70"/>
    <w:rsid w:val="00C74B79"/>
    <w:rsid w:val="00C75C62"/>
    <w:rsid w:val="00C76D43"/>
    <w:rsid w:val="00C77937"/>
    <w:rsid w:val="00C8006C"/>
    <w:rsid w:val="00C802EF"/>
    <w:rsid w:val="00C80ADF"/>
    <w:rsid w:val="00C81503"/>
    <w:rsid w:val="00C82058"/>
    <w:rsid w:val="00C82703"/>
    <w:rsid w:val="00C827D2"/>
    <w:rsid w:val="00C82DE3"/>
    <w:rsid w:val="00C830AD"/>
    <w:rsid w:val="00C837D0"/>
    <w:rsid w:val="00C842FD"/>
    <w:rsid w:val="00C845E0"/>
    <w:rsid w:val="00C84C7A"/>
    <w:rsid w:val="00C84F6E"/>
    <w:rsid w:val="00C86540"/>
    <w:rsid w:val="00C86D6A"/>
    <w:rsid w:val="00C8747F"/>
    <w:rsid w:val="00C875E2"/>
    <w:rsid w:val="00C87DDD"/>
    <w:rsid w:val="00C9030C"/>
    <w:rsid w:val="00C913DC"/>
    <w:rsid w:val="00C91697"/>
    <w:rsid w:val="00C92546"/>
    <w:rsid w:val="00C928B3"/>
    <w:rsid w:val="00C92C96"/>
    <w:rsid w:val="00C92D4B"/>
    <w:rsid w:val="00C92FA9"/>
    <w:rsid w:val="00C943D8"/>
    <w:rsid w:val="00C946E8"/>
    <w:rsid w:val="00C947E3"/>
    <w:rsid w:val="00C94AA1"/>
    <w:rsid w:val="00C94B48"/>
    <w:rsid w:val="00C95586"/>
    <w:rsid w:val="00C95F85"/>
    <w:rsid w:val="00C96093"/>
    <w:rsid w:val="00C970BA"/>
    <w:rsid w:val="00CA0055"/>
    <w:rsid w:val="00CA05B7"/>
    <w:rsid w:val="00CA1B53"/>
    <w:rsid w:val="00CA1F6A"/>
    <w:rsid w:val="00CA284D"/>
    <w:rsid w:val="00CA2DCB"/>
    <w:rsid w:val="00CA3383"/>
    <w:rsid w:val="00CA42DD"/>
    <w:rsid w:val="00CA449E"/>
    <w:rsid w:val="00CA5637"/>
    <w:rsid w:val="00CA64DD"/>
    <w:rsid w:val="00CA6DD1"/>
    <w:rsid w:val="00CB101A"/>
    <w:rsid w:val="00CB1132"/>
    <w:rsid w:val="00CB18E9"/>
    <w:rsid w:val="00CB1F03"/>
    <w:rsid w:val="00CB1FF9"/>
    <w:rsid w:val="00CB2A63"/>
    <w:rsid w:val="00CB2D45"/>
    <w:rsid w:val="00CB2F93"/>
    <w:rsid w:val="00CB421D"/>
    <w:rsid w:val="00CB56B7"/>
    <w:rsid w:val="00CB5E0D"/>
    <w:rsid w:val="00CB6AE9"/>
    <w:rsid w:val="00CB7026"/>
    <w:rsid w:val="00CC0472"/>
    <w:rsid w:val="00CC04F4"/>
    <w:rsid w:val="00CC0D8B"/>
    <w:rsid w:val="00CC1584"/>
    <w:rsid w:val="00CC2273"/>
    <w:rsid w:val="00CC22F0"/>
    <w:rsid w:val="00CC365E"/>
    <w:rsid w:val="00CC3B30"/>
    <w:rsid w:val="00CC3B4C"/>
    <w:rsid w:val="00CC4335"/>
    <w:rsid w:val="00CC4531"/>
    <w:rsid w:val="00CC46AB"/>
    <w:rsid w:val="00CC4E52"/>
    <w:rsid w:val="00CC55C1"/>
    <w:rsid w:val="00CC6293"/>
    <w:rsid w:val="00CC64C3"/>
    <w:rsid w:val="00CC6690"/>
    <w:rsid w:val="00CC69A6"/>
    <w:rsid w:val="00CC7452"/>
    <w:rsid w:val="00CC74C2"/>
    <w:rsid w:val="00CC791C"/>
    <w:rsid w:val="00CC7BE9"/>
    <w:rsid w:val="00CD0C67"/>
    <w:rsid w:val="00CD0C6B"/>
    <w:rsid w:val="00CD127A"/>
    <w:rsid w:val="00CD12E1"/>
    <w:rsid w:val="00CD1615"/>
    <w:rsid w:val="00CD20B4"/>
    <w:rsid w:val="00CD27A1"/>
    <w:rsid w:val="00CD2F81"/>
    <w:rsid w:val="00CD3063"/>
    <w:rsid w:val="00CD348D"/>
    <w:rsid w:val="00CD41DE"/>
    <w:rsid w:val="00CD4880"/>
    <w:rsid w:val="00CD4A6A"/>
    <w:rsid w:val="00CD4B9C"/>
    <w:rsid w:val="00CD65D4"/>
    <w:rsid w:val="00CD6BC5"/>
    <w:rsid w:val="00CD7056"/>
    <w:rsid w:val="00CD73A8"/>
    <w:rsid w:val="00CD7959"/>
    <w:rsid w:val="00CD7E62"/>
    <w:rsid w:val="00CE03CE"/>
    <w:rsid w:val="00CE0850"/>
    <w:rsid w:val="00CE0E29"/>
    <w:rsid w:val="00CE182D"/>
    <w:rsid w:val="00CE2AD8"/>
    <w:rsid w:val="00CE3A3E"/>
    <w:rsid w:val="00CE3BB5"/>
    <w:rsid w:val="00CE4033"/>
    <w:rsid w:val="00CE4386"/>
    <w:rsid w:val="00CE488A"/>
    <w:rsid w:val="00CE4950"/>
    <w:rsid w:val="00CE4FE0"/>
    <w:rsid w:val="00CE5561"/>
    <w:rsid w:val="00CE5AD8"/>
    <w:rsid w:val="00CE5D3B"/>
    <w:rsid w:val="00CE5D8E"/>
    <w:rsid w:val="00CE6A6C"/>
    <w:rsid w:val="00CE6E41"/>
    <w:rsid w:val="00CE6EAA"/>
    <w:rsid w:val="00CE6F1D"/>
    <w:rsid w:val="00CE78A2"/>
    <w:rsid w:val="00CE7CC8"/>
    <w:rsid w:val="00CF073D"/>
    <w:rsid w:val="00CF0B00"/>
    <w:rsid w:val="00CF0B13"/>
    <w:rsid w:val="00CF0C58"/>
    <w:rsid w:val="00CF1419"/>
    <w:rsid w:val="00CF1C4B"/>
    <w:rsid w:val="00CF2388"/>
    <w:rsid w:val="00CF2949"/>
    <w:rsid w:val="00CF2C53"/>
    <w:rsid w:val="00CF2CBD"/>
    <w:rsid w:val="00CF2DAF"/>
    <w:rsid w:val="00CF3A99"/>
    <w:rsid w:val="00CF3DEA"/>
    <w:rsid w:val="00CF3EED"/>
    <w:rsid w:val="00CF46C2"/>
    <w:rsid w:val="00CF5CF0"/>
    <w:rsid w:val="00CF5D96"/>
    <w:rsid w:val="00CF7BA1"/>
    <w:rsid w:val="00CF7DEB"/>
    <w:rsid w:val="00D00B70"/>
    <w:rsid w:val="00D011F6"/>
    <w:rsid w:val="00D0257B"/>
    <w:rsid w:val="00D0263E"/>
    <w:rsid w:val="00D02B59"/>
    <w:rsid w:val="00D03BEF"/>
    <w:rsid w:val="00D044B0"/>
    <w:rsid w:val="00D049D3"/>
    <w:rsid w:val="00D04E83"/>
    <w:rsid w:val="00D057C0"/>
    <w:rsid w:val="00D05D2C"/>
    <w:rsid w:val="00D06203"/>
    <w:rsid w:val="00D06ABB"/>
    <w:rsid w:val="00D06D3B"/>
    <w:rsid w:val="00D06EA6"/>
    <w:rsid w:val="00D06ED3"/>
    <w:rsid w:val="00D06F1A"/>
    <w:rsid w:val="00D07133"/>
    <w:rsid w:val="00D07CC9"/>
    <w:rsid w:val="00D10232"/>
    <w:rsid w:val="00D10473"/>
    <w:rsid w:val="00D10E64"/>
    <w:rsid w:val="00D1164A"/>
    <w:rsid w:val="00D122EE"/>
    <w:rsid w:val="00D12B7C"/>
    <w:rsid w:val="00D1350B"/>
    <w:rsid w:val="00D138A1"/>
    <w:rsid w:val="00D13A15"/>
    <w:rsid w:val="00D13AB6"/>
    <w:rsid w:val="00D14310"/>
    <w:rsid w:val="00D1433B"/>
    <w:rsid w:val="00D15B80"/>
    <w:rsid w:val="00D15C8D"/>
    <w:rsid w:val="00D16020"/>
    <w:rsid w:val="00D166E4"/>
    <w:rsid w:val="00D16C65"/>
    <w:rsid w:val="00D17567"/>
    <w:rsid w:val="00D1776E"/>
    <w:rsid w:val="00D17F37"/>
    <w:rsid w:val="00D20068"/>
    <w:rsid w:val="00D210E5"/>
    <w:rsid w:val="00D21DB4"/>
    <w:rsid w:val="00D229B0"/>
    <w:rsid w:val="00D2331B"/>
    <w:rsid w:val="00D236F7"/>
    <w:rsid w:val="00D238BD"/>
    <w:rsid w:val="00D23A85"/>
    <w:rsid w:val="00D23B30"/>
    <w:rsid w:val="00D24073"/>
    <w:rsid w:val="00D2434E"/>
    <w:rsid w:val="00D24D8C"/>
    <w:rsid w:val="00D2533C"/>
    <w:rsid w:val="00D26003"/>
    <w:rsid w:val="00D304AE"/>
    <w:rsid w:val="00D3180A"/>
    <w:rsid w:val="00D321A0"/>
    <w:rsid w:val="00D33232"/>
    <w:rsid w:val="00D3364A"/>
    <w:rsid w:val="00D336F5"/>
    <w:rsid w:val="00D33894"/>
    <w:rsid w:val="00D33C5C"/>
    <w:rsid w:val="00D33C62"/>
    <w:rsid w:val="00D344C7"/>
    <w:rsid w:val="00D34BA6"/>
    <w:rsid w:val="00D35EB4"/>
    <w:rsid w:val="00D36B13"/>
    <w:rsid w:val="00D36D2B"/>
    <w:rsid w:val="00D3761B"/>
    <w:rsid w:val="00D37CD9"/>
    <w:rsid w:val="00D37F63"/>
    <w:rsid w:val="00D400B7"/>
    <w:rsid w:val="00D41676"/>
    <w:rsid w:val="00D42929"/>
    <w:rsid w:val="00D42F43"/>
    <w:rsid w:val="00D43764"/>
    <w:rsid w:val="00D43945"/>
    <w:rsid w:val="00D44508"/>
    <w:rsid w:val="00D455E5"/>
    <w:rsid w:val="00D45AB9"/>
    <w:rsid w:val="00D45B1D"/>
    <w:rsid w:val="00D4684C"/>
    <w:rsid w:val="00D4724B"/>
    <w:rsid w:val="00D473C5"/>
    <w:rsid w:val="00D4743F"/>
    <w:rsid w:val="00D474AE"/>
    <w:rsid w:val="00D4768F"/>
    <w:rsid w:val="00D5058C"/>
    <w:rsid w:val="00D50ACF"/>
    <w:rsid w:val="00D50EDA"/>
    <w:rsid w:val="00D5156C"/>
    <w:rsid w:val="00D51607"/>
    <w:rsid w:val="00D51B99"/>
    <w:rsid w:val="00D51FE6"/>
    <w:rsid w:val="00D5229C"/>
    <w:rsid w:val="00D522C7"/>
    <w:rsid w:val="00D53B55"/>
    <w:rsid w:val="00D54BB4"/>
    <w:rsid w:val="00D54DDA"/>
    <w:rsid w:val="00D55700"/>
    <w:rsid w:val="00D55DED"/>
    <w:rsid w:val="00D5603A"/>
    <w:rsid w:val="00D564A4"/>
    <w:rsid w:val="00D565C0"/>
    <w:rsid w:val="00D56636"/>
    <w:rsid w:val="00D5665A"/>
    <w:rsid w:val="00D56828"/>
    <w:rsid w:val="00D56B4D"/>
    <w:rsid w:val="00D56E62"/>
    <w:rsid w:val="00D57036"/>
    <w:rsid w:val="00D57D0F"/>
    <w:rsid w:val="00D6002A"/>
    <w:rsid w:val="00D61DC4"/>
    <w:rsid w:val="00D62085"/>
    <w:rsid w:val="00D626E9"/>
    <w:rsid w:val="00D62C30"/>
    <w:rsid w:val="00D62E54"/>
    <w:rsid w:val="00D63695"/>
    <w:rsid w:val="00D63E13"/>
    <w:rsid w:val="00D63FC7"/>
    <w:rsid w:val="00D666F9"/>
    <w:rsid w:val="00D667D1"/>
    <w:rsid w:val="00D66853"/>
    <w:rsid w:val="00D6795F"/>
    <w:rsid w:val="00D67AAD"/>
    <w:rsid w:val="00D706C8"/>
    <w:rsid w:val="00D70C28"/>
    <w:rsid w:val="00D7109C"/>
    <w:rsid w:val="00D71217"/>
    <w:rsid w:val="00D71B7F"/>
    <w:rsid w:val="00D7207F"/>
    <w:rsid w:val="00D740B4"/>
    <w:rsid w:val="00D742EF"/>
    <w:rsid w:val="00D745C1"/>
    <w:rsid w:val="00D7490E"/>
    <w:rsid w:val="00D75328"/>
    <w:rsid w:val="00D7602D"/>
    <w:rsid w:val="00D76400"/>
    <w:rsid w:val="00D7657C"/>
    <w:rsid w:val="00D766FD"/>
    <w:rsid w:val="00D76800"/>
    <w:rsid w:val="00D76F04"/>
    <w:rsid w:val="00D77616"/>
    <w:rsid w:val="00D779D6"/>
    <w:rsid w:val="00D80CD5"/>
    <w:rsid w:val="00D8148B"/>
    <w:rsid w:val="00D81692"/>
    <w:rsid w:val="00D81C81"/>
    <w:rsid w:val="00D82680"/>
    <w:rsid w:val="00D8329A"/>
    <w:rsid w:val="00D83C0C"/>
    <w:rsid w:val="00D83CE3"/>
    <w:rsid w:val="00D840AB"/>
    <w:rsid w:val="00D84ADC"/>
    <w:rsid w:val="00D84E42"/>
    <w:rsid w:val="00D856BA"/>
    <w:rsid w:val="00D858CE"/>
    <w:rsid w:val="00D85B83"/>
    <w:rsid w:val="00D85EB5"/>
    <w:rsid w:val="00D85FCA"/>
    <w:rsid w:val="00D860B9"/>
    <w:rsid w:val="00D86743"/>
    <w:rsid w:val="00D8687C"/>
    <w:rsid w:val="00D86BBF"/>
    <w:rsid w:val="00D87536"/>
    <w:rsid w:val="00D87A82"/>
    <w:rsid w:val="00D87BF2"/>
    <w:rsid w:val="00D87C23"/>
    <w:rsid w:val="00D900B6"/>
    <w:rsid w:val="00D904D3"/>
    <w:rsid w:val="00D90673"/>
    <w:rsid w:val="00D90AF2"/>
    <w:rsid w:val="00D90CB2"/>
    <w:rsid w:val="00D91978"/>
    <w:rsid w:val="00D91F41"/>
    <w:rsid w:val="00D9246A"/>
    <w:rsid w:val="00D929EE"/>
    <w:rsid w:val="00D92D3E"/>
    <w:rsid w:val="00D92D57"/>
    <w:rsid w:val="00D92DFA"/>
    <w:rsid w:val="00D936CA"/>
    <w:rsid w:val="00D93779"/>
    <w:rsid w:val="00D94289"/>
    <w:rsid w:val="00D947FE"/>
    <w:rsid w:val="00D95945"/>
    <w:rsid w:val="00D96492"/>
    <w:rsid w:val="00D969C9"/>
    <w:rsid w:val="00D97D5C"/>
    <w:rsid w:val="00DA0138"/>
    <w:rsid w:val="00DA01EB"/>
    <w:rsid w:val="00DA040B"/>
    <w:rsid w:val="00DA0A8E"/>
    <w:rsid w:val="00DA0F3F"/>
    <w:rsid w:val="00DA0FEE"/>
    <w:rsid w:val="00DA12F1"/>
    <w:rsid w:val="00DA14A7"/>
    <w:rsid w:val="00DA190A"/>
    <w:rsid w:val="00DA1E32"/>
    <w:rsid w:val="00DA2022"/>
    <w:rsid w:val="00DA24C3"/>
    <w:rsid w:val="00DA3045"/>
    <w:rsid w:val="00DA329C"/>
    <w:rsid w:val="00DA32E2"/>
    <w:rsid w:val="00DA41BF"/>
    <w:rsid w:val="00DA4251"/>
    <w:rsid w:val="00DA466B"/>
    <w:rsid w:val="00DA5036"/>
    <w:rsid w:val="00DA5D06"/>
    <w:rsid w:val="00DA62CC"/>
    <w:rsid w:val="00DA65EA"/>
    <w:rsid w:val="00DA6B44"/>
    <w:rsid w:val="00DA7B9D"/>
    <w:rsid w:val="00DB0162"/>
    <w:rsid w:val="00DB078F"/>
    <w:rsid w:val="00DB1263"/>
    <w:rsid w:val="00DB16E0"/>
    <w:rsid w:val="00DB2399"/>
    <w:rsid w:val="00DB41B7"/>
    <w:rsid w:val="00DB45ED"/>
    <w:rsid w:val="00DB4981"/>
    <w:rsid w:val="00DB55CF"/>
    <w:rsid w:val="00DB5D99"/>
    <w:rsid w:val="00DB6CD1"/>
    <w:rsid w:val="00DB73FD"/>
    <w:rsid w:val="00DB75D7"/>
    <w:rsid w:val="00DC00EB"/>
    <w:rsid w:val="00DC05FE"/>
    <w:rsid w:val="00DC0992"/>
    <w:rsid w:val="00DC0FB7"/>
    <w:rsid w:val="00DC14B0"/>
    <w:rsid w:val="00DC17D8"/>
    <w:rsid w:val="00DC1BF4"/>
    <w:rsid w:val="00DC1E8F"/>
    <w:rsid w:val="00DC2565"/>
    <w:rsid w:val="00DC379E"/>
    <w:rsid w:val="00DC37A0"/>
    <w:rsid w:val="00DC3FDC"/>
    <w:rsid w:val="00DC4412"/>
    <w:rsid w:val="00DC5971"/>
    <w:rsid w:val="00DC6D4D"/>
    <w:rsid w:val="00DC78B5"/>
    <w:rsid w:val="00DC7D6A"/>
    <w:rsid w:val="00DD082C"/>
    <w:rsid w:val="00DD0E1F"/>
    <w:rsid w:val="00DD1788"/>
    <w:rsid w:val="00DD2737"/>
    <w:rsid w:val="00DD2BBC"/>
    <w:rsid w:val="00DD2D9E"/>
    <w:rsid w:val="00DD3284"/>
    <w:rsid w:val="00DD43CD"/>
    <w:rsid w:val="00DD45C1"/>
    <w:rsid w:val="00DD5DBE"/>
    <w:rsid w:val="00DD7A0E"/>
    <w:rsid w:val="00DE170E"/>
    <w:rsid w:val="00DE17DC"/>
    <w:rsid w:val="00DE191D"/>
    <w:rsid w:val="00DE19C7"/>
    <w:rsid w:val="00DE19EF"/>
    <w:rsid w:val="00DE1A73"/>
    <w:rsid w:val="00DE1B61"/>
    <w:rsid w:val="00DE1CD7"/>
    <w:rsid w:val="00DE1F68"/>
    <w:rsid w:val="00DE28BC"/>
    <w:rsid w:val="00DE2F61"/>
    <w:rsid w:val="00DE3799"/>
    <w:rsid w:val="00DE3CA7"/>
    <w:rsid w:val="00DE40AB"/>
    <w:rsid w:val="00DE4B6A"/>
    <w:rsid w:val="00DE5140"/>
    <w:rsid w:val="00DE51FC"/>
    <w:rsid w:val="00DE5321"/>
    <w:rsid w:val="00DE564E"/>
    <w:rsid w:val="00DE5FF3"/>
    <w:rsid w:val="00DE6273"/>
    <w:rsid w:val="00DE6A22"/>
    <w:rsid w:val="00DE6D76"/>
    <w:rsid w:val="00DE72E8"/>
    <w:rsid w:val="00DE77F7"/>
    <w:rsid w:val="00DE7A0F"/>
    <w:rsid w:val="00DE7CD8"/>
    <w:rsid w:val="00DF0A27"/>
    <w:rsid w:val="00DF0CE1"/>
    <w:rsid w:val="00DF22DE"/>
    <w:rsid w:val="00DF2CC1"/>
    <w:rsid w:val="00DF3E68"/>
    <w:rsid w:val="00DF49A0"/>
    <w:rsid w:val="00DF4A51"/>
    <w:rsid w:val="00DF59D2"/>
    <w:rsid w:val="00DF5B25"/>
    <w:rsid w:val="00DF64E9"/>
    <w:rsid w:val="00DF79F6"/>
    <w:rsid w:val="00DF7BF5"/>
    <w:rsid w:val="00DF7FDA"/>
    <w:rsid w:val="00E0061B"/>
    <w:rsid w:val="00E0085B"/>
    <w:rsid w:val="00E009B2"/>
    <w:rsid w:val="00E0136A"/>
    <w:rsid w:val="00E014F6"/>
    <w:rsid w:val="00E0155A"/>
    <w:rsid w:val="00E0173F"/>
    <w:rsid w:val="00E01997"/>
    <w:rsid w:val="00E01F6C"/>
    <w:rsid w:val="00E03113"/>
    <w:rsid w:val="00E03657"/>
    <w:rsid w:val="00E0389B"/>
    <w:rsid w:val="00E03ED4"/>
    <w:rsid w:val="00E04B8E"/>
    <w:rsid w:val="00E05B37"/>
    <w:rsid w:val="00E0712E"/>
    <w:rsid w:val="00E0719C"/>
    <w:rsid w:val="00E07BA8"/>
    <w:rsid w:val="00E07F39"/>
    <w:rsid w:val="00E10724"/>
    <w:rsid w:val="00E10DC3"/>
    <w:rsid w:val="00E129C4"/>
    <w:rsid w:val="00E12ABE"/>
    <w:rsid w:val="00E14389"/>
    <w:rsid w:val="00E14F56"/>
    <w:rsid w:val="00E156F9"/>
    <w:rsid w:val="00E158CD"/>
    <w:rsid w:val="00E15A39"/>
    <w:rsid w:val="00E15BE5"/>
    <w:rsid w:val="00E15CF1"/>
    <w:rsid w:val="00E16865"/>
    <w:rsid w:val="00E1688A"/>
    <w:rsid w:val="00E16998"/>
    <w:rsid w:val="00E1710B"/>
    <w:rsid w:val="00E206EA"/>
    <w:rsid w:val="00E20824"/>
    <w:rsid w:val="00E21119"/>
    <w:rsid w:val="00E21348"/>
    <w:rsid w:val="00E234DF"/>
    <w:rsid w:val="00E23A59"/>
    <w:rsid w:val="00E23E00"/>
    <w:rsid w:val="00E23FAE"/>
    <w:rsid w:val="00E26065"/>
    <w:rsid w:val="00E260BC"/>
    <w:rsid w:val="00E26349"/>
    <w:rsid w:val="00E26695"/>
    <w:rsid w:val="00E26A6D"/>
    <w:rsid w:val="00E26C53"/>
    <w:rsid w:val="00E274B1"/>
    <w:rsid w:val="00E2763D"/>
    <w:rsid w:val="00E2769A"/>
    <w:rsid w:val="00E276B0"/>
    <w:rsid w:val="00E3035F"/>
    <w:rsid w:val="00E30880"/>
    <w:rsid w:val="00E30F85"/>
    <w:rsid w:val="00E311D6"/>
    <w:rsid w:val="00E31809"/>
    <w:rsid w:val="00E319F4"/>
    <w:rsid w:val="00E31F9D"/>
    <w:rsid w:val="00E329C7"/>
    <w:rsid w:val="00E32A26"/>
    <w:rsid w:val="00E32BDC"/>
    <w:rsid w:val="00E330D1"/>
    <w:rsid w:val="00E33183"/>
    <w:rsid w:val="00E331B5"/>
    <w:rsid w:val="00E33C31"/>
    <w:rsid w:val="00E33CFF"/>
    <w:rsid w:val="00E3401A"/>
    <w:rsid w:val="00E354BD"/>
    <w:rsid w:val="00E3580A"/>
    <w:rsid w:val="00E35DFE"/>
    <w:rsid w:val="00E3627A"/>
    <w:rsid w:val="00E365A6"/>
    <w:rsid w:val="00E37949"/>
    <w:rsid w:val="00E41038"/>
    <w:rsid w:val="00E41259"/>
    <w:rsid w:val="00E41437"/>
    <w:rsid w:val="00E418BF"/>
    <w:rsid w:val="00E41EE1"/>
    <w:rsid w:val="00E421C3"/>
    <w:rsid w:val="00E43981"/>
    <w:rsid w:val="00E43CC7"/>
    <w:rsid w:val="00E44208"/>
    <w:rsid w:val="00E44291"/>
    <w:rsid w:val="00E442CA"/>
    <w:rsid w:val="00E44383"/>
    <w:rsid w:val="00E44516"/>
    <w:rsid w:val="00E44DE3"/>
    <w:rsid w:val="00E45111"/>
    <w:rsid w:val="00E467B0"/>
    <w:rsid w:val="00E46CFB"/>
    <w:rsid w:val="00E46D9A"/>
    <w:rsid w:val="00E46EA0"/>
    <w:rsid w:val="00E479F7"/>
    <w:rsid w:val="00E47C40"/>
    <w:rsid w:val="00E505CD"/>
    <w:rsid w:val="00E50AC5"/>
    <w:rsid w:val="00E50D5B"/>
    <w:rsid w:val="00E519F9"/>
    <w:rsid w:val="00E51DFE"/>
    <w:rsid w:val="00E521E7"/>
    <w:rsid w:val="00E53832"/>
    <w:rsid w:val="00E53D11"/>
    <w:rsid w:val="00E541DD"/>
    <w:rsid w:val="00E5439A"/>
    <w:rsid w:val="00E543A4"/>
    <w:rsid w:val="00E54778"/>
    <w:rsid w:val="00E54D9C"/>
    <w:rsid w:val="00E557C3"/>
    <w:rsid w:val="00E55CEB"/>
    <w:rsid w:val="00E55EE3"/>
    <w:rsid w:val="00E56059"/>
    <w:rsid w:val="00E56245"/>
    <w:rsid w:val="00E56415"/>
    <w:rsid w:val="00E567A3"/>
    <w:rsid w:val="00E6012F"/>
    <w:rsid w:val="00E60D0E"/>
    <w:rsid w:val="00E610C2"/>
    <w:rsid w:val="00E62978"/>
    <w:rsid w:val="00E633D6"/>
    <w:rsid w:val="00E648AC"/>
    <w:rsid w:val="00E653CF"/>
    <w:rsid w:val="00E658BB"/>
    <w:rsid w:val="00E6725E"/>
    <w:rsid w:val="00E6734F"/>
    <w:rsid w:val="00E67EBF"/>
    <w:rsid w:val="00E67F37"/>
    <w:rsid w:val="00E70221"/>
    <w:rsid w:val="00E70A4D"/>
    <w:rsid w:val="00E7190D"/>
    <w:rsid w:val="00E71F73"/>
    <w:rsid w:val="00E71F89"/>
    <w:rsid w:val="00E7205C"/>
    <w:rsid w:val="00E727F2"/>
    <w:rsid w:val="00E72A36"/>
    <w:rsid w:val="00E72B4B"/>
    <w:rsid w:val="00E72CD1"/>
    <w:rsid w:val="00E73275"/>
    <w:rsid w:val="00E7332C"/>
    <w:rsid w:val="00E73982"/>
    <w:rsid w:val="00E73998"/>
    <w:rsid w:val="00E73C3A"/>
    <w:rsid w:val="00E742B6"/>
    <w:rsid w:val="00E742FA"/>
    <w:rsid w:val="00E74B3F"/>
    <w:rsid w:val="00E75176"/>
    <w:rsid w:val="00E75786"/>
    <w:rsid w:val="00E76282"/>
    <w:rsid w:val="00E76712"/>
    <w:rsid w:val="00E7683C"/>
    <w:rsid w:val="00E7691C"/>
    <w:rsid w:val="00E7744D"/>
    <w:rsid w:val="00E8057A"/>
    <w:rsid w:val="00E810EF"/>
    <w:rsid w:val="00E814E3"/>
    <w:rsid w:val="00E82E60"/>
    <w:rsid w:val="00E836EF"/>
    <w:rsid w:val="00E837E0"/>
    <w:rsid w:val="00E8391C"/>
    <w:rsid w:val="00E84471"/>
    <w:rsid w:val="00E8505E"/>
    <w:rsid w:val="00E85BC8"/>
    <w:rsid w:val="00E85ECC"/>
    <w:rsid w:val="00E860B7"/>
    <w:rsid w:val="00E866E2"/>
    <w:rsid w:val="00E86CF2"/>
    <w:rsid w:val="00E86D22"/>
    <w:rsid w:val="00E871B6"/>
    <w:rsid w:val="00E87348"/>
    <w:rsid w:val="00E87B7B"/>
    <w:rsid w:val="00E87EF9"/>
    <w:rsid w:val="00E907B1"/>
    <w:rsid w:val="00E91122"/>
    <w:rsid w:val="00E91168"/>
    <w:rsid w:val="00E91312"/>
    <w:rsid w:val="00E9236C"/>
    <w:rsid w:val="00E9258E"/>
    <w:rsid w:val="00E928FF"/>
    <w:rsid w:val="00E92A76"/>
    <w:rsid w:val="00E92D5E"/>
    <w:rsid w:val="00E92EDC"/>
    <w:rsid w:val="00E93702"/>
    <w:rsid w:val="00E942AC"/>
    <w:rsid w:val="00E94928"/>
    <w:rsid w:val="00E953E9"/>
    <w:rsid w:val="00E95B27"/>
    <w:rsid w:val="00E973AC"/>
    <w:rsid w:val="00E973E7"/>
    <w:rsid w:val="00E97571"/>
    <w:rsid w:val="00E976E9"/>
    <w:rsid w:val="00E97759"/>
    <w:rsid w:val="00E97A2B"/>
    <w:rsid w:val="00EA0500"/>
    <w:rsid w:val="00EA0B29"/>
    <w:rsid w:val="00EA0BA1"/>
    <w:rsid w:val="00EA1219"/>
    <w:rsid w:val="00EA1FF9"/>
    <w:rsid w:val="00EA22D9"/>
    <w:rsid w:val="00EA25CD"/>
    <w:rsid w:val="00EA3275"/>
    <w:rsid w:val="00EA3E83"/>
    <w:rsid w:val="00EA3F35"/>
    <w:rsid w:val="00EA40E1"/>
    <w:rsid w:val="00EA4A16"/>
    <w:rsid w:val="00EA4FDF"/>
    <w:rsid w:val="00EA59EE"/>
    <w:rsid w:val="00EA5C19"/>
    <w:rsid w:val="00EA63AB"/>
    <w:rsid w:val="00EA67D2"/>
    <w:rsid w:val="00EA724E"/>
    <w:rsid w:val="00EB09DB"/>
    <w:rsid w:val="00EB0FB8"/>
    <w:rsid w:val="00EB1431"/>
    <w:rsid w:val="00EB1756"/>
    <w:rsid w:val="00EB1889"/>
    <w:rsid w:val="00EB211A"/>
    <w:rsid w:val="00EB2C7C"/>
    <w:rsid w:val="00EB2D1E"/>
    <w:rsid w:val="00EB2F71"/>
    <w:rsid w:val="00EB3354"/>
    <w:rsid w:val="00EB3F3D"/>
    <w:rsid w:val="00EB448E"/>
    <w:rsid w:val="00EB4770"/>
    <w:rsid w:val="00EB50CC"/>
    <w:rsid w:val="00EB5635"/>
    <w:rsid w:val="00EB57FC"/>
    <w:rsid w:val="00EB5B19"/>
    <w:rsid w:val="00EB5B77"/>
    <w:rsid w:val="00EB5C5B"/>
    <w:rsid w:val="00EB625B"/>
    <w:rsid w:val="00EB6F15"/>
    <w:rsid w:val="00EB7220"/>
    <w:rsid w:val="00EC0E55"/>
    <w:rsid w:val="00EC1A59"/>
    <w:rsid w:val="00EC1B17"/>
    <w:rsid w:val="00EC2442"/>
    <w:rsid w:val="00EC27F7"/>
    <w:rsid w:val="00EC40CD"/>
    <w:rsid w:val="00EC4729"/>
    <w:rsid w:val="00EC48F8"/>
    <w:rsid w:val="00EC5107"/>
    <w:rsid w:val="00EC59EF"/>
    <w:rsid w:val="00EC6195"/>
    <w:rsid w:val="00EC6327"/>
    <w:rsid w:val="00EC684A"/>
    <w:rsid w:val="00EC71F4"/>
    <w:rsid w:val="00EC78F9"/>
    <w:rsid w:val="00EC7FE0"/>
    <w:rsid w:val="00ED0422"/>
    <w:rsid w:val="00ED0CE1"/>
    <w:rsid w:val="00ED1453"/>
    <w:rsid w:val="00ED27AE"/>
    <w:rsid w:val="00ED3AE7"/>
    <w:rsid w:val="00ED4F53"/>
    <w:rsid w:val="00ED64CF"/>
    <w:rsid w:val="00ED6C1F"/>
    <w:rsid w:val="00ED6C82"/>
    <w:rsid w:val="00ED6E59"/>
    <w:rsid w:val="00ED7802"/>
    <w:rsid w:val="00ED7A5F"/>
    <w:rsid w:val="00EE1158"/>
    <w:rsid w:val="00EE1601"/>
    <w:rsid w:val="00EE2535"/>
    <w:rsid w:val="00EE26FE"/>
    <w:rsid w:val="00EE2BE9"/>
    <w:rsid w:val="00EE32CB"/>
    <w:rsid w:val="00EE35EF"/>
    <w:rsid w:val="00EE3B9E"/>
    <w:rsid w:val="00EE3F0E"/>
    <w:rsid w:val="00EE41D2"/>
    <w:rsid w:val="00EE4DB1"/>
    <w:rsid w:val="00EE54A1"/>
    <w:rsid w:val="00EE5760"/>
    <w:rsid w:val="00EE63FB"/>
    <w:rsid w:val="00EE6A31"/>
    <w:rsid w:val="00EE6E6A"/>
    <w:rsid w:val="00EE726B"/>
    <w:rsid w:val="00EE7343"/>
    <w:rsid w:val="00EE7A13"/>
    <w:rsid w:val="00EE7EBF"/>
    <w:rsid w:val="00EE7FDD"/>
    <w:rsid w:val="00EF0282"/>
    <w:rsid w:val="00EF1375"/>
    <w:rsid w:val="00EF1471"/>
    <w:rsid w:val="00EF154F"/>
    <w:rsid w:val="00EF1740"/>
    <w:rsid w:val="00EF2C91"/>
    <w:rsid w:val="00EF302D"/>
    <w:rsid w:val="00EF3A77"/>
    <w:rsid w:val="00EF3F66"/>
    <w:rsid w:val="00EF4395"/>
    <w:rsid w:val="00EF49C1"/>
    <w:rsid w:val="00EF6332"/>
    <w:rsid w:val="00EF7297"/>
    <w:rsid w:val="00EF7F6E"/>
    <w:rsid w:val="00F000E4"/>
    <w:rsid w:val="00F00225"/>
    <w:rsid w:val="00F01383"/>
    <w:rsid w:val="00F01898"/>
    <w:rsid w:val="00F02540"/>
    <w:rsid w:val="00F02E7A"/>
    <w:rsid w:val="00F03DE7"/>
    <w:rsid w:val="00F042C2"/>
    <w:rsid w:val="00F04315"/>
    <w:rsid w:val="00F050B2"/>
    <w:rsid w:val="00F050E6"/>
    <w:rsid w:val="00F055C0"/>
    <w:rsid w:val="00F05814"/>
    <w:rsid w:val="00F0694A"/>
    <w:rsid w:val="00F06EAD"/>
    <w:rsid w:val="00F10280"/>
    <w:rsid w:val="00F10481"/>
    <w:rsid w:val="00F10742"/>
    <w:rsid w:val="00F1191A"/>
    <w:rsid w:val="00F11930"/>
    <w:rsid w:val="00F119C1"/>
    <w:rsid w:val="00F11D31"/>
    <w:rsid w:val="00F11E95"/>
    <w:rsid w:val="00F11F22"/>
    <w:rsid w:val="00F11F3C"/>
    <w:rsid w:val="00F11FB0"/>
    <w:rsid w:val="00F12155"/>
    <w:rsid w:val="00F12987"/>
    <w:rsid w:val="00F1324C"/>
    <w:rsid w:val="00F1348F"/>
    <w:rsid w:val="00F13E56"/>
    <w:rsid w:val="00F142A7"/>
    <w:rsid w:val="00F14708"/>
    <w:rsid w:val="00F15A4D"/>
    <w:rsid w:val="00F15ACC"/>
    <w:rsid w:val="00F1722B"/>
    <w:rsid w:val="00F17676"/>
    <w:rsid w:val="00F178B8"/>
    <w:rsid w:val="00F17992"/>
    <w:rsid w:val="00F17AEA"/>
    <w:rsid w:val="00F17D73"/>
    <w:rsid w:val="00F2085D"/>
    <w:rsid w:val="00F20AFB"/>
    <w:rsid w:val="00F20B07"/>
    <w:rsid w:val="00F215C0"/>
    <w:rsid w:val="00F21B8E"/>
    <w:rsid w:val="00F22FF0"/>
    <w:rsid w:val="00F23F86"/>
    <w:rsid w:val="00F24061"/>
    <w:rsid w:val="00F2461D"/>
    <w:rsid w:val="00F2508F"/>
    <w:rsid w:val="00F25992"/>
    <w:rsid w:val="00F25C81"/>
    <w:rsid w:val="00F25EAC"/>
    <w:rsid w:val="00F2600B"/>
    <w:rsid w:val="00F30B6F"/>
    <w:rsid w:val="00F3221D"/>
    <w:rsid w:val="00F32567"/>
    <w:rsid w:val="00F33383"/>
    <w:rsid w:val="00F3392E"/>
    <w:rsid w:val="00F33AC4"/>
    <w:rsid w:val="00F33BAB"/>
    <w:rsid w:val="00F3402D"/>
    <w:rsid w:val="00F340AB"/>
    <w:rsid w:val="00F345D5"/>
    <w:rsid w:val="00F34C98"/>
    <w:rsid w:val="00F36029"/>
    <w:rsid w:val="00F369FC"/>
    <w:rsid w:val="00F36DCA"/>
    <w:rsid w:val="00F37D4F"/>
    <w:rsid w:val="00F40C55"/>
    <w:rsid w:val="00F4118C"/>
    <w:rsid w:val="00F41649"/>
    <w:rsid w:val="00F423F8"/>
    <w:rsid w:val="00F42F81"/>
    <w:rsid w:val="00F43402"/>
    <w:rsid w:val="00F43539"/>
    <w:rsid w:val="00F442E7"/>
    <w:rsid w:val="00F4447E"/>
    <w:rsid w:val="00F45469"/>
    <w:rsid w:val="00F4549A"/>
    <w:rsid w:val="00F45A14"/>
    <w:rsid w:val="00F45C4C"/>
    <w:rsid w:val="00F46012"/>
    <w:rsid w:val="00F465B9"/>
    <w:rsid w:val="00F46763"/>
    <w:rsid w:val="00F46C8B"/>
    <w:rsid w:val="00F473CD"/>
    <w:rsid w:val="00F47791"/>
    <w:rsid w:val="00F47BA7"/>
    <w:rsid w:val="00F47DB4"/>
    <w:rsid w:val="00F50046"/>
    <w:rsid w:val="00F506E2"/>
    <w:rsid w:val="00F50A2B"/>
    <w:rsid w:val="00F51271"/>
    <w:rsid w:val="00F516C3"/>
    <w:rsid w:val="00F517B7"/>
    <w:rsid w:val="00F51B0B"/>
    <w:rsid w:val="00F5222C"/>
    <w:rsid w:val="00F53008"/>
    <w:rsid w:val="00F53412"/>
    <w:rsid w:val="00F54254"/>
    <w:rsid w:val="00F5451F"/>
    <w:rsid w:val="00F54909"/>
    <w:rsid w:val="00F54E92"/>
    <w:rsid w:val="00F54FCF"/>
    <w:rsid w:val="00F55AEE"/>
    <w:rsid w:val="00F56074"/>
    <w:rsid w:val="00F5636F"/>
    <w:rsid w:val="00F56F60"/>
    <w:rsid w:val="00F571B2"/>
    <w:rsid w:val="00F576FE"/>
    <w:rsid w:val="00F60936"/>
    <w:rsid w:val="00F619B6"/>
    <w:rsid w:val="00F61A58"/>
    <w:rsid w:val="00F61D21"/>
    <w:rsid w:val="00F6286D"/>
    <w:rsid w:val="00F6297C"/>
    <w:rsid w:val="00F629B5"/>
    <w:rsid w:val="00F62D06"/>
    <w:rsid w:val="00F631B6"/>
    <w:rsid w:val="00F63746"/>
    <w:rsid w:val="00F64294"/>
    <w:rsid w:val="00F64949"/>
    <w:rsid w:val="00F65794"/>
    <w:rsid w:val="00F65F05"/>
    <w:rsid w:val="00F666DE"/>
    <w:rsid w:val="00F66B66"/>
    <w:rsid w:val="00F67C53"/>
    <w:rsid w:val="00F704CC"/>
    <w:rsid w:val="00F70A3E"/>
    <w:rsid w:val="00F70B2E"/>
    <w:rsid w:val="00F7195B"/>
    <w:rsid w:val="00F722A9"/>
    <w:rsid w:val="00F72C4A"/>
    <w:rsid w:val="00F734E2"/>
    <w:rsid w:val="00F73999"/>
    <w:rsid w:val="00F73D50"/>
    <w:rsid w:val="00F73E7B"/>
    <w:rsid w:val="00F748B6"/>
    <w:rsid w:val="00F74A2F"/>
    <w:rsid w:val="00F74B7C"/>
    <w:rsid w:val="00F7539A"/>
    <w:rsid w:val="00F7555E"/>
    <w:rsid w:val="00F75A91"/>
    <w:rsid w:val="00F75BD2"/>
    <w:rsid w:val="00F75D11"/>
    <w:rsid w:val="00F760E2"/>
    <w:rsid w:val="00F760FD"/>
    <w:rsid w:val="00F7649D"/>
    <w:rsid w:val="00F76C07"/>
    <w:rsid w:val="00F7764C"/>
    <w:rsid w:val="00F776E1"/>
    <w:rsid w:val="00F77B00"/>
    <w:rsid w:val="00F77FCA"/>
    <w:rsid w:val="00F80380"/>
    <w:rsid w:val="00F80806"/>
    <w:rsid w:val="00F808EF"/>
    <w:rsid w:val="00F80C9F"/>
    <w:rsid w:val="00F81353"/>
    <w:rsid w:val="00F81725"/>
    <w:rsid w:val="00F81B95"/>
    <w:rsid w:val="00F820F9"/>
    <w:rsid w:val="00F82A50"/>
    <w:rsid w:val="00F82EA4"/>
    <w:rsid w:val="00F8307F"/>
    <w:rsid w:val="00F8327C"/>
    <w:rsid w:val="00F843E2"/>
    <w:rsid w:val="00F8537A"/>
    <w:rsid w:val="00F856FF"/>
    <w:rsid w:val="00F85F8B"/>
    <w:rsid w:val="00F862C4"/>
    <w:rsid w:val="00F86F2E"/>
    <w:rsid w:val="00F911F2"/>
    <w:rsid w:val="00F9167F"/>
    <w:rsid w:val="00F91799"/>
    <w:rsid w:val="00F92F02"/>
    <w:rsid w:val="00F92F8A"/>
    <w:rsid w:val="00F931C4"/>
    <w:rsid w:val="00F93C10"/>
    <w:rsid w:val="00F9409F"/>
    <w:rsid w:val="00F94E06"/>
    <w:rsid w:val="00F952F1"/>
    <w:rsid w:val="00F953E7"/>
    <w:rsid w:val="00F95479"/>
    <w:rsid w:val="00F95855"/>
    <w:rsid w:val="00F96530"/>
    <w:rsid w:val="00F96F15"/>
    <w:rsid w:val="00F96F52"/>
    <w:rsid w:val="00F97B2B"/>
    <w:rsid w:val="00FA01C0"/>
    <w:rsid w:val="00FA0340"/>
    <w:rsid w:val="00FA08BD"/>
    <w:rsid w:val="00FA101D"/>
    <w:rsid w:val="00FA1BEA"/>
    <w:rsid w:val="00FA2AEF"/>
    <w:rsid w:val="00FA3DBC"/>
    <w:rsid w:val="00FA58A4"/>
    <w:rsid w:val="00FA5AB1"/>
    <w:rsid w:val="00FA61A0"/>
    <w:rsid w:val="00FA6BF1"/>
    <w:rsid w:val="00FA75E6"/>
    <w:rsid w:val="00FA7F21"/>
    <w:rsid w:val="00FB00E3"/>
    <w:rsid w:val="00FB0E5A"/>
    <w:rsid w:val="00FB202B"/>
    <w:rsid w:val="00FB2529"/>
    <w:rsid w:val="00FB3A9F"/>
    <w:rsid w:val="00FB3B9C"/>
    <w:rsid w:val="00FB3C65"/>
    <w:rsid w:val="00FB4013"/>
    <w:rsid w:val="00FB43A3"/>
    <w:rsid w:val="00FB43EB"/>
    <w:rsid w:val="00FB459B"/>
    <w:rsid w:val="00FB45B8"/>
    <w:rsid w:val="00FB49D3"/>
    <w:rsid w:val="00FB50A1"/>
    <w:rsid w:val="00FB5768"/>
    <w:rsid w:val="00FB6A02"/>
    <w:rsid w:val="00FB6BD2"/>
    <w:rsid w:val="00FB6D41"/>
    <w:rsid w:val="00FB6FF6"/>
    <w:rsid w:val="00FB7CD6"/>
    <w:rsid w:val="00FC0BD2"/>
    <w:rsid w:val="00FC0C2F"/>
    <w:rsid w:val="00FC162A"/>
    <w:rsid w:val="00FC1B3A"/>
    <w:rsid w:val="00FC1FCF"/>
    <w:rsid w:val="00FC26CA"/>
    <w:rsid w:val="00FC2BD2"/>
    <w:rsid w:val="00FC2EDF"/>
    <w:rsid w:val="00FC30DE"/>
    <w:rsid w:val="00FC32E4"/>
    <w:rsid w:val="00FC3389"/>
    <w:rsid w:val="00FC395C"/>
    <w:rsid w:val="00FC3D25"/>
    <w:rsid w:val="00FC3FB2"/>
    <w:rsid w:val="00FC79D7"/>
    <w:rsid w:val="00FD032C"/>
    <w:rsid w:val="00FD0CA0"/>
    <w:rsid w:val="00FD0E82"/>
    <w:rsid w:val="00FD1637"/>
    <w:rsid w:val="00FD24F3"/>
    <w:rsid w:val="00FD2525"/>
    <w:rsid w:val="00FD2A37"/>
    <w:rsid w:val="00FD32E1"/>
    <w:rsid w:val="00FD3D27"/>
    <w:rsid w:val="00FD47EC"/>
    <w:rsid w:val="00FD51E4"/>
    <w:rsid w:val="00FD53B7"/>
    <w:rsid w:val="00FD53C5"/>
    <w:rsid w:val="00FD61A3"/>
    <w:rsid w:val="00FD67A9"/>
    <w:rsid w:val="00FD699E"/>
    <w:rsid w:val="00FD735F"/>
    <w:rsid w:val="00FD7930"/>
    <w:rsid w:val="00FE12E3"/>
    <w:rsid w:val="00FE15FA"/>
    <w:rsid w:val="00FE171E"/>
    <w:rsid w:val="00FE1896"/>
    <w:rsid w:val="00FE3064"/>
    <w:rsid w:val="00FE3250"/>
    <w:rsid w:val="00FE356C"/>
    <w:rsid w:val="00FE3811"/>
    <w:rsid w:val="00FE38CA"/>
    <w:rsid w:val="00FE3A98"/>
    <w:rsid w:val="00FE47DE"/>
    <w:rsid w:val="00FE5071"/>
    <w:rsid w:val="00FE6AEB"/>
    <w:rsid w:val="00FE7365"/>
    <w:rsid w:val="00FE7726"/>
    <w:rsid w:val="00FE7915"/>
    <w:rsid w:val="00FF0304"/>
    <w:rsid w:val="00FF0A9E"/>
    <w:rsid w:val="00FF12C9"/>
    <w:rsid w:val="00FF1C21"/>
    <w:rsid w:val="00FF1D80"/>
    <w:rsid w:val="00FF3030"/>
    <w:rsid w:val="00FF3266"/>
    <w:rsid w:val="00FF468D"/>
    <w:rsid w:val="00FF4F00"/>
    <w:rsid w:val="00FF52D4"/>
    <w:rsid w:val="00FF6144"/>
    <w:rsid w:val="00FF64D2"/>
    <w:rsid w:val="00FF6846"/>
    <w:rsid w:val="00FF698C"/>
    <w:rsid w:val="00FF6C66"/>
    <w:rsid w:val="00FF700F"/>
    <w:rsid w:val="00FF7D30"/>
    <w:rsid w:val="012ED90D"/>
    <w:rsid w:val="0133189C"/>
    <w:rsid w:val="018EBF6F"/>
    <w:rsid w:val="01920C00"/>
    <w:rsid w:val="01A5BBEB"/>
    <w:rsid w:val="01C53392"/>
    <w:rsid w:val="01C645F4"/>
    <w:rsid w:val="01F3814F"/>
    <w:rsid w:val="01FFC97C"/>
    <w:rsid w:val="020642BC"/>
    <w:rsid w:val="020B8854"/>
    <w:rsid w:val="0219AEA2"/>
    <w:rsid w:val="025977B0"/>
    <w:rsid w:val="0284868A"/>
    <w:rsid w:val="02896DCC"/>
    <w:rsid w:val="02ABAA5D"/>
    <w:rsid w:val="03000E7D"/>
    <w:rsid w:val="0301F247"/>
    <w:rsid w:val="03023AE1"/>
    <w:rsid w:val="031D81D7"/>
    <w:rsid w:val="033ECA0B"/>
    <w:rsid w:val="03657243"/>
    <w:rsid w:val="037ABB40"/>
    <w:rsid w:val="03A64675"/>
    <w:rsid w:val="03EF94D8"/>
    <w:rsid w:val="041BF13C"/>
    <w:rsid w:val="0436261E"/>
    <w:rsid w:val="0440D0BE"/>
    <w:rsid w:val="044EF443"/>
    <w:rsid w:val="048BC1D7"/>
    <w:rsid w:val="04B9577D"/>
    <w:rsid w:val="04F78223"/>
    <w:rsid w:val="05665145"/>
    <w:rsid w:val="057029FB"/>
    <w:rsid w:val="06019658"/>
    <w:rsid w:val="0612151C"/>
    <w:rsid w:val="0629979F"/>
    <w:rsid w:val="06324FE0"/>
    <w:rsid w:val="064B2C3C"/>
    <w:rsid w:val="06557570"/>
    <w:rsid w:val="067A1943"/>
    <w:rsid w:val="06808D32"/>
    <w:rsid w:val="069C560D"/>
    <w:rsid w:val="069CB95F"/>
    <w:rsid w:val="06A981D4"/>
    <w:rsid w:val="06B2C77E"/>
    <w:rsid w:val="06CEEA14"/>
    <w:rsid w:val="06D571DC"/>
    <w:rsid w:val="06DC9D13"/>
    <w:rsid w:val="0739A9D0"/>
    <w:rsid w:val="07772777"/>
    <w:rsid w:val="07B581E3"/>
    <w:rsid w:val="07B7116E"/>
    <w:rsid w:val="07FF8A40"/>
    <w:rsid w:val="085D31B2"/>
    <w:rsid w:val="0872690A"/>
    <w:rsid w:val="08C51568"/>
    <w:rsid w:val="08D7CBEF"/>
    <w:rsid w:val="08E3C26F"/>
    <w:rsid w:val="09415517"/>
    <w:rsid w:val="094EBA6B"/>
    <w:rsid w:val="09801EB9"/>
    <w:rsid w:val="0992C569"/>
    <w:rsid w:val="09A4DBC0"/>
    <w:rsid w:val="09D94545"/>
    <w:rsid w:val="09DD59A7"/>
    <w:rsid w:val="09EDEC06"/>
    <w:rsid w:val="09FF1A5E"/>
    <w:rsid w:val="0A2C9BE6"/>
    <w:rsid w:val="0A461D89"/>
    <w:rsid w:val="0A541E68"/>
    <w:rsid w:val="0A63E368"/>
    <w:rsid w:val="0A643B1F"/>
    <w:rsid w:val="0A78EE7B"/>
    <w:rsid w:val="0A8AC450"/>
    <w:rsid w:val="0ABDB067"/>
    <w:rsid w:val="0AD7598C"/>
    <w:rsid w:val="0B0203A6"/>
    <w:rsid w:val="0B1BCCD4"/>
    <w:rsid w:val="0BBD5EC8"/>
    <w:rsid w:val="0BF6E2EF"/>
    <w:rsid w:val="0BF813CC"/>
    <w:rsid w:val="0C0B2121"/>
    <w:rsid w:val="0C133431"/>
    <w:rsid w:val="0C21D192"/>
    <w:rsid w:val="0C2970C6"/>
    <w:rsid w:val="0C298FB2"/>
    <w:rsid w:val="0C2D445D"/>
    <w:rsid w:val="0C4515EE"/>
    <w:rsid w:val="0C50B881"/>
    <w:rsid w:val="0C66F49A"/>
    <w:rsid w:val="0C7C2776"/>
    <w:rsid w:val="0C9BA6F1"/>
    <w:rsid w:val="0CC4D02D"/>
    <w:rsid w:val="0CD98334"/>
    <w:rsid w:val="0CEBBC34"/>
    <w:rsid w:val="0CF11FAF"/>
    <w:rsid w:val="0D0A1349"/>
    <w:rsid w:val="0D43F94D"/>
    <w:rsid w:val="0D44CF8A"/>
    <w:rsid w:val="0D498356"/>
    <w:rsid w:val="0DD731E3"/>
    <w:rsid w:val="0E026A2F"/>
    <w:rsid w:val="0E075FE9"/>
    <w:rsid w:val="0E0E0DEF"/>
    <w:rsid w:val="0E18BAEA"/>
    <w:rsid w:val="0E3473F5"/>
    <w:rsid w:val="0E4E4579"/>
    <w:rsid w:val="0E535082"/>
    <w:rsid w:val="0ECE53BF"/>
    <w:rsid w:val="0ED5DD9F"/>
    <w:rsid w:val="0F5D325F"/>
    <w:rsid w:val="0F9CED9D"/>
    <w:rsid w:val="0FCA962D"/>
    <w:rsid w:val="0FFE0663"/>
    <w:rsid w:val="101618E9"/>
    <w:rsid w:val="10306649"/>
    <w:rsid w:val="108CCC12"/>
    <w:rsid w:val="109CD301"/>
    <w:rsid w:val="10B11526"/>
    <w:rsid w:val="10E42E35"/>
    <w:rsid w:val="10EBADB7"/>
    <w:rsid w:val="10F4F0E5"/>
    <w:rsid w:val="111D2921"/>
    <w:rsid w:val="113977F8"/>
    <w:rsid w:val="11544884"/>
    <w:rsid w:val="11636544"/>
    <w:rsid w:val="118394B3"/>
    <w:rsid w:val="1196D1BF"/>
    <w:rsid w:val="11CC6F32"/>
    <w:rsid w:val="11CF4741"/>
    <w:rsid w:val="11E02653"/>
    <w:rsid w:val="11EF2461"/>
    <w:rsid w:val="11EF3C2A"/>
    <w:rsid w:val="12091DC9"/>
    <w:rsid w:val="1209E6A5"/>
    <w:rsid w:val="12521A10"/>
    <w:rsid w:val="1253ADC1"/>
    <w:rsid w:val="127609A4"/>
    <w:rsid w:val="12942B2F"/>
    <w:rsid w:val="12973F4B"/>
    <w:rsid w:val="130BFEBE"/>
    <w:rsid w:val="1331C1F6"/>
    <w:rsid w:val="138FA460"/>
    <w:rsid w:val="13979520"/>
    <w:rsid w:val="13A958E6"/>
    <w:rsid w:val="13AC77BE"/>
    <w:rsid w:val="13CAC1FB"/>
    <w:rsid w:val="13D2BDFE"/>
    <w:rsid w:val="13D9AED8"/>
    <w:rsid w:val="13E10FB7"/>
    <w:rsid w:val="14095768"/>
    <w:rsid w:val="143EC814"/>
    <w:rsid w:val="1471D9C6"/>
    <w:rsid w:val="1490AF22"/>
    <w:rsid w:val="14D11251"/>
    <w:rsid w:val="14ECB648"/>
    <w:rsid w:val="14EF2B40"/>
    <w:rsid w:val="156108CC"/>
    <w:rsid w:val="15C551E8"/>
    <w:rsid w:val="15DBC2EB"/>
    <w:rsid w:val="162A19AA"/>
    <w:rsid w:val="165EE392"/>
    <w:rsid w:val="16A2BFED"/>
    <w:rsid w:val="16A5754D"/>
    <w:rsid w:val="16C1058B"/>
    <w:rsid w:val="16F52EEA"/>
    <w:rsid w:val="1716537D"/>
    <w:rsid w:val="1732095A"/>
    <w:rsid w:val="174FCADA"/>
    <w:rsid w:val="179DD1C1"/>
    <w:rsid w:val="17E02EF2"/>
    <w:rsid w:val="17F4667B"/>
    <w:rsid w:val="1887FECB"/>
    <w:rsid w:val="18BA6112"/>
    <w:rsid w:val="191151AB"/>
    <w:rsid w:val="19559C76"/>
    <w:rsid w:val="1999BEE1"/>
    <w:rsid w:val="199E6C61"/>
    <w:rsid w:val="19CD8146"/>
    <w:rsid w:val="1A32F296"/>
    <w:rsid w:val="1A520629"/>
    <w:rsid w:val="1A6464DD"/>
    <w:rsid w:val="1A88912F"/>
    <w:rsid w:val="1BE22CEE"/>
    <w:rsid w:val="1C17602A"/>
    <w:rsid w:val="1C357D2A"/>
    <w:rsid w:val="1C364869"/>
    <w:rsid w:val="1C4C8C04"/>
    <w:rsid w:val="1C6CCDE3"/>
    <w:rsid w:val="1C6F40AF"/>
    <w:rsid w:val="1CD95323"/>
    <w:rsid w:val="1CDCDD19"/>
    <w:rsid w:val="1D36A2CD"/>
    <w:rsid w:val="1D7C1381"/>
    <w:rsid w:val="1D9A9069"/>
    <w:rsid w:val="1DACE96D"/>
    <w:rsid w:val="1E06C643"/>
    <w:rsid w:val="1E11CAAA"/>
    <w:rsid w:val="1E28A819"/>
    <w:rsid w:val="1E2BC0EE"/>
    <w:rsid w:val="1E3EAADC"/>
    <w:rsid w:val="1E4971AD"/>
    <w:rsid w:val="1E6DA344"/>
    <w:rsid w:val="1E866776"/>
    <w:rsid w:val="1E8F3B9F"/>
    <w:rsid w:val="1E9C7565"/>
    <w:rsid w:val="1EA84A8C"/>
    <w:rsid w:val="1EB7A5BF"/>
    <w:rsid w:val="1EBBB852"/>
    <w:rsid w:val="1EF7168D"/>
    <w:rsid w:val="1F24FBD3"/>
    <w:rsid w:val="1F34E72A"/>
    <w:rsid w:val="1F5C131E"/>
    <w:rsid w:val="1F7F0C9B"/>
    <w:rsid w:val="1F89879F"/>
    <w:rsid w:val="1FA4D920"/>
    <w:rsid w:val="1FAE9D0D"/>
    <w:rsid w:val="1FF236CF"/>
    <w:rsid w:val="205CECB2"/>
    <w:rsid w:val="207915AC"/>
    <w:rsid w:val="20A4FDD1"/>
    <w:rsid w:val="20ABFD62"/>
    <w:rsid w:val="20CEC4F1"/>
    <w:rsid w:val="20E141AC"/>
    <w:rsid w:val="21361C6C"/>
    <w:rsid w:val="214B15A5"/>
    <w:rsid w:val="217CCDE3"/>
    <w:rsid w:val="2185AAD5"/>
    <w:rsid w:val="21A56E40"/>
    <w:rsid w:val="2208F4AB"/>
    <w:rsid w:val="22382B75"/>
    <w:rsid w:val="225850F7"/>
    <w:rsid w:val="22D8B82C"/>
    <w:rsid w:val="22F2CC8B"/>
    <w:rsid w:val="22FAA316"/>
    <w:rsid w:val="235F7478"/>
    <w:rsid w:val="238A1DA8"/>
    <w:rsid w:val="239D652A"/>
    <w:rsid w:val="23ACE2A1"/>
    <w:rsid w:val="23DB1E1E"/>
    <w:rsid w:val="2409EFA8"/>
    <w:rsid w:val="24192292"/>
    <w:rsid w:val="244849F3"/>
    <w:rsid w:val="24A391A5"/>
    <w:rsid w:val="24AA5301"/>
    <w:rsid w:val="24EA8D30"/>
    <w:rsid w:val="24F3A6C4"/>
    <w:rsid w:val="2527F40D"/>
    <w:rsid w:val="25422C53"/>
    <w:rsid w:val="257E69ED"/>
    <w:rsid w:val="25800C38"/>
    <w:rsid w:val="259C1640"/>
    <w:rsid w:val="25C7579F"/>
    <w:rsid w:val="25E8544D"/>
    <w:rsid w:val="26032AA7"/>
    <w:rsid w:val="260C6971"/>
    <w:rsid w:val="263AEEDD"/>
    <w:rsid w:val="263E59D6"/>
    <w:rsid w:val="26418CA7"/>
    <w:rsid w:val="269E8AB2"/>
    <w:rsid w:val="26AA97A5"/>
    <w:rsid w:val="26ADF992"/>
    <w:rsid w:val="26C9B435"/>
    <w:rsid w:val="26F69877"/>
    <w:rsid w:val="27104669"/>
    <w:rsid w:val="27321EAD"/>
    <w:rsid w:val="27CEBBEE"/>
    <w:rsid w:val="2819371F"/>
    <w:rsid w:val="283624D2"/>
    <w:rsid w:val="2844264F"/>
    <w:rsid w:val="286CE0A6"/>
    <w:rsid w:val="287AB654"/>
    <w:rsid w:val="289CB7A5"/>
    <w:rsid w:val="28ED3A35"/>
    <w:rsid w:val="28FF5821"/>
    <w:rsid w:val="29234C46"/>
    <w:rsid w:val="294C9706"/>
    <w:rsid w:val="2A10F27A"/>
    <w:rsid w:val="2A1F1A10"/>
    <w:rsid w:val="2A27AFFF"/>
    <w:rsid w:val="2A3DCE96"/>
    <w:rsid w:val="2ADB3A3F"/>
    <w:rsid w:val="2AF7A732"/>
    <w:rsid w:val="2AFCCDB0"/>
    <w:rsid w:val="2B12C4E9"/>
    <w:rsid w:val="2B42D409"/>
    <w:rsid w:val="2B57E5B8"/>
    <w:rsid w:val="2B5A4112"/>
    <w:rsid w:val="2B701525"/>
    <w:rsid w:val="2B93F453"/>
    <w:rsid w:val="2B966C54"/>
    <w:rsid w:val="2BB60551"/>
    <w:rsid w:val="2BBA7C2D"/>
    <w:rsid w:val="2C0FDF78"/>
    <w:rsid w:val="2C2C2AFD"/>
    <w:rsid w:val="2C5DE031"/>
    <w:rsid w:val="2C7E1CDF"/>
    <w:rsid w:val="2C828DF0"/>
    <w:rsid w:val="2CB1B826"/>
    <w:rsid w:val="2CB8AB10"/>
    <w:rsid w:val="2D289BA8"/>
    <w:rsid w:val="2D75DE2C"/>
    <w:rsid w:val="2D80B7E4"/>
    <w:rsid w:val="2D838215"/>
    <w:rsid w:val="2D8933C7"/>
    <w:rsid w:val="2D8D3CDE"/>
    <w:rsid w:val="2DD7F057"/>
    <w:rsid w:val="2DE21F25"/>
    <w:rsid w:val="2DF9EEEC"/>
    <w:rsid w:val="2E5694B8"/>
    <w:rsid w:val="2EA98329"/>
    <w:rsid w:val="2EC64FAF"/>
    <w:rsid w:val="2EC70905"/>
    <w:rsid w:val="2ED3CAF3"/>
    <w:rsid w:val="2F3B22A1"/>
    <w:rsid w:val="2F40D0F4"/>
    <w:rsid w:val="2F6CD707"/>
    <w:rsid w:val="2F876CC4"/>
    <w:rsid w:val="30189B43"/>
    <w:rsid w:val="30203C82"/>
    <w:rsid w:val="30293699"/>
    <w:rsid w:val="30436096"/>
    <w:rsid w:val="307A93D9"/>
    <w:rsid w:val="308B5742"/>
    <w:rsid w:val="30CCB342"/>
    <w:rsid w:val="30E50473"/>
    <w:rsid w:val="3150CF0E"/>
    <w:rsid w:val="317303FA"/>
    <w:rsid w:val="3173F9B3"/>
    <w:rsid w:val="31903193"/>
    <w:rsid w:val="31C61D1F"/>
    <w:rsid w:val="3206727A"/>
    <w:rsid w:val="3207351E"/>
    <w:rsid w:val="3213EC6A"/>
    <w:rsid w:val="3226739E"/>
    <w:rsid w:val="32269674"/>
    <w:rsid w:val="324D2F97"/>
    <w:rsid w:val="328BC9A9"/>
    <w:rsid w:val="3299752E"/>
    <w:rsid w:val="32B4F25A"/>
    <w:rsid w:val="32CFA3E3"/>
    <w:rsid w:val="33449998"/>
    <w:rsid w:val="339B2E90"/>
    <w:rsid w:val="33AFCF9A"/>
    <w:rsid w:val="33B5F3E5"/>
    <w:rsid w:val="33D91511"/>
    <w:rsid w:val="33F3E80B"/>
    <w:rsid w:val="346649E2"/>
    <w:rsid w:val="346B6E58"/>
    <w:rsid w:val="346D4CA2"/>
    <w:rsid w:val="34BE8E53"/>
    <w:rsid w:val="34F9471F"/>
    <w:rsid w:val="350B6E9F"/>
    <w:rsid w:val="352C3C80"/>
    <w:rsid w:val="3535B79D"/>
    <w:rsid w:val="354A4C95"/>
    <w:rsid w:val="35690407"/>
    <w:rsid w:val="35721E6C"/>
    <w:rsid w:val="3576C135"/>
    <w:rsid w:val="3579EAA2"/>
    <w:rsid w:val="358C9E21"/>
    <w:rsid w:val="35A7C057"/>
    <w:rsid w:val="35B6178F"/>
    <w:rsid w:val="35F690C1"/>
    <w:rsid w:val="363F8FE7"/>
    <w:rsid w:val="36526930"/>
    <w:rsid w:val="368B25BB"/>
    <w:rsid w:val="369ABF52"/>
    <w:rsid w:val="36A19A88"/>
    <w:rsid w:val="36A5742B"/>
    <w:rsid w:val="36A711D5"/>
    <w:rsid w:val="36EC6756"/>
    <w:rsid w:val="36F60CA6"/>
    <w:rsid w:val="37551238"/>
    <w:rsid w:val="377C02A2"/>
    <w:rsid w:val="37B36390"/>
    <w:rsid w:val="37B88E2D"/>
    <w:rsid w:val="37FBCBAC"/>
    <w:rsid w:val="3819229A"/>
    <w:rsid w:val="38226B7A"/>
    <w:rsid w:val="384D72FB"/>
    <w:rsid w:val="38854C86"/>
    <w:rsid w:val="38B57DB0"/>
    <w:rsid w:val="38C81A70"/>
    <w:rsid w:val="390062A5"/>
    <w:rsid w:val="3941F975"/>
    <w:rsid w:val="395C90A2"/>
    <w:rsid w:val="3965DAD7"/>
    <w:rsid w:val="39957352"/>
    <w:rsid w:val="39A10E13"/>
    <w:rsid w:val="39D39003"/>
    <w:rsid w:val="3A06ECBA"/>
    <w:rsid w:val="3A157690"/>
    <w:rsid w:val="3A374F6C"/>
    <w:rsid w:val="3A6129B1"/>
    <w:rsid w:val="3A77C99A"/>
    <w:rsid w:val="3AA033C4"/>
    <w:rsid w:val="3ABEFBD1"/>
    <w:rsid w:val="3ACE6F50"/>
    <w:rsid w:val="3AFA092F"/>
    <w:rsid w:val="3B3D66CA"/>
    <w:rsid w:val="3B5C4878"/>
    <w:rsid w:val="3B638B37"/>
    <w:rsid w:val="3B70F141"/>
    <w:rsid w:val="3B7F369B"/>
    <w:rsid w:val="3BB64DAB"/>
    <w:rsid w:val="3BC4D143"/>
    <w:rsid w:val="3BD83FFA"/>
    <w:rsid w:val="3BE348F2"/>
    <w:rsid w:val="3C22AD0F"/>
    <w:rsid w:val="3C2BB40D"/>
    <w:rsid w:val="3C322289"/>
    <w:rsid w:val="3C5551DF"/>
    <w:rsid w:val="3DABFADF"/>
    <w:rsid w:val="3E704B07"/>
    <w:rsid w:val="3E98990B"/>
    <w:rsid w:val="3E989E66"/>
    <w:rsid w:val="3EA0A262"/>
    <w:rsid w:val="3EAF9834"/>
    <w:rsid w:val="3EEFA5DE"/>
    <w:rsid w:val="3F0B9024"/>
    <w:rsid w:val="3F176E90"/>
    <w:rsid w:val="3F18C0C0"/>
    <w:rsid w:val="3F3019D7"/>
    <w:rsid w:val="3F4333BC"/>
    <w:rsid w:val="3F43AD02"/>
    <w:rsid w:val="3F4D00E8"/>
    <w:rsid w:val="3F63D797"/>
    <w:rsid w:val="3F8145E1"/>
    <w:rsid w:val="3FB3D241"/>
    <w:rsid w:val="3FDD454B"/>
    <w:rsid w:val="3FE31FE2"/>
    <w:rsid w:val="3FEF2DD3"/>
    <w:rsid w:val="4007B3C3"/>
    <w:rsid w:val="402B16F7"/>
    <w:rsid w:val="40531CF6"/>
    <w:rsid w:val="40903669"/>
    <w:rsid w:val="40A2F7F7"/>
    <w:rsid w:val="40B26B3C"/>
    <w:rsid w:val="40EAB030"/>
    <w:rsid w:val="40F67DF9"/>
    <w:rsid w:val="4107A048"/>
    <w:rsid w:val="4115A016"/>
    <w:rsid w:val="4168D775"/>
    <w:rsid w:val="416C9DE2"/>
    <w:rsid w:val="41792D97"/>
    <w:rsid w:val="4197B6A0"/>
    <w:rsid w:val="41B70C53"/>
    <w:rsid w:val="41DD8CA3"/>
    <w:rsid w:val="423B4234"/>
    <w:rsid w:val="423FC41C"/>
    <w:rsid w:val="424D31D8"/>
    <w:rsid w:val="424DA7CE"/>
    <w:rsid w:val="4253991E"/>
    <w:rsid w:val="426F821A"/>
    <w:rsid w:val="42950D52"/>
    <w:rsid w:val="42CC1889"/>
    <w:rsid w:val="43320BBF"/>
    <w:rsid w:val="435FAE8D"/>
    <w:rsid w:val="436969F3"/>
    <w:rsid w:val="43A63C2D"/>
    <w:rsid w:val="43CF4482"/>
    <w:rsid w:val="440F3D41"/>
    <w:rsid w:val="44133BA9"/>
    <w:rsid w:val="443CF1A9"/>
    <w:rsid w:val="44481556"/>
    <w:rsid w:val="445685A2"/>
    <w:rsid w:val="44DF16F4"/>
    <w:rsid w:val="44EDE4A3"/>
    <w:rsid w:val="4518CCF3"/>
    <w:rsid w:val="457241BA"/>
    <w:rsid w:val="46080A12"/>
    <w:rsid w:val="461746AC"/>
    <w:rsid w:val="46190CC4"/>
    <w:rsid w:val="4629C3A2"/>
    <w:rsid w:val="464DA2FC"/>
    <w:rsid w:val="4664D6BA"/>
    <w:rsid w:val="4675FB18"/>
    <w:rsid w:val="46924C99"/>
    <w:rsid w:val="46C59ADB"/>
    <w:rsid w:val="46C62D5D"/>
    <w:rsid w:val="4728B141"/>
    <w:rsid w:val="4788B5B7"/>
    <w:rsid w:val="47B26AD0"/>
    <w:rsid w:val="47C19D18"/>
    <w:rsid w:val="47CE2748"/>
    <w:rsid w:val="47E111C6"/>
    <w:rsid w:val="47E19A7D"/>
    <w:rsid w:val="47EC200A"/>
    <w:rsid w:val="47F2BF26"/>
    <w:rsid w:val="481DBAFD"/>
    <w:rsid w:val="481F6AA4"/>
    <w:rsid w:val="4827DAB3"/>
    <w:rsid w:val="4844DC23"/>
    <w:rsid w:val="4872EAA7"/>
    <w:rsid w:val="488692C7"/>
    <w:rsid w:val="48A1E214"/>
    <w:rsid w:val="48A3AC6D"/>
    <w:rsid w:val="48B31B00"/>
    <w:rsid w:val="48F2E0C3"/>
    <w:rsid w:val="49148926"/>
    <w:rsid w:val="493E8D32"/>
    <w:rsid w:val="49423845"/>
    <w:rsid w:val="4945AD9B"/>
    <w:rsid w:val="4947E659"/>
    <w:rsid w:val="49850FF7"/>
    <w:rsid w:val="4993CAB7"/>
    <w:rsid w:val="49A41D4D"/>
    <w:rsid w:val="49B4D6B9"/>
    <w:rsid w:val="49BAF1FB"/>
    <w:rsid w:val="49DFA7E1"/>
    <w:rsid w:val="49E88444"/>
    <w:rsid w:val="4A20E143"/>
    <w:rsid w:val="4A259FA8"/>
    <w:rsid w:val="4A264549"/>
    <w:rsid w:val="4A3C1CE7"/>
    <w:rsid w:val="4A3FFA8C"/>
    <w:rsid w:val="4A43A0DA"/>
    <w:rsid w:val="4A4EC291"/>
    <w:rsid w:val="4A58C53B"/>
    <w:rsid w:val="4A7ADE80"/>
    <w:rsid w:val="4A7CAD37"/>
    <w:rsid w:val="4A8F1A57"/>
    <w:rsid w:val="4A94E156"/>
    <w:rsid w:val="4A96146C"/>
    <w:rsid w:val="4ABF6E70"/>
    <w:rsid w:val="4AC1D759"/>
    <w:rsid w:val="4AC9C61A"/>
    <w:rsid w:val="4BA7E664"/>
    <w:rsid w:val="4BAEE27A"/>
    <w:rsid w:val="4BB353B2"/>
    <w:rsid w:val="4C375F19"/>
    <w:rsid w:val="4C4B71A8"/>
    <w:rsid w:val="4C589596"/>
    <w:rsid w:val="4C8ABFA8"/>
    <w:rsid w:val="4C9D10EA"/>
    <w:rsid w:val="4CEC3364"/>
    <w:rsid w:val="4CFBDAC3"/>
    <w:rsid w:val="4D15F68D"/>
    <w:rsid w:val="4DD2AE81"/>
    <w:rsid w:val="4E1BA9AE"/>
    <w:rsid w:val="4E23C6BE"/>
    <w:rsid w:val="4E242BBF"/>
    <w:rsid w:val="4E414670"/>
    <w:rsid w:val="4E417773"/>
    <w:rsid w:val="4E5D2DE9"/>
    <w:rsid w:val="4EB4FB32"/>
    <w:rsid w:val="4ED767B6"/>
    <w:rsid w:val="4EFE3756"/>
    <w:rsid w:val="4EFF55AF"/>
    <w:rsid w:val="4F0302E0"/>
    <w:rsid w:val="4F22AB08"/>
    <w:rsid w:val="4F4DC2C1"/>
    <w:rsid w:val="4F778BEE"/>
    <w:rsid w:val="4F825CE7"/>
    <w:rsid w:val="4FC8FEAD"/>
    <w:rsid w:val="4FCAF32D"/>
    <w:rsid w:val="4FF9DE60"/>
    <w:rsid w:val="500CB166"/>
    <w:rsid w:val="503E079B"/>
    <w:rsid w:val="50444F4D"/>
    <w:rsid w:val="509CAF83"/>
    <w:rsid w:val="50A16A95"/>
    <w:rsid w:val="50EFA3FC"/>
    <w:rsid w:val="50FDE59D"/>
    <w:rsid w:val="5175F64E"/>
    <w:rsid w:val="5182A3F4"/>
    <w:rsid w:val="51C32BBA"/>
    <w:rsid w:val="51E6C27A"/>
    <w:rsid w:val="51EEB65A"/>
    <w:rsid w:val="51FBAC78"/>
    <w:rsid w:val="5208FDF9"/>
    <w:rsid w:val="5261A081"/>
    <w:rsid w:val="53013CFC"/>
    <w:rsid w:val="5354DF3E"/>
    <w:rsid w:val="537B99C2"/>
    <w:rsid w:val="53CBBEE0"/>
    <w:rsid w:val="54050C85"/>
    <w:rsid w:val="54342F3B"/>
    <w:rsid w:val="5435859E"/>
    <w:rsid w:val="5441B20C"/>
    <w:rsid w:val="5467D92E"/>
    <w:rsid w:val="54C5157C"/>
    <w:rsid w:val="55013F78"/>
    <w:rsid w:val="55160136"/>
    <w:rsid w:val="553B0072"/>
    <w:rsid w:val="554D7DE8"/>
    <w:rsid w:val="557800C9"/>
    <w:rsid w:val="5591D5F1"/>
    <w:rsid w:val="560223F8"/>
    <w:rsid w:val="56186A8E"/>
    <w:rsid w:val="566B4584"/>
    <w:rsid w:val="569F300B"/>
    <w:rsid w:val="56A9FC81"/>
    <w:rsid w:val="56B0FD94"/>
    <w:rsid w:val="56E49291"/>
    <w:rsid w:val="57565DD2"/>
    <w:rsid w:val="575CD854"/>
    <w:rsid w:val="5793C6B1"/>
    <w:rsid w:val="580A2486"/>
    <w:rsid w:val="58315355"/>
    <w:rsid w:val="58D9FDFD"/>
    <w:rsid w:val="58E0393D"/>
    <w:rsid w:val="58EF0769"/>
    <w:rsid w:val="590F8DA9"/>
    <w:rsid w:val="592AFCB1"/>
    <w:rsid w:val="59319672"/>
    <w:rsid w:val="593D2D68"/>
    <w:rsid w:val="5968C98C"/>
    <w:rsid w:val="596E568F"/>
    <w:rsid w:val="597ECFD9"/>
    <w:rsid w:val="5993E00C"/>
    <w:rsid w:val="599730E1"/>
    <w:rsid w:val="599C263D"/>
    <w:rsid w:val="59F40FA5"/>
    <w:rsid w:val="59FA66C0"/>
    <w:rsid w:val="5A362531"/>
    <w:rsid w:val="5A94C446"/>
    <w:rsid w:val="5AAA1D9A"/>
    <w:rsid w:val="5ABA110D"/>
    <w:rsid w:val="5AF4CF0E"/>
    <w:rsid w:val="5B36AE72"/>
    <w:rsid w:val="5B58436F"/>
    <w:rsid w:val="5B9449B9"/>
    <w:rsid w:val="5BA2DD12"/>
    <w:rsid w:val="5BB4439C"/>
    <w:rsid w:val="5BBA9CE0"/>
    <w:rsid w:val="5C01B3E7"/>
    <w:rsid w:val="5C2EB3F9"/>
    <w:rsid w:val="5C3CFCC4"/>
    <w:rsid w:val="5C3E61C5"/>
    <w:rsid w:val="5C4B4700"/>
    <w:rsid w:val="5C52124B"/>
    <w:rsid w:val="5C6E4208"/>
    <w:rsid w:val="5CAFFFD8"/>
    <w:rsid w:val="5CB04DB6"/>
    <w:rsid w:val="5CB682BB"/>
    <w:rsid w:val="5CD6A398"/>
    <w:rsid w:val="5CE4EEFA"/>
    <w:rsid w:val="5D7AE6C4"/>
    <w:rsid w:val="5D952DC5"/>
    <w:rsid w:val="5D98AFA8"/>
    <w:rsid w:val="5DB99B0B"/>
    <w:rsid w:val="5DD22469"/>
    <w:rsid w:val="5DE9020B"/>
    <w:rsid w:val="5E0EF381"/>
    <w:rsid w:val="5E34EEA1"/>
    <w:rsid w:val="5E60107A"/>
    <w:rsid w:val="5ED95773"/>
    <w:rsid w:val="5EE693C9"/>
    <w:rsid w:val="5F06E96C"/>
    <w:rsid w:val="5F14D15D"/>
    <w:rsid w:val="5F32E3D7"/>
    <w:rsid w:val="5F52A3E0"/>
    <w:rsid w:val="5F538863"/>
    <w:rsid w:val="5F5CAAD7"/>
    <w:rsid w:val="5F64CEF2"/>
    <w:rsid w:val="5F7A2F4D"/>
    <w:rsid w:val="5F9B385E"/>
    <w:rsid w:val="5FDC6103"/>
    <w:rsid w:val="5FE58FAE"/>
    <w:rsid w:val="5FECC041"/>
    <w:rsid w:val="6006C926"/>
    <w:rsid w:val="609E0872"/>
    <w:rsid w:val="60B524BD"/>
    <w:rsid w:val="60BCA495"/>
    <w:rsid w:val="60D6C139"/>
    <w:rsid w:val="60E2CBB0"/>
    <w:rsid w:val="61574CB3"/>
    <w:rsid w:val="6161FFAD"/>
    <w:rsid w:val="6165D59F"/>
    <w:rsid w:val="61677A03"/>
    <w:rsid w:val="617402EB"/>
    <w:rsid w:val="6187A321"/>
    <w:rsid w:val="61C30E87"/>
    <w:rsid w:val="61FA62BF"/>
    <w:rsid w:val="625F20ED"/>
    <w:rsid w:val="626ADECA"/>
    <w:rsid w:val="626EC590"/>
    <w:rsid w:val="62D2852D"/>
    <w:rsid w:val="62EFEF64"/>
    <w:rsid w:val="63076FE4"/>
    <w:rsid w:val="63260DCC"/>
    <w:rsid w:val="63554698"/>
    <w:rsid w:val="636A1460"/>
    <w:rsid w:val="637C7D5C"/>
    <w:rsid w:val="63B57F68"/>
    <w:rsid w:val="63EEE9D1"/>
    <w:rsid w:val="63FA8A56"/>
    <w:rsid w:val="6411DAB1"/>
    <w:rsid w:val="642B09B0"/>
    <w:rsid w:val="642EC833"/>
    <w:rsid w:val="642FB1F4"/>
    <w:rsid w:val="6439CE29"/>
    <w:rsid w:val="644F8FD6"/>
    <w:rsid w:val="6453A13D"/>
    <w:rsid w:val="647B5AA6"/>
    <w:rsid w:val="64C1BDF6"/>
    <w:rsid w:val="64D3D10E"/>
    <w:rsid w:val="64EDF50E"/>
    <w:rsid w:val="6520820D"/>
    <w:rsid w:val="65718DE7"/>
    <w:rsid w:val="659C3E30"/>
    <w:rsid w:val="659F19FA"/>
    <w:rsid w:val="65C38B67"/>
    <w:rsid w:val="660FEB0F"/>
    <w:rsid w:val="661F8889"/>
    <w:rsid w:val="664744C7"/>
    <w:rsid w:val="666ED460"/>
    <w:rsid w:val="66FAF6F1"/>
    <w:rsid w:val="66FD94A7"/>
    <w:rsid w:val="6727FACC"/>
    <w:rsid w:val="67415756"/>
    <w:rsid w:val="677EF1F1"/>
    <w:rsid w:val="67AB7303"/>
    <w:rsid w:val="67BB1CEE"/>
    <w:rsid w:val="6835D809"/>
    <w:rsid w:val="6841144A"/>
    <w:rsid w:val="684AA396"/>
    <w:rsid w:val="687950D1"/>
    <w:rsid w:val="689F05AB"/>
    <w:rsid w:val="68A80869"/>
    <w:rsid w:val="68B28366"/>
    <w:rsid w:val="68E4779B"/>
    <w:rsid w:val="69471EB7"/>
    <w:rsid w:val="6956BE95"/>
    <w:rsid w:val="696BF90F"/>
    <w:rsid w:val="697915B7"/>
    <w:rsid w:val="69990CD4"/>
    <w:rsid w:val="69CC7329"/>
    <w:rsid w:val="69E6E690"/>
    <w:rsid w:val="6A05C02E"/>
    <w:rsid w:val="6A0BF24D"/>
    <w:rsid w:val="6A228A4D"/>
    <w:rsid w:val="6A76621E"/>
    <w:rsid w:val="6A768AAB"/>
    <w:rsid w:val="6A79AB5B"/>
    <w:rsid w:val="6A7AE69A"/>
    <w:rsid w:val="6AA15A96"/>
    <w:rsid w:val="6AAD1540"/>
    <w:rsid w:val="6AC91411"/>
    <w:rsid w:val="6AE995D7"/>
    <w:rsid w:val="6B15FED0"/>
    <w:rsid w:val="6B263A31"/>
    <w:rsid w:val="6B2F5FB5"/>
    <w:rsid w:val="6B3E6851"/>
    <w:rsid w:val="6B4E7C05"/>
    <w:rsid w:val="6B515D68"/>
    <w:rsid w:val="6B54EE83"/>
    <w:rsid w:val="6B6F75BE"/>
    <w:rsid w:val="6B71DF69"/>
    <w:rsid w:val="6BE5B3BC"/>
    <w:rsid w:val="6BE7477C"/>
    <w:rsid w:val="6BF0948E"/>
    <w:rsid w:val="6C1BBFF2"/>
    <w:rsid w:val="6C5DF0BE"/>
    <w:rsid w:val="6C650E08"/>
    <w:rsid w:val="6C710842"/>
    <w:rsid w:val="6C8EA709"/>
    <w:rsid w:val="6C90E51C"/>
    <w:rsid w:val="6CEC59AB"/>
    <w:rsid w:val="6D1034D4"/>
    <w:rsid w:val="6D3841AB"/>
    <w:rsid w:val="6D61E947"/>
    <w:rsid w:val="6D95D804"/>
    <w:rsid w:val="6E88B05E"/>
    <w:rsid w:val="6F0A23B1"/>
    <w:rsid w:val="6F5AE77B"/>
    <w:rsid w:val="6F84F546"/>
    <w:rsid w:val="6FD28096"/>
    <w:rsid w:val="6FE4861E"/>
    <w:rsid w:val="704F6773"/>
    <w:rsid w:val="70CC00A7"/>
    <w:rsid w:val="70E185D6"/>
    <w:rsid w:val="70EBAEBB"/>
    <w:rsid w:val="70FE3FD2"/>
    <w:rsid w:val="71082716"/>
    <w:rsid w:val="71150085"/>
    <w:rsid w:val="711C7CED"/>
    <w:rsid w:val="714C2592"/>
    <w:rsid w:val="715F0D5D"/>
    <w:rsid w:val="717E21A2"/>
    <w:rsid w:val="71808759"/>
    <w:rsid w:val="71854174"/>
    <w:rsid w:val="7191D2A4"/>
    <w:rsid w:val="719AF87E"/>
    <w:rsid w:val="71B0ACF4"/>
    <w:rsid w:val="71B981EB"/>
    <w:rsid w:val="71C58B89"/>
    <w:rsid w:val="71CBC8F1"/>
    <w:rsid w:val="71F707F9"/>
    <w:rsid w:val="7205B726"/>
    <w:rsid w:val="720F81F1"/>
    <w:rsid w:val="7234EBB7"/>
    <w:rsid w:val="723981C8"/>
    <w:rsid w:val="72424C17"/>
    <w:rsid w:val="72459C4C"/>
    <w:rsid w:val="72541D1E"/>
    <w:rsid w:val="7255FED0"/>
    <w:rsid w:val="726E2290"/>
    <w:rsid w:val="730054B5"/>
    <w:rsid w:val="7312AC43"/>
    <w:rsid w:val="73140757"/>
    <w:rsid w:val="7325608A"/>
    <w:rsid w:val="7335BC03"/>
    <w:rsid w:val="735343FB"/>
    <w:rsid w:val="735B4BF1"/>
    <w:rsid w:val="73703671"/>
    <w:rsid w:val="738F96EC"/>
    <w:rsid w:val="73A20043"/>
    <w:rsid w:val="73A92CF4"/>
    <w:rsid w:val="740B28FC"/>
    <w:rsid w:val="741CCBF5"/>
    <w:rsid w:val="742DEBBB"/>
    <w:rsid w:val="746A45C5"/>
    <w:rsid w:val="747AF53B"/>
    <w:rsid w:val="7494821C"/>
    <w:rsid w:val="74F95F14"/>
    <w:rsid w:val="750B8C5C"/>
    <w:rsid w:val="75744F2C"/>
    <w:rsid w:val="75979BED"/>
    <w:rsid w:val="75AD37FF"/>
    <w:rsid w:val="75D30622"/>
    <w:rsid w:val="7638B49E"/>
    <w:rsid w:val="7667310A"/>
    <w:rsid w:val="767AD8BE"/>
    <w:rsid w:val="76B173F3"/>
    <w:rsid w:val="76E96813"/>
    <w:rsid w:val="76F7493D"/>
    <w:rsid w:val="77406219"/>
    <w:rsid w:val="7747B4EB"/>
    <w:rsid w:val="7764328D"/>
    <w:rsid w:val="7773FB9C"/>
    <w:rsid w:val="7798F622"/>
    <w:rsid w:val="77A00D37"/>
    <w:rsid w:val="77D7F71B"/>
    <w:rsid w:val="77E1CACD"/>
    <w:rsid w:val="7806F75A"/>
    <w:rsid w:val="785A543D"/>
    <w:rsid w:val="787EBE7C"/>
    <w:rsid w:val="78A447EE"/>
    <w:rsid w:val="78AB5ABF"/>
    <w:rsid w:val="78ABE445"/>
    <w:rsid w:val="78B7A35D"/>
    <w:rsid w:val="78DA0A7A"/>
    <w:rsid w:val="78F8EB50"/>
    <w:rsid w:val="791B49E3"/>
    <w:rsid w:val="7934880B"/>
    <w:rsid w:val="7936FCCE"/>
    <w:rsid w:val="79409207"/>
    <w:rsid w:val="7958AF63"/>
    <w:rsid w:val="795DBE71"/>
    <w:rsid w:val="7A061CCD"/>
    <w:rsid w:val="7A23EF3F"/>
    <w:rsid w:val="7A485CF7"/>
    <w:rsid w:val="7A5C450C"/>
    <w:rsid w:val="7A6E4A9E"/>
    <w:rsid w:val="7A78EADA"/>
    <w:rsid w:val="7A89EA59"/>
    <w:rsid w:val="7A979322"/>
    <w:rsid w:val="7AA56C79"/>
    <w:rsid w:val="7ABCD1A2"/>
    <w:rsid w:val="7AC4CB2B"/>
    <w:rsid w:val="7AD7ACD3"/>
    <w:rsid w:val="7ADBB63A"/>
    <w:rsid w:val="7AE75CB0"/>
    <w:rsid w:val="7B09421F"/>
    <w:rsid w:val="7B2D0FFF"/>
    <w:rsid w:val="7B6AA9FF"/>
    <w:rsid w:val="7BC2CD31"/>
    <w:rsid w:val="7C284BF4"/>
    <w:rsid w:val="7C2F077B"/>
    <w:rsid w:val="7C4D0368"/>
    <w:rsid w:val="7C56C570"/>
    <w:rsid w:val="7C9EE91E"/>
    <w:rsid w:val="7CA3794D"/>
    <w:rsid w:val="7CAA812D"/>
    <w:rsid w:val="7CB020B7"/>
    <w:rsid w:val="7CB9D059"/>
    <w:rsid w:val="7CCCE171"/>
    <w:rsid w:val="7CDB03E1"/>
    <w:rsid w:val="7D5E1D3F"/>
    <w:rsid w:val="7D7532FB"/>
    <w:rsid w:val="7D859EFF"/>
    <w:rsid w:val="7DFEB898"/>
    <w:rsid w:val="7E110F45"/>
    <w:rsid w:val="7E2FE5A8"/>
    <w:rsid w:val="7E329B6A"/>
    <w:rsid w:val="7E554A80"/>
    <w:rsid w:val="7E6E1568"/>
    <w:rsid w:val="7E71FFD9"/>
    <w:rsid w:val="7E9499A0"/>
    <w:rsid w:val="7E9558B6"/>
    <w:rsid w:val="7EA16353"/>
    <w:rsid w:val="7ECD48E7"/>
    <w:rsid w:val="7EF9D1F2"/>
    <w:rsid w:val="7F1B32DB"/>
    <w:rsid w:val="7F21E175"/>
    <w:rsid w:val="7F2B6D9D"/>
    <w:rsid w:val="7F4029E9"/>
    <w:rsid w:val="7F511191"/>
    <w:rsid w:val="7F709933"/>
    <w:rsid w:val="7F823F5B"/>
    <w:rsid w:val="7F87945A"/>
    <w:rsid w:val="7FAB647B"/>
    <w:rsid w:val="7FAF1AD0"/>
    <w:rsid w:val="7FE200E0"/>
    <w:rsid w:val="7FE25B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0427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07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7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2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7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2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2F"/>
    <w:rPr>
      <w:rFonts w:eastAsiaTheme="majorEastAsia" w:cstheme="majorBidi"/>
      <w:color w:val="272727" w:themeColor="text1" w:themeTint="D8"/>
    </w:rPr>
  </w:style>
  <w:style w:type="paragraph" w:styleId="Title">
    <w:name w:val="Title"/>
    <w:basedOn w:val="Normal"/>
    <w:next w:val="Normal"/>
    <w:link w:val="TitleChar"/>
    <w:uiPriority w:val="10"/>
    <w:qFormat/>
    <w:rsid w:val="00A07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2F"/>
    <w:pPr>
      <w:spacing w:before="160"/>
      <w:jc w:val="center"/>
    </w:pPr>
    <w:rPr>
      <w:i/>
      <w:iCs/>
      <w:color w:val="404040" w:themeColor="text1" w:themeTint="BF"/>
    </w:rPr>
  </w:style>
  <w:style w:type="character" w:customStyle="1" w:styleId="QuoteChar">
    <w:name w:val="Quote Char"/>
    <w:basedOn w:val="DefaultParagraphFont"/>
    <w:link w:val="Quote"/>
    <w:uiPriority w:val="29"/>
    <w:rsid w:val="00A0722F"/>
    <w:rPr>
      <w:i/>
      <w:iCs/>
      <w:color w:val="404040" w:themeColor="text1" w:themeTint="BF"/>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rsid w:val="00A0722F"/>
    <w:pPr>
      <w:ind w:left="720"/>
      <w:contextualSpacing/>
    </w:pPr>
  </w:style>
  <w:style w:type="character" w:styleId="IntenseEmphasis">
    <w:name w:val="Intense Emphasis"/>
    <w:basedOn w:val="DefaultParagraphFont"/>
    <w:uiPriority w:val="21"/>
    <w:qFormat/>
    <w:rsid w:val="00A0722F"/>
    <w:rPr>
      <w:i/>
      <w:iCs/>
      <w:color w:val="0F4761" w:themeColor="accent1" w:themeShade="BF"/>
    </w:rPr>
  </w:style>
  <w:style w:type="paragraph" w:styleId="IntenseQuote">
    <w:name w:val="Intense Quote"/>
    <w:basedOn w:val="Normal"/>
    <w:next w:val="Normal"/>
    <w:link w:val="IntenseQuoteChar"/>
    <w:uiPriority w:val="30"/>
    <w:qFormat/>
    <w:rsid w:val="00A07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2F"/>
    <w:rPr>
      <w:i/>
      <w:iCs/>
      <w:color w:val="0F4761" w:themeColor="accent1" w:themeShade="BF"/>
    </w:rPr>
  </w:style>
  <w:style w:type="character" w:styleId="IntenseReference">
    <w:name w:val="Intense Reference"/>
    <w:basedOn w:val="DefaultParagraphFont"/>
    <w:uiPriority w:val="32"/>
    <w:qFormat/>
    <w:rsid w:val="00A0722F"/>
    <w:rPr>
      <w:b/>
      <w:bCs/>
      <w:smallCaps/>
      <w:color w:val="0F4761" w:themeColor="accent1" w:themeShade="BF"/>
      <w:spacing w:val="5"/>
    </w:rPr>
  </w:style>
  <w:style w:type="character" w:customStyle="1" w:styleId="Marker">
    <w:name w:val="Marker"/>
    <w:basedOn w:val="DefaultParagraphFont"/>
    <w:rsid w:val="00A0722F"/>
    <w:rPr>
      <w:color w:val="0000FF"/>
      <w:shd w:val="clear" w:color="auto" w:fill="auto"/>
    </w:rPr>
  </w:style>
  <w:style w:type="paragraph" w:styleId="Header">
    <w:name w:val="header"/>
    <w:basedOn w:val="Normal"/>
    <w:link w:val="HeaderChar"/>
    <w:uiPriority w:val="99"/>
    <w:unhideWhenUsed/>
    <w:rsid w:val="00A072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2F"/>
  </w:style>
  <w:style w:type="paragraph" w:styleId="Footer">
    <w:name w:val="footer"/>
    <w:basedOn w:val="Normal"/>
    <w:link w:val="FooterChar"/>
    <w:uiPriority w:val="99"/>
    <w:unhideWhenUsed/>
    <w:rsid w:val="00A072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2F"/>
  </w:style>
  <w:style w:type="paragraph" w:customStyle="1" w:styleId="Pagedecouverture">
    <w:name w:val="Page de couverture"/>
    <w:basedOn w:val="Normal"/>
    <w:next w:val="Normal"/>
    <w:rsid w:val="00A0722F"/>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0722F"/>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0722F"/>
    <w:rPr>
      <w:rFonts w:ascii="Times New Roman" w:hAnsi="Times New Roman" w:cs="Times New Roman"/>
    </w:rPr>
  </w:style>
  <w:style w:type="paragraph" w:customStyle="1" w:styleId="FooterSensitivity">
    <w:name w:val="Footer Sensitivity"/>
    <w:basedOn w:val="Normal"/>
    <w:link w:val="FooterSensitivityChar"/>
    <w:rsid w:val="00A0722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0722F"/>
    <w:rPr>
      <w:rFonts w:ascii="Times New Roman" w:hAnsi="Times New Roman" w:cs="Times New Roman"/>
      <w:b/>
      <w:sz w:val="32"/>
    </w:rPr>
  </w:style>
  <w:style w:type="paragraph" w:customStyle="1" w:styleId="HeaderCoverPage">
    <w:name w:val="Header Cover Page"/>
    <w:basedOn w:val="Normal"/>
    <w:link w:val="HeaderCoverPageChar"/>
    <w:rsid w:val="00A0722F"/>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0722F"/>
    <w:rPr>
      <w:rFonts w:ascii="Times New Roman" w:hAnsi="Times New Roman" w:cs="Times New Roman"/>
    </w:rPr>
  </w:style>
  <w:style w:type="paragraph" w:customStyle="1" w:styleId="HeaderSensitivity">
    <w:name w:val="Header Sensitivity"/>
    <w:basedOn w:val="Normal"/>
    <w:link w:val="HeaderSensitivityChar"/>
    <w:rsid w:val="00A0722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0722F"/>
    <w:rPr>
      <w:rFonts w:ascii="Times New Roman" w:hAnsi="Times New Roman" w:cs="Times New Roman"/>
      <w:b/>
      <w:sz w:val="32"/>
    </w:rPr>
  </w:style>
  <w:style w:type="paragraph" w:customStyle="1" w:styleId="HeaderSensitivityRight">
    <w:name w:val="Header Sensitivity Right"/>
    <w:basedOn w:val="Normal"/>
    <w:link w:val="HeaderSensitivityRightChar"/>
    <w:rsid w:val="00E7628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0722F"/>
    <w:rPr>
      <w:rFonts w:ascii="Times New Roman" w:hAnsi="Times New Roman" w:cs="Times New Roman"/>
      <w:sz w:val="28"/>
    </w:rPr>
  </w:style>
  <w:style w:type="paragraph" w:styleId="FootnoteText">
    <w:name w:val="footnote text"/>
    <w:basedOn w:val="Normal"/>
    <w:link w:val="FootnoteTextChar"/>
    <w:uiPriority w:val="99"/>
    <w:semiHidden/>
    <w:unhideWhenUsed/>
    <w:rsid w:val="00456B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B58"/>
    <w:rPr>
      <w:sz w:val="20"/>
      <w:szCs w:val="20"/>
      <w:lang w:val="ro-RO"/>
    </w:rPr>
  </w:style>
  <w:style w:type="character" w:styleId="FootnoteReference">
    <w:name w:val="footnote reference"/>
    <w:basedOn w:val="DefaultParagraphFont"/>
    <w:uiPriority w:val="99"/>
    <w:semiHidden/>
    <w:unhideWhenUsed/>
    <w:rsid w:val="00456B58"/>
    <w:rPr>
      <w:vertAlign w:val="superscript"/>
    </w:rPr>
  </w:style>
  <w:style w:type="character" w:styleId="Hyperlink">
    <w:name w:val="Hyperlink"/>
    <w:basedOn w:val="DefaultParagraphFont"/>
    <w:uiPriority w:val="99"/>
    <w:unhideWhenUsed/>
    <w:rsid w:val="00456B58"/>
    <w:rPr>
      <w:color w:val="467886" w:themeColor="hyperlink"/>
      <w:u w:val="single"/>
    </w:rPr>
  </w:style>
  <w:style w:type="character" w:customStyle="1" w:styleId="UnresolvedMention1">
    <w:name w:val="Unresolved Mention1"/>
    <w:basedOn w:val="DefaultParagraphFont"/>
    <w:uiPriority w:val="99"/>
    <w:semiHidden/>
    <w:unhideWhenUsed/>
    <w:rsid w:val="00456B58"/>
    <w:rPr>
      <w:color w:val="605E5C"/>
      <w:shd w:val="clear" w:color="auto" w:fill="E1DFDD"/>
    </w:rPr>
  </w:style>
  <w:style w:type="table" w:styleId="TableGrid">
    <w:name w:val="Table Grid"/>
    <w:basedOn w:val="TableNormal"/>
    <w:uiPriority w:val="59"/>
    <w:rsid w:val="00456B5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rsid w:val="00456B58"/>
  </w:style>
  <w:style w:type="paragraph" w:customStyle="1" w:styleId="paragraph">
    <w:name w:val="paragraph"/>
    <w:basedOn w:val="Normal"/>
    <w:rsid w:val="00456B58"/>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456B58"/>
  </w:style>
  <w:style w:type="character" w:customStyle="1" w:styleId="eop">
    <w:name w:val="eop"/>
    <w:basedOn w:val="DefaultParagraphFont"/>
    <w:rsid w:val="00456B58"/>
  </w:style>
  <w:style w:type="paragraph" w:styleId="CommentText">
    <w:name w:val="annotation text"/>
    <w:basedOn w:val="Normal"/>
    <w:link w:val="CommentTextChar"/>
    <w:uiPriority w:val="99"/>
    <w:unhideWhenUsed/>
    <w:rsid w:val="00456B58"/>
    <w:pPr>
      <w:spacing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456B58"/>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456B58"/>
    <w:rPr>
      <w:sz w:val="16"/>
      <w:szCs w:val="16"/>
    </w:rPr>
  </w:style>
  <w:style w:type="character" w:styleId="FollowedHyperlink">
    <w:name w:val="FollowedHyperlink"/>
    <w:basedOn w:val="DefaultParagraphFont"/>
    <w:uiPriority w:val="99"/>
    <w:semiHidden/>
    <w:unhideWhenUsed/>
    <w:rsid w:val="00456B58"/>
    <w:rPr>
      <w:color w:val="96607D" w:themeColor="followedHyperlink"/>
      <w:u w:val="single"/>
    </w:rPr>
  </w:style>
  <w:style w:type="paragraph" w:customStyle="1" w:styleId="s2">
    <w:name w:val="s2"/>
    <w:basedOn w:val="Normal"/>
    <w:rsid w:val="00456B58"/>
    <w:pPr>
      <w:spacing w:before="100" w:beforeAutospacing="1" w:after="100" w:afterAutospacing="1" w:line="240" w:lineRule="auto"/>
    </w:pPr>
    <w:rPr>
      <w:rFonts w:ascii="Aptos" w:hAnsi="Aptos" w:cs="Aptos"/>
      <w:kern w:val="0"/>
      <w:lang w:eastAsia="en-IE"/>
      <w14:ligatures w14:val="none"/>
    </w:rPr>
  </w:style>
  <w:style w:type="paragraph" w:styleId="CommentSubject">
    <w:name w:val="annotation subject"/>
    <w:basedOn w:val="CommentText"/>
    <w:next w:val="CommentText"/>
    <w:link w:val="CommentSubjectChar"/>
    <w:uiPriority w:val="99"/>
    <w:semiHidden/>
    <w:unhideWhenUsed/>
    <w:rsid w:val="00456B58"/>
    <w:pPr>
      <w:spacing w:after="200"/>
    </w:pPr>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456B58"/>
    <w:rPr>
      <w:rFonts w:eastAsiaTheme="minorEastAsia"/>
      <w:b/>
      <w:bCs/>
      <w:kern w:val="0"/>
      <w:sz w:val="20"/>
      <w:szCs w:val="20"/>
      <w:lang w:val="ro-RO"/>
      <w14:ligatures w14:val="none"/>
    </w:rPr>
  </w:style>
  <w:style w:type="paragraph" w:styleId="Revision">
    <w:name w:val="Revision"/>
    <w:hidden/>
    <w:uiPriority w:val="99"/>
    <w:semiHidden/>
    <w:rsid w:val="00456B58"/>
    <w:pPr>
      <w:spacing w:after="0" w:line="240" w:lineRule="auto"/>
    </w:pPr>
    <w:rPr>
      <w:sz w:val="22"/>
      <w:szCs w:val="22"/>
    </w:rPr>
  </w:style>
  <w:style w:type="character" w:customStyle="1" w:styleId="Mention1">
    <w:name w:val="Mention1"/>
    <w:basedOn w:val="DefaultParagraphFont"/>
    <w:uiPriority w:val="99"/>
    <w:unhideWhenUsed/>
    <w:rsid w:val="00456B58"/>
    <w:rPr>
      <w:color w:val="2B579A"/>
      <w:shd w:val="clear" w:color="auto" w:fill="E1DFDD"/>
    </w:rPr>
  </w:style>
  <w:style w:type="paragraph" w:styleId="NoSpacing">
    <w:name w:val="No Spacing"/>
    <w:uiPriority w:val="1"/>
    <w:qFormat/>
    <w:rsid w:val="00500FD3"/>
    <w:pPr>
      <w:spacing w:after="0" w:line="240" w:lineRule="auto"/>
    </w:pPr>
  </w:style>
  <w:style w:type="paragraph" w:customStyle="1" w:styleId="Disclaimer">
    <w:name w:val="Disclaimer"/>
    <w:basedOn w:val="Normal"/>
    <w:rsid w:val="00F1193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F11930"/>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F11930"/>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F11930"/>
    <w:pPr>
      <w:spacing w:after="0" w:line="276" w:lineRule="auto"/>
      <w:ind w:left="5103"/>
    </w:pPr>
    <w:rPr>
      <w:rFonts w:ascii="Times New Roman" w:hAnsi="Times New Roman" w:cs="Times New Roman"/>
      <w:i/>
      <w:kern w:val="0"/>
      <w:sz w:val="28"/>
      <w:szCs w:val="22"/>
      <w14:ligatures w14:val="none"/>
    </w:rPr>
  </w:style>
  <w:style w:type="character" w:customStyle="1" w:styleId="UnresolvedMention">
    <w:name w:val="Unresolved Mention"/>
    <w:basedOn w:val="DefaultParagraphFont"/>
    <w:uiPriority w:val="99"/>
    <w:semiHidden/>
    <w:unhideWhenUsed/>
    <w:rsid w:val="00634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2282">
      <w:bodyDiv w:val="1"/>
      <w:marLeft w:val="0"/>
      <w:marRight w:val="0"/>
      <w:marTop w:val="0"/>
      <w:marBottom w:val="0"/>
      <w:divBdr>
        <w:top w:val="none" w:sz="0" w:space="0" w:color="auto"/>
        <w:left w:val="none" w:sz="0" w:space="0" w:color="auto"/>
        <w:bottom w:val="none" w:sz="0" w:space="0" w:color="auto"/>
        <w:right w:val="none" w:sz="0" w:space="0" w:color="auto"/>
      </w:divBdr>
    </w:div>
    <w:div w:id="68886334">
      <w:bodyDiv w:val="1"/>
      <w:marLeft w:val="0"/>
      <w:marRight w:val="0"/>
      <w:marTop w:val="0"/>
      <w:marBottom w:val="0"/>
      <w:divBdr>
        <w:top w:val="none" w:sz="0" w:space="0" w:color="auto"/>
        <w:left w:val="none" w:sz="0" w:space="0" w:color="auto"/>
        <w:bottom w:val="none" w:sz="0" w:space="0" w:color="auto"/>
        <w:right w:val="none" w:sz="0" w:space="0" w:color="auto"/>
      </w:divBdr>
    </w:div>
    <w:div w:id="99299058">
      <w:bodyDiv w:val="1"/>
      <w:marLeft w:val="0"/>
      <w:marRight w:val="0"/>
      <w:marTop w:val="0"/>
      <w:marBottom w:val="0"/>
      <w:divBdr>
        <w:top w:val="none" w:sz="0" w:space="0" w:color="auto"/>
        <w:left w:val="none" w:sz="0" w:space="0" w:color="auto"/>
        <w:bottom w:val="none" w:sz="0" w:space="0" w:color="auto"/>
        <w:right w:val="none" w:sz="0" w:space="0" w:color="auto"/>
      </w:divBdr>
    </w:div>
    <w:div w:id="152180436">
      <w:bodyDiv w:val="1"/>
      <w:marLeft w:val="0"/>
      <w:marRight w:val="0"/>
      <w:marTop w:val="0"/>
      <w:marBottom w:val="0"/>
      <w:divBdr>
        <w:top w:val="none" w:sz="0" w:space="0" w:color="auto"/>
        <w:left w:val="none" w:sz="0" w:space="0" w:color="auto"/>
        <w:bottom w:val="none" w:sz="0" w:space="0" w:color="auto"/>
        <w:right w:val="none" w:sz="0" w:space="0" w:color="auto"/>
      </w:divBdr>
    </w:div>
    <w:div w:id="311063075">
      <w:bodyDiv w:val="1"/>
      <w:marLeft w:val="0"/>
      <w:marRight w:val="0"/>
      <w:marTop w:val="0"/>
      <w:marBottom w:val="0"/>
      <w:divBdr>
        <w:top w:val="none" w:sz="0" w:space="0" w:color="auto"/>
        <w:left w:val="none" w:sz="0" w:space="0" w:color="auto"/>
        <w:bottom w:val="none" w:sz="0" w:space="0" w:color="auto"/>
        <w:right w:val="none" w:sz="0" w:space="0" w:color="auto"/>
      </w:divBdr>
    </w:div>
    <w:div w:id="873691211">
      <w:bodyDiv w:val="1"/>
      <w:marLeft w:val="0"/>
      <w:marRight w:val="0"/>
      <w:marTop w:val="0"/>
      <w:marBottom w:val="0"/>
      <w:divBdr>
        <w:top w:val="none" w:sz="0" w:space="0" w:color="auto"/>
        <w:left w:val="none" w:sz="0" w:space="0" w:color="auto"/>
        <w:bottom w:val="none" w:sz="0" w:space="0" w:color="auto"/>
        <w:right w:val="none" w:sz="0" w:space="0" w:color="auto"/>
      </w:divBdr>
    </w:div>
    <w:div w:id="896891652">
      <w:bodyDiv w:val="1"/>
      <w:marLeft w:val="0"/>
      <w:marRight w:val="0"/>
      <w:marTop w:val="0"/>
      <w:marBottom w:val="0"/>
      <w:divBdr>
        <w:top w:val="none" w:sz="0" w:space="0" w:color="auto"/>
        <w:left w:val="none" w:sz="0" w:space="0" w:color="auto"/>
        <w:bottom w:val="none" w:sz="0" w:space="0" w:color="auto"/>
        <w:right w:val="none" w:sz="0" w:space="0" w:color="auto"/>
      </w:divBdr>
    </w:div>
    <w:div w:id="1608536195">
      <w:bodyDiv w:val="1"/>
      <w:marLeft w:val="0"/>
      <w:marRight w:val="0"/>
      <w:marTop w:val="0"/>
      <w:marBottom w:val="0"/>
      <w:divBdr>
        <w:top w:val="none" w:sz="0" w:space="0" w:color="auto"/>
        <w:left w:val="none" w:sz="0" w:space="0" w:color="auto"/>
        <w:bottom w:val="none" w:sz="0" w:space="0" w:color="auto"/>
        <w:right w:val="none" w:sz="0" w:space="0" w:color="auto"/>
      </w:divBdr>
    </w:div>
    <w:div w:id="1626037340">
      <w:bodyDiv w:val="1"/>
      <w:marLeft w:val="0"/>
      <w:marRight w:val="0"/>
      <w:marTop w:val="0"/>
      <w:marBottom w:val="0"/>
      <w:divBdr>
        <w:top w:val="none" w:sz="0" w:space="0" w:color="auto"/>
        <w:left w:val="none" w:sz="0" w:space="0" w:color="auto"/>
        <w:bottom w:val="none" w:sz="0" w:space="0" w:color="auto"/>
        <w:right w:val="none" w:sz="0" w:space="0" w:color="auto"/>
      </w:divBdr>
    </w:div>
    <w:div w:id="17768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crc.org/en/global-initiative-international-humanitarian-law" TargetMode="External"/><Relationship Id="rId13" Type="http://schemas.openxmlformats.org/officeDocument/2006/relationships/hyperlink" Target="https://gisf.ngo/themes/coordination-for-hsrm/saving-lives-together/" TargetMode="External"/><Relationship Id="rId18" Type="http://schemas.openxmlformats.org/officeDocument/2006/relationships/hyperlink" Target="https://www.dgecho-partners-helpdesk.eu/programmatic-partnership/programmatic-partnership" TargetMode="External"/><Relationship Id="rId3" Type="http://schemas.openxmlformats.org/officeDocument/2006/relationships/hyperlink" Target="http://www.unhcr.org/sites/default/files/2025-11/mid-year-trends-report-2025.pdf" TargetMode="External"/><Relationship Id="rId21" Type="http://schemas.openxmlformats.org/officeDocument/2006/relationships/hyperlink" Target="https://doi.org/10.1787/81982370-en" TargetMode="External"/><Relationship Id="rId7" Type="http://schemas.openxmlformats.org/officeDocument/2006/relationships/hyperlink" Target="https://ec.europa.eu/info/law/better-regulation/have-your-say/initiatives/16012-Comunicare-privind-ajutorul-umanitar_ro" TargetMode="External"/><Relationship Id="rId12" Type="http://schemas.openxmlformats.org/officeDocument/2006/relationships/hyperlink" Target="https://www.foreignminister.gov.au/minister/penny-wong/media-release/declaration-protection-humanitarian-personnel" TargetMode="External"/><Relationship Id="rId17" Type="http://schemas.openxmlformats.org/officeDocument/2006/relationships/hyperlink" Target="http://www.dgecho-partners-helpdesk.eu/ngo/actions-implementation/crisis-modifier" TargetMode="External"/><Relationship Id="rId2" Type="http://schemas.openxmlformats.org/officeDocument/2006/relationships/hyperlink" Target="https://www.icrc.org/sites/default/files/2026-02/ICRC-Appeals-2026-Overview.pdf" TargetMode="External"/><Relationship Id="rId16" Type="http://schemas.openxmlformats.org/officeDocument/2006/relationships/hyperlink" Target="https://ec.europa.eu/echo/files/policies/sectoral/doc_echo_og_inclusion_en.pdf" TargetMode="External"/><Relationship Id="rId20" Type="http://schemas.openxmlformats.org/officeDocument/2006/relationships/hyperlink" Target="https://drmkc.jrc.ec.europa.eu/inform-index" TargetMode="External"/><Relationship Id="rId1" Type="http://schemas.openxmlformats.org/officeDocument/2006/relationships/hyperlink" Target="https://drmkc.jrc.ec.europa.eu/inform-index/INFORM-Severity/Severity-Facts-Figures" TargetMode="External"/><Relationship Id="rId6" Type="http://schemas.openxmlformats.org/officeDocument/2006/relationships/hyperlink" Target="https://ec.europa.eu/echo/files/funding/hip2026/thematic_policies_annex_2026.pdf" TargetMode="External"/><Relationship Id="rId11" Type="http://schemas.openxmlformats.org/officeDocument/2006/relationships/hyperlink" Target="https://digitallibrary.un.org/record/4049572" TargetMode="External"/><Relationship Id="rId5" Type="http://schemas.openxmlformats.org/officeDocument/2006/relationships/hyperlink" Target="https://fts.unocha.org/" TargetMode="External"/><Relationship Id="rId15" Type="http://schemas.openxmlformats.org/officeDocument/2006/relationships/hyperlink" Target="https://data.europa.eu/doi/10.2795/653711" TargetMode="External"/><Relationship Id="rId10" Type="http://schemas.openxmlformats.org/officeDocument/2006/relationships/hyperlink" Target="https://humanitarianoutcomes.org/AWSR_2025" TargetMode="External"/><Relationship Id="rId19" Type="http://schemas.openxmlformats.org/officeDocument/2006/relationships/hyperlink" Target="https://www.calpnetwork.org/publication/common-donor-approach-to-humanitarian-cash-assistance-2025/" TargetMode="External"/><Relationship Id="rId4" Type="http://schemas.openxmlformats.org/officeDocument/2006/relationships/hyperlink" Target="https://doi.org/10.4060/cd9424en" TargetMode="External"/><Relationship Id="rId9" Type="http://schemas.openxmlformats.org/officeDocument/2006/relationships/hyperlink" Target="https://www.eeas.europa.eu/eeas/eu-special-representatives_en" TargetMode="External"/><Relationship Id="rId14" Type="http://schemas.openxmlformats.org/officeDocument/2006/relationships/hyperlink" Target="https://protectaidworkers.org/" TargetMode="External"/><Relationship Id="rId22" Type="http://schemas.openxmlformats.org/officeDocument/2006/relationships/hyperlink" Target="https://data.europa.eu/doi/10.2795/369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A1A6E-AA0F-4F7D-805C-5ABFE00DE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9383</Words>
  <Characters>53484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2026-05-26T19:14:00Z</dcterms:created>
  <dcterms:modified xsi:type="dcterms:W3CDTF">2026-06-15T07:03:00Z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2026-05-22T06:23:26Z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139256d1-ae87-4bdf-8bff-10b0dace9e1d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CP-015</vt:lpwstr>
  </property>
</Properties>
</file>