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FF2986" w14:textId="2051279D" w:rsidR="0026613F" w:rsidRDefault="009803EB" w:rsidP="009803EB">
      <w:pPr>
        <w:pStyle w:val="Pagedecouverture"/>
        <w:rPr>
          <w:noProof/>
        </w:rPr>
      </w:pPr>
      <w:bookmarkStart w:id="0" w:name="LW_BM_COVERPAGE"/>
      <w:r>
        <w:rPr>
          <w:noProof/>
        </w:rPr>
        <w:pict w14:anchorId="2EABE8B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0D9F9BC-D786-487F-A675-D411BD47A158" style="width:455.25pt;height:438.75pt">
            <v:imagedata r:id="rId8" o:title=""/>
          </v:shape>
        </w:pict>
      </w:r>
    </w:p>
    <w:bookmarkEnd w:id="0"/>
    <w:p w14:paraId="67E8EA72" w14:textId="77777777" w:rsidR="0026613F" w:rsidRDefault="0026613F" w:rsidP="0026613F">
      <w:pPr>
        <w:rPr>
          <w:noProof/>
        </w:rPr>
        <w:sectPr w:rsidR="0026613F" w:rsidSect="009803E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tbl>
      <w:tblPr>
        <w:tblStyle w:val="TableGrid"/>
        <w:tblW w:w="0" w:type="auto"/>
        <w:tblLook w:val="04A0" w:firstRow="1" w:lastRow="0" w:firstColumn="1" w:lastColumn="0" w:noHBand="0" w:noVBand="1"/>
      </w:tblPr>
      <w:tblGrid>
        <w:gridCol w:w="9288"/>
      </w:tblGrid>
      <w:tr w:rsidR="00AC2B0F" w14:paraId="59A77565" w14:textId="77777777" w:rsidTr="56CC4D68">
        <w:tc>
          <w:tcPr>
            <w:tcW w:w="9288" w:type="dxa"/>
            <w:shd w:val="clear" w:color="auto" w:fill="D9D9D9" w:themeFill="background1" w:themeFillShade="D9"/>
          </w:tcPr>
          <w:p w14:paraId="5D45CBC7" w14:textId="242D81B8" w:rsidR="00AC2B0F" w:rsidRPr="00950D92" w:rsidRDefault="00AC2B0F" w:rsidP="00950D92">
            <w:pPr>
              <w:spacing w:before="60" w:after="60"/>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Fișă rezumat</w:t>
            </w:r>
          </w:p>
        </w:tc>
      </w:tr>
      <w:tr w:rsidR="00AC2B0F" w14:paraId="706C6F96" w14:textId="77777777" w:rsidTr="56CC4D68">
        <w:tc>
          <w:tcPr>
            <w:tcW w:w="9288" w:type="dxa"/>
            <w:shd w:val="clear" w:color="auto" w:fill="548DD4" w:themeFill="text2" w:themeFillTint="99"/>
          </w:tcPr>
          <w:p w14:paraId="084F974F" w14:textId="2FDF4E52" w:rsidR="00AC2B0F" w:rsidRPr="00E624F5" w:rsidRDefault="00AC2B0F" w:rsidP="00950D92">
            <w:pPr>
              <w:spacing w:before="120" w:after="120"/>
              <w:rPr>
                <w:rFonts w:ascii="Times New Roman" w:hAnsi="Times New Roman" w:cs="Times New Roman"/>
                <w:b/>
                <w:bCs/>
                <w:noProof/>
                <w:color w:val="FFFFFF" w:themeColor="background1"/>
                <w:sz w:val="24"/>
                <w:szCs w:val="24"/>
              </w:rPr>
            </w:pPr>
            <w:r>
              <w:rPr>
                <w:rFonts w:ascii="Times New Roman" w:hAnsi="Times New Roman"/>
                <w:b/>
                <w:noProof/>
                <w:color w:val="FFFFFF" w:themeColor="background1"/>
                <w:sz w:val="24"/>
              </w:rPr>
              <w:t>Evaluarea impactului Propunerii de directivă privind combaterea traficului de arme de foc și a altor infracțiuni legate de armele de foc</w:t>
            </w:r>
          </w:p>
        </w:tc>
      </w:tr>
      <w:tr w:rsidR="00AC2B0F" w14:paraId="5F70B515" w14:textId="77777777" w:rsidTr="56CC4D68">
        <w:tc>
          <w:tcPr>
            <w:tcW w:w="9288" w:type="dxa"/>
            <w:shd w:val="clear" w:color="auto" w:fill="D9D9D9" w:themeFill="background1" w:themeFillShade="D9"/>
          </w:tcPr>
          <w:p w14:paraId="0B01CF0C" w14:textId="1839413C"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t>Necesitatea de a acționa</w:t>
            </w:r>
          </w:p>
        </w:tc>
      </w:tr>
      <w:tr w:rsidR="00AC2B0F" w14:paraId="01435D9F" w14:textId="77777777" w:rsidTr="56CC4D68">
        <w:tc>
          <w:tcPr>
            <w:tcW w:w="9288" w:type="dxa"/>
            <w:shd w:val="clear" w:color="auto" w:fill="F2F2F2" w:themeFill="background1" w:themeFillShade="F2"/>
          </w:tcPr>
          <w:p w14:paraId="01DFC98A" w14:textId="0A36323F"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De ce? Care este problema abordată?</w:t>
            </w:r>
          </w:p>
        </w:tc>
      </w:tr>
      <w:tr w:rsidR="00AC2B0F" w14:paraId="7FE3BD79" w14:textId="77777777" w:rsidTr="56CC4D68">
        <w:tc>
          <w:tcPr>
            <w:tcW w:w="9288" w:type="dxa"/>
          </w:tcPr>
          <w:p w14:paraId="64CBA6A3" w14:textId="1C81D095" w:rsidR="00F26154" w:rsidRDefault="00C569BF" w:rsidP="00F26154">
            <w:pPr>
              <w:jc w:val="both"/>
              <w:rPr>
                <w:rFonts w:ascii="Times New Roman" w:hAnsi="Times New Roman" w:cs="Times New Roman"/>
                <w:bCs/>
                <w:noProof/>
                <w:sz w:val="24"/>
                <w:szCs w:val="24"/>
              </w:rPr>
            </w:pPr>
            <w:r>
              <w:rPr>
                <w:rFonts w:ascii="Times New Roman" w:hAnsi="Times New Roman"/>
                <w:noProof/>
                <w:sz w:val="24"/>
              </w:rPr>
              <w:t xml:space="preserve">Provocarea generală în UE este că </w:t>
            </w:r>
            <w:r>
              <w:rPr>
                <w:rFonts w:ascii="Times New Roman" w:hAnsi="Times New Roman"/>
                <w:b/>
                <w:noProof/>
                <w:sz w:val="24"/>
              </w:rPr>
              <w:t>violența legată de armele de foc reprezintă o amenințare la adresa securității cetățenilor UE</w:t>
            </w:r>
            <w:r>
              <w:rPr>
                <w:rFonts w:ascii="Times New Roman" w:hAnsi="Times New Roman"/>
                <w:noProof/>
                <w:sz w:val="24"/>
              </w:rPr>
              <w:t xml:space="preserve">. Numărul infracțiunilor legate de armele de foc sau în cazul cărora armele de foc au fost utilizate pentru a comite o infracțiune rămâne ridicat și este în creștere în multe locuri din UE. Această provocare este direct legată de </w:t>
            </w:r>
            <w:r>
              <w:rPr>
                <w:rFonts w:ascii="Times New Roman" w:hAnsi="Times New Roman"/>
                <w:b/>
                <w:noProof/>
                <w:sz w:val="24"/>
              </w:rPr>
              <w:t>disponibilitatea ridicată a armelor de foc ilicite prezente pe teritoriul UE</w:t>
            </w:r>
            <w:r>
              <w:rPr>
                <w:rFonts w:ascii="Times New Roman" w:hAnsi="Times New Roman"/>
                <w:noProof/>
                <w:sz w:val="24"/>
              </w:rPr>
              <w:t xml:space="preserve">, deși </w:t>
            </w:r>
            <w:r>
              <w:rPr>
                <w:rFonts w:ascii="Times New Roman" w:hAnsi="Times New Roman"/>
                <w:b/>
                <w:noProof/>
                <w:sz w:val="24"/>
              </w:rPr>
              <w:t>lipsa unor date armonizate</w:t>
            </w:r>
            <w:r>
              <w:rPr>
                <w:rFonts w:ascii="Times New Roman" w:hAnsi="Times New Roman"/>
                <w:noProof/>
                <w:sz w:val="24"/>
              </w:rPr>
              <w:t xml:space="preserve"> nu permite stabilirea unei cifre precise cu privire la acest fenomen. Se preconizează că disponibilitatea ridicată a armelor de foc ilicite va crește atunci când conflictul din Ucraina se va încheia sau se va stabiliza. </w:t>
            </w:r>
          </w:p>
          <w:p w14:paraId="13D47E14" w14:textId="77777777" w:rsidR="00D41D52" w:rsidRDefault="00D41D52" w:rsidP="00F26154">
            <w:pPr>
              <w:jc w:val="both"/>
              <w:rPr>
                <w:rFonts w:ascii="Times New Roman" w:hAnsi="Times New Roman" w:cs="Times New Roman"/>
                <w:bCs/>
                <w:noProof/>
                <w:sz w:val="24"/>
                <w:szCs w:val="24"/>
              </w:rPr>
            </w:pPr>
          </w:p>
          <w:p w14:paraId="106B4FDE" w14:textId="57BC6891" w:rsidR="00AC2B0F" w:rsidRPr="00F26154" w:rsidRDefault="00D41D52" w:rsidP="00F26154">
            <w:pPr>
              <w:jc w:val="both"/>
              <w:rPr>
                <w:rFonts w:ascii="Times New Roman" w:hAnsi="Times New Roman" w:cs="Times New Roman"/>
                <w:bCs/>
                <w:noProof/>
                <w:sz w:val="24"/>
                <w:szCs w:val="24"/>
              </w:rPr>
            </w:pPr>
            <w:r>
              <w:rPr>
                <w:rFonts w:ascii="Times New Roman" w:hAnsi="Times New Roman"/>
                <w:noProof/>
                <w:sz w:val="24"/>
              </w:rPr>
              <w:t xml:space="preserve">Cadrul penal care reglementează astfel de infracțiuni este </w:t>
            </w:r>
            <w:r>
              <w:rPr>
                <w:rFonts w:ascii="Times New Roman" w:hAnsi="Times New Roman"/>
                <w:b/>
                <w:noProof/>
                <w:sz w:val="24"/>
              </w:rPr>
              <w:t>fragmentat</w:t>
            </w:r>
            <w:r>
              <w:rPr>
                <w:rFonts w:ascii="Times New Roman" w:hAnsi="Times New Roman"/>
                <w:noProof/>
                <w:sz w:val="24"/>
              </w:rPr>
              <w:t xml:space="preserve"> la nivelul UE. Statele membre au definiții diferite ale infracțiunilor legate de armele de foc și sancțiuni diferite. Aceste discrepanțe în materie de reglementare între statele membre </w:t>
            </w:r>
            <w:r>
              <w:rPr>
                <w:rFonts w:ascii="Times New Roman" w:hAnsi="Times New Roman"/>
                <w:b/>
                <w:noProof/>
                <w:sz w:val="24"/>
              </w:rPr>
              <w:t>împiedică cooperarea transfrontalieră</w:t>
            </w:r>
            <w:r>
              <w:rPr>
                <w:rFonts w:ascii="Times New Roman" w:hAnsi="Times New Roman"/>
                <w:noProof/>
                <w:sz w:val="24"/>
              </w:rPr>
              <w:t xml:space="preserve"> și afectează în mod negativ cercetarea și urmărirea penală a infracțiunilor legate de armele de foc. În plus, </w:t>
            </w:r>
            <w:r>
              <w:rPr>
                <w:rFonts w:ascii="Times New Roman" w:hAnsi="Times New Roman"/>
                <w:b/>
                <w:noProof/>
                <w:sz w:val="24"/>
              </w:rPr>
              <w:t>nivelurile sancțiunilor nu sunt suficient de eficace și de disuasive</w:t>
            </w:r>
            <w:r>
              <w:rPr>
                <w:rFonts w:ascii="Times New Roman" w:hAnsi="Times New Roman"/>
                <w:noProof/>
                <w:sz w:val="24"/>
              </w:rPr>
              <w:t xml:space="preserve"> în toate statele membre. Se preconizează că aceste probleme se vor agrava din cauza </w:t>
            </w:r>
            <w:r>
              <w:rPr>
                <w:rFonts w:ascii="Times New Roman" w:hAnsi="Times New Roman"/>
                <w:b/>
                <w:noProof/>
                <w:sz w:val="24"/>
              </w:rPr>
              <w:t>noilor tehnologii</w:t>
            </w:r>
            <w:r>
              <w:rPr>
                <w:rFonts w:ascii="Times New Roman" w:hAnsi="Times New Roman"/>
                <w:noProof/>
                <w:sz w:val="24"/>
              </w:rPr>
              <w:t>, cum ar fi imprimarea 3D, care sporesc disponibilitatea armelor de foc fabricate în regim privat.</w:t>
            </w:r>
          </w:p>
        </w:tc>
      </w:tr>
      <w:tr w:rsidR="00AC2B0F" w14:paraId="22926B88" w14:textId="77777777" w:rsidTr="56CC4D68">
        <w:tc>
          <w:tcPr>
            <w:tcW w:w="9288" w:type="dxa"/>
            <w:shd w:val="clear" w:color="auto" w:fill="F2F2F2" w:themeFill="background1" w:themeFillShade="F2"/>
          </w:tcPr>
          <w:p w14:paraId="5EE8C31F" w14:textId="79FA840B"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Ce se așteaptă de la această inițiativă?</w:t>
            </w:r>
          </w:p>
        </w:tc>
      </w:tr>
      <w:tr w:rsidR="00AC2B0F" w14:paraId="765BA604" w14:textId="77777777" w:rsidTr="56CC4D68">
        <w:tc>
          <w:tcPr>
            <w:tcW w:w="9288" w:type="dxa"/>
          </w:tcPr>
          <w:p w14:paraId="34F8E041" w14:textId="1C106729" w:rsidR="00D2104A" w:rsidRDefault="00014D5E">
            <w:pPr>
              <w:rPr>
                <w:rFonts w:ascii="Times New Roman" w:hAnsi="Times New Roman" w:cs="Times New Roman"/>
                <w:noProof/>
                <w:sz w:val="24"/>
                <w:szCs w:val="24"/>
              </w:rPr>
            </w:pPr>
            <w:r>
              <w:rPr>
                <w:rFonts w:ascii="Times New Roman" w:hAnsi="Times New Roman"/>
                <w:noProof/>
                <w:sz w:val="24"/>
              </w:rPr>
              <w:t xml:space="preserve">Obiectivul general este de </w:t>
            </w:r>
            <w:r>
              <w:rPr>
                <w:rFonts w:ascii="Times New Roman" w:hAnsi="Times New Roman"/>
                <w:b/>
                <w:noProof/>
                <w:sz w:val="24"/>
              </w:rPr>
              <w:t>a îmbunătăți protecția populației Uniunii împotriva amenințării reprezentate de armele de foc ilicite</w:t>
            </w:r>
            <w:r>
              <w:rPr>
                <w:rFonts w:ascii="Times New Roman" w:hAnsi="Times New Roman"/>
                <w:noProof/>
                <w:sz w:val="24"/>
              </w:rPr>
              <w:t>. Ar trebui să se pună accentul pe creșterea nivelului de securitate pentru cetățenii noștri și pe reducerea infracțiunilor legate de armele de foc.</w:t>
            </w:r>
          </w:p>
          <w:p w14:paraId="6AB110EF" w14:textId="77777777" w:rsidR="0048679D" w:rsidRDefault="0048679D">
            <w:pPr>
              <w:rPr>
                <w:rFonts w:ascii="Times New Roman" w:hAnsi="Times New Roman" w:cs="Times New Roman"/>
                <w:noProof/>
                <w:sz w:val="24"/>
                <w:szCs w:val="24"/>
              </w:rPr>
            </w:pPr>
          </w:p>
          <w:p w14:paraId="6012508D" w14:textId="77777777" w:rsidR="0048679D" w:rsidRDefault="0048679D">
            <w:pPr>
              <w:rPr>
                <w:rFonts w:ascii="Times New Roman" w:hAnsi="Times New Roman" w:cs="Times New Roman"/>
                <w:noProof/>
                <w:sz w:val="24"/>
                <w:szCs w:val="24"/>
              </w:rPr>
            </w:pPr>
            <w:r>
              <w:rPr>
                <w:rFonts w:ascii="Times New Roman" w:hAnsi="Times New Roman"/>
                <w:noProof/>
                <w:sz w:val="24"/>
              </w:rPr>
              <w:t xml:space="preserve">Pentru a atinge acest obiectiv general, inițiativa stabilește patru </w:t>
            </w:r>
            <w:r>
              <w:rPr>
                <w:rFonts w:ascii="Times New Roman" w:hAnsi="Times New Roman"/>
                <w:b/>
                <w:noProof/>
                <w:sz w:val="24"/>
              </w:rPr>
              <w:t>obiective specifice</w:t>
            </w:r>
            <w:r>
              <w:rPr>
                <w:rFonts w:ascii="Times New Roman" w:hAnsi="Times New Roman"/>
                <w:noProof/>
                <w:sz w:val="24"/>
              </w:rPr>
              <w:t>:</w:t>
            </w:r>
          </w:p>
          <w:p w14:paraId="2BCD55C8" w14:textId="7721D581" w:rsidR="0048679D" w:rsidRDefault="00D2104A" w:rsidP="003E1323">
            <w:pPr>
              <w:pStyle w:val="Bullet0"/>
              <w:jc w:val="both"/>
              <w:rPr>
                <w:rFonts w:ascii="Times New Roman" w:hAnsi="Times New Roman" w:cs="Times New Roman"/>
                <w:noProof/>
                <w:sz w:val="24"/>
                <w:szCs w:val="24"/>
              </w:rPr>
            </w:pPr>
            <w:r>
              <w:rPr>
                <w:rFonts w:ascii="Times New Roman" w:hAnsi="Times New Roman"/>
                <w:noProof/>
                <w:sz w:val="24"/>
              </w:rPr>
              <w:t>facilitarea cercetării și urmăririi penale a infracțiunilor legate de armele de foc;</w:t>
            </w:r>
          </w:p>
          <w:p w14:paraId="3E0F0A37" w14:textId="43BBB47D" w:rsidR="00D2104A" w:rsidRDefault="00D2104A" w:rsidP="003E1323">
            <w:pPr>
              <w:pStyle w:val="Bullet0"/>
              <w:jc w:val="both"/>
              <w:rPr>
                <w:rFonts w:ascii="Times New Roman" w:hAnsi="Times New Roman" w:cs="Times New Roman"/>
                <w:noProof/>
                <w:sz w:val="24"/>
                <w:szCs w:val="24"/>
              </w:rPr>
            </w:pPr>
            <w:r>
              <w:rPr>
                <w:rFonts w:ascii="Times New Roman" w:hAnsi="Times New Roman"/>
                <w:noProof/>
                <w:sz w:val="24"/>
              </w:rPr>
              <w:t>asigurarea aplicării legii în ceea ce privește infracțiunile legate de armele de foc într</w:t>
            </w:r>
            <w:r w:rsidR="003E1323">
              <w:rPr>
                <w:rFonts w:ascii="Times New Roman" w:hAnsi="Times New Roman"/>
                <w:noProof/>
                <w:sz w:val="24"/>
              </w:rPr>
              <w:t>­</w:t>
            </w:r>
            <w:r>
              <w:rPr>
                <w:rFonts w:ascii="Times New Roman" w:hAnsi="Times New Roman"/>
                <w:noProof/>
                <w:sz w:val="24"/>
              </w:rPr>
              <w:t>un mod adaptat exigențelor viitorului;</w:t>
            </w:r>
          </w:p>
          <w:p w14:paraId="1E6ED8DE" w14:textId="5BC498ED" w:rsidR="00D2104A" w:rsidRDefault="00D2104A" w:rsidP="003E1323">
            <w:pPr>
              <w:pStyle w:val="Bullet0"/>
              <w:jc w:val="both"/>
              <w:rPr>
                <w:rFonts w:ascii="Times New Roman" w:hAnsi="Times New Roman" w:cs="Times New Roman"/>
                <w:noProof/>
                <w:sz w:val="24"/>
                <w:szCs w:val="24"/>
              </w:rPr>
            </w:pPr>
            <w:r>
              <w:rPr>
                <w:rFonts w:ascii="Times New Roman" w:hAnsi="Times New Roman"/>
                <w:noProof/>
                <w:sz w:val="24"/>
              </w:rPr>
              <w:t>asigurarea unor tipuri și niveluri de sancțiuni efective, disuasive și proporționale în cazul infracțiunilor legate de armele de foc;</w:t>
            </w:r>
          </w:p>
          <w:p w14:paraId="66341021" w14:textId="1DD150F2" w:rsidR="00D2104A" w:rsidRPr="00950D92" w:rsidRDefault="00D2104A" w:rsidP="003E1323">
            <w:pPr>
              <w:pStyle w:val="Bullet0"/>
              <w:jc w:val="both"/>
              <w:rPr>
                <w:rFonts w:ascii="Times New Roman" w:hAnsi="Times New Roman" w:cs="Times New Roman"/>
                <w:noProof/>
                <w:sz w:val="24"/>
                <w:szCs w:val="24"/>
              </w:rPr>
            </w:pPr>
            <w:r>
              <w:rPr>
                <w:rFonts w:ascii="Times New Roman" w:hAnsi="Times New Roman"/>
                <w:noProof/>
                <w:sz w:val="24"/>
              </w:rPr>
              <w:t>îmbunătățirea cooperării în domeniul asigurării respectării legii, a cooperării judiciare și a colectării armonizate a datelor privind infracțiunile legate de armele de foc.</w:t>
            </w:r>
          </w:p>
        </w:tc>
      </w:tr>
      <w:tr w:rsidR="00AC2B0F" w14:paraId="6261AB9B" w14:textId="77777777" w:rsidTr="56CC4D68">
        <w:tc>
          <w:tcPr>
            <w:tcW w:w="9288" w:type="dxa"/>
            <w:shd w:val="clear" w:color="auto" w:fill="F2F2F2" w:themeFill="background1" w:themeFillShade="F2"/>
          </w:tcPr>
          <w:p w14:paraId="34FCD41A" w14:textId="10D1C628"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 xml:space="preserve">Care este valoarea adăugată a acțiunii la nivelul UE? </w:t>
            </w:r>
          </w:p>
        </w:tc>
      </w:tr>
      <w:tr w:rsidR="00AC2B0F" w14:paraId="48E00DB5" w14:textId="77777777" w:rsidTr="56CC4D68">
        <w:tc>
          <w:tcPr>
            <w:tcW w:w="9288" w:type="dxa"/>
          </w:tcPr>
          <w:p w14:paraId="763A07AD" w14:textId="0B8B16BC" w:rsidR="00AA1F5D" w:rsidRDefault="00AA1F5D" w:rsidP="00AA1F5D">
            <w:pPr>
              <w:pStyle w:val="Text2"/>
              <w:ind w:left="0"/>
              <w:rPr>
                <w:noProof/>
              </w:rPr>
            </w:pPr>
            <w:r>
              <w:rPr>
                <w:noProof/>
              </w:rPr>
              <w:t xml:space="preserve">Acțiunea la nivelul Uniunii va oferi o valoare adăugată clară în ceea ce privește combaterea infracțiunilor legate de armele de foc, care au, de regulă, dimensiuni transnaționale, în comparație cu ceea ce pot realiza statele membre în mode individual. Prin armonizarea definițiilor juridice, apropierea nivelurilor sancțiunilor și furnizarea de instrumente și obligații pentru cooperarea transfrontalieră între statele membre, acțiunea la nivelul Uniunii va crea un cadru mai armonizat, cu un grad minim de protecție armonizată împotriva infracțiunilor legate de armele de foc. Aceasta va facilita cooperarea transfrontalieră și va îmbunătăți anchetele și urmăririle penale. În plus, aceasta va asigura aplicarea legii într-un mod adaptat exigențelor viitorului prin includerea de noi tehnologii. </w:t>
            </w:r>
          </w:p>
          <w:p w14:paraId="03FE2BB9" w14:textId="76EF3CB5" w:rsidR="00AC2B0F" w:rsidRPr="00950D92" w:rsidRDefault="00AA1F5D" w:rsidP="0048679D">
            <w:pPr>
              <w:pStyle w:val="Text2"/>
              <w:spacing w:after="0"/>
              <w:ind w:left="0"/>
              <w:rPr>
                <w:noProof/>
              </w:rPr>
            </w:pPr>
            <w:r>
              <w:rPr>
                <w:noProof/>
              </w:rPr>
              <w:t xml:space="preserve">Acțiunea la nivelul Uniunii va aduce beneficii și altor obiective de politică ale UE, deoarece infracțiunile legate de armele de foc sunt adesea legate de alte tipuri de infracțiuni, cum ar fi spălarea banilor, terorismul, traficul de droguri, infracțiunile săvârșite prin violență, contrafacerea sau alte forme de criminalitate organizată împotriva cărora UE a adoptat o serie de acte legislative în ultimii ani. O legislație mai eficace ar contribui la strategii eficace de asigurare a respectării dreptului penal și, în general, ar îmbunătăți securitatea cetățenilor Uniunii Europene. </w:t>
            </w:r>
          </w:p>
        </w:tc>
      </w:tr>
      <w:tr w:rsidR="00AC2B0F" w14:paraId="79F7A37D" w14:textId="77777777" w:rsidTr="56CC4D68">
        <w:tc>
          <w:tcPr>
            <w:tcW w:w="9288" w:type="dxa"/>
            <w:shd w:val="clear" w:color="auto" w:fill="D9D9D9" w:themeFill="background1" w:themeFillShade="D9"/>
          </w:tcPr>
          <w:p w14:paraId="3A5C1753" w14:textId="349570AC"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t>Soluții</w:t>
            </w:r>
          </w:p>
        </w:tc>
      </w:tr>
      <w:tr w:rsidR="00AC2B0F" w14:paraId="14853326" w14:textId="77777777" w:rsidTr="56CC4D68">
        <w:tc>
          <w:tcPr>
            <w:tcW w:w="9288" w:type="dxa"/>
            <w:shd w:val="clear" w:color="auto" w:fill="F2F2F2" w:themeFill="background1" w:themeFillShade="F2"/>
          </w:tcPr>
          <w:p w14:paraId="426E176B" w14:textId="1E4B1A94"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 xml:space="preserve">Ce opțiuni de politică legislative și nelegislative au fost luate în considerare? Există sau nu o opțiune preferată? De ce? </w:t>
            </w:r>
          </w:p>
        </w:tc>
      </w:tr>
      <w:tr w:rsidR="00AC2B0F" w14:paraId="3376EFA1" w14:textId="77777777" w:rsidTr="56CC4D68">
        <w:tc>
          <w:tcPr>
            <w:tcW w:w="9288" w:type="dxa"/>
          </w:tcPr>
          <w:p w14:paraId="7E8C6039" w14:textId="341B2EA8" w:rsidR="00D8619D" w:rsidRDefault="00D8619D" w:rsidP="00950AFD">
            <w:pPr>
              <w:jc w:val="both"/>
              <w:rPr>
                <w:rFonts w:ascii="Times New Roman" w:hAnsi="Times New Roman" w:cs="Times New Roman"/>
                <w:noProof/>
                <w:sz w:val="24"/>
                <w:szCs w:val="24"/>
              </w:rPr>
            </w:pPr>
            <w:r>
              <w:rPr>
                <w:rFonts w:ascii="Times New Roman" w:hAnsi="Times New Roman"/>
                <w:noProof/>
                <w:sz w:val="24"/>
              </w:rPr>
              <w:t>În cadrul evaluării impactului s-au analizat patru opțiuni de politică:</w:t>
            </w:r>
          </w:p>
          <w:p w14:paraId="7ED1DC4B" w14:textId="2448D23F" w:rsidR="00950AFD" w:rsidRPr="00F41BBB" w:rsidRDefault="00D8619D" w:rsidP="00AF4FAD">
            <w:pPr>
              <w:pStyle w:val="Bullet0"/>
              <w:jc w:val="both"/>
              <w:rPr>
                <w:rFonts w:ascii="Times New Roman" w:hAnsi="Times New Roman" w:cs="Times New Roman"/>
                <w:noProof/>
                <w:sz w:val="24"/>
                <w:szCs w:val="24"/>
              </w:rPr>
            </w:pPr>
            <w:r>
              <w:rPr>
                <w:rFonts w:ascii="Times New Roman" w:hAnsi="Times New Roman"/>
                <w:b/>
                <w:noProof/>
                <w:sz w:val="24"/>
              </w:rPr>
              <w:t>Opțiunea 1</w:t>
            </w:r>
            <w:r>
              <w:rPr>
                <w:rFonts w:ascii="Times New Roman" w:hAnsi="Times New Roman"/>
                <w:noProof/>
                <w:sz w:val="24"/>
              </w:rPr>
              <w:t xml:space="preserve"> constă într-un </w:t>
            </w:r>
            <w:r>
              <w:rPr>
                <w:rFonts w:ascii="Times New Roman" w:hAnsi="Times New Roman"/>
                <w:b/>
                <w:noProof/>
                <w:sz w:val="24"/>
              </w:rPr>
              <w:t>set de măsuri fără caracter legislativ</w:t>
            </w:r>
            <w:r>
              <w:rPr>
                <w:rFonts w:ascii="Times New Roman" w:hAnsi="Times New Roman"/>
                <w:noProof/>
                <w:sz w:val="24"/>
              </w:rPr>
              <w:t xml:space="preserve"> menite să clarifice cadrul juridic existent și să asigure aplicarea normelor de către statele membre. Măsurile vizează, de asemenea, sprijinirea cooperării transfrontaliere între statele membre și cu agențiile UE. Acestea se axează pe recomandări de a pune un accent sporit pe noile tehnologii, cum ar fi imprimarea 3D, și de a implementa un set minim de date pentru confiscările de arme de foc în rândul statelor membre.</w:t>
            </w:r>
          </w:p>
          <w:p w14:paraId="6D37CA56" w14:textId="12D9C1AE" w:rsidR="000E19F4" w:rsidRDefault="004B3BB7" w:rsidP="00AF4FAD">
            <w:pPr>
              <w:pStyle w:val="Bullet0"/>
              <w:jc w:val="both"/>
              <w:rPr>
                <w:rFonts w:ascii="Times New Roman" w:hAnsi="Times New Roman" w:cs="Times New Roman"/>
                <w:noProof/>
                <w:sz w:val="24"/>
                <w:szCs w:val="24"/>
              </w:rPr>
            </w:pPr>
            <w:r>
              <w:rPr>
                <w:rFonts w:ascii="Times New Roman" w:hAnsi="Times New Roman"/>
                <w:b/>
                <w:noProof/>
                <w:sz w:val="24"/>
              </w:rPr>
              <w:t>Opțiunea 2</w:t>
            </w:r>
            <w:r>
              <w:rPr>
                <w:rFonts w:ascii="Times New Roman" w:hAnsi="Times New Roman"/>
                <w:noProof/>
                <w:sz w:val="24"/>
              </w:rPr>
              <w:t xml:space="preserve"> prevede </w:t>
            </w:r>
            <w:r>
              <w:rPr>
                <w:rFonts w:ascii="Times New Roman" w:hAnsi="Times New Roman"/>
                <w:b/>
                <w:noProof/>
                <w:sz w:val="24"/>
              </w:rPr>
              <w:t>măsuri legislative</w:t>
            </w:r>
            <w:r>
              <w:rPr>
                <w:rFonts w:ascii="Times New Roman" w:hAnsi="Times New Roman"/>
                <w:noProof/>
                <w:sz w:val="24"/>
              </w:rPr>
              <w:t xml:space="preserve"> de armonizare a incriminării </w:t>
            </w:r>
            <w:r>
              <w:rPr>
                <w:rFonts w:ascii="Times New Roman" w:hAnsi="Times New Roman"/>
                <w:b/>
                <w:noProof/>
                <w:sz w:val="24"/>
              </w:rPr>
              <w:t>principalelor infracțiuni legate de armele de foc</w:t>
            </w:r>
            <w:r>
              <w:rPr>
                <w:rFonts w:ascii="Times New Roman" w:hAnsi="Times New Roman"/>
                <w:noProof/>
                <w:sz w:val="24"/>
              </w:rPr>
              <w:t xml:space="preserve"> (traficul ilicit, fabricarea ilicită, modificarea ilicită a marcajelor și deținerea ilicită de arme de foc), prin armonizarea definițiilor și stabilirea unor niveluri minime ale sancțiunilor maxime. Scopul legislației este de a îmbunătăți anchetarea, urmărirea penală și condamnarea infracțiunilor legate de armele de foc. Cadrul armonizat va facilita cooperarea transfrontalieră. Opțiunea prevede, de asemenea, un accent legislativ pe noile tehnologii pentru a permite autorităților de aplicare a legii să abordeze amenințarea în mod proactiv, în loc să acționeze doar în mod reactiv. În plus, măsurile legislative includ cerințe privind stabilirea unui set minim armonizat de date pentru confiscările de arme de foc și transmiterea datelor privind confiscările către Platforma europeană pentru arme de foc. Se prevede, de asemenea, obligația statelor membre de a colecta și de a raporta Comisiei date privind traficul ilicit de arme de foc la 5 ani de la punerea în aplicare a directivei, ca parte a evaluării. În cele din urmă, măsurile legislative includ o măsură specifică privind cerința ca statele membre să instituie un punct focal național privind armele de foc, pentru a îmbunătăți și mai mult cooperarea transfrontalieră. </w:t>
            </w:r>
          </w:p>
          <w:p w14:paraId="2061A97C" w14:textId="3DB8E3C3" w:rsidR="00733432" w:rsidRPr="00950AFD" w:rsidRDefault="00733432" w:rsidP="00AF4FAD">
            <w:pPr>
              <w:pStyle w:val="Bullet0"/>
              <w:jc w:val="both"/>
              <w:rPr>
                <w:rFonts w:ascii="Times New Roman" w:hAnsi="Times New Roman" w:cs="Times New Roman"/>
                <w:noProof/>
                <w:sz w:val="24"/>
                <w:szCs w:val="24"/>
              </w:rPr>
            </w:pPr>
            <w:r>
              <w:rPr>
                <w:rFonts w:ascii="Times New Roman" w:hAnsi="Times New Roman"/>
                <w:b/>
                <w:noProof/>
                <w:sz w:val="24"/>
              </w:rPr>
              <w:t>Opțiunea 3</w:t>
            </w:r>
            <w:r>
              <w:rPr>
                <w:rFonts w:ascii="Times New Roman" w:hAnsi="Times New Roman"/>
                <w:noProof/>
                <w:sz w:val="24"/>
              </w:rPr>
              <w:t xml:space="preserve"> prevede o</w:t>
            </w:r>
            <w:r>
              <w:rPr>
                <w:rFonts w:ascii="Times New Roman" w:hAnsi="Times New Roman"/>
                <w:b/>
                <w:noProof/>
                <w:sz w:val="24"/>
              </w:rPr>
              <w:t xml:space="preserve"> combinație de măsuri legislative și măsuri fără caracter legislativ</w:t>
            </w:r>
            <w:r>
              <w:rPr>
                <w:rFonts w:ascii="Times New Roman" w:hAnsi="Times New Roman"/>
                <w:noProof/>
                <w:sz w:val="24"/>
              </w:rPr>
              <w:t xml:space="preserve">. În esență, aceasta ar fi o copie a tuturor măsurilor legislative descrise la opțiunea 2, cu o clarificare suplimentară a modului în care infracțiunile mai ample legate de armele de foc se încadrează în infracțiunile principale. În plus, măsurile legislative ar urma să fie extinse cu măsuri fără caracter legislativ menite să sprijine punerea în aplicare a măsurilor legislative. S-ar pune accent pe schimbul de lecții învățate legate de noile tehnologii și pe facilitarea testării în comun a planurilor tehnice legate de aceste noi tehnologii. În plus, s-ar facilita și cooperarea dintre autoritățile judiciare prin instituirea unui grup tematic pentru schimbul de informații. </w:t>
            </w:r>
          </w:p>
          <w:p w14:paraId="08200C4D" w14:textId="40EE790A" w:rsidR="00F41BBB" w:rsidRPr="00AF4FAD" w:rsidRDefault="007C328C" w:rsidP="00AC2B0F">
            <w:pPr>
              <w:pStyle w:val="Bullet0"/>
              <w:jc w:val="both"/>
              <w:rPr>
                <w:rFonts w:ascii="Times New Roman" w:hAnsi="Times New Roman" w:cs="Times New Roman"/>
                <w:noProof/>
                <w:sz w:val="24"/>
                <w:szCs w:val="24"/>
              </w:rPr>
            </w:pPr>
            <w:r>
              <w:rPr>
                <w:rFonts w:ascii="Times New Roman" w:hAnsi="Times New Roman"/>
                <w:b/>
                <w:noProof/>
                <w:sz w:val="24"/>
              </w:rPr>
              <w:t>Opțiunea 4</w:t>
            </w:r>
            <w:r>
              <w:rPr>
                <w:rFonts w:ascii="Times New Roman" w:hAnsi="Times New Roman"/>
                <w:noProof/>
                <w:sz w:val="24"/>
              </w:rPr>
              <w:t xml:space="preserve"> se bazează pe măsurile descrise în cadrul opțiunii 3 și le extinde domeniul de aplicare. </w:t>
            </w:r>
            <w:r>
              <w:rPr>
                <w:rFonts w:ascii="Times New Roman" w:hAnsi="Times New Roman"/>
                <w:b/>
                <w:noProof/>
                <w:sz w:val="24"/>
              </w:rPr>
              <w:t>Măsurile legislative</w:t>
            </w:r>
            <w:r>
              <w:rPr>
                <w:rFonts w:ascii="Times New Roman" w:hAnsi="Times New Roman"/>
                <w:noProof/>
                <w:sz w:val="24"/>
              </w:rPr>
              <w:t xml:space="preserve"> acoperă nu numai principalele infracțiuni privind armele de foc, ci și alte </w:t>
            </w:r>
            <w:r>
              <w:rPr>
                <w:rFonts w:ascii="Times New Roman" w:hAnsi="Times New Roman"/>
                <w:b/>
                <w:noProof/>
                <w:sz w:val="24"/>
              </w:rPr>
              <w:t>infracțiuni legate de armele de foc</w:t>
            </w:r>
            <w:r>
              <w:rPr>
                <w:rFonts w:ascii="Times New Roman" w:hAnsi="Times New Roman"/>
                <w:noProof/>
                <w:sz w:val="24"/>
              </w:rPr>
              <w:t>, cum ar fi reactivarea ilicită a armelor dezactivate, intermedierea ilicită, încălcările embargourilor asupra armelor și abaterile în contextul păstrării evidențelor și al acordării de licențe. În plus, opțiunea prevede obligația statelor membre de a colecta și de a raporta anual Comisiei date privind traficul ilicit de arme de foc.</w:t>
            </w:r>
          </w:p>
          <w:p w14:paraId="49509528" w14:textId="3D5F18D5" w:rsidR="00D8619D" w:rsidRPr="00950D92" w:rsidRDefault="00D8619D" w:rsidP="00537AE2">
            <w:pPr>
              <w:jc w:val="both"/>
              <w:rPr>
                <w:rFonts w:ascii="Times New Roman" w:hAnsi="Times New Roman" w:cs="Times New Roman"/>
                <w:noProof/>
                <w:sz w:val="24"/>
                <w:szCs w:val="24"/>
              </w:rPr>
            </w:pPr>
            <w:r>
              <w:rPr>
                <w:rFonts w:ascii="Times New Roman" w:hAnsi="Times New Roman"/>
                <w:noProof/>
                <w:sz w:val="24"/>
              </w:rPr>
              <w:t xml:space="preserve">Opțiunea preferată este </w:t>
            </w:r>
            <w:r>
              <w:rPr>
                <w:rFonts w:ascii="Times New Roman" w:hAnsi="Times New Roman"/>
                <w:b/>
                <w:noProof/>
                <w:sz w:val="24"/>
              </w:rPr>
              <w:t>opțiunea 3</w:t>
            </w:r>
            <w:r>
              <w:rPr>
                <w:rFonts w:ascii="Times New Roman" w:hAnsi="Times New Roman"/>
                <w:noProof/>
                <w:sz w:val="24"/>
              </w:rPr>
              <w:t xml:space="preserve">, deoarece abordează în mod proporțional și eficace toate problemele și obiectivele identificate. Opțiunea 1 nu este considerată suficient de eficace în sine, deoarece măsurile fără caracter legislativ nu vor oferi un imbold suficient de puternic pentru schimbări semnificative. Opțiunea 2 ar aborda toate problemele și obiectivele, însă este considerată mai puțin eficace din cauza lipsei de sprijin suplimentar pentru punerea sa în aplicare. Opțiunea 4 este considerată eficace pentru atingerea obiectivelor menționate, dar punerea sa în aplicare impune o sarcină disproporționată asupra statelor membre. </w:t>
            </w:r>
          </w:p>
        </w:tc>
      </w:tr>
      <w:tr w:rsidR="00AC2B0F" w14:paraId="1ADE982C" w14:textId="77777777" w:rsidTr="56CC4D68">
        <w:tc>
          <w:tcPr>
            <w:tcW w:w="9288" w:type="dxa"/>
            <w:shd w:val="clear" w:color="auto" w:fill="F2F2F2" w:themeFill="background1" w:themeFillShade="F2"/>
          </w:tcPr>
          <w:p w14:paraId="7D78B5AD" w14:textId="39CA539D"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 xml:space="preserve">Cine sunt susținătorii fiecărei opțiuni? </w:t>
            </w:r>
          </w:p>
        </w:tc>
      </w:tr>
      <w:tr w:rsidR="00AC2B0F" w14:paraId="60F17318" w14:textId="77777777" w:rsidTr="56CC4D68">
        <w:tc>
          <w:tcPr>
            <w:tcW w:w="9288" w:type="dxa"/>
          </w:tcPr>
          <w:p w14:paraId="5DDD232B" w14:textId="780F071F" w:rsidR="00901DCD" w:rsidRDefault="00901DCD" w:rsidP="00C569BF">
            <w:pPr>
              <w:jc w:val="both"/>
              <w:rPr>
                <w:rFonts w:ascii="Times New Roman" w:eastAsia="Calibri" w:hAnsi="Times New Roman" w:cs="Times New Roman"/>
                <w:noProof/>
                <w:sz w:val="24"/>
                <w:szCs w:val="24"/>
              </w:rPr>
            </w:pPr>
            <w:r>
              <w:rPr>
                <w:rFonts w:ascii="Times New Roman" w:hAnsi="Times New Roman"/>
                <w:noProof/>
                <w:sz w:val="24"/>
              </w:rPr>
              <w:t xml:space="preserve">Părțile interesate au avut opinii diferite cu privire la opțiunile de politică, unele acordând prioritate căii nelegislative, indicând faptul că abordarea infracțiunilor legate de armele de foc ar trebui să rămână o responsabilitate națională, în timp ce altele au sprijinit o inițiativă legislativă axată pe o gamă largă de infracțiuni legate de armele de foc. În această privință, reiese că opțiunea preferată este opțiunea cea mai susceptibilă să concilieze diferitele poziții. </w:t>
            </w:r>
          </w:p>
          <w:p w14:paraId="4180C297" w14:textId="77777777" w:rsidR="00C569BF" w:rsidRPr="00C569BF" w:rsidRDefault="00C569BF" w:rsidP="00C569BF">
            <w:pPr>
              <w:jc w:val="both"/>
              <w:rPr>
                <w:rFonts w:ascii="Times New Roman" w:eastAsia="Calibri" w:hAnsi="Times New Roman" w:cs="Times New Roman"/>
                <w:noProof/>
                <w:sz w:val="24"/>
                <w:szCs w:val="24"/>
              </w:rPr>
            </w:pPr>
          </w:p>
          <w:p w14:paraId="450C0009" w14:textId="4C7221F1" w:rsidR="00C569BF" w:rsidRPr="00C569BF" w:rsidRDefault="00C569BF" w:rsidP="00C569BF">
            <w:pPr>
              <w:jc w:val="both"/>
              <w:rPr>
                <w:rFonts w:ascii="Times New Roman" w:hAnsi="Times New Roman" w:cs="Times New Roman"/>
                <w:noProof/>
                <w:sz w:val="24"/>
                <w:szCs w:val="24"/>
              </w:rPr>
            </w:pPr>
            <w:r>
              <w:rPr>
                <w:rFonts w:ascii="Times New Roman" w:hAnsi="Times New Roman"/>
                <w:noProof/>
                <w:sz w:val="24"/>
              </w:rPr>
              <w:t xml:space="preserve">Tendința generală de pe parcursul consultării publice sugerează că statele membre sprijină o inițiativă legislativă de armonizare a diferitelor definiții, inclusiv incriminarea creării, deținerii și diseminării ilicite de materiale intelectuale pentru imprimarea 3D (planuri tehnice). În general, s-a constatat că, dintre părțile interesate, autoritățile publice au sprijinit cel mai mult inițiativa legislativă. Multe state membre au sugerat combinarea opțiunilor, în special pentru armonizarea tipurilor și nivelurilor sancțiunilor. </w:t>
            </w:r>
          </w:p>
          <w:p w14:paraId="76E9544B" w14:textId="77777777" w:rsidR="00C569BF" w:rsidRDefault="00C569BF" w:rsidP="00C569BF">
            <w:pPr>
              <w:jc w:val="both"/>
              <w:rPr>
                <w:rFonts w:ascii="Times New Roman" w:hAnsi="Times New Roman" w:cs="Times New Roman"/>
                <w:noProof/>
                <w:sz w:val="24"/>
                <w:szCs w:val="24"/>
              </w:rPr>
            </w:pPr>
          </w:p>
          <w:p w14:paraId="065AB57F" w14:textId="28485CD2" w:rsidR="0010609B" w:rsidRPr="00950D92" w:rsidRDefault="00C569BF" w:rsidP="00C569BF">
            <w:pPr>
              <w:jc w:val="both"/>
              <w:rPr>
                <w:rFonts w:ascii="Times New Roman" w:hAnsi="Times New Roman" w:cs="Times New Roman"/>
                <w:noProof/>
                <w:sz w:val="24"/>
                <w:szCs w:val="24"/>
              </w:rPr>
            </w:pPr>
            <w:r>
              <w:rPr>
                <w:rFonts w:ascii="Times New Roman" w:hAnsi="Times New Roman"/>
                <w:noProof/>
                <w:sz w:val="24"/>
              </w:rPr>
              <w:t xml:space="preserve">Cea mai mare opoziție față de inițiativă a venit din partea unei părți a cetățenilor din UE și din afara UE, însă analiza răspunsurilor arată că este posibil ca mulți să nu fi înțeles pe deplin obiectivele inițiativei: mai mulți cetățeni au criticat inițiativa, afirmând că UE nu ar trebui să vizeze cetățenii care respectă legea și proprietarii legali, ci mai degrabă să se concentreze pe consolidarea răspunsului autorităților de aplicare a legii și pe combaterea pieței ilegale. Ambele aspecte se numără printre obiectivele inițiativei. </w:t>
            </w:r>
          </w:p>
        </w:tc>
      </w:tr>
      <w:tr w:rsidR="00AC2B0F" w14:paraId="52CA88EA" w14:textId="77777777" w:rsidTr="56CC4D68">
        <w:tc>
          <w:tcPr>
            <w:tcW w:w="9288" w:type="dxa"/>
            <w:shd w:val="clear" w:color="auto" w:fill="D9D9D9" w:themeFill="background1" w:themeFillShade="D9"/>
          </w:tcPr>
          <w:p w14:paraId="11A3C508" w14:textId="53A9E80E" w:rsidR="00AC2B0F" w:rsidRPr="00950D92" w:rsidRDefault="00AC2B0F"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t>Impactul opțiunii preferate</w:t>
            </w:r>
          </w:p>
        </w:tc>
      </w:tr>
      <w:tr w:rsidR="00AC2B0F" w14:paraId="2153B3E0" w14:textId="77777777" w:rsidTr="56CC4D68">
        <w:tc>
          <w:tcPr>
            <w:tcW w:w="9288" w:type="dxa"/>
            <w:shd w:val="clear" w:color="auto" w:fill="F2F2F2" w:themeFill="background1" w:themeFillShade="F2"/>
          </w:tcPr>
          <w:p w14:paraId="5F0015DD" w14:textId="57E19828" w:rsidR="00AC2B0F" w:rsidRPr="00950D92" w:rsidRDefault="00AC2B0F" w:rsidP="00950D92">
            <w:pPr>
              <w:spacing w:before="60" w:after="60"/>
              <w:rPr>
                <w:rFonts w:ascii="Times New Roman" w:hAnsi="Times New Roman" w:cs="Times New Roman"/>
                <w:b/>
                <w:bCs/>
                <w:noProof/>
                <w:sz w:val="24"/>
                <w:szCs w:val="24"/>
              </w:rPr>
            </w:pPr>
            <w:r>
              <w:rPr>
                <w:rFonts w:ascii="Times New Roman" w:hAnsi="Times New Roman"/>
                <w:b/>
                <w:noProof/>
                <w:sz w:val="24"/>
              </w:rPr>
              <w:t>Care sunt beneficiile opțiunii preferate (sau ale opțiunilor principale, dacă nu există o opțiune preferată)?</w:t>
            </w:r>
          </w:p>
        </w:tc>
      </w:tr>
      <w:tr w:rsidR="00AC2B0F" w14:paraId="4E47E1BB" w14:textId="77777777" w:rsidTr="56CC4D68">
        <w:tc>
          <w:tcPr>
            <w:tcW w:w="9288" w:type="dxa"/>
          </w:tcPr>
          <w:p w14:paraId="423A9B1E" w14:textId="7B16EF7E" w:rsidR="003A122B" w:rsidRPr="0081157D" w:rsidRDefault="000E335C" w:rsidP="00AF4FAD">
            <w:pPr>
              <w:jc w:val="both"/>
              <w:rPr>
                <w:rFonts w:ascii="Times New Roman" w:hAnsi="Times New Roman" w:cs="Times New Roman"/>
                <w:noProof/>
                <w:sz w:val="24"/>
                <w:szCs w:val="24"/>
              </w:rPr>
            </w:pPr>
            <w:r>
              <w:rPr>
                <w:rFonts w:ascii="Times New Roman" w:hAnsi="Times New Roman"/>
                <w:noProof/>
                <w:sz w:val="24"/>
              </w:rPr>
              <w:t xml:space="preserve">Opțiunea de politică preferată ar elimina discrepanțele dintre cadrele penale al statelor membre prin armonizarea, la nivelul Uniunii, a definițiilor diferitelor infracțiuni legate de armele de foc și a nivelurilor minime ale sancțiunilor maxime aplicabile. Acest lucru i-ar împiedica pe infractori să profite de lacunele și breșele existente pentru a-și desfășura activitatea. Armonizarea cadrului penal ar îmbunătăți cooperarea transfrontalieră dintre statele membre și ar facilita anchetarea și urmărirea penală a infracțiunilor relevante de către autoritățile naționale. </w:t>
            </w:r>
          </w:p>
          <w:p w14:paraId="4A04EA38" w14:textId="77777777" w:rsidR="0081157D" w:rsidRPr="0081157D" w:rsidRDefault="0081157D" w:rsidP="00AF4FAD">
            <w:pPr>
              <w:jc w:val="both"/>
              <w:rPr>
                <w:rFonts w:ascii="Times New Roman" w:hAnsi="Times New Roman" w:cs="Times New Roman"/>
                <w:noProof/>
                <w:sz w:val="24"/>
                <w:szCs w:val="24"/>
              </w:rPr>
            </w:pPr>
          </w:p>
          <w:p w14:paraId="6CFC23FC" w14:textId="14C8D358" w:rsidR="0081157D" w:rsidRPr="0081157D" w:rsidRDefault="003A122B" w:rsidP="00AF4FAD">
            <w:pPr>
              <w:jc w:val="both"/>
              <w:rPr>
                <w:rFonts w:ascii="Times New Roman" w:hAnsi="Times New Roman" w:cs="Times New Roman"/>
                <w:noProof/>
                <w:sz w:val="24"/>
                <w:szCs w:val="24"/>
              </w:rPr>
            </w:pPr>
            <w:r>
              <w:rPr>
                <w:rFonts w:ascii="Times New Roman" w:hAnsi="Times New Roman"/>
                <w:noProof/>
                <w:sz w:val="24"/>
              </w:rPr>
              <w:t xml:space="preserve">Opțiunea de politică preferată ar stabili, de asemenea, seturi minime de date și schimbul de date privind confiscările cu Platforma europeană pentru arme de foc din cadrul Europol, îmbunătățindu-se astfel disponibilitatea și calitatea datelor, precum și analiza amenințării și anchetele, ceea ce va facilita cooperarea transfrontalieră și va orienta viitoarele măsuri de politică. Opțiunea de politică preferată ar aborda într-o măsură sporită amenințarea tot mai mare reprezentată de armele de foc fabricate în regim privat, care sunt mai dificil de urmărit și pot fi produse cu ușurință prin simpla respectare a instrucțiunilor găsite online. </w:t>
            </w:r>
          </w:p>
          <w:p w14:paraId="5A60A93D" w14:textId="77777777" w:rsidR="0081157D" w:rsidRPr="0081157D" w:rsidRDefault="0081157D" w:rsidP="00AF4FAD">
            <w:pPr>
              <w:jc w:val="both"/>
              <w:rPr>
                <w:rFonts w:ascii="Times New Roman" w:hAnsi="Times New Roman" w:cs="Times New Roman"/>
                <w:noProof/>
                <w:sz w:val="24"/>
                <w:szCs w:val="24"/>
              </w:rPr>
            </w:pPr>
          </w:p>
          <w:p w14:paraId="32A3BAF4" w14:textId="1FFD7AE7" w:rsidR="000E335C" w:rsidRPr="0081157D" w:rsidRDefault="0081157D" w:rsidP="00AF4FAD">
            <w:pPr>
              <w:jc w:val="both"/>
              <w:rPr>
                <w:noProof/>
              </w:rPr>
            </w:pPr>
            <w:r>
              <w:rPr>
                <w:rFonts w:ascii="Times New Roman" w:hAnsi="Times New Roman"/>
                <w:noProof/>
                <w:sz w:val="24"/>
              </w:rPr>
              <w:t>Opțiunea de politică preferată ar contribui la reducerea numărului mare de arme de foc ilicite aflate în circulație și ar îmbunătăți în mod direct securitatea cetățenilor Uniunii Europene.</w:t>
            </w:r>
            <w:r>
              <w:rPr>
                <w:noProof/>
              </w:rPr>
              <w:t xml:space="preserve"> </w:t>
            </w:r>
          </w:p>
        </w:tc>
      </w:tr>
      <w:tr w:rsidR="00AC2B0F" w14:paraId="5ECA699D" w14:textId="77777777" w:rsidTr="56CC4D68">
        <w:tc>
          <w:tcPr>
            <w:tcW w:w="9288" w:type="dxa"/>
            <w:shd w:val="clear" w:color="auto" w:fill="F2F2F2" w:themeFill="background1" w:themeFillShade="F2"/>
          </w:tcPr>
          <w:p w14:paraId="7053ED7B" w14:textId="5580D82D" w:rsidR="00AC2B0F"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Care sunt costurile opțiunii preferate (sau ale opțiunilor principale, dacă nu există o opțiune preferată)?</w:t>
            </w:r>
          </w:p>
        </w:tc>
      </w:tr>
      <w:tr w:rsidR="00D61F3E" w14:paraId="3E0265B9" w14:textId="77777777" w:rsidTr="56CC4D68">
        <w:tc>
          <w:tcPr>
            <w:tcW w:w="9288" w:type="dxa"/>
          </w:tcPr>
          <w:p w14:paraId="5A102226" w14:textId="26C7DAAB" w:rsidR="002D6579" w:rsidRPr="006A6D75" w:rsidRDefault="002D6579" w:rsidP="00AF4FAD">
            <w:pPr>
              <w:jc w:val="both"/>
              <w:rPr>
                <w:rFonts w:ascii="Times New Roman" w:hAnsi="Times New Roman" w:cs="Times New Roman"/>
                <w:noProof/>
                <w:sz w:val="24"/>
                <w:szCs w:val="24"/>
              </w:rPr>
            </w:pPr>
            <w:r>
              <w:rPr>
                <w:rFonts w:ascii="Times New Roman" w:hAnsi="Times New Roman"/>
                <w:noProof/>
                <w:sz w:val="24"/>
              </w:rPr>
              <w:t>Opțiunea de politică preferată ar conduce la anchete mai eficace și la un domeniu de aplicare mai larg al infracțiunilor legate de armele de foc și componentele esențiale. Costurile aferente ar decurge din nevoia de personal suplimentar în statele membre care să efectueze numărul potențial mai mare de anchete și urmăriri penale în cazurile care implică infracțiuni legate de armele de foc. Aceste costuri au fost estimate la 4 069 175 EUR anual în total pentru toate statele membre, cel puțin în primii cinci ani.</w:t>
            </w:r>
          </w:p>
          <w:p w14:paraId="2E57477A" w14:textId="77777777" w:rsidR="002D6579" w:rsidRPr="006A6D75" w:rsidRDefault="002D6579" w:rsidP="00AF4FAD">
            <w:pPr>
              <w:jc w:val="both"/>
              <w:rPr>
                <w:rFonts w:ascii="Times New Roman" w:hAnsi="Times New Roman" w:cs="Times New Roman"/>
                <w:noProof/>
                <w:sz w:val="24"/>
                <w:szCs w:val="24"/>
              </w:rPr>
            </w:pPr>
          </w:p>
          <w:p w14:paraId="42257F76" w14:textId="4243FC5C" w:rsidR="002D6579" w:rsidRDefault="00D84BF5" w:rsidP="00AF4FAD">
            <w:pPr>
              <w:jc w:val="both"/>
              <w:rPr>
                <w:rFonts w:ascii="Times New Roman" w:hAnsi="Times New Roman" w:cs="Times New Roman"/>
                <w:noProof/>
                <w:sz w:val="24"/>
                <w:szCs w:val="24"/>
              </w:rPr>
            </w:pPr>
            <w:r>
              <w:rPr>
                <w:rFonts w:ascii="Times New Roman" w:hAnsi="Times New Roman"/>
                <w:noProof/>
                <w:sz w:val="24"/>
              </w:rPr>
              <w:t xml:space="preserve">Se preconizează o creștere a costurilor administrative pentru departamentele de criminalistică ale statelor membre în legătură cu numărul de arme de foc confiscate. Aceste costuri au fost estimate la </w:t>
            </w:r>
            <w:bookmarkStart w:id="2" w:name="_Hlk194267834"/>
            <w:bookmarkStart w:id="3" w:name="_Hlk194098970"/>
            <w:r>
              <w:rPr>
                <w:rFonts w:ascii="Times New Roman" w:hAnsi="Times New Roman"/>
                <w:noProof/>
                <w:sz w:val="24"/>
              </w:rPr>
              <w:t>574 564 EUR pe an în ceea ce privește costurile administrative aferente rapoartelor balistice în toate cele 27 de state membre și la o sumă suplimentară de 332 107 EUR pe an în ceea ce privește rapoartele balistice privind planurile tehnice digitale.</w:t>
            </w:r>
          </w:p>
          <w:bookmarkEnd w:id="2"/>
          <w:p w14:paraId="5B473B62" w14:textId="77777777" w:rsidR="00D84BF5" w:rsidRDefault="00D84BF5" w:rsidP="00AF4FAD">
            <w:pPr>
              <w:jc w:val="both"/>
              <w:rPr>
                <w:rFonts w:ascii="Times New Roman" w:hAnsi="Times New Roman" w:cs="Times New Roman"/>
                <w:noProof/>
                <w:sz w:val="24"/>
                <w:szCs w:val="24"/>
              </w:rPr>
            </w:pPr>
          </w:p>
          <w:p w14:paraId="5D74E6FC" w14:textId="44E51BD1" w:rsidR="0017253E" w:rsidRDefault="00D84BF5" w:rsidP="00AF4FAD">
            <w:pPr>
              <w:jc w:val="both"/>
              <w:rPr>
                <w:rFonts w:ascii="Times New Roman" w:hAnsi="Times New Roman" w:cs="Times New Roman"/>
                <w:noProof/>
                <w:sz w:val="24"/>
                <w:szCs w:val="24"/>
              </w:rPr>
            </w:pPr>
            <w:r>
              <w:rPr>
                <w:rFonts w:ascii="Times New Roman" w:hAnsi="Times New Roman"/>
                <w:noProof/>
                <w:sz w:val="24"/>
              </w:rPr>
              <w:t xml:space="preserve">În plus, costurile administrative pentru înființarea și dezvoltarea integrală a punctelor focale naționale privind armele de foc în toate cele 27 de state membre sunt estimate la 12 070 917 EUR, iar cele pentru armonizarea datelor privind armele de foc în bazele de date naționale la 10 800 000 EUR în toate cele 27 de state membre. </w:t>
            </w:r>
            <w:bookmarkEnd w:id="3"/>
          </w:p>
          <w:p w14:paraId="40726909" w14:textId="77777777" w:rsidR="00EA2D82" w:rsidRDefault="00EA2D82" w:rsidP="00AF4FAD">
            <w:pPr>
              <w:jc w:val="both"/>
              <w:rPr>
                <w:rFonts w:ascii="Times New Roman" w:hAnsi="Times New Roman" w:cs="Times New Roman"/>
                <w:noProof/>
                <w:sz w:val="24"/>
                <w:szCs w:val="24"/>
              </w:rPr>
            </w:pPr>
          </w:p>
          <w:p w14:paraId="451E7F31" w14:textId="76F6C8D8" w:rsidR="0017253E" w:rsidRPr="00950D92" w:rsidRDefault="0017253E" w:rsidP="00C1673F">
            <w:pPr>
              <w:jc w:val="both"/>
              <w:rPr>
                <w:rFonts w:ascii="Times New Roman" w:hAnsi="Times New Roman" w:cs="Times New Roman"/>
                <w:noProof/>
                <w:sz w:val="24"/>
                <w:szCs w:val="24"/>
              </w:rPr>
            </w:pPr>
            <w:r>
              <w:rPr>
                <w:rFonts w:ascii="Times New Roman" w:hAnsi="Times New Roman"/>
                <w:noProof/>
                <w:sz w:val="24"/>
              </w:rPr>
              <w:t>Armonizarea cadrului penal de reglementare al UE pentru infracțiunile legate de armele de foc va contribui la reducerea costurilor economice ale violenței legate de armele de foc în Uniunea Europeană. Deși nu există studii concludente cu privire la costurile economice asociate actelor de violență care implică arme de foc în UE, o analiză care combină cercetarea efectuată prin intermediul proiectului INSIGHT, finanțat de UE, cu cercetarea privind costul unui atac armat specific din Suedia estimează costul atacurilor armate pentru societatea suedeză ca ridicându-se la aproximativ 120-140 de milioane EUR în prima jumătate a anului 2024. Cifra este pur teoretică, deoarece se bazează pe ipoteza extrapolării costului acestui atac armat specific și a aplicării acestuia pentru toate atacurile armate care au avut loc în Suedia în prima jumătate a anului 2024. Cu toate acestea, analiza arată că, deși sunt dificil de estimat, costurile actelor de violență care implică arme de foc nu sunt neglijabile.</w:t>
            </w:r>
          </w:p>
        </w:tc>
      </w:tr>
      <w:tr w:rsidR="00D61F3E" w14:paraId="417C711C" w14:textId="77777777" w:rsidTr="56CC4D68">
        <w:tc>
          <w:tcPr>
            <w:tcW w:w="9288" w:type="dxa"/>
            <w:shd w:val="clear" w:color="auto" w:fill="F2F2F2" w:themeFill="background1" w:themeFillShade="F2"/>
          </w:tcPr>
          <w:p w14:paraId="4F3864B6" w14:textId="69CDFFAE"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Care va fi impactul asupra societăților, a IMM-urilor și a microîntreprinderilor?</w:t>
            </w:r>
          </w:p>
        </w:tc>
      </w:tr>
      <w:tr w:rsidR="00D61F3E" w14:paraId="6465E54D" w14:textId="77777777" w:rsidTr="56CC4D68">
        <w:tc>
          <w:tcPr>
            <w:tcW w:w="9288" w:type="dxa"/>
          </w:tcPr>
          <w:p w14:paraId="54FC7572" w14:textId="6BF23ADB" w:rsidR="00950D92" w:rsidRPr="00D1118D" w:rsidRDefault="00950D92" w:rsidP="00D1118D">
            <w:pPr>
              <w:jc w:val="both"/>
              <w:rPr>
                <w:rFonts w:ascii="Times New Roman" w:hAnsi="Times New Roman" w:cs="Times New Roman"/>
                <w:noProof/>
                <w:sz w:val="24"/>
                <w:szCs w:val="24"/>
              </w:rPr>
            </w:pPr>
            <w:r>
              <w:rPr>
                <w:rFonts w:ascii="Times New Roman" w:hAnsi="Times New Roman"/>
                <w:noProof/>
                <w:sz w:val="24"/>
              </w:rPr>
              <w:t>Opțiunea de politică preferată nu ar avea niciun impact negativ asupra pieței legale. Aceasta ar aduce beneficii întreprinderilor, în special IMM-urilor, protejându-le împotriva concurenței neloiale din partea activității ilegale care afectează în mod negativ imaginea întregului sector și duce la pierderi de profit.</w:t>
            </w:r>
          </w:p>
          <w:p w14:paraId="406C30D2" w14:textId="19FE89E2" w:rsidR="00950D92" w:rsidRPr="00950D92" w:rsidRDefault="00950D92" w:rsidP="00D1118D">
            <w:pPr>
              <w:jc w:val="both"/>
              <w:rPr>
                <w:rFonts w:ascii="Times New Roman" w:hAnsi="Times New Roman" w:cs="Times New Roman"/>
                <w:noProof/>
                <w:sz w:val="24"/>
                <w:szCs w:val="24"/>
              </w:rPr>
            </w:pPr>
            <w:r>
              <w:rPr>
                <w:rFonts w:ascii="Times New Roman" w:hAnsi="Times New Roman"/>
                <w:noProof/>
                <w:sz w:val="24"/>
              </w:rPr>
              <w:t xml:space="preserve"> </w:t>
            </w:r>
          </w:p>
          <w:p w14:paraId="29134C61" w14:textId="1361039A" w:rsidR="00950D92" w:rsidRPr="00D1118D" w:rsidRDefault="00950D92" w:rsidP="00D1118D">
            <w:pPr>
              <w:pStyle w:val="Text2"/>
              <w:spacing w:after="0"/>
              <w:ind w:left="0"/>
              <w:rPr>
                <w:noProof/>
              </w:rPr>
            </w:pPr>
            <w:r>
              <w:rPr>
                <w:noProof/>
              </w:rPr>
              <w:t>Incriminarea producerii, deținerii și diseminării ilicite de modele digitale și de copii pe suport fizic în scopul fabricării de arme de foc sau de componente esențiale ar fi benefică întreprinderilor legale prin protejarea drepturilor intelectuale pe care le dețin asupra modelelor sau asupra inovațiilor.</w:t>
            </w:r>
          </w:p>
        </w:tc>
      </w:tr>
      <w:tr w:rsidR="00D61F3E" w14:paraId="3A63113D" w14:textId="77777777" w:rsidTr="56CC4D68">
        <w:tc>
          <w:tcPr>
            <w:tcW w:w="9288" w:type="dxa"/>
            <w:shd w:val="clear" w:color="auto" w:fill="F2F2F2" w:themeFill="background1" w:themeFillShade="F2"/>
          </w:tcPr>
          <w:p w14:paraId="7C894D2F" w14:textId="6A8AFC10"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Va exista un impact semnificativ asupra bugetelor și a administrațiilor naționale?</w:t>
            </w:r>
          </w:p>
        </w:tc>
      </w:tr>
      <w:tr w:rsidR="00D61F3E" w14:paraId="4CE0FDFA" w14:textId="77777777" w:rsidTr="56CC4D68">
        <w:tc>
          <w:tcPr>
            <w:tcW w:w="9288" w:type="dxa"/>
          </w:tcPr>
          <w:p w14:paraId="76DE3857" w14:textId="684387C7" w:rsidR="00D8619D" w:rsidRDefault="006A6D75" w:rsidP="00AF4FAD">
            <w:pPr>
              <w:jc w:val="both"/>
              <w:rPr>
                <w:rFonts w:ascii="Times New Roman" w:hAnsi="Times New Roman" w:cs="Times New Roman"/>
                <w:noProof/>
                <w:sz w:val="24"/>
                <w:szCs w:val="24"/>
              </w:rPr>
            </w:pPr>
            <w:r>
              <w:rPr>
                <w:rFonts w:ascii="Times New Roman" w:hAnsi="Times New Roman"/>
                <w:noProof/>
                <w:sz w:val="24"/>
              </w:rPr>
              <w:t xml:space="preserve">Costurile anuale cu personalul suplimentar din statele membre pentru anchetarea și urmărirea penală a cazurilor de infracțiuni legate de armele de foc, precum și costurile administrative suplimentare ale departamentelor criminalistice au fost estimate la aproximativ 135 000 000 EUR în total pentru toate statele membre în primii cinci ani. </w:t>
            </w:r>
          </w:p>
          <w:p w14:paraId="7B422588" w14:textId="77777777" w:rsidR="00D8619D" w:rsidRDefault="00D8619D" w:rsidP="00AF4FAD">
            <w:pPr>
              <w:jc w:val="both"/>
              <w:rPr>
                <w:rFonts w:ascii="Times New Roman" w:hAnsi="Times New Roman" w:cs="Times New Roman"/>
                <w:noProof/>
                <w:sz w:val="24"/>
                <w:szCs w:val="24"/>
              </w:rPr>
            </w:pPr>
          </w:p>
          <w:p w14:paraId="5009660E" w14:textId="6AC08429" w:rsidR="00D440EA" w:rsidRDefault="00D440EA" w:rsidP="00AF4FAD">
            <w:pPr>
              <w:jc w:val="both"/>
              <w:rPr>
                <w:rFonts w:ascii="Times New Roman" w:hAnsi="Times New Roman" w:cs="Times New Roman"/>
                <w:noProof/>
                <w:sz w:val="24"/>
                <w:szCs w:val="24"/>
              </w:rPr>
            </w:pPr>
            <w:r>
              <w:rPr>
                <w:rFonts w:ascii="Times New Roman" w:hAnsi="Times New Roman"/>
                <w:noProof/>
                <w:sz w:val="24"/>
              </w:rPr>
              <w:t>Costul unic al instituirii și dezvoltării complete a punctelor focale naționale privind armele de foc și al armonizării datelor referitoare la armele de foc în bazele de date naționale în toate cele 27 de state membre este estimat la 22 870 917 EUR.</w:t>
            </w:r>
          </w:p>
          <w:p w14:paraId="3A0C4A2B" w14:textId="77777777" w:rsidR="00EA2D82" w:rsidRDefault="00EA2D82" w:rsidP="00AF4FAD">
            <w:pPr>
              <w:jc w:val="both"/>
              <w:rPr>
                <w:rFonts w:ascii="Times New Roman" w:hAnsi="Times New Roman" w:cs="Times New Roman"/>
                <w:noProof/>
                <w:sz w:val="24"/>
                <w:szCs w:val="24"/>
              </w:rPr>
            </w:pPr>
          </w:p>
          <w:p w14:paraId="7E88458C" w14:textId="36C2D969" w:rsidR="0081157D" w:rsidRPr="00950D92" w:rsidRDefault="00D8619D" w:rsidP="00AF4FAD">
            <w:pPr>
              <w:jc w:val="both"/>
              <w:rPr>
                <w:rFonts w:ascii="Times New Roman" w:hAnsi="Times New Roman" w:cs="Times New Roman"/>
                <w:noProof/>
                <w:sz w:val="24"/>
                <w:szCs w:val="24"/>
              </w:rPr>
            </w:pPr>
            <w:r>
              <w:rPr>
                <w:rFonts w:ascii="Times New Roman" w:hAnsi="Times New Roman"/>
                <w:noProof/>
                <w:sz w:val="24"/>
              </w:rPr>
              <w:t>Opțiunea de politică preferată include măsuri privind stabilirea unui set minim armonizat de date privind confiscarea armelor de foc. Unele state membre ar trebui să își reorganizeze baza de date pentru a implementa setul de date armonizat.</w:t>
            </w:r>
          </w:p>
        </w:tc>
      </w:tr>
      <w:tr w:rsidR="00D61F3E" w14:paraId="5B6A7BD5" w14:textId="77777777" w:rsidTr="56CC4D68">
        <w:tc>
          <w:tcPr>
            <w:tcW w:w="9288" w:type="dxa"/>
            <w:shd w:val="clear" w:color="auto" w:fill="F2F2F2" w:themeFill="background1" w:themeFillShade="F2"/>
          </w:tcPr>
          <w:p w14:paraId="2CABF1DD" w14:textId="77ABFC14"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Vor exista alte efecte semnificative?</w:t>
            </w:r>
          </w:p>
        </w:tc>
      </w:tr>
      <w:tr w:rsidR="00D61F3E" w14:paraId="30F9D517" w14:textId="77777777" w:rsidTr="56CC4D68">
        <w:tc>
          <w:tcPr>
            <w:tcW w:w="9288" w:type="dxa"/>
          </w:tcPr>
          <w:p w14:paraId="5B02F744" w14:textId="77777777" w:rsidR="0017253E" w:rsidRDefault="00A47181" w:rsidP="00A47181">
            <w:pPr>
              <w:jc w:val="both"/>
              <w:rPr>
                <w:rFonts w:ascii="Times New Roman" w:hAnsi="Times New Roman" w:cs="Times New Roman"/>
                <w:noProof/>
                <w:sz w:val="24"/>
                <w:szCs w:val="24"/>
              </w:rPr>
            </w:pPr>
            <w:r>
              <w:rPr>
                <w:rFonts w:ascii="Times New Roman" w:hAnsi="Times New Roman"/>
                <w:noProof/>
                <w:sz w:val="24"/>
              </w:rPr>
              <w:t>Inițiativa va fi benefică și pentru combaterea altor infracțiuni, cum ar fi spălarea banilor, terorismul, traficul de droguri, infracțiunile săvârșite prin violență, contrafacerea sau alte forme de criminalitate organizată împotriva cărora UE a adoptat o serie de acte legislative în ultimii ani. Întrucât infracțiunile legate de armele de foc sunt adesea legate de aceste infracțiuni, o legislație mai eficace ar contribui la strategii eficace de asigurare a respectării dreptului penal și, în general, ar îmbunătăți securitatea cetățenilor Uniunii Europene.</w:t>
            </w:r>
          </w:p>
          <w:p w14:paraId="124991D5" w14:textId="77777777" w:rsidR="00EA2D82" w:rsidRDefault="00EA2D82" w:rsidP="00A47181">
            <w:pPr>
              <w:jc w:val="both"/>
              <w:rPr>
                <w:rFonts w:ascii="Times New Roman" w:hAnsi="Times New Roman" w:cs="Times New Roman"/>
                <w:noProof/>
                <w:sz w:val="24"/>
                <w:szCs w:val="24"/>
              </w:rPr>
            </w:pPr>
          </w:p>
          <w:p w14:paraId="42F44B4E" w14:textId="46C8DFCA" w:rsidR="00EE61E3" w:rsidRPr="00A47181" w:rsidRDefault="00EE61E3" w:rsidP="00A47181">
            <w:pPr>
              <w:jc w:val="both"/>
              <w:rPr>
                <w:rFonts w:ascii="Times New Roman" w:hAnsi="Times New Roman" w:cs="Times New Roman"/>
                <w:noProof/>
                <w:sz w:val="24"/>
                <w:szCs w:val="24"/>
              </w:rPr>
            </w:pPr>
            <w:r>
              <w:rPr>
                <w:rFonts w:ascii="Times New Roman" w:hAnsi="Times New Roman"/>
                <w:noProof/>
                <w:sz w:val="24"/>
              </w:rPr>
              <w:t xml:space="preserve">Inițiativa va avea un impact special asupra cetățenilor tineri, deoarece armele de foc ilicite contribuie la fenomenul îngrijorător prin care tinerii europeni sunt atrași în activități infracționale și suferă ei înșiși de pe urma actelor de violență care implică arme de foc. </w:t>
            </w:r>
          </w:p>
        </w:tc>
      </w:tr>
      <w:tr w:rsidR="00D61F3E" w14:paraId="68B621B7" w14:textId="77777777" w:rsidTr="56CC4D68">
        <w:tc>
          <w:tcPr>
            <w:tcW w:w="9288" w:type="dxa"/>
            <w:shd w:val="clear" w:color="auto" w:fill="D9D9D9" w:themeFill="background1" w:themeFillShade="D9"/>
          </w:tcPr>
          <w:p w14:paraId="2AC87ED3" w14:textId="576225DF" w:rsidR="00D61F3E" w:rsidRPr="00950D92" w:rsidRDefault="00D61F3E" w:rsidP="00950D92">
            <w:pPr>
              <w:pStyle w:val="ListParagraph"/>
              <w:numPr>
                <w:ilvl w:val="0"/>
                <w:numId w:val="1"/>
              </w:numPr>
              <w:spacing w:before="60" w:after="60"/>
              <w:rPr>
                <w:rFonts w:ascii="Times New Roman" w:hAnsi="Times New Roman" w:cs="Times New Roman"/>
                <w:b/>
                <w:bCs/>
                <w:noProof/>
                <w:sz w:val="24"/>
                <w:szCs w:val="24"/>
              </w:rPr>
            </w:pPr>
            <w:r>
              <w:rPr>
                <w:rFonts w:ascii="Times New Roman" w:hAnsi="Times New Roman"/>
                <w:b/>
                <w:noProof/>
                <w:sz w:val="24"/>
              </w:rPr>
              <w:t>Acțiuni ulterioare</w:t>
            </w:r>
          </w:p>
        </w:tc>
      </w:tr>
      <w:tr w:rsidR="00D61F3E" w14:paraId="048B04C3" w14:textId="77777777" w:rsidTr="56CC4D68">
        <w:tc>
          <w:tcPr>
            <w:tcW w:w="9288" w:type="dxa"/>
            <w:shd w:val="clear" w:color="auto" w:fill="F2F2F2" w:themeFill="background1" w:themeFillShade="F2"/>
          </w:tcPr>
          <w:p w14:paraId="06B90F42" w14:textId="6B349216" w:rsidR="00D61F3E" w:rsidRPr="00950D92" w:rsidRDefault="00D61F3E" w:rsidP="00950D92">
            <w:pPr>
              <w:spacing w:before="60" w:after="60"/>
              <w:rPr>
                <w:rFonts w:ascii="Times New Roman" w:hAnsi="Times New Roman" w:cs="Times New Roman"/>
                <w:b/>
                <w:bCs/>
                <w:noProof/>
                <w:sz w:val="24"/>
                <w:szCs w:val="24"/>
              </w:rPr>
            </w:pPr>
            <w:r>
              <w:rPr>
                <w:rFonts w:ascii="Times New Roman" w:hAnsi="Times New Roman"/>
                <w:b/>
                <w:noProof/>
                <w:sz w:val="24"/>
              </w:rPr>
              <w:t>Când va fi revizuită politica?</w:t>
            </w:r>
          </w:p>
        </w:tc>
      </w:tr>
      <w:tr w:rsidR="00D61F3E" w14:paraId="3110409D" w14:textId="77777777" w:rsidTr="56CC4D68">
        <w:tc>
          <w:tcPr>
            <w:tcW w:w="9288" w:type="dxa"/>
          </w:tcPr>
          <w:p w14:paraId="40C3C2AD" w14:textId="70D0B501" w:rsidR="00D61F3E" w:rsidRPr="00D917CF" w:rsidRDefault="00D917CF" w:rsidP="00D61F3E">
            <w:pPr>
              <w:rPr>
                <w:rFonts w:ascii="Times New Roman" w:hAnsi="Times New Roman" w:cs="Times New Roman"/>
                <w:noProof/>
                <w:sz w:val="24"/>
                <w:szCs w:val="24"/>
              </w:rPr>
            </w:pPr>
            <w:r>
              <w:rPr>
                <w:rFonts w:ascii="Times New Roman" w:hAnsi="Times New Roman"/>
                <w:noProof/>
                <w:sz w:val="24"/>
              </w:rPr>
              <w:t>În termen de 5 ani de la transpunere, ținând seama de timpul necesar pentru aplicare și colectarea datelor.</w:t>
            </w:r>
          </w:p>
        </w:tc>
      </w:tr>
    </w:tbl>
    <w:p w14:paraId="093163D9" w14:textId="527146FD" w:rsidR="00F31280" w:rsidRDefault="00F31280">
      <w:pPr>
        <w:rPr>
          <w:noProof/>
        </w:rPr>
      </w:pPr>
    </w:p>
    <w:sectPr w:rsidR="00F31280" w:rsidSect="0026613F">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E4CBD0" w14:textId="77777777" w:rsidR="00DB6E8C" w:rsidRDefault="00DB6E8C" w:rsidP="0026613F">
      <w:pPr>
        <w:spacing w:after="0" w:line="240" w:lineRule="auto"/>
      </w:pPr>
      <w:r>
        <w:separator/>
      </w:r>
    </w:p>
  </w:endnote>
  <w:endnote w:type="continuationSeparator" w:id="0">
    <w:p w14:paraId="2E238087" w14:textId="77777777" w:rsidR="00DB6E8C" w:rsidRDefault="00DB6E8C" w:rsidP="00266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A1731" w14:textId="318B67B2" w:rsidR="009803EB" w:rsidRPr="009803EB" w:rsidRDefault="009803EB" w:rsidP="009803EB">
    <w:pPr>
      <w:pStyle w:val="FooterCoverPage"/>
      <w:rPr>
        <w:rFonts w:ascii="Arial" w:hAnsi="Arial" w:cs="Arial"/>
        <w:b/>
        <w:sz w:val="48"/>
      </w:rPr>
    </w:pPr>
    <w:r w:rsidRPr="009803EB">
      <w:rPr>
        <w:rFonts w:ascii="Arial" w:hAnsi="Arial" w:cs="Arial"/>
        <w:b/>
        <w:sz w:val="48"/>
      </w:rPr>
      <w:t>RO</w:t>
    </w:r>
    <w:r w:rsidRPr="009803EB">
      <w:rPr>
        <w:rFonts w:ascii="Arial" w:hAnsi="Arial" w:cs="Arial"/>
        <w:b/>
        <w:sz w:val="48"/>
      </w:rPr>
      <w:tab/>
    </w:r>
    <w:r w:rsidRPr="009803EB">
      <w:rPr>
        <w:rFonts w:ascii="Arial" w:hAnsi="Arial" w:cs="Arial"/>
        <w:b/>
        <w:sz w:val="48"/>
      </w:rPr>
      <w:tab/>
    </w:r>
    <w:r w:rsidRPr="009803EB">
      <w:tab/>
    </w:r>
    <w:r w:rsidRPr="009803E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11CED" w14:textId="00150063" w:rsidR="009803EB" w:rsidRPr="009803EB" w:rsidRDefault="009803EB" w:rsidP="009803EB">
    <w:pPr>
      <w:pStyle w:val="FooterCoverPage"/>
      <w:rPr>
        <w:rFonts w:ascii="Arial" w:hAnsi="Arial" w:cs="Arial"/>
        <w:b/>
        <w:sz w:val="48"/>
      </w:rPr>
    </w:pPr>
    <w:r w:rsidRPr="009803EB">
      <w:rPr>
        <w:rFonts w:ascii="Arial" w:hAnsi="Arial" w:cs="Arial"/>
        <w:b/>
        <w:sz w:val="48"/>
      </w:rPr>
      <w:t>RO</w:t>
    </w:r>
    <w:r w:rsidRPr="009803EB">
      <w:rPr>
        <w:rFonts w:ascii="Arial" w:hAnsi="Arial" w:cs="Arial"/>
        <w:b/>
        <w:sz w:val="48"/>
      </w:rPr>
      <w:tab/>
    </w:r>
    <w:r w:rsidRPr="009803EB">
      <w:rPr>
        <w:rFonts w:ascii="Arial" w:hAnsi="Arial" w:cs="Arial"/>
        <w:b/>
        <w:sz w:val="48"/>
      </w:rPr>
      <w:tab/>
    </w:r>
    <w:r w:rsidRPr="009803EB">
      <w:tab/>
    </w:r>
    <w:r w:rsidRPr="009803E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AAADA" w14:textId="77777777" w:rsidR="009803EB" w:rsidRPr="009803EB" w:rsidRDefault="009803EB" w:rsidP="009803E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622D3" w14:textId="77777777" w:rsidR="0026613F" w:rsidRDefault="0026613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100745"/>
      <w:docPartObj>
        <w:docPartGallery w:val="Page Numbers (Bottom of Page)"/>
        <w:docPartUnique/>
      </w:docPartObj>
    </w:sdtPr>
    <w:sdtEndPr>
      <w:rPr>
        <w:noProof/>
      </w:rPr>
    </w:sdtEndPr>
    <w:sdtContent>
      <w:p w14:paraId="2B6E8017" w14:textId="092D6523" w:rsidR="0026613F" w:rsidRDefault="0026613F">
        <w:pPr>
          <w:pStyle w:val="Footer"/>
          <w:jc w:val="center"/>
        </w:pPr>
        <w:r>
          <w:fldChar w:fldCharType="begin"/>
        </w:r>
        <w:r>
          <w:instrText xml:space="preserve"> PAGE   \* MERGEFORMAT </w:instrText>
        </w:r>
        <w:r>
          <w:fldChar w:fldCharType="separate"/>
        </w:r>
        <w:r w:rsidR="009803EB">
          <w:rPr>
            <w:noProof/>
          </w:rPr>
          <w:t>5</w:t>
        </w:r>
        <w:r>
          <w:fldChar w:fldCharType="end"/>
        </w:r>
      </w:p>
    </w:sdtContent>
  </w:sdt>
  <w:p w14:paraId="4934BD0F" w14:textId="77777777" w:rsidR="0026613F" w:rsidRDefault="0026613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D30FB" w14:textId="77777777" w:rsidR="0026613F" w:rsidRDefault="0026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53937" w14:textId="77777777" w:rsidR="00DB6E8C" w:rsidRDefault="00DB6E8C" w:rsidP="0026613F">
      <w:pPr>
        <w:spacing w:after="0" w:line="240" w:lineRule="auto"/>
      </w:pPr>
      <w:r>
        <w:separator/>
      </w:r>
    </w:p>
  </w:footnote>
  <w:footnote w:type="continuationSeparator" w:id="0">
    <w:p w14:paraId="77049186" w14:textId="77777777" w:rsidR="00DB6E8C" w:rsidRDefault="00DB6E8C" w:rsidP="00266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68E05" w14:textId="77777777" w:rsidR="009803EB" w:rsidRPr="009803EB" w:rsidRDefault="009803EB" w:rsidP="009803E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97209" w14:textId="77777777" w:rsidR="009803EB" w:rsidRPr="009803EB" w:rsidRDefault="009803EB" w:rsidP="009803E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90F6A" w14:textId="77777777" w:rsidR="009803EB" w:rsidRPr="009803EB" w:rsidRDefault="009803EB" w:rsidP="009803E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23B1" w14:textId="77777777" w:rsidR="0026613F" w:rsidRDefault="0026613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3186A" w14:textId="77777777" w:rsidR="0026613F" w:rsidRDefault="0026613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83C38" w14:textId="77777777" w:rsidR="0026613F" w:rsidRDefault="0026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E7729"/>
    <w:multiLevelType w:val="multilevel"/>
    <w:tmpl w:val="6B0E75A0"/>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3F82BA2"/>
    <w:multiLevelType w:val="hybridMultilevel"/>
    <w:tmpl w:val="DDEA1B3E"/>
    <w:lvl w:ilvl="0" w:tplc="775A3EA6">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9637C8C"/>
    <w:multiLevelType w:val="hybridMultilevel"/>
    <w:tmpl w:val="24AE6E2C"/>
    <w:lvl w:ilvl="0" w:tplc="8800DE76">
      <w:start w:val="1"/>
      <w:numFmt w:val="bullet"/>
      <w:pStyle w:val="Bullet0"/>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748865E4"/>
    <w:multiLevelType w:val="hybridMultilevel"/>
    <w:tmpl w:val="5B4E520E"/>
    <w:lvl w:ilvl="0" w:tplc="775A3EA6">
      <w:start w:val="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76B30EB6"/>
    <w:multiLevelType w:val="hybridMultilevel"/>
    <w:tmpl w:val="98126C4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B0D9F9BC-D786-487F-A675-D411BD47A158"/>
    <w:docVar w:name="LW_COVERPAGE_TYPE" w:val="1"/>
    <w:docVar w:name="LW_CROSSREFERENCE" w:val="{COM(2026) 102 final} - {SEC(2026) 102 final} - {SWD(2026) 102 final}"/>
    <w:docVar w:name="LW_DocType" w:val="NORMAL"/>
    <w:docVar w:name="LW_EMISSION" w:val="26.2.2026"/>
    <w:docVar w:name="LW_EMISSION_ISODATE" w:val="2026-02-26"/>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privind combaterea traficului ilicit de arme de foc \u537?i a altor infrac\u539?iuni legate de armele de foc \u537?i de modificare a Directivei (UE) 2024/1260 a Parlamentului European \u537?i a Consiliului"/>
    <w:docVar w:name="LW_PART_NBR" w:val="1"/>
    <w:docVar w:name="LW_PART_NBR_TOTAL" w:val="1"/>
    <w:docVar w:name="LW_REF.INST.NEW" w:val="SWD"/>
    <w:docVar w:name="LW_REF.INST.NEW_ADOPTED" w:val="final"/>
    <w:docVar w:name="LW_REF.INST.NEW_TEXT" w:val="(2026) 1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u8230?]&lt;/FMT&gt;"/>
    <w:docVar w:name="LW_TYPE.DOC.CP" w:val="DOCUMENT DE LUCRU AL SERVICIILOR COMISIEI_x000b__x000b_REZUMAT AL RAPORTULUI PRIVIND EVALUAREA IMPACTULUI_x000b_"/>
    <w:docVar w:name="LW_TYPEACTEPRINCIPAL.CP" w:val="Propunere de directiv\u259? a Parlamentului European \u537?i a Consiliului"/>
    <w:docVar w:name="LwApiVersions" w:val="LW4CoDe 1.24.5.0; LW 9.2, Build 20251112"/>
  </w:docVars>
  <w:rsids>
    <w:rsidRoot w:val="0026613F"/>
    <w:rsid w:val="00014D5E"/>
    <w:rsid w:val="0003463A"/>
    <w:rsid w:val="000A06A8"/>
    <w:rsid w:val="000C515D"/>
    <w:rsid w:val="000E19F4"/>
    <w:rsid w:val="000E335C"/>
    <w:rsid w:val="000F5872"/>
    <w:rsid w:val="0010609B"/>
    <w:rsid w:val="00134F7B"/>
    <w:rsid w:val="001370CB"/>
    <w:rsid w:val="001629B8"/>
    <w:rsid w:val="00163A23"/>
    <w:rsid w:val="0017253E"/>
    <w:rsid w:val="00177ED2"/>
    <w:rsid w:val="001F4C53"/>
    <w:rsid w:val="00222F31"/>
    <w:rsid w:val="002246D0"/>
    <w:rsid w:val="00235E7B"/>
    <w:rsid w:val="00250C4C"/>
    <w:rsid w:val="00251AE2"/>
    <w:rsid w:val="002529A1"/>
    <w:rsid w:val="0026613F"/>
    <w:rsid w:val="0026648E"/>
    <w:rsid w:val="00283996"/>
    <w:rsid w:val="002A5335"/>
    <w:rsid w:val="002C279C"/>
    <w:rsid w:val="002D6579"/>
    <w:rsid w:val="00324AD0"/>
    <w:rsid w:val="0032581E"/>
    <w:rsid w:val="0034646C"/>
    <w:rsid w:val="003520E4"/>
    <w:rsid w:val="00370D1A"/>
    <w:rsid w:val="003A122B"/>
    <w:rsid w:val="003A1742"/>
    <w:rsid w:val="003A1768"/>
    <w:rsid w:val="003A5A98"/>
    <w:rsid w:val="003C1B21"/>
    <w:rsid w:val="003E1323"/>
    <w:rsid w:val="003F2236"/>
    <w:rsid w:val="00400FAB"/>
    <w:rsid w:val="0040214D"/>
    <w:rsid w:val="004336BD"/>
    <w:rsid w:val="004372FC"/>
    <w:rsid w:val="00441772"/>
    <w:rsid w:val="00442588"/>
    <w:rsid w:val="0045103A"/>
    <w:rsid w:val="0048679D"/>
    <w:rsid w:val="004A3979"/>
    <w:rsid w:val="004B128E"/>
    <w:rsid w:val="004B3BB7"/>
    <w:rsid w:val="004E275E"/>
    <w:rsid w:val="00526669"/>
    <w:rsid w:val="00537AE2"/>
    <w:rsid w:val="00543C55"/>
    <w:rsid w:val="00550498"/>
    <w:rsid w:val="00554C95"/>
    <w:rsid w:val="00591964"/>
    <w:rsid w:val="005B1484"/>
    <w:rsid w:val="005E46C0"/>
    <w:rsid w:val="005F1171"/>
    <w:rsid w:val="0060169C"/>
    <w:rsid w:val="00601C7B"/>
    <w:rsid w:val="00604DDC"/>
    <w:rsid w:val="00624693"/>
    <w:rsid w:val="00633AEF"/>
    <w:rsid w:val="006368E5"/>
    <w:rsid w:val="00650A15"/>
    <w:rsid w:val="006A6D75"/>
    <w:rsid w:val="007213C0"/>
    <w:rsid w:val="00733432"/>
    <w:rsid w:val="00786883"/>
    <w:rsid w:val="007B7091"/>
    <w:rsid w:val="007C328C"/>
    <w:rsid w:val="007D0FF0"/>
    <w:rsid w:val="007E4D84"/>
    <w:rsid w:val="0081157D"/>
    <w:rsid w:val="00880B76"/>
    <w:rsid w:val="00880ED8"/>
    <w:rsid w:val="008F0EAD"/>
    <w:rsid w:val="008F5207"/>
    <w:rsid w:val="00901DCD"/>
    <w:rsid w:val="00906939"/>
    <w:rsid w:val="00930CC0"/>
    <w:rsid w:val="00950AFD"/>
    <w:rsid w:val="00950D92"/>
    <w:rsid w:val="00955DEE"/>
    <w:rsid w:val="0097241B"/>
    <w:rsid w:val="009803EB"/>
    <w:rsid w:val="0098118E"/>
    <w:rsid w:val="009C1521"/>
    <w:rsid w:val="009F1352"/>
    <w:rsid w:val="00A15CC1"/>
    <w:rsid w:val="00A47181"/>
    <w:rsid w:val="00A80B92"/>
    <w:rsid w:val="00AA1F5D"/>
    <w:rsid w:val="00AC2B0F"/>
    <w:rsid w:val="00AC3853"/>
    <w:rsid w:val="00AE167C"/>
    <w:rsid w:val="00AF4FAD"/>
    <w:rsid w:val="00B12D56"/>
    <w:rsid w:val="00B1566B"/>
    <w:rsid w:val="00B23F0B"/>
    <w:rsid w:val="00B45A46"/>
    <w:rsid w:val="00B51420"/>
    <w:rsid w:val="00B552BA"/>
    <w:rsid w:val="00B65CA2"/>
    <w:rsid w:val="00B852E4"/>
    <w:rsid w:val="00BB0207"/>
    <w:rsid w:val="00BC43E4"/>
    <w:rsid w:val="00C076AD"/>
    <w:rsid w:val="00C1673F"/>
    <w:rsid w:val="00C54447"/>
    <w:rsid w:val="00C5484D"/>
    <w:rsid w:val="00C569BF"/>
    <w:rsid w:val="00C850FB"/>
    <w:rsid w:val="00CE3A2E"/>
    <w:rsid w:val="00CF227E"/>
    <w:rsid w:val="00D1118D"/>
    <w:rsid w:val="00D17632"/>
    <w:rsid w:val="00D17B04"/>
    <w:rsid w:val="00D20FD1"/>
    <w:rsid w:val="00D2104A"/>
    <w:rsid w:val="00D41D52"/>
    <w:rsid w:val="00D440EA"/>
    <w:rsid w:val="00D61F3E"/>
    <w:rsid w:val="00D70E78"/>
    <w:rsid w:val="00D73FD8"/>
    <w:rsid w:val="00D84BF5"/>
    <w:rsid w:val="00D8619D"/>
    <w:rsid w:val="00D917CF"/>
    <w:rsid w:val="00DA465C"/>
    <w:rsid w:val="00DA5240"/>
    <w:rsid w:val="00DB4F70"/>
    <w:rsid w:val="00DB5A3B"/>
    <w:rsid w:val="00DB6E8C"/>
    <w:rsid w:val="00E0725C"/>
    <w:rsid w:val="00E118CA"/>
    <w:rsid w:val="00E37F1A"/>
    <w:rsid w:val="00E501B0"/>
    <w:rsid w:val="00E55E9F"/>
    <w:rsid w:val="00E624F5"/>
    <w:rsid w:val="00EA2D82"/>
    <w:rsid w:val="00EB2C75"/>
    <w:rsid w:val="00EB2CC2"/>
    <w:rsid w:val="00EE61E3"/>
    <w:rsid w:val="00F25090"/>
    <w:rsid w:val="00F26154"/>
    <w:rsid w:val="00F2C830"/>
    <w:rsid w:val="00F31280"/>
    <w:rsid w:val="00F312BC"/>
    <w:rsid w:val="00F41BBB"/>
    <w:rsid w:val="00FD0C07"/>
    <w:rsid w:val="029C96F6"/>
    <w:rsid w:val="04053371"/>
    <w:rsid w:val="07D1993C"/>
    <w:rsid w:val="0DE27916"/>
    <w:rsid w:val="10BB7F49"/>
    <w:rsid w:val="137FB5A4"/>
    <w:rsid w:val="13BABEBD"/>
    <w:rsid w:val="15BB3E80"/>
    <w:rsid w:val="16FC3CB0"/>
    <w:rsid w:val="18DEB359"/>
    <w:rsid w:val="1D2D0A46"/>
    <w:rsid w:val="1F797999"/>
    <w:rsid w:val="1FF62F57"/>
    <w:rsid w:val="1FFF1BB3"/>
    <w:rsid w:val="230E4CDF"/>
    <w:rsid w:val="2498595B"/>
    <w:rsid w:val="2674BEBD"/>
    <w:rsid w:val="271591E8"/>
    <w:rsid w:val="2B2D9773"/>
    <w:rsid w:val="2B361141"/>
    <w:rsid w:val="2C12D6C5"/>
    <w:rsid w:val="2C209AD3"/>
    <w:rsid w:val="2D6CCEE0"/>
    <w:rsid w:val="2FDFB6AB"/>
    <w:rsid w:val="30847DDF"/>
    <w:rsid w:val="3371CCD7"/>
    <w:rsid w:val="34C83D61"/>
    <w:rsid w:val="41A4F33D"/>
    <w:rsid w:val="43979D11"/>
    <w:rsid w:val="46F6F9A5"/>
    <w:rsid w:val="49C97019"/>
    <w:rsid w:val="50F9FD64"/>
    <w:rsid w:val="51FFADCF"/>
    <w:rsid w:val="529E0772"/>
    <w:rsid w:val="52C8BA8E"/>
    <w:rsid w:val="53C7E39B"/>
    <w:rsid w:val="54DF2019"/>
    <w:rsid w:val="56CC4D68"/>
    <w:rsid w:val="5852CA99"/>
    <w:rsid w:val="5AC4A3C4"/>
    <w:rsid w:val="69151D51"/>
    <w:rsid w:val="6D041018"/>
    <w:rsid w:val="76E413F0"/>
    <w:rsid w:val="77A5FDC4"/>
    <w:rsid w:val="79FDE57F"/>
    <w:rsid w:val="7E30DB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0036ECAB-83C0-4BB4-8D70-F79033A14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F312B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table" w:styleId="TableGrid">
    <w:name w:val="Table Grid"/>
    <w:basedOn w:val="TableNormal"/>
    <w:uiPriority w:val="59"/>
    <w:rsid w:val="00AC2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uiPriority w:val="1"/>
    <w:qFormat/>
    <w:rsid w:val="00AC2B0F"/>
    <w:pPr>
      <w:ind w:left="720"/>
      <w:contextualSpacing/>
    </w:pPr>
  </w:style>
  <w:style w:type="paragraph" w:customStyle="1" w:styleId="Text2">
    <w:name w:val="Text 2"/>
    <w:basedOn w:val="Normal"/>
    <w:rsid w:val="00950D92"/>
    <w:pPr>
      <w:tabs>
        <w:tab w:val="left" w:pos="2302"/>
      </w:tabs>
      <w:spacing w:after="240" w:line="240" w:lineRule="auto"/>
      <w:ind w:left="1202"/>
      <w:jc w:val="both"/>
    </w:pPr>
    <w:rPr>
      <w:rFonts w:ascii="Times New Roman" w:eastAsia="Times New Roman" w:hAnsi="Times New Roman" w:cs="Times New Roman"/>
      <w:sz w:val="24"/>
      <w:szCs w:val="20"/>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nhideWhenUsed/>
    <w:qFormat/>
    <w:rsid w:val="002D6579"/>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sid w:val="002D6579"/>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2D6579"/>
    <w:rPr>
      <w:vertAlign w:val="superscript"/>
    </w:rPr>
  </w:style>
  <w:style w:type="paragraph" w:customStyle="1" w:styleId="CharCharChar1">
    <w:name w:val="Char Char Char1"/>
    <w:basedOn w:val="Normal"/>
    <w:link w:val="FootnoteReference"/>
    <w:uiPriority w:val="99"/>
    <w:rsid w:val="002D6579"/>
    <w:pPr>
      <w:spacing w:after="160" w:line="240" w:lineRule="exact"/>
      <w:jc w:val="both"/>
    </w:pPr>
    <w:rPr>
      <w:vertAlign w:val="superscript"/>
    </w:rPr>
  </w:style>
  <w:style w:type="paragraph" w:customStyle="1" w:styleId="Bullet0">
    <w:name w:val="Bullet 0"/>
    <w:basedOn w:val="Normal"/>
    <w:rsid w:val="00D8619D"/>
    <w:pPr>
      <w:numPr>
        <w:numId w:val="4"/>
      </w:numPr>
    </w:p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526669"/>
  </w:style>
  <w:style w:type="paragraph" w:customStyle="1" w:styleId="Languesfaisantfoi">
    <w:name w:val="Langues faisant foi"/>
    <w:basedOn w:val="Normal"/>
    <w:next w:val="Normal"/>
    <w:rsid w:val="00B23F0B"/>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B23F0B"/>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B23F0B"/>
    <w:pPr>
      <w:spacing w:after="0"/>
    </w:pPr>
  </w:style>
  <w:style w:type="paragraph" w:customStyle="1" w:styleId="IntrtEEEPagedecouverture">
    <w:name w:val="Intérêt EEE (Page de couverture)"/>
    <w:basedOn w:val="IntrtEEE"/>
    <w:next w:val="Normal"/>
    <w:rsid w:val="00B23F0B"/>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Disclaimer">
    <w:name w:val="Disclaimer"/>
    <w:basedOn w:val="Normal"/>
    <w:rsid w:val="00F312B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F312BC"/>
    <w:pPr>
      <w:spacing w:after="0"/>
      <w:ind w:left="5103"/>
    </w:pPr>
    <w:rPr>
      <w:rFonts w:ascii="Times New Roman" w:hAnsi="Times New Roman" w:cs="Times New Roman"/>
      <w:sz w:val="28"/>
    </w:rPr>
  </w:style>
  <w:style w:type="paragraph" w:customStyle="1" w:styleId="DateMarking">
    <w:name w:val="DateMarking"/>
    <w:basedOn w:val="Normal"/>
    <w:rsid w:val="00F312BC"/>
    <w:pPr>
      <w:spacing w:after="0"/>
      <w:ind w:left="5103"/>
    </w:pPr>
    <w:rPr>
      <w:rFonts w:ascii="Times New Roman" w:hAnsi="Times New Roman" w:cs="Times New Roman"/>
      <w:i/>
      <w:sz w:val="28"/>
    </w:rPr>
  </w:style>
  <w:style w:type="paragraph" w:customStyle="1" w:styleId="ReleasableTo">
    <w:name w:val="ReleasableTo"/>
    <w:basedOn w:val="Normal"/>
    <w:rsid w:val="00F312BC"/>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0691693">
      <w:bodyDiv w:val="1"/>
      <w:marLeft w:val="0"/>
      <w:marRight w:val="0"/>
      <w:marTop w:val="0"/>
      <w:marBottom w:val="0"/>
      <w:divBdr>
        <w:top w:val="none" w:sz="0" w:space="0" w:color="auto"/>
        <w:left w:val="none" w:sz="0" w:space="0" w:color="auto"/>
        <w:bottom w:val="none" w:sz="0" w:space="0" w:color="auto"/>
        <w:right w:val="none" w:sz="0" w:space="0" w:color="auto"/>
      </w:divBdr>
    </w:div>
    <w:div w:id="107400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72778-BE2E-4B9C-87B9-762E45D6B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6</Pages>
  <Words>2422</Words>
  <Characters>13809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2026-02-03T14:43:00Z</dcterms:created>
  <dcterms:modified xsi:type="dcterms:W3CDTF">2026-03-24T17:33:00Z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2026-01-29T09:46:14Z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f1f30fe6-44bd-42b5-a34c-76c43ae0f556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CP-027</vt:lpwstr>
  </property>
</Properties>
</file>